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6453" w14:textId="45A5E06F" w:rsidR="00CA41CC" w:rsidRPr="00914128" w:rsidRDefault="0095709A" w:rsidP="00914128">
      <w:pPr>
        <w:pStyle w:val="Heading1"/>
      </w:pPr>
      <w:r>
        <w:t>CHAPTER 3</w:t>
      </w:r>
    </w:p>
    <w:p w14:paraId="6465B3CB" w14:textId="77777777" w:rsidR="00EC7C98" w:rsidRPr="00914128" w:rsidRDefault="0095709A" w:rsidP="00914128">
      <w:pPr>
        <w:pStyle w:val="Heading1"/>
      </w:pPr>
      <w:r>
        <w:t>evidence</w:t>
      </w:r>
    </w:p>
    <w:p w14:paraId="2CAF6550" w14:textId="77777777" w:rsidR="0022134E" w:rsidRPr="009B6746" w:rsidRDefault="0022134E" w:rsidP="0022134E">
      <w:pPr>
        <w:pStyle w:val="Heading1"/>
        <w:jc w:val="left"/>
        <w:rPr>
          <w:b w:val="0"/>
        </w:rPr>
      </w:pPr>
      <w:r w:rsidRPr="009B6746">
        <w:rPr>
          <w:b w:val="0"/>
        </w:rPr>
        <w:t xml:space="preserve">A. </w:t>
      </w:r>
      <w:r w:rsidR="0095709A">
        <w:rPr>
          <w:b w:val="0"/>
        </w:rPr>
        <w:t>burdens of proof</w:t>
      </w:r>
    </w:p>
    <w:p w14:paraId="5FCE7D7C" w14:textId="77777777" w:rsidR="00EC7C98" w:rsidRDefault="00000000" w:rsidP="00914128">
      <w:pPr>
        <w:pStyle w:val="ToC"/>
      </w:pPr>
      <w:hyperlink w:anchor="a3_1" w:history="1">
        <w:r w:rsidR="009E20C7" w:rsidRPr="009E20C7">
          <w:rPr>
            <w:rStyle w:val="Hyperlink"/>
          </w:rPr>
          <w:t>3:1</w:t>
        </w:r>
      </w:hyperlink>
      <w:r w:rsidR="009E20C7">
        <w:tab/>
        <w:t>Burden o</w:t>
      </w:r>
      <w:r w:rsidR="009E20C7" w:rsidRPr="009E20C7">
        <w:t xml:space="preserve">f Proof </w:t>
      </w:r>
      <w:r w:rsidR="009E20C7">
        <w:t>a</w:t>
      </w:r>
      <w:r w:rsidR="009E20C7" w:rsidRPr="009E20C7">
        <w:t xml:space="preserve">nd Preponderance </w:t>
      </w:r>
      <w:r w:rsidR="009E20C7">
        <w:t>o</w:t>
      </w:r>
      <w:r w:rsidR="009E20C7" w:rsidRPr="009E20C7">
        <w:t>f Evidence —Defined</w:t>
      </w:r>
    </w:p>
    <w:p w14:paraId="0FB0EC92" w14:textId="77777777" w:rsidR="009E20C7" w:rsidRDefault="00000000" w:rsidP="00914128">
      <w:pPr>
        <w:pStyle w:val="ToC"/>
      </w:pPr>
      <w:hyperlink w:anchor="a3_2" w:history="1">
        <w:r w:rsidR="009E20C7" w:rsidRPr="009E20C7">
          <w:rPr>
            <w:rStyle w:val="Hyperlink"/>
          </w:rPr>
          <w:t>3:2</w:t>
        </w:r>
      </w:hyperlink>
      <w:r w:rsidR="009E20C7" w:rsidRPr="009E20C7">
        <w:t xml:space="preserve"> </w:t>
      </w:r>
      <w:r w:rsidR="009E20C7" w:rsidRPr="009E20C7">
        <w:tab/>
        <w:t xml:space="preserve">Clear </w:t>
      </w:r>
      <w:r w:rsidR="009E20C7">
        <w:t>a</w:t>
      </w:r>
      <w:r w:rsidR="009E20C7" w:rsidRPr="009E20C7">
        <w:t>nd Convincing Evidence — Defined</w:t>
      </w:r>
    </w:p>
    <w:p w14:paraId="11704D72" w14:textId="77777777" w:rsidR="009E20C7" w:rsidRDefault="00000000" w:rsidP="00914128">
      <w:pPr>
        <w:pStyle w:val="ToC"/>
      </w:pPr>
      <w:hyperlink w:anchor="a3_3" w:history="1">
        <w:r w:rsidR="009E20C7" w:rsidRPr="009E20C7">
          <w:rPr>
            <w:rStyle w:val="Hyperlink"/>
          </w:rPr>
          <w:t>3:3</w:t>
        </w:r>
      </w:hyperlink>
      <w:r w:rsidR="009E20C7" w:rsidRPr="009E20C7">
        <w:t xml:space="preserve"> </w:t>
      </w:r>
      <w:r w:rsidR="009E20C7" w:rsidRPr="009E20C7">
        <w:tab/>
        <w:t>Reasonable Doubt — Defined</w:t>
      </w:r>
    </w:p>
    <w:p w14:paraId="1C57CEEE" w14:textId="77777777" w:rsidR="009E20C7" w:rsidRPr="00EC7C98" w:rsidRDefault="00000000" w:rsidP="00914128">
      <w:pPr>
        <w:pStyle w:val="ToC"/>
      </w:pPr>
      <w:hyperlink w:anchor="a3_4" w:history="1">
        <w:r w:rsidR="009E20C7" w:rsidRPr="009E20C7">
          <w:rPr>
            <w:rStyle w:val="Hyperlink"/>
          </w:rPr>
          <w:t>3:4</w:t>
        </w:r>
      </w:hyperlink>
      <w:r w:rsidR="009E20C7" w:rsidRPr="009E20C7">
        <w:t xml:space="preserve"> </w:t>
      </w:r>
      <w:r w:rsidR="009E20C7" w:rsidRPr="009E20C7">
        <w:tab/>
        <w:t>No Speculation</w:t>
      </w:r>
    </w:p>
    <w:p w14:paraId="6FAA42FF" w14:textId="77777777" w:rsidR="009B6746" w:rsidRPr="00EC7C98" w:rsidRDefault="009B6746" w:rsidP="00ED7176">
      <w:pPr>
        <w:pStyle w:val="ToC"/>
      </w:pPr>
    </w:p>
    <w:p w14:paraId="71D915DD" w14:textId="77777777" w:rsidR="009B6746" w:rsidRPr="009B6746" w:rsidRDefault="009E20C7" w:rsidP="009B6746">
      <w:pPr>
        <w:pStyle w:val="Heading1"/>
        <w:jc w:val="left"/>
        <w:rPr>
          <w:b w:val="0"/>
        </w:rPr>
      </w:pPr>
      <w:r w:rsidRPr="009E20C7">
        <w:rPr>
          <w:b w:val="0"/>
        </w:rPr>
        <w:t>B. PRESUMPTIONS AND PARTICULAR INFERENCES</w:t>
      </w:r>
    </w:p>
    <w:p w14:paraId="3028A869" w14:textId="77777777" w:rsidR="00ED7176" w:rsidRDefault="00000000" w:rsidP="00ED7176">
      <w:pPr>
        <w:pStyle w:val="ToC"/>
      </w:pPr>
      <w:hyperlink w:anchor="a3_5" w:history="1">
        <w:r w:rsidR="009E20C7" w:rsidRPr="009E20C7">
          <w:rPr>
            <w:rStyle w:val="Hyperlink"/>
          </w:rPr>
          <w:t>3:5</w:t>
        </w:r>
      </w:hyperlink>
      <w:r w:rsidR="009E20C7" w:rsidRPr="009E20C7">
        <w:tab/>
        <w:t xml:space="preserve">Permissible Inference Arising </w:t>
      </w:r>
      <w:r w:rsidR="009E20C7">
        <w:t>f</w:t>
      </w:r>
      <w:r w:rsidR="009E20C7" w:rsidRPr="009E20C7">
        <w:t>rom Rebuttable Presumption</w:t>
      </w:r>
    </w:p>
    <w:p w14:paraId="22D197FE" w14:textId="77777777" w:rsidR="009E20C7" w:rsidRDefault="00000000" w:rsidP="00ED7176">
      <w:pPr>
        <w:pStyle w:val="ToC"/>
      </w:pPr>
      <w:hyperlink w:anchor="a3_5A" w:history="1">
        <w:r w:rsidR="009E20C7" w:rsidRPr="009E20C7">
          <w:rPr>
            <w:rStyle w:val="Hyperlink"/>
          </w:rPr>
          <w:t>3:5</w:t>
        </w:r>
        <w:r w:rsidR="0037178E">
          <w:rPr>
            <w:rStyle w:val="Hyperlink"/>
          </w:rPr>
          <w:t>A</w:t>
        </w:r>
      </w:hyperlink>
      <w:r w:rsidR="009E20C7" w:rsidRPr="009E20C7">
        <w:tab/>
        <w:t xml:space="preserve">Inference Arising </w:t>
      </w:r>
      <w:r w:rsidR="009E20C7">
        <w:t>f</w:t>
      </w:r>
      <w:r w:rsidR="009E20C7" w:rsidRPr="009E20C7">
        <w:t xml:space="preserve">rom Invocation </w:t>
      </w:r>
      <w:r w:rsidR="009E20C7">
        <w:t>o</w:t>
      </w:r>
      <w:r w:rsidR="009E20C7" w:rsidRPr="009E20C7">
        <w:t>f Fifth Amendment Privilege</w:t>
      </w:r>
    </w:p>
    <w:p w14:paraId="5DC0A890" w14:textId="77777777" w:rsidR="009E20C7" w:rsidRDefault="00000000" w:rsidP="00ED7176">
      <w:pPr>
        <w:pStyle w:val="ToC"/>
      </w:pPr>
      <w:hyperlink w:anchor="a3_6" w:history="1">
        <w:r w:rsidR="009E20C7" w:rsidRPr="009E20C7">
          <w:rPr>
            <w:rStyle w:val="Hyperlink"/>
          </w:rPr>
          <w:t>3:6</w:t>
        </w:r>
      </w:hyperlink>
      <w:r w:rsidR="009E20C7" w:rsidRPr="009E20C7">
        <w:t xml:space="preserve"> </w:t>
      </w:r>
      <w:r w:rsidR="009E20C7" w:rsidRPr="009E20C7">
        <w:tab/>
        <w:t xml:space="preserve">Statutory Presumptions That Shift </w:t>
      </w:r>
      <w:r w:rsidR="009E20C7">
        <w:t>t</w:t>
      </w:r>
      <w:r w:rsidR="009E20C7" w:rsidRPr="009E20C7">
        <w:t xml:space="preserve">he Burden </w:t>
      </w:r>
      <w:r w:rsidR="009E20C7">
        <w:t>o</w:t>
      </w:r>
      <w:r w:rsidR="009E20C7" w:rsidRPr="009E20C7">
        <w:t>f Proof</w:t>
      </w:r>
    </w:p>
    <w:p w14:paraId="430F8C7B" w14:textId="77777777" w:rsidR="009E20C7" w:rsidRPr="00EC7C98" w:rsidRDefault="00000000" w:rsidP="00ED7176">
      <w:pPr>
        <w:pStyle w:val="ToC"/>
      </w:pPr>
      <w:hyperlink w:anchor="a3_7" w:history="1">
        <w:r w:rsidR="009E20C7" w:rsidRPr="009E20C7">
          <w:rPr>
            <w:rStyle w:val="Hyperlink"/>
          </w:rPr>
          <w:t>3:7</w:t>
        </w:r>
      </w:hyperlink>
      <w:r w:rsidR="009E20C7" w:rsidRPr="009E20C7">
        <w:t xml:space="preserve"> </w:t>
      </w:r>
      <w:r w:rsidR="009E20C7" w:rsidRPr="009E20C7">
        <w:tab/>
        <w:t xml:space="preserve">Constructive Knowledge Based </w:t>
      </w:r>
      <w:r w:rsidR="009E20C7">
        <w:t>o</w:t>
      </w:r>
      <w:r w:rsidR="009E20C7" w:rsidRPr="009E20C7">
        <w:t xml:space="preserve">n Duty </w:t>
      </w:r>
      <w:r w:rsidR="009E20C7">
        <w:t>t</w:t>
      </w:r>
      <w:r w:rsidR="009E20C7" w:rsidRPr="009E20C7">
        <w:t>o Inquire</w:t>
      </w:r>
    </w:p>
    <w:p w14:paraId="468D214D" w14:textId="77777777" w:rsidR="009B6746" w:rsidRPr="00EC7C98" w:rsidRDefault="009B6746" w:rsidP="009B6746">
      <w:pPr>
        <w:pStyle w:val="ToC"/>
      </w:pPr>
    </w:p>
    <w:p w14:paraId="2F435FEA" w14:textId="77777777" w:rsidR="009B6746" w:rsidRPr="009B6746" w:rsidRDefault="009E20C7" w:rsidP="009B6746">
      <w:pPr>
        <w:pStyle w:val="Heading1"/>
        <w:jc w:val="left"/>
        <w:rPr>
          <w:b w:val="0"/>
        </w:rPr>
      </w:pPr>
      <w:r w:rsidRPr="009E20C7">
        <w:rPr>
          <w:b w:val="0"/>
        </w:rPr>
        <w:t>C. WEIGHING OF EVIDENCE</w:t>
      </w:r>
    </w:p>
    <w:p w14:paraId="46C35EC9" w14:textId="77777777" w:rsidR="00ED7176" w:rsidRDefault="00000000" w:rsidP="00ED7176">
      <w:pPr>
        <w:pStyle w:val="ToC"/>
      </w:pPr>
      <w:hyperlink w:anchor="a3_8" w:history="1">
        <w:r w:rsidR="009E20C7" w:rsidRPr="009E20C7">
          <w:rPr>
            <w:rStyle w:val="Hyperlink"/>
          </w:rPr>
          <w:t>3:8</w:t>
        </w:r>
      </w:hyperlink>
      <w:r w:rsidR="009E20C7" w:rsidRPr="009E20C7">
        <w:t xml:space="preserve"> </w:t>
      </w:r>
      <w:r w:rsidR="009E20C7" w:rsidRPr="009E20C7">
        <w:tab/>
        <w:t xml:space="preserve">Evidence </w:t>
      </w:r>
      <w:r w:rsidR="009E20C7">
        <w:t>i</w:t>
      </w:r>
      <w:r w:rsidR="009E20C7" w:rsidRPr="009E20C7">
        <w:t xml:space="preserve">n </w:t>
      </w:r>
      <w:r w:rsidR="009E20C7">
        <w:t>t</w:t>
      </w:r>
      <w:r w:rsidR="009E20C7" w:rsidRPr="009E20C7">
        <w:t xml:space="preserve">he Case — Stipulations — Judicial Notice —Inferences Permitted </w:t>
      </w:r>
      <w:r w:rsidR="009E20C7">
        <w:t>a</w:t>
      </w:r>
      <w:r w:rsidR="009E20C7" w:rsidRPr="009E20C7">
        <w:t>nd Defined</w:t>
      </w:r>
    </w:p>
    <w:p w14:paraId="5018297F" w14:textId="77777777" w:rsidR="009E20C7" w:rsidRDefault="00000000" w:rsidP="00ED7176">
      <w:pPr>
        <w:pStyle w:val="ToC"/>
      </w:pPr>
      <w:hyperlink w:anchor="a3_9" w:history="1">
        <w:r w:rsidR="009E20C7" w:rsidRPr="009E20C7">
          <w:rPr>
            <w:rStyle w:val="Hyperlink"/>
          </w:rPr>
          <w:t>3:9</w:t>
        </w:r>
      </w:hyperlink>
      <w:r w:rsidR="009E20C7" w:rsidRPr="009E20C7">
        <w:t xml:space="preserve"> </w:t>
      </w:r>
      <w:r w:rsidR="009E20C7" w:rsidRPr="009E20C7">
        <w:tab/>
        <w:t xml:space="preserve">Direct </w:t>
      </w:r>
      <w:r w:rsidR="009E20C7">
        <w:t>a</w:t>
      </w:r>
      <w:r w:rsidR="009E20C7" w:rsidRPr="009E20C7">
        <w:t>nd Indirect (Circumstantial) Evidence — Defined</w:t>
      </w:r>
    </w:p>
    <w:p w14:paraId="49FCDD3B" w14:textId="77777777" w:rsidR="009E20C7" w:rsidRDefault="00000000" w:rsidP="00ED7176">
      <w:pPr>
        <w:pStyle w:val="ToC"/>
      </w:pPr>
      <w:hyperlink w:anchor="a3_10" w:history="1">
        <w:r w:rsidR="009E20C7" w:rsidRPr="009E20C7">
          <w:rPr>
            <w:rStyle w:val="Hyperlink"/>
          </w:rPr>
          <w:t>3:10</w:t>
        </w:r>
      </w:hyperlink>
      <w:r w:rsidR="009E20C7" w:rsidRPr="009E20C7">
        <w:t xml:space="preserve"> </w:t>
      </w:r>
      <w:r w:rsidR="009E20C7" w:rsidRPr="009E20C7">
        <w:tab/>
        <w:t xml:space="preserve">Depositions </w:t>
      </w:r>
      <w:r w:rsidR="009E20C7">
        <w:t>a</w:t>
      </w:r>
      <w:r w:rsidR="009E20C7" w:rsidRPr="009E20C7">
        <w:t>s Evidence</w:t>
      </w:r>
    </w:p>
    <w:p w14:paraId="04BFF016" w14:textId="77777777" w:rsidR="009E20C7" w:rsidRDefault="00000000" w:rsidP="00ED7176">
      <w:pPr>
        <w:pStyle w:val="ToC"/>
      </w:pPr>
      <w:hyperlink w:anchor="a3_11" w:history="1">
        <w:r w:rsidR="009E20C7" w:rsidRPr="009E20C7">
          <w:rPr>
            <w:rStyle w:val="Hyperlink"/>
          </w:rPr>
          <w:t>3:11</w:t>
        </w:r>
      </w:hyperlink>
      <w:r w:rsidR="009E20C7" w:rsidRPr="009E20C7">
        <w:t xml:space="preserve"> </w:t>
      </w:r>
      <w:r w:rsidR="009E20C7" w:rsidRPr="009E20C7">
        <w:tab/>
        <w:t xml:space="preserve">Testimony Read </w:t>
      </w:r>
      <w:r w:rsidR="009E20C7">
        <w:t>f</w:t>
      </w:r>
      <w:r w:rsidR="009E20C7" w:rsidRPr="009E20C7">
        <w:t>rom Transcript</w:t>
      </w:r>
    </w:p>
    <w:p w14:paraId="526A32B0" w14:textId="77777777" w:rsidR="009E20C7" w:rsidRDefault="00000000" w:rsidP="00ED7176">
      <w:pPr>
        <w:pStyle w:val="ToC"/>
      </w:pPr>
      <w:hyperlink w:anchor="a3_12" w:history="1">
        <w:r w:rsidR="009E20C7" w:rsidRPr="009E20C7">
          <w:rPr>
            <w:rStyle w:val="Hyperlink"/>
          </w:rPr>
          <w:t>3:12</w:t>
        </w:r>
      </w:hyperlink>
      <w:r w:rsidR="009E20C7" w:rsidRPr="009E20C7">
        <w:t xml:space="preserve"> </w:t>
      </w:r>
      <w:r w:rsidR="009E20C7" w:rsidRPr="009E20C7">
        <w:tab/>
        <w:t xml:space="preserve">Preponderance Not Determined </w:t>
      </w:r>
      <w:r w:rsidR="009E20C7">
        <w:t>b</w:t>
      </w:r>
      <w:r w:rsidR="009E20C7" w:rsidRPr="009E20C7">
        <w:t xml:space="preserve">y Number </w:t>
      </w:r>
      <w:r w:rsidR="009E20C7">
        <w:t>o</w:t>
      </w:r>
      <w:r w:rsidR="009E20C7" w:rsidRPr="009E20C7">
        <w:t>f Witnesses</w:t>
      </w:r>
    </w:p>
    <w:p w14:paraId="51697AB7" w14:textId="26CD4F90" w:rsidR="00834CE7" w:rsidRPr="00834CE7" w:rsidRDefault="00000000" w:rsidP="00ED7176">
      <w:pPr>
        <w:pStyle w:val="ToC"/>
      </w:pPr>
      <w:hyperlink w:anchor="a3_13" w:history="1">
        <w:r w:rsidR="009E20C7" w:rsidRPr="009E20C7">
          <w:rPr>
            <w:rStyle w:val="Hyperlink"/>
          </w:rPr>
          <w:t>3:13</w:t>
        </w:r>
      </w:hyperlink>
      <w:r w:rsidR="009E20C7" w:rsidRPr="009E20C7">
        <w:t xml:space="preserve"> </w:t>
      </w:r>
      <w:r w:rsidR="009E20C7" w:rsidRPr="009E20C7">
        <w:tab/>
        <w:t xml:space="preserve">Adverse Inference </w:t>
      </w:r>
      <w:r w:rsidR="009E20C7">
        <w:t>f</w:t>
      </w:r>
      <w:r w:rsidR="009E20C7" w:rsidRPr="009E20C7">
        <w:t xml:space="preserve">rom </w:t>
      </w:r>
      <w:r w:rsidR="009E20C7">
        <w:t>t</w:t>
      </w:r>
      <w:r w:rsidR="009E20C7" w:rsidRPr="009E20C7">
        <w:t xml:space="preserve">he Loss </w:t>
      </w:r>
      <w:r w:rsidR="009E20C7">
        <w:t>o</w:t>
      </w:r>
      <w:r w:rsidR="009E20C7" w:rsidRPr="009E20C7">
        <w:t xml:space="preserve">r Destruction </w:t>
      </w:r>
      <w:r w:rsidR="009E20C7">
        <w:t>o</w:t>
      </w:r>
      <w:r w:rsidR="009E20C7" w:rsidRPr="009E20C7">
        <w:t>f Evidence</w:t>
      </w:r>
    </w:p>
    <w:p w14:paraId="389B3364" w14:textId="77777777" w:rsidR="009E20C7" w:rsidRDefault="00000000" w:rsidP="00ED7176">
      <w:pPr>
        <w:pStyle w:val="ToC"/>
      </w:pPr>
      <w:hyperlink w:anchor="a3_14" w:history="1">
        <w:r w:rsidR="009E20C7" w:rsidRPr="009E20C7">
          <w:rPr>
            <w:rStyle w:val="Hyperlink"/>
          </w:rPr>
          <w:t>3:14</w:t>
        </w:r>
      </w:hyperlink>
      <w:r w:rsidR="009E20C7" w:rsidRPr="009E20C7">
        <w:tab/>
        <w:t>Sympathy — Prejudice</w:t>
      </w:r>
    </w:p>
    <w:p w14:paraId="350F61AA" w14:textId="77777777" w:rsidR="009E20C7" w:rsidRDefault="00000000" w:rsidP="00ED7176">
      <w:pPr>
        <w:pStyle w:val="ToC"/>
      </w:pPr>
      <w:hyperlink w:anchor="a3_15" w:history="1">
        <w:r w:rsidR="009E20C7" w:rsidRPr="009E20C7">
          <w:rPr>
            <w:rStyle w:val="Hyperlink"/>
          </w:rPr>
          <w:t>3:15</w:t>
        </w:r>
      </w:hyperlink>
      <w:r w:rsidR="009E20C7" w:rsidRPr="009E20C7">
        <w:t xml:space="preserve"> </w:t>
      </w:r>
      <w:r w:rsidR="009E20C7" w:rsidRPr="009E20C7">
        <w:tab/>
        <w:t>Expert Witnesses</w:t>
      </w:r>
    </w:p>
    <w:p w14:paraId="2A228489" w14:textId="77777777" w:rsidR="009E20C7" w:rsidRDefault="00000000" w:rsidP="00ED7176">
      <w:pPr>
        <w:pStyle w:val="ToC"/>
      </w:pPr>
      <w:hyperlink w:anchor="a3_16" w:history="1">
        <w:r w:rsidR="009E20C7" w:rsidRPr="009E20C7">
          <w:rPr>
            <w:rStyle w:val="Hyperlink"/>
          </w:rPr>
          <w:t>3:16</w:t>
        </w:r>
      </w:hyperlink>
      <w:r w:rsidR="009E20C7" w:rsidRPr="009E20C7">
        <w:t xml:space="preserve"> </w:t>
      </w:r>
      <w:r w:rsidR="009E20C7" w:rsidRPr="009E20C7">
        <w:tab/>
        <w:t xml:space="preserve">Determining Credibility </w:t>
      </w:r>
      <w:r w:rsidR="009E20C7">
        <w:t>o</w:t>
      </w:r>
      <w:r w:rsidR="009E20C7" w:rsidRPr="009E20C7">
        <w:t>f Witnesses</w:t>
      </w:r>
    </w:p>
    <w:p w14:paraId="09434414" w14:textId="77777777" w:rsidR="009E20C7" w:rsidRPr="00EC7C98" w:rsidRDefault="00000000" w:rsidP="00ED7176">
      <w:pPr>
        <w:pStyle w:val="ToC"/>
      </w:pPr>
      <w:hyperlink w:anchor="a3_17" w:history="1">
        <w:r w:rsidR="009E20C7" w:rsidRPr="009E20C7">
          <w:rPr>
            <w:rStyle w:val="Hyperlink"/>
          </w:rPr>
          <w:t>3:17</w:t>
        </w:r>
      </w:hyperlink>
      <w:r w:rsidR="009E20C7" w:rsidRPr="009E20C7">
        <w:t xml:space="preserve"> </w:t>
      </w:r>
      <w:r w:rsidR="009E20C7" w:rsidRPr="009E20C7">
        <w:tab/>
        <w:t>Highlighted Exhibits</w:t>
      </w:r>
    </w:p>
    <w:p w14:paraId="7497719A" w14:textId="77777777" w:rsidR="00352111" w:rsidRPr="00352111" w:rsidRDefault="00352111">
      <w:pPr>
        <w:rPr>
          <w:rFonts w:eastAsia="Times New Roman"/>
          <w:sz w:val="24"/>
          <w:szCs w:val="24"/>
        </w:rPr>
      </w:pPr>
      <w:r w:rsidRPr="00352111">
        <w:rPr>
          <w:rFonts w:eastAsia="Times New Roman"/>
          <w:sz w:val="24"/>
          <w:szCs w:val="24"/>
        </w:rPr>
        <w:br w:type="page"/>
      </w:r>
    </w:p>
    <w:p w14:paraId="70EE25F1"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95709A">
        <w:rPr>
          <w:rFonts w:eastAsia="Times New Roman"/>
          <w:b/>
          <w:sz w:val="24"/>
          <w:szCs w:val="24"/>
        </w:rPr>
        <w:t>BURDENS OF PROOF</w:t>
      </w:r>
    </w:p>
    <w:p w14:paraId="7B327845" w14:textId="77777777" w:rsidR="009E3DA4" w:rsidRPr="009E3DA4" w:rsidRDefault="0095709A" w:rsidP="00CC0502">
      <w:pPr>
        <w:spacing w:after="240"/>
        <w:ind w:left="720" w:hanging="720"/>
        <w:rPr>
          <w:rFonts w:eastAsia="Times New Roman"/>
          <w:b/>
          <w:sz w:val="24"/>
          <w:szCs w:val="24"/>
        </w:rPr>
      </w:pPr>
      <w:bookmarkStart w:id="0" w:name="a3_1"/>
      <w:bookmarkEnd w:id="0"/>
      <w:r w:rsidRPr="0095709A">
        <w:rPr>
          <w:rFonts w:eastAsia="Times New Roman"/>
          <w:b/>
          <w:sz w:val="24"/>
          <w:szCs w:val="24"/>
        </w:rPr>
        <w:t xml:space="preserve">3:1 </w:t>
      </w:r>
      <w:r w:rsidRPr="0095709A">
        <w:rPr>
          <w:rFonts w:eastAsia="Times New Roman"/>
          <w:b/>
          <w:sz w:val="24"/>
          <w:szCs w:val="24"/>
        </w:rPr>
        <w:tab/>
        <w:t>BURDEN OF PROOF AND PREPONDERANCE OF EVIDENCE —DEFINED</w:t>
      </w:r>
    </w:p>
    <w:p w14:paraId="5A3CFAA8"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1. The plaintiff has the burden of proving (his) (her) (its) claim(s) by a preponderance of the evidence.</w:t>
      </w:r>
    </w:p>
    <w:p w14:paraId="7068E827"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2. The defendant has the burden of proving (each of) (his) (her) (its) affirmative defense(s) by a preponderance of the evidence.</w:t>
      </w:r>
    </w:p>
    <w:p w14:paraId="039F1A4E"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3. To prove something by a “preponderance of the evidence” means to prove that it is more probably true than not.</w:t>
      </w:r>
    </w:p>
    <w:p w14:paraId="09C0D8D0"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4. “Burden of proof” means the obligation a party has to prove (his) (her) (its) claim(s) or defense(s) by a preponderance of the evidence. The party with the burden of proof can use evidence produced by any party to persuade you.</w:t>
      </w:r>
    </w:p>
    <w:p w14:paraId="464A5910"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5. If a party fails to meet (his) (her) (its) burden of proof as to any claim or defense or if the evidence weighs so evenly that you are unable to say that there is a preponderance on either side, you must reject that claim or defense.</w:t>
      </w:r>
    </w:p>
    <w:p w14:paraId="2D4788D0" w14:textId="77777777" w:rsidR="00832DB4" w:rsidRDefault="00832DB4" w:rsidP="0054263B">
      <w:pPr>
        <w:jc w:val="center"/>
        <w:rPr>
          <w:rFonts w:eastAsia="Times New Roman"/>
          <w:sz w:val="24"/>
          <w:szCs w:val="24"/>
        </w:rPr>
      </w:pPr>
    </w:p>
    <w:p w14:paraId="2C5870C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7EB344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1. If there is no affirmative defense, omit paragraph 2.</w:t>
      </w:r>
    </w:p>
    <w:p w14:paraId="75411AD2"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2. If there is a counterclaim, and no affirmative defense, omit the words “affirmative defense” in paragraph 2 and substitute the word “counterclaim.”</w:t>
      </w:r>
    </w:p>
    <w:p w14:paraId="5DAEEFBC"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3. If there is an affirmative defense and counterclaim, add in paragraph 2 the words “and counterclaim” following the words “affirmative defense.”</w:t>
      </w:r>
    </w:p>
    <w:p w14:paraId="1B2FEC78"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4. Generally, in all civil cases, the burden of proof “shall be by a preponderance of the evidence,” except as to claims for exemplary damages for which the facts supporting such relief must be proved “beyond a reasonable doubt.” § 13-25-127, C.R.S. Also, in some cases, </w:t>
      </w:r>
      <w:r w:rsidRPr="0095709A">
        <w:rPr>
          <w:rFonts w:eastAsia="Times New Roman"/>
          <w:i/>
          <w:sz w:val="24"/>
          <w:szCs w:val="24"/>
        </w:rPr>
        <w:t>see</w:t>
      </w:r>
      <w:r w:rsidRPr="000D3EE4">
        <w:rPr>
          <w:rFonts w:eastAsia="Times New Roman"/>
          <w:i/>
          <w:sz w:val="24"/>
          <w:szCs w:val="24"/>
        </w:rPr>
        <w:t xml:space="preserve">, </w:t>
      </w:r>
      <w:r w:rsidRPr="0095709A">
        <w:rPr>
          <w:rFonts w:eastAsia="Times New Roman"/>
          <w:i/>
          <w:sz w:val="24"/>
          <w:szCs w:val="24"/>
        </w:rPr>
        <w:t>e.g.</w:t>
      </w:r>
      <w:r w:rsidRPr="0095709A">
        <w:rPr>
          <w:rFonts w:eastAsia="Times New Roman"/>
          <w:sz w:val="24"/>
          <w:szCs w:val="24"/>
        </w:rPr>
        <w:t xml:space="preserve">, Instructions 22:1, 22:2, 35:1, 35:2, some elements of a claim may have to be established by “clear and convincing evidence.” </w:t>
      </w:r>
      <w:r w:rsidRPr="0095709A">
        <w:rPr>
          <w:rFonts w:eastAsia="Times New Roman"/>
          <w:i/>
          <w:sz w:val="24"/>
          <w:szCs w:val="24"/>
        </w:rPr>
        <w:t>See</w:t>
      </w:r>
      <w:r w:rsidRPr="0095709A">
        <w:rPr>
          <w:rFonts w:eastAsia="Times New Roman"/>
          <w:sz w:val="24"/>
          <w:szCs w:val="24"/>
        </w:rPr>
        <w:t xml:space="preserve"> Instruction 3:2. If so, this instruction must be modified accordingly as to such elements and Instruction 3:2 defining “clear and convincing evidence” must also be given. Concerning the constitutionality of section 13-25-127, see </w:t>
      </w:r>
      <w:r w:rsidRPr="0095709A">
        <w:rPr>
          <w:rFonts w:eastAsia="Times New Roman"/>
          <w:b/>
          <w:sz w:val="24"/>
          <w:szCs w:val="24"/>
        </w:rPr>
        <w:t>Page v. Clark</w:t>
      </w:r>
      <w:r w:rsidRPr="0095709A">
        <w:rPr>
          <w:rFonts w:eastAsia="Times New Roman"/>
          <w:sz w:val="24"/>
          <w:szCs w:val="24"/>
        </w:rPr>
        <w:t>, 197 Colo. 306, 592 P.2d 792 (1979).</w:t>
      </w:r>
    </w:p>
    <w:p w14:paraId="188F8406"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5. Proof “by a preponderance of the evidence” demands only that the evidence must “preponderate over, or outweigh, evidence to the contrary.” </w:t>
      </w:r>
      <w:r w:rsidRPr="0095709A">
        <w:rPr>
          <w:rFonts w:eastAsia="Times New Roman"/>
          <w:b/>
          <w:sz w:val="24"/>
          <w:szCs w:val="24"/>
        </w:rPr>
        <w:t>City of Littleton v. Indus. Claim Appeals Office</w:t>
      </w:r>
      <w:r w:rsidRPr="0095709A">
        <w:rPr>
          <w:rFonts w:eastAsia="Times New Roman"/>
          <w:sz w:val="24"/>
          <w:szCs w:val="24"/>
        </w:rPr>
        <w:t>, 2016 CO 25, ¶ 38, 370 P.3d 157, 168-69.</w:t>
      </w:r>
    </w:p>
    <w:p w14:paraId="54C8982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6. In cases in which a party is asserting a claim for punitive damages, </w:t>
      </w:r>
      <w:r w:rsidRPr="0095709A">
        <w:rPr>
          <w:rFonts w:eastAsia="Times New Roman"/>
          <w:i/>
          <w:sz w:val="24"/>
          <w:szCs w:val="24"/>
        </w:rPr>
        <w:t>see</w:t>
      </w:r>
      <w:r w:rsidRPr="0095709A">
        <w:rPr>
          <w:rFonts w:eastAsia="Times New Roman"/>
          <w:sz w:val="24"/>
          <w:szCs w:val="24"/>
        </w:rPr>
        <w:t xml:space="preserve"> Instruction 5:4, and consequently the supporting facts for such relief must be established “beyond a reasonable </w:t>
      </w:r>
      <w:r w:rsidRPr="0095709A">
        <w:rPr>
          <w:rFonts w:eastAsia="Times New Roman"/>
          <w:sz w:val="24"/>
          <w:szCs w:val="24"/>
        </w:rPr>
        <w:lastRenderedPageBreak/>
        <w:t>doubt,” this instruction must be appropriately modified, and Instruction 3:3, defining “reasonable doubt,” must also be given.</w:t>
      </w:r>
    </w:p>
    <w:p w14:paraId="2E81A59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EBAB679" w14:textId="77777777" w:rsidR="0095709A" w:rsidRDefault="0095709A" w:rsidP="0095709A">
      <w:pPr>
        <w:spacing w:after="240"/>
        <w:ind w:firstLine="720"/>
        <w:rPr>
          <w:rFonts w:eastAsia="Times New Roman"/>
          <w:sz w:val="24"/>
          <w:szCs w:val="24"/>
        </w:rPr>
      </w:pPr>
      <w:r w:rsidRPr="0095709A">
        <w:rPr>
          <w:rFonts w:eastAsia="Times New Roman"/>
          <w:sz w:val="24"/>
          <w:szCs w:val="24"/>
        </w:rPr>
        <w:t xml:space="preserve">This instruction is supported by section 13-25-127. </w:t>
      </w:r>
      <w:r w:rsidRPr="0095709A">
        <w:rPr>
          <w:rFonts w:eastAsia="Times New Roman"/>
          <w:i/>
          <w:sz w:val="24"/>
          <w:szCs w:val="24"/>
        </w:rPr>
        <w:t>See also</w:t>
      </w:r>
      <w:r w:rsidRPr="0095709A">
        <w:rPr>
          <w:rFonts w:eastAsia="Times New Roman"/>
          <w:sz w:val="24"/>
          <w:szCs w:val="24"/>
        </w:rPr>
        <w:t xml:space="preserve"> </w:t>
      </w:r>
      <w:r w:rsidRPr="0095709A">
        <w:rPr>
          <w:rFonts w:eastAsia="Times New Roman"/>
          <w:b/>
          <w:sz w:val="24"/>
          <w:szCs w:val="24"/>
        </w:rPr>
        <w:t>People v. Garner</w:t>
      </w:r>
      <w:r w:rsidRPr="0095709A">
        <w:rPr>
          <w:rFonts w:eastAsia="Times New Roman"/>
          <w:sz w:val="24"/>
          <w:szCs w:val="24"/>
        </w:rPr>
        <w:t xml:space="preserve">, 806 P.2d 366 (Colo. 1991); </w:t>
      </w:r>
      <w:r w:rsidRPr="0095709A">
        <w:rPr>
          <w:rFonts w:eastAsia="Times New Roman"/>
          <w:b/>
          <w:sz w:val="24"/>
          <w:szCs w:val="24"/>
        </w:rPr>
        <w:t>Kaiser Found. Health Plan v. Sharp</w:t>
      </w:r>
      <w:r w:rsidRPr="0095709A">
        <w:rPr>
          <w:rFonts w:eastAsia="Times New Roman"/>
          <w:sz w:val="24"/>
          <w:szCs w:val="24"/>
        </w:rPr>
        <w:t xml:space="preserve">, 741 P.2d 714 (Colo. 1987); </w:t>
      </w:r>
      <w:proofErr w:type="spellStart"/>
      <w:r w:rsidRPr="0095709A">
        <w:rPr>
          <w:rFonts w:eastAsia="Times New Roman"/>
          <w:b/>
          <w:sz w:val="24"/>
          <w:szCs w:val="24"/>
        </w:rPr>
        <w:t>Swaim</w:t>
      </w:r>
      <w:proofErr w:type="spellEnd"/>
      <w:r w:rsidRPr="0095709A">
        <w:rPr>
          <w:rFonts w:eastAsia="Times New Roman"/>
          <w:b/>
          <w:sz w:val="24"/>
          <w:szCs w:val="24"/>
        </w:rPr>
        <w:t xml:space="preserve"> v. Swanson</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 xml:space="preserve">118 Colo. 509, 197 P.2d 624 (1948); </w:t>
      </w:r>
      <w:proofErr w:type="spellStart"/>
      <w:r w:rsidRPr="0095709A">
        <w:rPr>
          <w:rFonts w:eastAsia="Times New Roman"/>
          <w:b/>
          <w:sz w:val="24"/>
          <w:szCs w:val="24"/>
        </w:rPr>
        <w:t>Sams</w:t>
      </w:r>
      <w:proofErr w:type="spellEnd"/>
      <w:r w:rsidRPr="0095709A">
        <w:rPr>
          <w:rFonts w:eastAsia="Times New Roman"/>
          <w:b/>
          <w:sz w:val="24"/>
          <w:szCs w:val="24"/>
        </w:rPr>
        <w:t xml:space="preserve"> Automatic Car-Coupler Co. v. League</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25 Colo. 129, 54 P. 642 (1898).</w:t>
      </w:r>
    </w:p>
    <w:p w14:paraId="1BF71C45" w14:textId="77777777" w:rsidR="00EC17E3" w:rsidRDefault="00EC17E3">
      <w:pPr>
        <w:rPr>
          <w:rFonts w:eastAsia="Times New Roman"/>
          <w:sz w:val="24"/>
          <w:szCs w:val="24"/>
        </w:rPr>
      </w:pPr>
      <w:r>
        <w:rPr>
          <w:rFonts w:eastAsia="Times New Roman"/>
          <w:sz w:val="24"/>
          <w:szCs w:val="24"/>
        </w:rPr>
        <w:br w:type="page"/>
      </w:r>
    </w:p>
    <w:p w14:paraId="72045483" w14:textId="77777777" w:rsidR="00EC17E3" w:rsidRPr="009E3DA4" w:rsidRDefault="00EC17E3" w:rsidP="00EC17E3">
      <w:pPr>
        <w:spacing w:after="240"/>
        <w:ind w:left="720" w:hanging="720"/>
        <w:rPr>
          <w:rFonts w:eastAsia="Times New Roman"/>
          <w:b/>
          <w:sz w:val="24"/>
          <w:szCs w:val="24"/>
        </w:rPr>
      </w:pPr>
      <w:bookmarkStart w:id="1" w:name="a3_2"/>
      <w:bookmarkEnd w:id="1"/>
      <w:r w:rsidRPr="00EC17E3">
        <w:rPr>
          <w:rFonts w:eastAsia="Times New Roman"/>
          <w:b/>
          <w:sz w:val="24"/>
          <w:szCs w:val="24"/>
        </w:rPr>
        <w:lastRenderedPageBreak/>
        <w:t xml:space="preserve">3:2 </w:t>
      </w:r>
      <w:r w:rsidRPr="00EC17E3">
        <w:rPr>
          <w:rFonts w:eastAsia="Times New Roman"/>
          <w:b/>
          <w:sz w:val="24"/>
          <w:szCs w:val="24"/>
        </w:rPr>
        <w:tab/>
        <w:t>CLEAR AND CONVINCING EVIDENCE — DEFINED</w:t>
      </w:r>
    </w:p>
    <w:p w14:paraId="2B2B1070" w14:textId="77777777" w:rsidR="00EC17E3" w:rsidRPr="00EC17E3" w:rsidRDefault="00EC17E3" w:rsidP="00EC17E3">
      <w:pPr>
        <w:spacing w:after="240"/>
        <w:ind w:firstLine="720"/>
        <w:rPr>
          <w:rFonts w:eastAsia="Times New Roman"/>
          <w:b/>
          <w:sz w:val="24"/>
          <w:szCs w:val="24"/>
        </w:rPr>
      </w:pPr>
      <w:r w:rsidRPr="00EC17E3">
        <w:rPr>
          <w:rFonts w:eastAsia="Times New Roman"/>
          <w:b/>
          <w:sz w:val="24"/>
          <w:szCs w:val="24"/>
        </w:rPr>
        <w:t>A fact or proposition has been proved by “clear and convincing evidence” if, considering all the evidence, you find it to be highly probable and you have no serious or substantial doubt.</w:t>
      </w:r>
    </w:p>
    <w:p w14:paraId="2E22736D" w14:textId="77777777" w:rsidR="00EC17E3" w:rsidRDefault="00EC17E3" w:rsidP="00EC17E3">
      <w:pPr>
        <w:jc w:val="center"/>
        <w:rPr>
          <w:rFonts w:eastAsia="Times New Roman"/>
          <w:sz w:val="24"/>
          <w:szCs w:val="24"/>
        </w:rPr>
      </w:pPr>
    </w:p>
    <w:p w14:paraId="7AB2F529" w14:textId="77777777" w:rsidR="00EC17E3" w:rsidRPr="0054263B" w:rsidRDefault="00EC17E3" w:rsidP="00EC17E3">
      <w:pPr>
        <w:keepNext/>
        <w:spacing w:after="240"/>
        <w:jc w:val="center"/>
        <w:rPr>
          <w:rFonts w:eastAsia="Times New Roman"/>
          <w:b/>
          <w:sz w:val="24"/>
          <w:szCs w:val="24"/>
        </w:rPr>
      </w:pPr>
      <w:r w:rsidRPr="0054263B">
        <w:rPr>
          <w:rFonts w:eastAsia="Times New Roman"/>
          <w:b/>
          <w:sz w:val="24"/>
          <w:szCs w:val="24"/>
        </w:rPr>
        <w:t>Notes on Use</w:t>
      </w:r>
    </w:p>
    <w:p w14:paraId="3E741A8F"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1. Generally, in all civil cases the burden of proof “shall be by a preponderance of the evidence,” except as to claims for exemplary damages for which the facts supporting such relief must be proved “beyond a reasonable doubt.” § 13-25-127, C.R.S. Also in some cases,</w:t>
      </w:r>
      <w:r>
        <w:rPr>
          <w:rFonts w:eastAsia="Times New Roman"/>
          <w:sz w:val="24"/>
          <w:szCs w:val="24"/>
        </w:rPr>
        <w:t xml:space="preserve"> </w:t>
      </w:r>
      <w:r w:rsidRPr="00EC17E3">
        <w:rPr>
          <w:rFonts w:eastAsia="Times New Roman"/>
          <w:i/>
          <w:sz w:val="24"/>
          <w:szCs w:val="24"/>
        </w:rPr>
        <w:t>see, e.g.</w:t>
      </w:r>
      <w:r w:rsidRPr="00EC17E3">
        <w:rPr>
          <w:rFonts w:eastAsia="Times New Roman"/>
          <w:sz w:val="24"/>
          <w:szCs w:val="24"/>
        </w:rPr>
        <w:t xml:space="preserve">, Instructions 22:1, 22:2, 35:1 and 35:2, some or all the issues may have to be established by clear and convincing evidence. When some of the issues must be so determined, this instruction must be given with Instruction 3:1 and the language of Instruction 3:1 must be modified to indicate which issues must be established by “clear and convincing evidence” as contrasted to “preponderance of the evidence.” Concerning the constitutionality of section 13-25-127, see </w:t>
      </w:r>
      <w:r w:rsidRPr="00EC17E3">
        <w:rPr>
          <w:rFonts w:eastAsia="Times New Roman"/>
          <w:b/>
          <w:sz w:val="24"/>
          <w:szCs w:val="24"/>
        </w:rPr>
        <w:t>Page v. Clark</w:t>
      </w:r>
      <w:r w:rsidRPr="00EC17E3">
        <w:rPr>
          <w:rFonts w:eastAsia="Times New Roman"/>
          <w:sz w:val="24"/>
          <w:szCs w:val="24"/>
        </w:rPr>
        <w:t xml:space="preserve">, 197 </w:t>
      </w:r>
      <w:smartTag w:uri="urn:schemas-microsoft-com:office:smarttags" w:element="State">
        <w:smartTag w:uri="urn:schemas-microsoft-com:office:smarttags" w:element="place">
          <w:r w:rsidRPr="00EC17E3">
            <w:rPr>
              <w:rFonts w:eastAsia="Times New Roman"/>
              <w:sz w:val="24"/>
              <w:szCs w:val="24"/>
            </w:rPr>
            <w:t>Colo.</w:t>
          </w:r>
        </w:smartTag>
      </w:smartTag>
      <w:r w:rsidRPr="00EC17E3">
        <w:rPr>
          <w:rFonts w:eastAsia="Times New Roman"/>
          <w:sz w:val="24"/>
          <w:szCs w:val="24"/>
        </w:rPr>
        <w:t xml:space="preserve"> 306, 592 P.2d 792 (1979).</w:t>
      </w:r>
    </w:p>
    <w:p w14:paraId="072BB2C0"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2. The standard set out in this instruction of “clear and convincing evidence” should be used by the court when determining under section 13-21-102.5(3), C.R.S., whether a jury damage award for noneconomic loss or injury in excess of $250,000 (periodically adjusted for inflation) is “justified” or whether any jury damage award for derivative noneconomic loss or injury is “justified.” Under section 13-21-102.5(4), the statutory limitations of subsection (3) are not to be disclosed to the jury, but imposed instea</w:t>
      </w:r>
      <w:r>
        <w:rPr>
          <w:rFonts w:eastAsia="Times New Roman"/>
          <w:sz w:val="24"/>
          <w:szCs w:val="24"/>
        </w:rPr>
        <w:t>d by the court before judgment.</w:t>
      </w:r>
    </w:p>
    <w:p w14:paraId="32751836"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 xml:space="preserve">3. For other statutory provisions requiring the use of the standard of “clear and convincing evidence” in a civil action to establish liability or a defense to liability, see the Drug Dealer Liability Act, §§ 13-21-801 to -813, C.R.S., which imposes vicarious liability on one who makes illegal drugs available to an illegal user, and the use of such drugs causes damages to others. </w:t>
      </w:r>
      <w:r w:rsidRPr="00EC17E3">
        <w:rPr>
          <w:rFonts w:eastAsia="Times New Roman"/>
          <w:i/>
          <w:sz w:val="24"/>
          <w:szCs w:val="24"/>
        </w:rPr>
        <w:t>See</w:t>
      </w:r>
      <w:r w:rsidRPr="00EC17E3">
        <w:rPr>
          <w:rFonts w:eastAsia="Times New Roman"/>
          <w:sz w:val="24"/>
          <w:szCs w:val="24"/>
        </w:rPr>
        <w:t xml:space="preserve"> §§ 13-21-804(3) (proof of liability), -806(2) (proof of comparative negligence as a defense).</w:t>
      </w:r>
    </w:p>
    <w:p w14:paraId="512EACC1" w14:textId="77777777" w:rsidR="00EC17E3" w:rsidRPr="0054263B" w:rsidRDefault="00EC17E3" w:rsidP="00EC17E3">
      <w:pPr>
        <w:keepNext/>
        <w:spacing w:after="240"/>
        <w:jc w:val="center"/>
        <w:rPr>
          <w:rFonts w:eastAsia="Times New Roman"/>
          <w:b/>
          <w:sz w:val="24"/>
          <w:szCs w:val="24"/>
        </w:rPr>
      </w:pPr>
      <w:r>
        <w:rPr>
          <w:rFonts w:eastAsia="Times New Roman"/>
          <w:b/>
          <w:sz w:val="24"/>
          <w:szCs w:val="24"/>
        </w:rPr>
        <w:t>Source and Authority</w:t>
      </w:r>
    </w:p>
    <w:p w14:paraId="06A6397D" w14:textId="77777777" w:rsidR="00EC17E3" w:rsidRDefault="00EC17E3" w:rsidP="0095709A">
      <w:pPr>
        <w:spacing w:after="240"/>
        <w:ind w:firstLine="720"/>
        <w:rPr>
          <w:rFonts w:eastAsia="Times New Roman"/>
          <w:sz w:val="24"/>
          <w:szCs w:val="24"/>
        </w:rPr>
      </w:pPr>
      <w:r w:rsidRPr="00EC17E3">
        <w:rPr>
          <w:rFonts w:eastAsia="Times New Roman"/>
          <w:sz w:val="24"/>
          <w:szCs w:val="24"/>
        </w:rPr>
        <w:t xml:space="preserve">This instruction is supported by </w:t>
      </w:r>
      <w:r w:rsidRPr="00EC17E3">
        <w:rPr>
          <w:rFonts w:eastAsia="Times New Roman"/>
          <w:b/>
          <w:sz w:val="24"/>
          <w:szCs w:val="24"/>
        </w:rPr>
        <w:t>Page</w:t>
      </w:r>
      <w:r w:rsidRPr="00EC17E3">
        <w:rPr>
          <w:rFonts w:eastAsia="Times New Roman"/>
          <w:sz w:val="24"/>
          <w:szCs w:val="24"/>
        </w:rPr>
        <w:t xml:space="preserve">, 197 Colo. at 318, 592 P.2d at 800 (“highly probable”); </w:t>
      </w:r>
      <w:r w:rsidRPr="00EC17E3">
        <w:rPr>
          <w:rFonts w:eastAsia="Times New Roman"/>
          <w:b/>
          <w:sz w:val="24"/>
          <w:szCs w:val="24"/>
        </w:rPr>
        <w:t>Whatley v. Wood</w:t>
      </w:r>
      <w:r w:rsidRPr="00EC17E3">
        <w:rPr>
          <w:rFonts w:eastAsia="Times New Roman"/>
          <w:sz w:val="24"/>
          <w:szCs w:val="24"/>
        </w:rPr>
        <w:t xml:space="preserve">, 157 Colo. 552, 404 P.2d 537 (1965) (“clear and convincing” is somewhere between “preponderance” and “beyond a reasonable doubt”); </w:t>
      </w:r>
      <w:r w:rsidRPr="00EC17E3">
        <w:rPr>
          <w:rFonts w:eastAsia="Times New Roman"/>
          <w:b/>
          <w:sz w:val="24"/>
          <w:szCs w:val="24"/>
        </w:rPr>
        <w:t>Jackson Enterprises, Inc. v. Maguire</w:t>
      </w:r>
      <w:r w:rsidRPr="00EC17E3">
        <w:rPr>
          <w:rFonts w:eastAsia="Times New Roman"/>
          <w:sz w:val="24"/>
          <w:szCs w:val="24"/>
        </w:rPr>
        <w:t xml:space="preserve">, 144 Colo. 164, 355 P.2d 540 (1960) (“clear and convincing” greater than a probability or preponderance); and </w:t>
      </w:r>
      <w:r w:rsidRPr="00EC17E3">
        <w:rPr>
          <w:rFonts w:eastAsia="Times New Roman"/>
          <w:b/>
          <w:sz w:val="24"/>
          <w:szCs w:val="24"/>
        </w:rPr>
        <w:t>Huber v. Boyle</w:t>
      </w:r>
      <w:r w:rsidRPr="00EC17E3">
        <w:rPr>
          <w:rFonts w:eastAsia="Times New Roman"/>
          <w:sz w:val="24"/>
          <w:szCs w:val="24"/>
        </w:rPr>
        <w:t xml:space="preserve">, 98 Colo. 360, 363, 56 P.2d 1333, 1335 (1936) (“clear and convincing” means “clear, precise and indubitable” but does not require direct evidence). </w:t>
      </w:r>
      <w:r w:rsidRPr="00EC17E3">
        <w:rPr>
          <w:rFonts w:eastAsia="Times New Roman"/>
          <w:i/>
          <w:sz w:val="24"/>
          <w:szCs w:val="24"/>
        </w:rPr>
        <w:t>See also</w:t>
      </w:r>
      <w:r w:rsidRPr="00EC17E3">
        <w:rPr>
          <w:rFonts w:eastAsia="Times New Roman"/>
          <w:sz w:val="24"/>
          <w:szCs w:val="24"/>
        </w:rPr>
        <w:t xml:space="preserve"> </w:t>
      </w:r>
      <w:r w:rsidRPr="00EC17E3">
        <w:rPr>
          <w:rFonts w:eastAsia="Times New Roman"/>
          <w:b/>
          <w:sz w:val="24"/>
          <w:szCs w:val="24"/>
        </w:rPr>
        <w:t>People v. Lane</w:t>
      </w:r>
      <w:r w:rsidRPr="00EC17E3">
        <w:rPr>
          <w:rFonts w:eastAsia="Times New Roman"/>
          <w:sz w:val="24"/>
          <w:szCs w:val="24"/>
        </w:rPr>
        <w:t>,</w:t>
      </w:r>
      <w:r w:rsidRPr="00EC17E3">
        <w:rPr>
          <w:rFonts w:eastAsia="Times New Roman"/>
          <w:b/>
          <w:sz w:val="24"/>
          <w:szCs w:val="24"/>
        </w:rPr>
        <w:t xml:space="preserve"> </w:t>
      </w:r>
      <w:r w:rsidRPr="00EC17E3">
        <w:rPr>
          <w:rFonts w:eastAsia="Times New Roman"/>
          <w:sz w:val="24"/>
          <w:szCs w:val="24"/>
        </w:rPr>
        <w:t xml:space="preserve">196 </w:t>
      </w:r>
      <w:smartTag w:uri="urn:schemas-microsoft-com:office:smarttags" w:element="State">
        <w:smartTag w:uri="urn:schemas-microsoft-com:office:smarttags" w:element="place">
          <w:r w:rsidRPr="00EC17E3">
            <w:rPr>
              <w:rFonts w:eastAsia="Times New Roman"/>
              <w:sz w:val="24"/>
              <w:szCs w:val="24"/>
            </w:rPr>
            <w:t>Colo.</w:t>
          </w:r>
        </w:smartTag>
      </w:smartTag>
      <w:r w:rsidRPr="00EC17E3">
        <w:rPr>
          <w:rFonts w:eastAsia="Times New Roman"/>
          <w:sz w:val="24"/>
          <w:szCs w:val="24"/>
        </w:rPr>
        <w:t xml:space="preserve"> 42, 581 P.2d 719 (1978) (citing the former instruction and quoting its operative language with approval); </w:t>
      </w:r>
      <w:r w:rsidRPr="00EC17E3">
        <w:rPr>
          <w:rFonts w:eastAsia="Times New Roman"/>
          <w:b/>
          <w:sz w:val="24"/>
          <w:szCs w:val="24"/>
        </w:rPr>
        <w:t>M.W. v. D.G.</w:t>
      </w:r>
      <w:r w:rsidRPr="00EC17E3">
        <w:rPr>
          <w:rFonts w:eastAsia="Times New Roman"/>
          <w:sz w:val="24"/>
          <w:szCs w:val="24"/>
        </w:rPr>
        <w:t>, 710 P.2d 1174 (Colo. App. 1985) (same).</w:t>
      </w:r>
    </w:p>
    <w:p w14:paraId="31F82DED" w14:textId="77777777" w:rsidR="00B579DF" w:rsidRDefault="00B579DF">
      <w:pPr>
        <w:rPr>
          <w:rFonts w:eastAsia="Times New Roman"/>
          <w:sz w:val="24"/>
          <w:szCs w:val="24"/>
        </w:rPr>
      </w:pPr>
      <w:r>
        <w:rPr>
          <w:rFonts w:eastAsia="Times New Roman"/>
          <w:sz w:val="24"/>
          <w:szCs w:val="24"/>
        </w:rPr>
        <w:br w:type="page"/>
      </w:r>
    </w:p>
    <w:p w14:paraId="1906BBCF" w14:textId="77777777" w:rsidR="00B579DF" w:rsidRPr="009E3DA4" w:rsidRDefault="00B579DF" w:rsidP="00B579DF">
      <w:pPr>
        <w:spacing w:after="240"/>
        <w:ind w:left="720" w:hanging="720"/>
        <w:rPr>
          <w:rFonts w:eastAsia="Times New Roman"/>
          <w:b/>
          <w:sz w:val="24"/>
          <w:szCs w:val="24"/>
        </w:rPr>
      </w:pPr>
      <w:bookmarkStart w:id="2" w:name="a3_3"/>
      <w:bookmarkEnd w:id="2"/>
      <w:r w:rsidRPr="00B579DF">
        <w:rPr>
          <w:rFonts w:eastAsia="Times New Roman"/>
          <w:b/>
          <w:sz w:val="24"/>
          <w:szCs w:val="24"/>
        </w:rPr>
        <w:lastRenderedPageBreak/>
        <w:t xml:space="preserve">3:3 </w:t>
      </w:r>
      <w:r w:rsidRPr="00B579DF">
        <w:rPr>
          <w:rFonts w:eastAsia="Times New Roman"/>
          <w:b/>
          <w:sz w:val="24"/>
          <w:szCs w:val="24"/>
        </w:rPr>
        <w:tab/>
        <w:t>REASONABLE DOUBT — DEFINED</w:t>
      </w:r>
    </w:p>
    <w:p w14:paraId="325FBE74" w14:textId="05733DE5" w:rsidR="00B579DF" w:rsidRDefault="00B579DF" w:rsidP="00B579DF">
      <w:pPr>
        <w:spacing w:after="240"/>
        <w:ind w:firstLine="720"/>
        <w:rPr>
          <w:rFonts w:eastAsia="Times New Roman"/>
          <w:b/>
          <w:sz w:val="24"/>
          <w:szCs w:val="24"/>
        </w:rPr>
      </w:pPr>
      <w:r w:rsidRPr="00B579DF">
        <w:rPr>
          <w:rFonts w:eastAsia="Times New Roman"/>
          <w:b/>
          <w:sz w:val="24"/>
          <w:szCs w:val="24"/>
        </w:rPr>
        <w:t xml:space="preserve">Reasonable doubt means a doubt based upon reason and common sense which arises from a fair and </w:t>
      </w:r>
      <w:r w:rsidR="00760A2E">
        <w:rPr>
          <w:rFonts w:eastAsia="Times New Roman"/>
          <w:b/>
          <w:sz w:val="24"/>
          <w:szCs w:val="24"/>
        </w:rPr>
        <w:t>rational</w:t>
      </w:r>
      <w:r w:rsidR="00760A2E" w:rsidRPr="00B579DF">
        <w:rPr>
          <w:rFonts w:eastAsia="Times New Roman"/>
          <w:b/>
          <w:sz w:val="24"/>
          <w:szCs w:val="24"/>
        </w:rPr>
        <w:t xml:space="preserve"> </w:t>
      </w:r>
      <w:r w:rsidRPr="00B579DF">
        <w:rPr>
          <w:rFonts w:eastAsia="Times New Roman"/>
          <w:b/>
          <w:sz w:val="24"/>
          <w:szCs w:val="24"/>
        </w:rPr>
        <w:t xml:space="preserve">consideration of all </w:t>
      </w:r>
      <w:r w:rsidR="001F401B">
        <w:rPr>
          <w:rFonts w:eastAsia="Times New Roman"/>
          <w:b/>
          <w:sz w:val="24"/>
          <w:szCs w:val="24"/>
        </w:rPr>
        <w:t xml:space="preserve">of </w:t>
      </w:r>
      <w:r w:rsidRPr="00B579DF">
        <w:rPr>
          <w:rFonts w:eastAsia="Times New Roman"/>
          <w:b/>
          <w:sz w:val="24"/>
          <w:szCs w:val="24"/>
        </w:rPr>
        <w:t xml:space="preserve">the evidence, or the lack of evidence, in the case. It </w:t>
      </w:r>
      <w:r w:rsidR="001F401B" w:rsidRPr="00760A2E">
        <w:rPr>
          <w:rFonts w:eastAsia="Times New Roman"/>
          <w:b/>
          <w:sz w:val="24"/>
          <w:szCs w:val="24"/>
        </w:rPr>
        <w:t xml:space="preserve">is a doubt which </w:t>
      </w:r>
      <w:r w:rsidRPr="00B579DF">
        <w:rPr>
          <w:rFonts w:eastAsia="Times New Roman"/>
          <w:b/>
          <w:sz w:val="24"/>
          <w:szCs w:val="24"/>
        </w:rPr>
        <w:t xml:space="preserve">is not a vague, speculative, or imaginary doubt, but </w:t>
      </w:r>
      <w:r w:rsidR="00760A2E">
        <w:rPr>
          <w:rFonts w:eastAsia="Times New Roman"/>
          <w:b/>
          <w:sz w:val="24"/>
          <w:szCs w:val="24"/>
        </w:rPr>
        <w:t>such a doubt</w:t>
      </w:r>
      <w:r w:rsidR="001F401B">
        <w:rPr>
          <w:rFonts w:eastAsia="Times New Roman"/>
          <w:b/>
          <w:sz w:val="24"/>
          <w:szCs w:val="24"/>
        </w:rPr>
        <w:t xml:space="preserve"> as </w:t>
      </w:r>
      <w:r w:rsidRPr="00B579DF">
        <w:rPr>
          <w:rFonts w:eastAsia="Times New Roman"/>
          <w:b/>
          <w:sz w:val="24"/>
          <w:szCs w:val="24"/>
        </w:rPr>
        <w:t xml:space="preserve">would cause reasonable </w:t>
      </w:r>
      <w:r w:rsidR="001F401B">
        <w:rPr>
          <w:rFonts w:eastAsia="Times New Roman"/>
          <w:b/>
          <w:sz w:val="24"/>
          <w:szCs w:val="24"/>
        </w:rPr>
        <w:t>people</w:t>
      </w:r>
      <w:r w:rsidRPr="00B579DF">
        <w:rPr>
          <w:rFonts w:eastAsia="Times New Roman"/>
          <w:b/>
          <w:sz w:val="24"/>
          <w:szCs w:val="24"/>
        </w:rPr>
        <w:t xml:space="preserve"> to hesitate to act in matters of importance to themselves.</w:t>
      </w:r>
    </w:p>
    <w:p w14:paraId="1E1A4235" w14:textId="77777777" w:rsidR="00B579DF" w:rsidRDefault="00B579DF" w:rsidP="00B579DF">
      <w:pPr>
        <w:jc w:val="center"/>
        <w:rPr>
          <w:rFonts w:eastAsia="Times New Roman"/>
          <w:sz w:val="24"/>
          <w:szCs w:val="24"/>
        </w:rPr>
      </w:pPr>
    </w:p>
    <w:p w14:paraId="706AAB77" w14:textId="77777777" w:rsidR="00B579DF" w:rsidRPr="0054263B" w:rsidRDefault="00B579DF" w:rsidP="00B579DF">
      <w:pPr>
        <w:keepNext/>
        <w:spacing w:after="240"/>
        <w:jc w:val="center"/>
        <w:rPr>
          <w:rFonts w:eastAsia="Times New Roman"/>
          <w:b/>
          <w:sz w:val="24"/>
          <w:szCs w:val="24"/>
        </w:rPr>
      </w:pPr>
      <w:r w:rsidRPr="0054263B">
        <w:rPr>
          <w:rFonts w:eastAsia="Times New Roman"/>
          <w:b/>
          <w:sz w:val="24"/>
          <w:szCs w:val="24"/>
        </w:rPr>
        <w:t>Notes on Use</w:t>
      </w:r>
    </w:p>
    <w:p w14:paraId="4740E79F" w14:textId="77777777" w:rsidR="00B579DF" w:rsidRDefault="006204B2" w:rsidP="00B579DF">
      <w:pPr>
        <w:spacing w:after="240"/>
        <w:ind w:firstLine="720"/>
        <w:rPr>
          <w:rFonts w:eastAsia="Times New Roman"/>
          <w:sz w:val="24"/>
          <w:szCs w:val="24"/>
        </w:rPr>
      </w:pPr>
      <w:r>
        <w:rPr>
          <w:rFonts w:eastAsia="Times New Roman"/>
          <w:sz w:val="24"/>
          <w:szCs w:val="24"/>
        </w:rPr>
        <w:t xml:space="preserve">1. </w:t>
      </w:r>
      <w:r w:rsidR="00B579DF" w:rsidRPr="00B579DF">
        <w:rPr>
          <w:rFonts w:eastAsia="Times New Roman"/>
          <w:sz w:val="24"/>
          <w:szCs w:val="24"/>
        </w:rPr>
        <w:t>This instruction is to be used in conjunction with instructions such as Instruction 5:4.</w:t>
      </w:r>
    </w:p>
    <w:p w14:paraId="20028E1D" w14:textId="38F4CD4A" w:rsidR="006204B2" w:rsidRPr="006568CE" w:rsidRDefault="006204B2" w:rsidP="0057193E">
      <w:pPr>
        <w:spacing w:after="240"/>
        <w:ind w:firstLine="720"/>
        <w:rPr>
          <w:rFonts w:eastAsia="Times New Roman"/>
          <w:sz w:val="24"/>
          <w:szCs w:val="24"/>
        </w:rPr>
      </w:pPr>
      <w:r w:rsidRPr="006204B2">
        <w:rPr>
          <w:sz w:val="24"/>
          <w:szCs w:val="24"/>
        </w:rPr>
        <w:t>2. Typically</w:t>
      </w:r>
      <w:r w:rsidR="00E7307E">
        <w:rPr>
          <w:sz w:val="24"/>
          <w:szCs w:val="24"/>
        </w:rPr>
        <w:t>,</w:t>
      </w:r>
      <w:r w:rsidRPr="006204B2">
        <w:rPr>
          <w:sz w:val="24"/>
          <w:szCs w:val="24"/>
        </w:rPr>
        <w:t xml:space="preserve"> courts should not go beyond the bounds of this instruction and attempt to </w:t>
      </w:r>
      <w:r w:rsidRPr="003C7DB9">
        <w:rPr>
          <w:sz w:val="24"/>
          <w:szCs w:val="24"/>
        </w:rPr>
        <w:t>further define reasona</w:t>
      </w:r>
      <w:r w:rsidRPr="006568CE">
        <w:rPr>
          <w:sz w:val="24"/>
          <w:szCs w:val="24"/>
        </w:rPr>
        <w:t xml:space="preserve">ble doubt. </w:t>
      </w:r>
      <w:proofErr w:type="spellStart"/>
      <w:r w:rsidR="00474D9F" w:rsidRPr="00474D9F">
        <w:rPr>
          <w:b/>
          <w:bCs/>
          <w:sz w:val="24"/>
          <w:szCs w:val="24"/>
        </w:rPr>
        <w:t>Tibbels</w:t>
      </w:r>
      <w:proofErr w:type="spellEnd"/>
      <w:r w:rsidR="00474D9F" w:rsidRPr="00474D9F">
        <w:rPr>
          <w:b/>
          <w:bCs/>
          <w:sz w:val="24"/>
          <w:szCs w:val="24"/>
        </w:rPr>
        <w:t xml:space="preserve"> v. People</w:t>
      </w:r>
      <w:r w:rsidR="00474D9F">
        <w:rPr>
          <w:sz w:val="24"/>
          <w:szCs w:val="24"/>
        </w:rPr>
        <w:t xml:space="preserve">, 2022 CO 1, ¶ 49, 501 P.3d 792, 801 (trial court improperly lowered the People’s burden of proof by using a crack-in-the-foundation illustration to explain reasonable doubt); </w:t>
      </w:r>
      <w:r w:rsidRPr="006568CE">
        <w:rPr>
          <w:b/>
          <w:sz w:val="24"/>
          <w:szCs w:val="24"/>
        </w:rPr>
        <w:t>Johnson v. People</w:t>
      </w:r>
      <w:r w:rsidRPr="006568CE">
        <w:rPr>
          <w:sz w:val="24"/>
          <w:szCs w:val="24"/>
        </w:rPr>
        <w:t>, 2019 CO 17, ¶ 19, 436 P.3d 529, 534 (“[A]</w:t>
      </w:r>
      <w:proofErr w:type="spellStart"/>
      <w:r w:rsidRPr="006568CE">
        <w:rPr>
          <w:sz w:val="24"/>
          <w:szCs w:val="24"/>
        </w:rPr>
        <w:t>ttempts</w:t>
      </w:r>
      <w:proofErr w:type="spellEnd"/>
      <w:r w:rsidRPr="006568CE">
        <w:rPr>
          <w:sz w:val="24"/>
          <w:szCs w:val="24"/>
        </w:rPr>
        <w:t xml:space="preserve"> to further define reasonable doubt do not provide clarity[, e]</w:t>
      </w:r>
      <w:proofErr w:type="spellStart"/>
      <w:r w:rsidRPr="006568CE">
        <w:rPr>
          <w:sz w:val="24"/>
          <w:szCs w:val="24"/>
        </w:rPr>
        <w:t>ven</w:t>
      </w:r>
      <w:proofErr w:type="spellEnd"/>
      <w:r w:rsidRPr="006568CE">
        <w:rPr>
          <w:sz w:val="24"/>
          <w:szCs w:val="24"/>
        </w:rPr>
        <w:t xml:space="preserve"> if well- intentioned</w:t>
      </w:r>
      <w:r w:rsidR="00E7307E" w:rsidRPr="006568CE">
        <w:rPr>
          <w:sz w:val="24"/>
          <w:szCs w:val="24"/>
        </w:rPr>
        <w:t xml:space="preserve"> . . . </w:t>
      </w:r>
      <w:r w:rsidRPr="006568CE">
        <w:rPr>
          <w:sz w:val="24"/>
          <w:szCs w:val="24"/>
        </w:rPr>
        <w:t>.”)</w:t>
      </w:r>
      <w:r w:rsidR="00955A99" w:rsidRPr="006568CE">
        <w:rPr>
          <w:sz w:val="24"/>
          <w:szCs w:val="24"/>
        </w:rPr>
        <w:t>;</w:t>
      </w:r>
      <w:r w:rsidR="00955A99" w:rsidRPr="006568CE">
        <w:rPr>
          <w:i/>
          <w:sz w:val="24"/>
          <w:szCs w:val="24"/>
        </w:rPr>
        <w:t xml:space="preserve"> see also </w:t>
      </w:r>
      <w:r w:rsidR="00955A99" w:rsidRPr="006568CE">
        <w:rPr>
          <w:b/>
          <w:sz w:val="24"/>
          <w:szCs w:val="24"/>
        </w:rPr>
        <w:t xml:space="preserve">People v. </w:t>
      </w:r>
      <w:proofErr w:type="spellStart"/>
      <w:r w:rsidR="00955A99" w:rsidRPr="006568CE">
        <w:rPr>
          <w:b/>
          <w:sz w:val="24"/>
          <w:szCs w:val="24"/>
        </w:rPr>
        <w:t>Knobee</w:t>
      </w:r>
      <w:proofErr w:type="spellEnd"/>
      <w:r w:rsidR="00955A99" w:rsidRPr="006568CE">
        <w:rPr>
          <w:i/>
          <w:sz w:val="24"/>
          <w:szCs w:val="24"/>
        </w:rPr>
        <w:t>,</w:t>
      </w:r>
      <w:r w:rsidR="00955A99" w:rsidRPr="006568CE">
        <w:rPr>
          <w:sz w:val="24"/>
          <w:szCs w:val="24"/>
        </w:rPr>
        <w:t xml:space="preserve"> 2020 COA 7, ¶ 38 (“by telling jurors that their decision is no more consequential than choosing a doctor ‘or whatever,’ the court improperly trivialized the prosecution’s burden of proof”)</w:t>
      </w:r>
      <w:r w:rsidR="00760A2E" w:rsidRPr="006568CE">
        <w:rPr>
          <w:sz w:val="24"/>
          <w:szCs w:val="24"/>
        </w:rPr>
        <w:t xml:space="preserve"> (</w:t>
      </w:r>
      <w:r w:rsidR="00760A2E" w:rsidRPr="006568CE">
        <w:rPr>
          <w:i/>
          <w:sz w:val="24"/>
          <w:szCs w:val="24"/>
        </w:rPr>
        <w:t>cert. granted</w:t>
      </w:r>
      <w:r w:rsidR="00760A2E" w:rsidRPr="006568CE">
        <w:rPr>
          <w:sz w:val="24"/>
          <w:szCs w:val="24"/>
        </w:rPr>
        <w:t xml:space="preserve"> June 29, 2020)</w:t>
      </w:r>
      <w:r w:rsidRPr="006568CE">
        <w:rPr>
          <w:sz w:val="24"/>
          <w:szCs w:val="24"/>
        </w:rPr>
        <w:t>.</w:t>
      </w:r>
    </w:p>
    <w:p w14:paraId="1D12AFBA" w14:textId="77777777" w:rsidR="00B579DF" w:rsidRPr="0054263B" w:rsidRDefault="00B579DF" w:rsidP="00B579DF">
      <w:pPr>
        <w:keepNext/>
        <w:spacing w:after="240"/>
        <w:jc w:val="center"/>
        <w:rPr>
          <w:rFonts w:eastAsia="Times New Roman"/>
          <w:b/>
          <w:sz w:val="24"/>
          <w:szCs w:val="24"/>
        </w:rPr>
      </w:pPr>
      <w:r>
        <w:rPr>
          <w:rFonts w:eastAsia="Times New Roman"/>
          <w:b/>
          <w:sz w:val="24"/>
          <w:szCs w:val="24"/>
        </w:rPr>
        <w:t>Source and Authority</w:t>
      </w:r>
    </w:p>
    <w:p w14:paraId="70EC2718" w14:textId="77777777" w:rsidR="00B579DF" w:rsidRPr="00B579DF" w:rsidRDefault="00B579DF" w:rsidP="00B579DF">
      <w:pPr>
        <w:spacing w:after="240"/>
        <w:ind w:firstLine="720"/>
        <w:rPr>
          <w:rFonts w:eastAsia="Times New Roman"/>
          <w:sz w:val="24"/>
          <w:szCs w:val="24"/>
        </w:rPr>
      </w:pPr>
      <w:r w:rsidRPr="00B579DF">
        <w:rPr>
          <w:rFonts w:eastAsia="Times New Roman"/>
          <w:sz w:val="24"/>
          <w:szCs w:val="24"/>
        </w:rPr>
        <w:t xml:space="preserve">1. This instruction is supported by </w:t>
      </w:r>
      <w:r w:rsidRPr="00B579DF">
        <w:rPr>
          <w:rFonts w:eastAsia="Times New Roman"/>
          <w:b/>
          <w:sz w:val="24"/>
          <w:szCs w:val="24"/>
        </w:rPr>
        <w:t>Clark v. People</w:t>
      </w:r>
      <w:r w:rsidRPr="00B579DF">
        <w:rPr>
          <w:rFonts w:eastAsia="Times New Roman"/>
          <w:sz w:val="24"/>
          <w:szCs w:val="24"/>
        </w:rPr>
        <w:t>, 232 P.3d 1287 (Colo. 2010).</w:t>
      </w:r>
    </w:p>
    <w:p w14:paraId="2EA4AA39" w14:textId="0065F909" w:rsidR="00B579DF" w:rsidRDefault="00B579DF" w:rsidP="0095709A">
      <w:pPr>
        <w:spacing w:after="240"/>
        <w:ind w:firstLine="720"/>
        <w:rPr>
          <w:rFonts w:eastAsia="Times New Roman"/>
          <w:sz w:val="24"/>
          <w:szCs w:val="24"/>
        </w:rPr>
      </w:pPr>
      <w:r w:rsidRPr="00B579DF">
        <w:rPr>
          <w:rFonts w:eastAsia="Times New Roman"/>
          <w:sz w:val="24"/>
          <w:szCs w:val="24"/>
        </w:rPr>
        <w:t xml:space="preserve">2. This instruction is modeled after the third paragraph of </w:t>
      </w:r>
      <w:r w:rsidRPr="00B579DF">
        <w:rPr>
          <w:rFonts w:eastAsia="Times New Roman"/>
          <w:smallCaps/>
          <w:sz w:val="24"/>
          <w:szCs w:val="24"/>
        </w:rPr>
        <w:t>Colorado Jury Instructions — Criminal</w:t>
      </w:r>
      <w:r w:rsidRPr="00B579DF">
        <w:rPr>
          <w:rFonts w:eastAsia="Times New Roman"/>
          <w:sz w:val="24"/>
          <w:szCs w:val="24"/>
        </w:rPr>
        <w:t xml:space="preserve"> E:03 (201</w:t>
      </w:r>
      <w:r w:rsidR="00AD51CD">
        <w:rPr>
          <w:rFonts w:eastAsia="Times New Roman"/>
          <w:sz w:val="24"/>
          <w:szCs w:val="24"/>
        </w:rPr>
        <w:t>8</w:t>
      </w:r>
      <w:r w:rsidRPr="00B579DF">
        <w:rPr>
          <w:rFonts w:eastAsia="Times New Roman"/>
          <w:sz w:val="24"/>
          <w:szCs w:val="24"/>
        </w:rPr>
        <w:t>).</w:t>
      </w:r>
    </w:p>
    <w:p w14:paraId="7E2312C3" w14:textId="77777777" w:rsidR="007A612E" w:rsidRDefault="007A612E">
      <w:pPr>
        <w:rPr>
          <w:rFonts w:eastAsia="Times New Roman"/>
          <w:sz w:val="24"/>
          <w:szCs w:val="24"/>
        </w:rPr>
      </w:pPr>
      <w:r>
        <w:rPr>
          <w:rFonts w:eastAsia="Times New Roman"/>
          <w:sz w:val="24"/>
          <w:szCs w:val="24"/>
        </w:rPr>
        <w:br w:type="page"/>
      </w:r>
    </w:p>
    <w:p w14:paraId="2293BCAD" w14:textId="77777777" w:rsidR="007A612E" w:rsidRPr="009E3DA4" w:rsidRDefault="007A612E" w:rsidP="007A612E">
      <w:pPr>
        <w:spacing w:after="240"/>
        <w:ind w:left="720" w:hanging="720"/>
        <w:rPr>
          <w:rFonts w:eastAsia="Times New Roman"/>
          <w:b/>
          <w:sz w:val="24"/>
          <w:szCs w:val="24"/>
        </w:rPr>
      </w:pPr>
      <w:bookmarkStart w:id="3" w:name="a3_4"/>
      <w:bookmarkEnd w:id="3"/>
      <w:r w:rsidRPr="007A612E">
        <w:rPr>
          <w:rFonts w:eastAsia="Times New Roman"/>
          <w:b/>
          <w:sz w:val="24"/>
          <w:szCs w:val="24"/>
        </w:rPr>
        <w:lastRenderedPageBreak/>
        <w:t xml:space="preserve">3:4 </w:t>
      </w:r>
      <w:r w:rsidRPr="007A612E">
        <w:rPr>
          <w:rFonts w:eastAsia="Times New Roman"/>
          <w:b/>
          <w:sz w:val="24"/>
          <w:szCs w:val="24"/>
        </w:rPr>
        <w:tab/>
        <w:t>NO SPECULATION</w:t>
      </w:r>
    </w:p>
    <w:p w14:paraId="18B9F9D0"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Any finding of fact you make must be based on probabilities, not possibilities. You should not guess or speculate about a fact.</w:t>
      </w:r>
    </w:p>
    <w:p w14:paraId="31B1668C" w14:textId="77777777" w:rsidR="007A612E" w:rsidRDefault="007A612E" w:rsidP="007A612E">
      <w:pPr>
        <w:jc w:val="center"/>
        <w:rPr>
          <w:rFonts w:eastAsia="Times New Roman"/>
          <w:sz w:val="24"/>
          <w:szCs w:val="24"/>
        </w:rPr>
      </w:pPr>
    </w:p>
    <w:p w14:paraId="7DB7D55C"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108115B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Although the prohibition against surmise, speculation or conjecture is applicable to all issues on which a party may have the burden of proof, it is frequently referred to on issues of damages. The prohibition does not mean, however, that damages must be established with absolute certainty. </w:t>
      </w:r>
      <w:r w:rsidRPr="007A612E">
        <w:rPr>
          <w:rFonts w:eastAsia="Times New Roman"/>
          <w:i/>
          <w:sz w:val="24"/>
          <w:szCs w:val="24"/>
        </w:rPr>
        <w:t>See</w:t>
      </w:r>
      <w:r w:rsidRPr="007A612E">
        <w:rPr>
          <w:rFonts w:eastAsia="Times New Roman"/>
          <w:sz w:val="24"/>
          <w:szCs w:val="24"/>
        </w:rPr>
        <w:t xml:space="preserve"> Instruction 5:6; </w:t>
      </w:r>
      <w:r w:rsidRPr="007A612E">
        <w:rPr>
          <w:rFonts w:eastAsia="Times New Roman"/>
          <w:b/>
          <w:sz w:val="24"/>
          <w:szCs w:val="24"/>
        </w:rPr>
        <w:t>Palmer v. Diaz</w:t>
      </w:r>
      <w:r w:rsidRPr="007A612E">
        <w:rPr>
          <w:rFonts w:eastAsia="Times New Roman"/>
          <w:sz w:val="24"/>
          <w:szCs w:val="24"/>
        </w:rPr>
        <w:t>, 214 P.3d 546 (Colo. App 2009) (difficulty in assessing damages does not preclude damages award).</w:t>
      </w:r>
    </w:p>
    <w:p w14:paraId="432B11E1"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6659BD00"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w:t>
      </w:r>
      <w:r w:rsidRPr="007A612E">
        <w:rPr>
          <w:rFonts w:eastAsia="Times New Roman"/>
          <w:b/>
          <w:sz w:val="24"/>
          <w:szCs w:val="24"/>
        </w:rPr>
        <w:t xml:space="preserve">Letts v. </w:t>
      </w:r>
      <w:proofErr w:type="spellStart"/>
      <w:r w:rsidRPr="007A612E">
        <w:rPr>
          <w:rFonts w:eastAsia="Times New Roman"/>
          <w:b/>
          <w:sz w:val="24"/>
          <w:szCs w:val="24"/>
        </w:rPr>
        <w:t>Iwig</w:t>
      </w:r>
      <w:proofErr w:type="spellEnd"/>
      <w:r w:rsidRPr="007A612E">
        <w:rPr>
          <w:rFonts w:eastAsia="Times New Roman"/>
          <w:sz w:val="24"/>
          <w:szCs w:val="24"/>
        </w:rPr>
        <w:t xml:space="preserve">, 153 Colo. 20, 384 P.2d 726 (1963) (negligence); </w:t>
      </w:r>
      <w:r w:rsidRPr="007A612E">
        <w:rPr>
          <w:rFonts w:eastAsia="Times New Roman"/>
          <w:b/>
          <w:sz w:val="24"/>
          <w:szCs w:val="24"/>
        </w:rPr>
        <w:t>Safeway Stores, Inc. v. Rees</w:t>
      </w:r>
      <w:r w:rsidRPr="007A612E">
        <w:rPr>
          <w:rFonts w:eastAsia="Times New Roman"/>
          <w:sz w:val="24"/>
          <w:szCs w:val="24"/>
        </w:rPr>
        <w:t xml:space="preserve">, 152 Colo. 318, 381 P.2d 999 (1963) (proximate cause); </w:t>
      </w:r>
      <w:proofErr w:type="spellStart"/>
      <w:r w:rsidRPr="007A612E">
        <w:rPr>
          <w:rFonts w:eastAsia="Times New Roman"/>
          <w:b/>
          <w:sz w:val="24"/>
          <w:szCs w:val="24"/>
        </w:rPr>
        <w:t>Mosko</w:t>
      </w:r>
      <w:proofErr w:type="spellEnd"/>
      <w:r w:rsidRPr="007A612E">
        <w:rPr>
          <w:rFonts w:eastAsia="Times New Roman"/>
          <w:b/>
          <w:sz w:val="24"/>
          <w:szCs w:val="24"/>
        </w:rPr>
        <w:t xml:space="preserve"> v. Walton</w:t>
      </w:r>
      <w:r w:rsidRPr="007A612E">
        <w:rPr>
          <w:rFonts w:eastAsia="Times New Roman"/>
          <w:sz w:val="24"/>
          <w:szCs w:val="24"/>
        </w:rPr>
        <w:t xml:space="preserve">, 144 Colo. 602, 358 P.2d 49 (1960) (proximate cause); </w:t>
      </w:r>
      <w:r w:rsidRPr="007A612E">
        <w:rPr>
          <w:rFonts w:eastAsia="Times New Roman"/>
          <w:b/>
          <w:sz w:val="24"/>
          <w:szCs w:val="24"/>
        </w:rPr>
        <w:t>Alley v. Troutdale Hotel &amp; Realty Co.</w:t>
      </w:r>
      <w:r w:rsidRPr="007A612E">
        <w:rPr>
          <w:rFonts w:eastAsia="Times New Roman"/>
          <w:sz w:val="24"/>
          <w:szCs w:val="24"/>
        </w:rPr>
        <w:t xml:space="preserve">, 131 Colo. 124, 279 P.2d 1060 (1955) (proximate cause); </w:t>
      </w:r>
      <w:r w:rsidRPr="007A612E">
        <w:rPr>
          <w:rFonts w:eastAsia="Times New Roman"/>
          <w:b/>
          <w:sz w:val="24"/>
          <w:szCs w:val="24"/>
        </w:rPr>
        <w:t xml:space="preserve">Johns v. </w:t>
      </w:r>
      <w:proofErr w:type="spellStart"/>
      <w:r w:rsidRPr="007A612E">
        <w:rPr>
          <w:rFonts w:eastAsia="Times New Roman"/>
          <w:b/>
          <w:sz w:val="24"/>
          <w:szCs w:val="24"/>
        </w:rPr>
        <w:t>Tesley</w:t>
      </w:r>
      <w:proofErr w:type="spellEnd"/>
      <w:r w:rsidRPr="007A612E">
        <w:rPr>
          <w:rFonts w:eastAsia="Times New Roman"/>
          <w:sz w:val="24"/>
          <w:szCs w:val="24"/>
        </w:rPr>
        <w:t xml:space="preserve">, 126 Colo. 331, 250 P.2d 194 (1952) (negligence); </w:t>
      </w:r>
      <w:r w:rsidRPr="007A612E">
        <w:rPr>
          <w:rFonts w:eastAsia="Times New Roman"/>
          <w:b/>
          <w:sz w:val="24"/>
          <w:szCs w:val="24"/>
        </w:rPr>
        <w:t>Coakley v. Hayes</w:t>
      </w:r>
      <w:r w:rsidRPr="007A612E">
        <w:rPr>
          <w:rFonts w:eastAsia="Times New Roman"/>
          <w:sz w:val="24"/>
          <w:szCs w:val="24"/>
        </w:rPr>
        <w:t xml:space="preserve">, 121 Colo. 303, 215 P.2d 901 (1950) (negligence); </w:t>
      </w:r>
      <w:proofErr w:type="spellStart"/>
      <w:r w:rsidRPr="007A612E">
        <w:rPr>
          <w:rFonts w:eastAsia="Times New Roman"/>
          <w:b/>
          <w:sz w:val="24"/>
          <w:szCs w:val="24"/>
        </w:rPr>
        <w:t>Polz</w:t>
      </w:r>
      <w:proofErr w:type="spellEnd"/>
      <w:r w:rsidRPr="007A612E">
        <w:rPr>
          <w:rFonts w:eastAsia="Times New Roman"/>
          <w:b/>
          <w:sz w:val="24"/>
          <w:szCs w:val="24"/>
        </w:rPr>
        <w:t xml:space="preserve"> v. Donnelly</w:t>
      </w:r>
      <w:r w:rsidRPr="007A612E">
        <w:rPr>
          <w:rFonts w:eastAsia="Times New Roman"/>
          <w:sz w:val="24"/>
          <w:szCs w:val="24"/>
        </w:rPr>
        <w:t>,</w:t>
      </w:r>
      <w:r w:rsidRPr="007A612E">
        <w:rPr>
          <w:rFonts w:eastAsia="Times New Roman"/>
          <w:b/>
          <w:sz w:val="24"/>
          <w:szCs w:val="24"/>
        </w:rPr>
        <w:t xml:space="preserve"> </w:t>
      </w:r>
      <w:r w:rsidRPr="007A612E">
        <w:rPr>
          <w:rFonts w:eastAsia="Times New Roman"/>
          <w:sz w:val="24"/>
          <w:szCs w:val="24"/>
        </w:rPr>
        <w:t xml:space="preserve">121 Colo. 95, 213 P.2d 385 (1949) (breach of contract); and </w:t>
      </w:r>
      <w:r w:rsidRPr="007A612E">
        <w:rPr>
          <w:rFonts w:eastAsia="Times New Roman"/>
          <w:b/>
          <w:sz w:val="24"/>
          <w:szCs w:val="24"/>
        </w:rPr>
        <w:t>Brown v. Hughes</w:t>
      </w:r>
      <w:r w:rsidRPr="007A612E">
        <w:rPr>
          <w:rFonts w:eastAsia="Times New Roman"/>
          <w:sz w:val="24"/>
          <w:szCs w:val="24"/>
        </w:rPr>
        <w:t>, 94 Colo. 295, 30 P.2d 259 (1934) (negligence).</w:t>
      </w:r>
    </w:p>
    <w:p w14:paraId="1BB4A828" w14:textId="77777777" w:rsidR="007A612E" w:rsidRDefault="007A612E">
      <w:pPr>
        <w:rPr>
          <w:rFonts w:eastAsia="Times New Roman"/>
          <w:sz w:val="24"/>
          <w:szCs w:val="24"/>
        </w:rPr>
      </w:pPr>
      <w:r>
        <w:rPr>
          <w:rFonts w:eastAsia="Times New Roman"/>
          <w:sz w:val="24"/>
          <w:szCs w:val="24"/>
        </w:rPr>
        <w:br w:type="page"/>
      </w:r>
    </w:p>
    <w:p w14:paraId="7CA3C35F" w14:textId="77777777" w:rsidR="007A612E" w:rsidRDefault="007A612E" w:rsidP="007A612E">
      <w:pPr>
        <w:spacing w:after="240"/>
        <w:jc w:val="center"/>
        <w:rPr>
          <w:rFonts w:eastAsia="Times New Roman"/>
          <w:b/>
          <w:sz w:val="24"/>
          <w:szCs w:val="24"/>
        </w:rPr>
      </w:pPr>
      <w:r w:rsidRPr="007A612E">
        <w:rPr>
          <w:rFonts w:eastAsia="Times New Roman"/>
          <w:b/>
          <w:sz w:val="24"/>
          <w:szCs w:val="24"/>
        </w:rPr>
        <w:lastRenderedPageBreak/>
        <w:t>B. PRESUMPTIONS AND PARTICULAR INFERENCES</w:t>
      </w:r>
    </w:p>
    <w:p w14:paraId="318B003C" w14:textId="77777777" w:rsidR="007A612E" w:rsidRPr="009E3DA4" w:rsidRDefault="007A612E" w:rsidP="007A612E">
      <w:pPr>
        <w:spacing w:after="240"/>
        <w:ind w:left="720" w:hanging="720"/>
        <w:rPr>
          <w:rFonts w:eastAsia="Times New Roman"/>
          <w:b/>
          <w:sz w:val="24"/>
          <w:szCs w:val="24"/>
        </w:rPr>
      </w:pPr>
      <w:bookmarkStart w:id="4" w:name="a3_5"/>
      <w:bookmarkEnd w:id="4"/>
      <w:r w:rsidRPr="007A612E">
        <w:rPr>
          <w:rFonts w:eastAsia="Times New Roman"/>
          <w:b/>
          <w:sz w:val="24"/>
          <w:szCs w:val="24"/>
        </w:rPr>
        <w:t>3:5</w:t>
      </w:r>
      <w:r w:rsidRPr="007A612E">
        <w:rPr>
          <w:rFonts w:eastAsia="Times New Roman"/>
          <w:b/>
          <w:sz w:val="24"/>
          <w:szCs w:val="24"/>
        </w:rPr>
        <w:tab/>
        <w:t>PERMISSIBLE INFERENCE ARISING FROM REBUTTABLE PRESUMPTION</w:t>
      </w:r>
    </w:p>
    <w:p w14:paraId="3C94C6DA" w14:textId="77777777" w:rsidR="007A612E" w:rsidRPr="007A612E" w:rsidRDefault="007A612E" w:rsidP="007A612E">
      <w:pPr>
        <w:spacing w:after="240"/>
        <w:ind w:firstLine="720"/>
        <w:rPr>
          <w:rFonts w:eastAsia="Times New Roman"/>
          <w:sz w:val="24"/>
          <w:szCs w:val="24"/>
        </w:rPr>
      </w:pPr>
      <w:r w:rsidRPr="007A612E">
        <w:rPr>
          <w:rFonts w:eastAsia="Times New Roman"/>
          <w:i/>
          <w:sz w:val="24"/>
          <w:szCs w:val="24"/>
        </w:rPr>
        <w:t>The trial court has discretion whether to give either version of this instruction, but the supreme court has stated that “we disfavor instructions emphasizing specific evidence.” See Notes on Use before giving this instruction.</w:t>
      </w:r>
    </w:p>
    <w:p w14:paraId="329D76DB"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1 (to be used when any portion of the factual premise for applying a rebuttable presumption is disputed):</w:t>
      </w:r>
    </w:p>
    <w:p w14:paraId="5DE58B58"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 xml:space="preserve">description of fact or conclusion that may be inferred) </w:t>
      </w:r>
      <w:r w:rsidRPr="007A612E">
        <w:rPr>
          <w:rFonts w:eastAsia="Times New Roman"/>
          <w:b/>
          <w:sz w:val="24"/>
          <w:szCs w:val="24"/>
        </w:rPr>
        <w:t xml:space="preserve">if you find that </w:t>
      </w:r>
      <w:r w:rsidRPr="007A612E">
        <w:rPr>
          <w:rFonts w:eastAsia="Times New Roman"/>
          <w:i/>
          <w:sz w:val="24"/>
          <w:szCs w:val="24"/>
        </w:rPr>
        <w:t>(insert description of the factual premise for applying a rebuttable presumption)</w:t>
      </w:r>
      <w:r w:rsidRPr="007A612E">
        <w:rPr>
          <w:rFonts w:eastAsia="Times New Roman"/>
          <w:b/>
          <w:sz w:val="24"/>
          <w:szCs w:val="24"/>
        </w:rPr>
        <w:t>.</w:t>
      </w:r>
    </w:p>
    <w:p w14:paraId="4A1F9C5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(state the issue to which the inference is relevant; e.g., the defendant was negligent)</w:t>
      </w:r>
      <w:r w:rsidRPr="007A612E">
        <w:rPr>
          <w:rFonts w:eastAsia="Times New Roman"/>
          <w:b/>
          <w:sz w:val="24"/>
          <w:szCs w:val="24"/>
        </w:rPr>
        <w:t>.</w:t>
      </w:r>
    </w:p>
    <w:p w14:paraId="39BE7D1E"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2 (to be used when the factual premise for applying a rebuttable presumption is undisputed).</w:t>
      </w:r>
    </w:p>
    <w:p w14:paraId="5BD2BFD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In this case it is established that </w:t>
      </w:r>
      <w:r w:rsidRPr="007A612E">
        <w:rPr>
          <w:rFonts w:eastAsia="Times New Roman"/>
          <w:i/>
          <w:sz w:val="24"/>
          <w:szCs w:val="24"/>
        </w:rPr>
        <w:t xml:space="preserve">(state the factual premise for applying a rebuttable presumption, if the premise is undisputed). </w:t>
      </w:r>
      <w:r w:rsidRPr="007A612E">
        <w:rPr>
          <w:rFonts w:eastAsia="Times New Roman"/>
          <w:b/>
          <w:sz w:val="24"/>
          <w:szCs w:val="24"/>
        </w:rPr>
        <w:t xml:space="preserve">From </w:t>
      </w:r>
      <w:r w:rsidRPr="007A612E">
        <w:rPr>
          <w:rFonts w:eastAsia="Times New Roman"/>
          <w:i/>
          <w:sz w:val="24"/>
          <w:szCs w:val="24"/>
        </w:rPr>
        <w:t>(this fact) (these facts)</w:t>
      </w:r>
      <w:r w:rsidRPr="007A612E">
        <w:rPr>
          <w:rFonts w:eastAsia="Times New Roman"/>
          <w:sz w:val="24"/>
          <w:szCs w:val="24"/>
        </w:rPr>
        <w:t xml:space="preserve"> </w:t>
      </w: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description of fact or conclusion that may be inferred)</w:t>
      </w:r>
      <w:r w:rsidRPr="007A612E">
        <w:rPr>
          <w:rFonts w:eastAsia="Times New Roman"/>
          <w:b/>
          <w:sz w:val="24"/>
          <w:szCs w:val="24"/>
        </w:rPr>
        <w:t>.</w:t>
      </w:r>
    </w:p>
    <w:p w14:paraId="3F176491"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(insert description of fact or conclusion that may be inferred)</w:t>
      </w:r>
      <w:r w:rsidRPr="007A612E">
        <w:rPr>
          <w:rFonts w:eastAsia="Times New Roman"/>
          <w:b/>
          <w:sz w:val="24"/>
          <w:szCs w:val="24"/>
        </w:rPr>
        <w:t>.</w:t>
      </w:r>
    </w:p>
    <w:p w14:paraId="7F79DC00" w14:textId="77777777" w:rsidR="007A612E" w:rsidRDefault="007A612E" w:rsidP="007A612E">
      <w:pPr>
        <w:jc w:val="center"/>
        <w:rPr>
          <w:rFonts w:eastAsia="Times New Roman"/>
          <w:sz w:val="24"/>
          <w:szCs w:val="24"/>
        </w:rPr>
      </w:pPr>
    </w:p>
    <w:p w14:paraId="00F9D73A"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0BC27CD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1. This instruction applies only to rebuttable presumptions governed by CRE 301. That Rule provides:</w:t>
      </w:r>
    </w:p>
    <w:p w14:paraId="3F3C7430" w14:textId="77777777" w:rsidR="007A612E" w:rsidRPr="007A612E" w:rsidRDefault="007A612E" w:rsidP="007A612E">
      <w:pPr>
        <w:spacing w:after="240"/>
        <w:ind w:left="720"/>
        <w:rPr>
          <w:rFonts w:eastAsia="Times New Roman"/>
          <w:sz w:val="24"/>
          <w:szCs w:val="24"/>
        </w:rPr>
      </w:pPr>
      <w:r w:rsidRPr="007A612E">
        <w:rPr>
          <w:rFonts w:eastAsia="Times New Roman"/>
          <w:sz w:val="24"/>
          <w:szCs w:val="24"/>
        </w:rPr>
        <w:t>In all civil actions and proceedings not otherwise provided for by statute or by these rules, a presumption imposes upon the party against whom it is directed the burden of going forward with evidence to rebut or meet the presumption, but does not shift to such party the burden of proof in the sense of the risk of non-persuasion, which remains throughout the trial upon the party on whom it was originally cast.</w:t>
      </w:r>
    </w:p>
    <w:p w14:paraId="0D42353D" w14:textId="77777777" w:rsidR="007A612E" w:rsidRPr="007A612E" w:rsidRDefault="007A612E" w:rsidP="007A612E">
      <w:pPr>
        <w:spacing w:after="240"/>
        <w:rPr>
          <w:rFonts w:eastAsia="Times New Roman"/>
          <w:sz w:val="24"/>
          <w:szCs w:val="24"/>
        </w:rPr>
      </w:pPr>
      <w:r w:rsidRPr="007A612E">
        <w:rPr>
          <w:rFonts w:eastAsia="Times New Roman"/>
          <w:i/>
          <w:sz w:val="24"/>
          <w:szCs w:val="24"/>
        </w:rPr>
        <w:t>See</w:t>
      </w:r>
      <w:r w:rsidRPr="007A612E">
        <w:rPr>
          <w:rFonts w:eastAsia="Times New Roman"/>
          <w:b/>
          <w:sz w:val="24"/>
          <w:szCs w:val="24"/>
        </w:rPr>
        <w:t xml:space="preserve"> Chapman v. </w:t>
      </w:r>
      <w:proofErr w:type="spellStart"/>
      <w:r w:rsidRPr="007A612E">
        <w:rPr>
          <w:rFonts w:eastAsia="Times New Roman"/>
          <w:b/>
          <w:sz w:val="24"/>
          <w:szCs w:val="24"/>
        </w:rPr>
        <w:t>Harner</w:t>
      </w:r>
      <w:proofErr w:type="spellEnd"/>
      <w:r w:rsidRPr="007A612E">
        <w:rPr>
          <w:rFonts w:eastAsia="Times New Roman"/>
          <w:sz w:val="24"/>
          <w:szCs w:val="24"/>
        </w:rPr>
        <w:t xml:space="preserve">, 2014 CO 78, ¶ 25, 339 P.3d 519 (holding that CRE 301 applies to the res </w:t>
      </w:r>
      <w:proofErr w:type="spellStart"/>
      <w:r w:rsidRPr="007A612E">
        <w:rPr>
          <w:rFonts w:eastAsia="Times New Roman"/>
          <w:sz w:val="24"/>
          <w:szCs w:val="24"/>
        </w:rPr>
        <w:t>ipsa</w:t>
      </w:r>
      <w:proofErr w:type="spellEnd"/>
      <w:r w:rsidRPr="007A612E">
        <w:rPr>
          <w:rFonts w:eastAsia="Times New Roman"/>
          <w:sz w:val="24"/>
          <w:szCs w:val="24"/>
        </w:rPr>
        <w:t xml:space="preserve"> loquitur doctrine in Colorado; </w:t>
      </w:r>
      <w:r w:rsidRPr="0053375F">
        <w:rPr>
          <w:rFonts w:eastAsia="Times New Roman"/>
          <w:sz w:val="24"/>
          <w:szCs w:val="24"/>
        </w:rPr>
        <w:t>overruling</w:t>
      </w:r>
      <w:r w:rsidRPr="007A612E">
        <w:rPr>
          <w:rFonts w:eastAsia="Times New Roman"/>
          <w:sz w:val="24"/>
          <w:szCs w:val="24"/>
        </w:rPr>
        <w:t xml:space="preserve"> </w:t>
      </w:r>
      <w:r w:rsidRPr="007A612E">
        <w:rPr>
          <w:rFonts w:eastAsia="Times New Roman"/>
          <w:b/>
          <w:sz w:val="24"/>
          <w:szCs w:val="24"/>
        </w:rPr>
        <w:t xml:space="preserve">Weiss v. </w:t>
      </w:r>
      <w:proofErr w:type="spellStart"/>
      <w:r w:rsidRPr="007A612E">
        <w:rPr>
          <w:rFonts w:eastAsia="Times New Roman"/>
          <w:b/>
          <w:sz w:val="24"/>
          <w:szCs w:val="24"/>
        </w:rPr>
        <w:t>Axler</w:t>
      </w:r>
      <w:proofErr w:type="spellEnd"/>
      <w:r w:rsidRPr="007A612E">
        <w:rPr>
          <w:rFonts w:eastAsia="Times New Roman"/>
          <w:sz w:val="24"/>
          <w:szCs w:val="24"/>
        </w:rPr>
        <w:t>, 137 Colo. 544, 328 P.3d 88 (1958) (decided before the adoption of CRE 301)). For statutory presumptions that shift the burden of proof as well as the burden of going forward, which are not governed by Rule 301, see Instruction 3:6.</w:t>
      </w:r>
    </w:p>
    <w:p w14:paraId="40010E3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2. The effect of rebuttable presumptions and the procedure for applying them were substantially altered by </w:t>
      </w:r>
      <w:r w:rsidRPr="007A612E">
        <w:rPr>
          <w:rFonts w:eastAsia="Times New Roman"/>
          <w:b/>
          <w:sz w:val="24"/>
          <w:szCs w:val="24"/>
        </w:rPr>
        <w:t>Chapman</w:t>
      </w:r>
      <w:r w:rsidRPr="007A612E">
        <w:rPr>
          <w:rFonts w:eastAsia="Times New Roman"/>
          <w:sz w:val="24"/>
          <w:szCs w:val="24"/>
        </w:rPr>
        <w:t xml:space="preserve">, 2014 CO 78, and </w:t>
      </w:r>
      <w:r w:rsidRPr="007A612E">
        <w:rPr>
          <w:rFonts w:eastAsia="Times New Roman"/>
          <w:b/>
          <w:sz w:val="24"/>
          <w:szCs w:val="24"/>
        </w:rPr>
        <w:t xml:space="preserve">Krueger v. </w:t>
      </w:r>
      <w:proofErr w:type="spellStart"/>
      <w:r w:rsidRPr="007A612E">
        <w:rPr>
          <w:rFonts w:eastAsia="Times New Roman"/>
          <w:b/>
          <w:sz w:val="24"/>
          <w:szCs w:val="24"/>
        </w:rPr>
        <w:t>Ary</w:t>
      </w:r>
      <w:proofErr w:type="spellEnd"/>
      <w:r w:rsidRPr="007A612E">
        <w:rPr>
          <w:rFonts w:eastAsia="Times New Roman"/>
          <w:sz w:val="24"/>
          <w:szCs w:val="24"/>
        </w:rPr>
        <w:t xml:space="preserve">, 205 P.3d 1150 (Colo. 2009). Those decisions concern: (a) the presumption of negligence arising when </w:t>
      </w:r>
      <w:r w:rsidRPr="004425AA">
        <w:rPr>
          <w:rFonts w:eastAsia="Times New Roman"/>
          <w:sz w:val="24"/>
          <w:szCs w:val="24"/>
        </w:rPr>
        <w:t xml:space="preserve">res </w:t>
      </w:r>
      <w:proofErr w:type="spellStart"/>
      <w:r w:rsidRPr="004425AA">
        <w:rPr>
          <w:rFonts w:eastAsia="Times New Roman"/>
          <w:sz w:val="24"/>
          <w:szCs w:val="24"/>
        </w:rPr>
        <w:t>ipsa</w:t>
      </w:r>
      <w:proofErr w:type="spellEnd"/>
      <w:r w:rsidRPr="004425AA">
        <w:rPr>
          <w:rFonts w:eastAsia="Times New Roman"/>
          <w:sz w:val="24"/>
          <w:szCs w:val="24"/>
        </w:rPr>
        <w:t xml:space="preserve"> loquitur</w:t>
      </w:r>
      <w:r w:rsidRPr="007A612E">
        <w:rPr>
          <w:rFonts w:eastAsia="Times New Roman"/>
          <w:sz w:val="24"/>
          <w:szCs w:val="24"/>
        </w:rPr>
        <w:t xml:space="preserve"> applies (</w:t>
      </w:r>
      <w:r w:rsidRPr="007A612E">
        <w:rPr>
          <w:rFonts w:eastAsia="Times New Roman"/>
          <w:b/>
          <w:sz w:val="24"/>
          <w:szCs w:val="24"/>
        </w:rPr>
        <w:t>Chapman</w:t>
      </w:r>
      <w:r w:rsidRPr="007A612E">
        <w:rPr>
          <w:rFonts w:eastAsia="Times New Roman"/>
          <w:sz w:val="24"/>
          <w:szCs w:val="24"/>
        </w:rPr>
        <w:t>) and (b) the presumption of undue influence when a will beneficiary is in a fiduciary or confidential relationship with the testator (</w:t>
      </w:r>
      <w:r w:rsidRPr="007A612E">
        <w:rPr>
          <w:rFonts w:eastAsia="Times New Roman"/>
          <w:b/>
          <w:sz w:val="24"/>
          <w:szCs w:val="24"/>
        </w:rPr>
        <w:t>Krueger</w:t>
      </w:r>
      <w:r w:rsidRPr="008E720F">
        <w:rPr>
          <w:rFonts w:eastAsia="Times New Roman"/>
          <w:sz w:val="24"/>
          <w:szCs w:val="24"/>
        </w:rPr>
        <w:t>)</w:t>
      </w:r>
      <w:r w:rsidRPr="007A612E">
        <w:rPr>
          <w:rFonts w:eastAsia="Times New Roman"/>
          <w:sz w:val="24"/>
          <w:szCs w:val="24"/>
        </w:rPr>
        <w:t>. The supreme court has not yet considered whether to apply the holdings of these cases beyond the specific presumptions at issue in those two cases. However, (</w:t>
      </w:r>
      <w:proofErr w:type="spellStart"/>
      <w:r w:rsidRPr="007A612E">
        <w:rPr>
          <w:rFonts w:eastAsia="Times New Roman"/>
          <w:sz w:val="24"/>
          <w:szCs w:val="24"/>
        </w:rPr>
        <w:t>i</w:t>
      </w:r>
      <w:proofErr w:type="spellEnd"/>
      <w:r w:rsidRPr="007A612E">
        <w:rPr>
          <w:rFonts w:eastAsia="Times New Roman"/>
          <w:sz w:val="24"/>
          <w:szCs w:val="24"/>
        </w:rPr>
        <w:t xml:space="preserve">) </w:t>
      </w:r>
      <w:r w:rsidRPr="007A612E">
        <w:rPr>
          <w:rFonts w:eastAsia="Times New Roman"/>
          <w:b/>
          <w:sz w:val="24"/>
          <w:szCs w:val="24"/>
        </w:rPr>
        <w:t xml:space="preserve">Chapman </w:t>
      </w:r>
      <w:r w:rsidRPr="007A612E">
        <w:rPr>
          <w:rFonts w:eastAsia="Times New Roman"/>
          <w:sz w:val="24"/>
          <w:szCs w:val="24"/>
        </w:rPr>
        <w:t>states that “</w:t>
      </w:r>
      <w:r w:rsidRPr="007A612E">
        <w:rPr>
          <w:rFonts w:eastAsia="Times New Roman"/>
          <w:b/>
          <w:sz w:val="24"/>
          <w:szCs w:val="24"/>
        </w:rPr>
        <w:t xml:space="preserve">Krueger </w:t>
      </w:r>
      <w:r w:rsidRPr="007A612E">
        <w:rPr>
          <w:rFonts w:eastAsia="Times New Roman"/>
          <w:sz w:val="24"/>
          <w:szCs w:val="24"/>
        </w:rPr>
        <w:t>supplies a description of the general effect of rebuttable presumptions,” 2014 CO 78, ¶ 15; (ii) the supreme court adopted the identical procedure in both cases; (iii) the language of the opinions is broad; and (iv) the holdings are consistent with CRE 301. On the face of these decisions, and in the absence of decisions addressing other presumptions, it appears that substantial changes are required in instructions that formerly dealt with rebuttable presumptions.</w:t>
      </w:r>
    </w:p>
    <w:p w14:paraId="038B68D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3. Based on </w:t>
      </w:r>
      <w:r w:rsidRPr="007A612E">
        <w:rPr>
          <w:rFonts w:eastAsia="Times New Roman"/>
          <w:b/>
          <w:sz w:val="24"/>
          <w:szCs w:val="24"/>
        </w:rPr>
        <w:t xml:space="preserve">Krueger </w:t>
      </w:r>
      <w:r w:rsidRPr="007A612E">
        <w:rPr>
          <w:rFonts w:eastAsia="Times New Roman"/>
          <w:sz w:val="24"/>
          <w:szCs w:val="24"/>
        </w:rPr>
        <w:t xml:space="preserve">and </w:t>
      </w:r>
      <w:r w:rsidRPr="007A612E">
        <w:rPr>
          <w:rFonts w:eastAsia="Times New Roman"/>
          <w:b/>
          <w:sz w:val="24"/>
          <w:szCs w:val="24"/>
        </w:rPr>
        <w:t>Chapman</w:t>
      </w:r>
      <w:r w:rsidRPr="007A612E">
        <w:rPr>
          <w:rFonts w:eastAsia="Times New Roman"/>
          <w:sz w:val="24"/>
          <w:szCs w:val="24"/>
        </w:rPr>
        <w:t xml:space="preserve">, the jury is not to be instructed about rebuttable presumptions. Instead, such a presumption “shifts the burden of going forward to the party against whom it is raised.” </w:t>
      </w:r>
      <w:r w:rsidRPr="007A612E">
        <w:rPr>
          <w:rFonts w:eastAsia="Times New Roman"/>
          <w:b/>
          <w:sz w:val="24"/>
          <w:szCs w:val="24"/>
        </w:rPr>
        <w:t>Krueger</w:t>
      </w:r>
      <w:r w:rsidRPr="007A612E">
        <w:rPr>
          <w:rFonts w:eastAsia="Times New Roman"/>
          <w:sz w:val="24"/>
          <w:szCs w:val="24"/>
        </w:rPr>
        <w:t xml:space="preserve">, 250 P.3d at 1154. If the presumption applies and is not rebutted by legally sufficient evidence, then the presumed fact is established as a matter of law. </w:t>
      </w:r>
      <w:r w:rsidRPr="004425AA">
        <w:rPr>
          <w:rFonts w:eastAsia="Times New Roman"/>
          <w:i/>
          <w:sz w:val="24"/>
          <w:szCs w:val="24"/>
        </w:rPr>
        <w:t>Id.</w:t>
      </w:r>
      <w:r w:rsidRPr="007A612E">
        <w:rPr>
          <w:rFonts w:eastAsia="Times New Roman"/>
          <w:b/>
          <w:sz w:val="24"/>
          <w:szCs w:val="24"/>
        </w:rPr>
        <w:t xml:space="preserve"> </w:t>
      </w:r>
      <w:r w:rsidRPr="007A612E">
        <w:rPr>
          <w:rFonts w:eastAsia="Times New Roman"/>
          <w:sz w:val="24"/>
          <w:szCs w:val="24"/>
        </w:rPr>
        <w:t>at 1156.</w:t>
      </w:r>
      <w:r w:rsidRPr="007A612E">
        <w:rPr>
          <w:rFonts w:eastAsia="Times New Roman"/>
          <w:b/>
          <w:sz w:val="24"/>
          <w:szCs w:val="24"/>
        </w:rPr>
        <w:t xml:space="preserve"> </w:t>
      </w:r>
      <w:r w:rsidRPr="007A612E">
        <w:rPr>
          <w:rFonts w:eastAsia="Times New Roman"/>
          <w:sz w:val="24"/>
          <w:szCs w:val="24"/>
        </w:rPr>
        <w:t xml:space="preserve">If the presumption applies and is rebutted by legally sufficient evidence, the presumption is destroyed and leaves only a permissible inference of the presumed fact. </w:t>
      </w:r>
      <w:r w:rsidRPr="007A612E">
        <w:rPr>
          <w:rFonts w:eastAsia="Times New Roman"/>
          <w:b/>
          <w:sz w:val="24"/>
          <w:szCs w:val="24"/>
        </w:rPr>
        <w:t>Chapman</w:t>
      </w:r>
      <w:r w:rsidRPr="007A612E">
        <w:rPr>
          <w:rFonts w:eastAsia="Times New Roman"/>
          <w:sz w:val="24"/>
          <w:szCs w:val="24"/>
        </w:rPr>
        <w:t xml:space="preserve">, 2014 CO 78, ¶ 25; </w:t>
      </w:r>
      <w:r w:rsidRPr="007A612E">
        <w:rPr>
          <w:rFonts w:eastAsia="Times New Roman"/>
          <w:b/>
          <w:sz w:val="24"/>
          <w:szCs w:val="24"/>
        </w:rPr>
        <w:t>Krueger</w:t>
      </w:r>
      <w:r w:rsidRPr="007A612E">
        <w:rPr>
          <w:rFonts w:eastAsia="Times New Roman"/>
          <w:sz w:val="24"/>
          <w:szCs w:val="24"/>
        </w:rPr>
        <w:t xml:space="preserve">, 205 P.3d at 1154, 1156. </w:t>
      </w:r>
    </w:p>
    <w:p w14:paraId="1642BD0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4. When the permissible inference arises, the trial court has discretion whether to instruct on that inference. However, the supreme court “disfavor[s] instructions emphasizing specific evidence.” </w:t>
      </w:r>
      <w:r w:rsidRPr="007A612E">
        <w:rPr>
          <w:rFonts w:eastAsia="Times New Roman"/>
          <w:b/>
          <w:sz w:val="24"/>
          <w:szCs w:val="24"/>
        </w:rPr>
        <w:t>Krueger</w:t>
      </w:r>
      <w:r w:rsidRPr="007A612E">
        <w:rPr>
          <w:rFonts w:eastAsia="Times New Roman"/>
          <w:sz w:val="24"/>
          <w:szCs w:val="24"/>
        </w:rPr>
        <w:t xml:space="preserve">, 205 P.3d at 1157. “A trial court does not abuse its discretion in failing to instruct the jury on a permissible inference unless the omission caused substantial prejudice to the requesting party.” </w:t>
      </w:r>
      <w:r w:rsidRPr="004425AA">
        <w:rPr>
          <w:rFonts w:eastAsia="Times New Roman"/>
          <w:i/>
          <w:sz w:val="24"/>
          <w:szCs w:val="24"/>
        </w:rPr>
        <w:t>Id.</w:t>
      </w:r>
      <w:r w:rsidRPr="007A612E">
        <w:rPr>
          <w:rFonts w:eastAsia="Times New Roman"/>
          <w:sz w:val="24"/>
          <w:szCs w:val="24"/>
        </w:rPr>
        <w:t xml:space="preserve"> When the permissible inference arises, an instruction should be given if “justified by strong underlying policy considerations.” </w:t>
      </w:r>
      <w:r w:rsidRPr="004425AA">
        <w:rPr>
          <w:rFonts w:eastAsia="Times New Roman"/>
          <w:i/>
          <w:sz w:val="24"/>
          <w:szCs w:val="24"/>
        </w:rPr>
        <w:t>Id.</w:t>
      </w:r>
      <w:r w:rsidRPr="007A612E">
        <w:rPr>
          <w:rFonts w:eastAsia="Times New Roman"/>
          <w:sz w:val="24"/>
          <w:szCs w:val="24"/>
        </w:rPr>
        <w:t xml:space="preserve"> </w:t>
      </w:r>
    </w:p>
    <w:p w14:paraId="195B829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5. As an example of policy considerations that would support giving a permissible inference instruction, the supreme court cited the presumption that evidence destroyed by a civil litigant would have been unfavorable to the destroying party. </w:t>
      </w:r>
      <w:r w:rsidRPr="004425AA">
        <w:rPr>
          <w:rFonts w:eastAsia="Times New Roman"/>
          <w:i/>
          <w:sz w:val="24"/>
          <w:szCs w:val="24"/>
        </w:rPr>
        <w:t>Id.</w:t>
      </w:r>
      <w:r w:rsidRPr="007A612E">
        <w:rPr>
          <w:rFonts w:eastAsia="Times New Roman"/>
          <w:sz w:val="24"/>
          <w:szCs w:val="24"/>
        </w:rPr>
        <w:t xml:space="preserve"> “A trial court may give this permissible inference instruction as long as it furthers two underlying rationales. The instruction should be both punitive and remedial; it should deter the parties from destroying evidence, and restore the prejudiced party to the position she would have been in had the evidence not been destroyed.” </w:t>
      </w:r>
      <w:r w:rsidRPr="004425AA">
        <w:rPr>
          <w:rFonts w:eastAsia="Times New Roman"/>
          <w:i/>
          <w:sz w:val="24"/>
          <w:szCs w:val="24"/>
        </w:rPr>
        <w:t>Id.</w:t>
      </w:r>
      <w:r w:rsidRPr="007A612E">
        <w:rPr>
          <w:rFonts w:eastAsia="Times New Roman"/>
          <w:sz w:val="24"/>
          <w:szCs w:val="24"/>
        </w:rPr>
        <w:t xml:space="preserve"> </w:t>
      </w:r>
    </w:p>
    <w:p w14:paraId="66AE107B"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6. Formerly, the jury was instructed that a presumption arose and that the jury should consider the presumption along with all the other evidence in the case. The plaintiff in </w:t>
      </w:r>
      <w:r w:rsidRPr="007A612E">
        <w:rPr>
          <w:rFonts w:eastAsia="Times New Roman"/>
          <w:b/>
          <w:sz w:val="24"/>
          <w:szCs w:val="24"/>
        </w:rPr>
        <w:t xml:space="preserve">Krueger </w:t>
      </w:r>
      <w:r w:rsidRPr="007A612E">
        <w:rPr>
          <w:rFonts w:eastAsia="Times New Roman"/>
          <w:sz w:val="24"/>
          <w:szCs w:val="24"/>
        </w:rPr>
        <w:t xml:space="preserve">requested such an instruction. The supreme court held, however, that “a jury instruction on inoperative presumptions is inappropriate,” and would “confuse[] the jury as to the role of the rebutted presumption.” </w:t>
      </w:r>
      <w:r w:rsidRPr="004425AA">
        <w:rPr>
          <w:rFonts w:eastAsia="Times New Roman"/>
          <w:i/>
          <w:sz w:val="24"/>
          <w:szCs w:val="24"/>
        </w:rPr>
        <w:t>Id.</w:t>
      </w:r>
      <w:r w:rsidRPr="007A612E">
        <w:rPr>
          <w:rFonts w:eastAsia="Times New Roman"/>
          <w:sz w:val="24"/>
          <w:szCs w:val="24"/>
        </w:rPr>
        <w:t xml:space="preserve"> at 1157. </w:t>
      </w:r>
    </w:p>
    <w:p w14:paraId="3EBB23E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7. The trial court is to decide whether a party has presented sufficient evidence to invoke the presumption and whether the opposing party has presented sufficient evidence to rebut it. </w:t>
      </w:r>
      <w:r w:rsidRPr="007A612E">
        <w:rPr>
          <w:rFonts w:eastAsia="Times New Roman"/>
          <w:i/>
          <w:sz w:val="24"/>
          <w:szCs w:val="24"/>
        </w:rPr>
        <w:t>See id.</w:t>
      </w:r>
      <w:r w:rsidRPr="007A612E">
        <w:rPr>
          <w:rFonts w:eastAsia="Times New Roman"/>
          <w:sz w:val="24"/>
          <w:szCs w:val="24"/>
        </w:rPr>
        <w:t xml:space="preserve"> at 1153, 1154.</w:t>
      </w:r>
    </w:p>
    <w:p w14:paraId="2C5D8AB2"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8. This instruction is presented in two alternate versions, depending on whether the factual premise for applying the presumption is disputed. In </w:t>
      </w:r>
      <w:r w:rsidRPr="007A612E">
        <w:rPr>
          <w:rFonts w:eastAsia="Times New Roman"/>
          <w:b/>
          <w:sz w:val="24"/>
          <w:szCs w:val="24"/>
        </w:rPr>
        <w:t>Krueger</w:t>
      </w:r>
      <w:r w:rsidRPr="007A612E">
        <w:rPr>
          <w:rFonts w:eastAsia="Times New Roman"/>
          <w:sz w:val="24"/>
          <w:szCs w:val="24"/>
        </w:rPr>
        <w:t xml:space="preserve">, for example, the factual premise was that the defendant was (a) a beneficiary of the will, (b) in a confidential or fiduciary relationship with the testator, and (c) actively involved in the preparation or signing of the will. If any portion of the factual premise is in dispute, use version 1. If all of the factual premise is undisputed, use version 2. </w:t>
      </w:r>
    </w:p>
    <w:p w14:paraId="1B9E9B78"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9. This instruction should not be given unless there is sufficient evidence from which a reasonable jury could find by a preponderance of the evidence that the basic facts giving rise to the presumption are true. </w:t>
      </w:r>
      <w:proofErr w:type="spellStart"/>
      <w:r w:rsidRPr="007A612E">
        <w:rPr>
          <w:rFonts w:eastAsia="Times New Roman"/>
          <w:b/>
          <w:sz w:val="24"/>
          <w:szCs w:val="24"/>
        </w:rPr>
        <w:t>Devenyns</w:t>
      </w:r>
      <w:proofErr w:type="spellEnd"/>
      <w:r w:rsidRPr="007A612E">
        <w:rPr>
          <w:rFonts w:eastAsia="Times New Roman"/>
          <w:b/>
          <w:sz w:val="24"/>
          <w:szCs w:val="24"/>
        </w:rPr>
        <w:t xml:space="preserve"> v. </w:t>
      </w:r>
      <w:proofErr w:type="spellStart"/>
      <w:r w:rsidRPr="007A612E">
        <w:rPr>
          <w:rFonts w:eastAsia="Times New Roman"/>
          <w:b/>
          <w:sz w:val="24"/>
          <w:szCs w:val="24"/>
        </w:rPr>
        <w:t>Hartig</w:t>
      </w:r>
      <w:proofErr w:type="spellEnd"/>
      <w:r w:rsidRPr="007A612E">
        <w:rPr>
          <w:rFonts w:eastAsia="Times New Roman"/>
          <w:sz w:val="24"/>
          <w:szCs w:val="24"/>
        </w:rPr>
        <w:t xml:space="preserve">, 983 P.2d 63 (Colo. App. 1998). Also, this instruction should be used only if supported by an applicable statute or common-law rule. </w:t>
      </w:r>
      <w:r w:rsidRPr="007A612E">
        <w:rPr>
          <w:rFonts w:eastAsia="Times New Roman"/>
          <w:i/>
          <w:sz w:val="24"/>
          <w:szCs w:val="24"/>
        </w:rPr>
        <w:t>See, e.g.</w:t>
      </w:r>
      <w:r w:rsidRPr="007A612E">
        <w:rPr>
          <w:rFonts w:eastAsia="Times New Roman"/>
          <w:sz w:val="24"/>
          <w:szCs w:val="24"/>
        </w:rPr>
        <w:t>,</w:t>
      </w:r>
      <w:r w:rsidRPr="007A612E">
        <w:rPr>
          <w:rFonts w:eastAsia="Times New Roman"/>
          <w:i/>
          <w:sz w:val="24"/>
          <w:szCs w:val="24"/>
        </w:rPr>
        <w:t xml:space="preserve"> </w:t>
      </w:r>
      <w:r w:rsidRPr="007A612E">
        <w:rPr>
          <w:rFonts w:eastAsia="Times New Roman"/>
          <w:b/>
          <w:sz w:val="24"/>
          <w:szCs w:val="24"/>
        </w:rPr>
        <w:t xml:space="preserve">Yampa Valley Elec. </w:t>
      </w:r>
      <w:proofErr w:type="spellStart"/>
      <w:r w:rsidRPr="007A612E">
        <w:rPr>
          <w:rFonts w:eastAsia="Times New Roman"/>
          <w:b/>
          <w:sz w:val="24"/>
          <w:szCs w:val="24"/>
        </w:rPr>
        <w:t>Ass’n</w:t>
      </w:r>
      <w:proofErr w:type="spellEnd"/>
      <w:r w:rsidRPr="007A612E">
        <w:rPr>
          <w:rFonts w:eastAsia="Times New Roman"/>
          <w:b/>
          <w:sz w:val="24"/>
          <w:szCs w:val="24"/>
        </w:rPr>
        <w:t xml:space="preserve"> v. </w:t>
      </w:r>
      <w:proofErr w:type="spellStart"/>
      <w:r w:rsidRPr="007A612E">
        <w:rPr>
          <w:rFonts w:eastAsia="Times New Roman"/>
          <w:b/>
          <w:sz w:val="24"/>
          <w:szCs w:val="24"/>
        </w:rPr>
        <w:t>Telecky</w:t>
      </w:r>
      <w:proofErr w:type="spellEnd"/>
      <w:r w:rsidRPr="007A612E">
        <w:rPr>
          <w:rFonts w:eastAsia="Times New Roman"/>
          <w:sz w:val="24"/>
          <w:szCs w:val="24"/>
        </w:rPr>
        <w:t>, 862 P.2d 252 (Colo. 1993) (reversible error to instruct on rebuttable presumption in absence of statutory or common-law justification).</w:t>
      </w:r>
      <w:r w:rsidRPr="007A612E">
        <w:rPr>
          <w:rFonts w:eastAsia="Times New Roman"/>
          <w:sz w:val="24"/>
          <w:szCs w:val="24"/>
        </w:rPr>
        <w:tab/>
      </w:r>
    </w:p>
    <w:p w14:paraId="2EBF050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10. Instruction 3:8 defines “inference” and should be given if either version of this instruction is given.</w:t>
      </w:r>
    </w:p>
    <w:p w14:paraId="71311E2E"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045FCAD8"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CRE 301; </w:t>
      </w:r>
      <w:r w:rsidRPr="007A612E">
        <w:rPr>
          <w:rFonts w:eastAsia="Times New Roman"/>
          <w:b/>
          <w:sz w:val="24"/>
          <w:szCs w:val="24"/>
        </w:rPr>
        <w:t>Chapman</w:t>
      </w:r>
      <w:r w:rsidRPr="007A612E">
        <w:rPr>
          <w:rFonts w:eastAsia="Times New Roman"/>
          <w:sz w:val="24"/>
          <w:szCs w:val="24"/>
        </w:rPr>
        <w:t xml:space="preserve">, 2014 CO 78, ¶ 25; and </w:t>
      </w:r>
      <w:r w:rsidRPr="007A612E">
        <w:rPr>
          <w:rFonts w:eastAsia="Times New Roman"/>
          <w:b/>
          <w:sz w:val="24"/>
          <w:szCs w:val="24"/>
        </w:rPr>
        <w:t>Krueger</w:t>
      </w:r>
      <w:r w:rsidRPr="007A612E">
        <w:rPr>
          <w:rFonts w:eastAsia="Times New Roman"/>
          <w:sz w:val="24"/>
          <w:szCs w:val="24"/>
        </w:rPr>
        <w:t>, 205 P.3d at 1157.</w:t>
      </w:r>
    </w:p>
    <w:p w14:paraId="69F564F5" w14:textId="77777777" w:rsidR="004425AA" w:rsidRDefault="004425AA">
      <w:pPr>
        <w:rPr>
          <w:rFonts w:eastAsia="Times New Roman"/>
          <w:sz w:val="24"/>
          <w:szCs w:val="24"/>
        </w:rPr>
      </w:pPr>
      <w:r>
        <w:rPr>
          <w:rFonts w:eastAsia="Times New Roman"/>
          <w:sz w:val="24"/>
          <w:szCs w:val="24"/>
        </w:rPr>
        <w:br w:type="page"/>
      </w:r>
    </w:p>
    <w:p w14:paraId="062EF674" w14:textId="77777777" w:rsidR="004425AA" w:rsidRPr="009E3DA4" w:rsidRDefault="004425AA" w:rsidP="004425AA">
      <w:pPr>
        <w:spacing w:after="240"/>
        <w:ind w:left="720" w:hanging="720"/>
        <w:rPr>
          <w:rFonts w:eastAsia="Times New Roman"/>
          <w:b/>
          <w:sz w:val="24"/>
          <w:szCs w:val="24"/>
        </w:rPr>
      </w:pPr>
      <w:bookmarkStart w:id="5" w:name="a3_5A"/>
      <w:bookmarkEnd w:id="5"/>
      <w:r w:rsidRPr="004425AA">
        <w:rPr>
          <w:rFonts w:eastAsia="Times New Roman"/>
          <w:b/>
          <w:sz w:val="24"/>
          <w:szCs w:val="24"/>
        </w:rPr>
        <w:lastRenderedPageBreak/>
        <w:t>3:5A</w:t>
      </w:r>
      <w:r w:rsidRPr="004425AA">
        <w:rPr>
          <w:rFonts w:eastAsia="Times New Roman"/>
          <w:b/>
          <w:sz w:val="24"/>
          <w:szCs w:val="24"/>
        </w:rPr>
        <w:tab/>
        <w:t>INFERENCE ARISING FROM INVOCATION OF FIFTH AMENDMENT PRIVILEGE</w:t>
      </w:r>
    </w:p>
    <w:p w14:paraId="52B185C0" w14:textId="77777777" w:rsidR="004425AA" w:rsidRPr="004425AA" w:rsidRDefault="004425AA" w:rsidP="004425AA">
      <w:pPr>
        <w:spacing w:after="240"/>
        <w:ind w:firstLine="720"/>
        <w:rPr>
          <w:rFonts w:eastAsia="Times New Roman"/>
          <w:b/>
          <w:sz w:val="24"/>
          <w:szCs w:val="24"/>
        </w:rPr>
      </w:pPr>
      <w:r w:rsidRPr="004425AA">
        <w:rPr>
          <w:rFonts w:eastAsia="Times New Roman"/>
          <w:b/>
          <w:sz w:val="24"/>
          <w:szCs w:val="24"/>
        </w:rPr>
        <w:t xml:space="preserve">You may, but are not required to, draw an inference that the answer to any question that </w:t>
      </w:r>
      <w:r w:rsidRPr="00935DA8">
        <w:rPr>
          <w:rFonts w:eastAsia="Times New Roman"/>
          <w:i/>
          <w:sz w:val="24"/>
          <w:szCs w:val="24"/>
        </w:rPr>
        <w:t>(name of party)</w:t>
      </w:r>
      <w:r w:rsidRPr="004425AA">
        <w:rPr>
          <w:rFonts w:eastAsia="Times New Roman"/>
          <w:b/>
          <w:sz w:val="24"/>
          <w:szCs w:val="24"/>
        </w:rPr>
        <w:t xml:space="preserve"> refused to answer by asserting (his) (her) Constitutional privilege against self-incrimination would have been unfavorable to (him) (her). You should not decide </w:t>
      </w:r>
      <w:r w:rsidRPr="00935DA8">
        <w:rPr>
          <w:rFonts w:eastAsia="Times New Roman"/>
          <w:i/>
          <w:sz w:val="24"/>
          <w:szCs w:val="24"/>
        </w:rPr>
        <w:t>(name of party’s)</w:t>
      </w:r>
      <w:r w:rsidRPr="004425AA">
        <w:rPr>
          <w:rFonts w:eastAsia="Times New Roman"/>
          <w:b/>
          <w:sz w:val="24"/>
          <w:szCs w:val="24"/>
        </w:rPr>
        <w:t xml:space="preserve"> (claim) (damages) (liability or non-liability) based solely on (his) (her) assertion of (his) (her) privilege against self-incrimination. </w:t>
      </w:r>
    </w:p>
    <w:p w14:paraId="7F64E6C5" w14:textId="77777777" w:rsidR="004425AA" w:rsidRDefault="004425AA" w:rsidP="004425AA">
      <w:pPr>
        <w:jc w:val="center"/>
        <w:rPr>
          <w:rFonts w:eastAsia="Times New Roman"/>
          <w:sz w:val="24"/>
          <w:szCs w:val="24"/>
        </w:rPr>
      </w:pPr>
    </w:p>
    <w:p w14:paraId="5CF61378" w14:textId="77777777" w:rsidR="004425AA" w:rsidRPr="0054263B" w:rsidRDefault="004425AA" w:rsidP="004425AA">
      <w:pPr>
        <w:keepNext/>
        <w:spacing w:after="240"/>
        <w:jc w:val="center"/>
        <w:rPr>
          <w:rFonts w:eastAsia="Times New Roman"/>
          <w:b/>
          <w:sz w:val="24"/>
          <w:szCs w:val="24"/>
        </w:rPr>
      </w:pPr>
      <w:r w:rsidRPr="0054263B">
        <w:rPr>
          <w:rFonts w:eastAsia="Times New Roman"/>
          <w:b/>
          <w:sz w:val="24"/>
          <w:szCs w:val="24"/>
        </w:rPr>
        <w:t>Notes on Use</w:t>
      </w:r>
    </w:p>
    <w:p w14:paraId="6755BED4"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1. Before deciding what adverse consequences, if any, will flow from a party’s invocation of the Fifth Amendment privilege against self-incrimination, the trial court must preliminarily determine whether the privilege has been properly invoked. </w:t>
      </w:r>
      <w:r w:rsidRPr="00935DA8">
        <w:rPr>
          <w:rFonts w:eastAsia="Times New Roman"/>
          <w:b/>
          <w:sz w:val="24"/>
          <w:szCs w:val="24"/>
        </w:rPr>
        <w:t>Steiner v. Minn. Life Ins. Co.</w:t>
      </w:r>
      <w:r w:rsidRPr="00935DA8">
        <w:rPr>
          <w:rFonts w:eastAsia="Times New Roman"/>
          <w:sz w:val="24"/>
          <w:szCs w:val="24"/>
        </w:rPr>
        <w:t xml:space="preserve">, 85 P.3d 135, 141 &amp; n.5 (Colo. 2004) (“As a threshold matter, a trial court must necessarily determine if the privilege is properly invoked. In other words, the information withheld must be of the sort which could, directly or indirectly, subject the [party] to the possibility of prosecution.”). Further, before determining what consequence will flow from a party invoking his or her Fifth Amendment privilege, the trial court must consider the other party’s need for the information withheld, whether that party has any alternative means of obtaining that information, and whether any effective remedy, short of dismissal, is available to safeguard both parties’ interests. </w:t>
      </w:r>
      <w:r w:rsidRPr="00935DA8">
        <w:rPr>
          <w:rFonts w:eastAsia="Times New Roman"/>
          <w:i/>
          <w:sz w:val="24"/>
          <w:szCs w:val="24"/>
        </w:rPr>
        <w:t>Id</w:t>
      </w:r>
      <w:r w:rsidRPr="00935DA8">
        <w:rPr>
          <w:rFonts w:eastAsia="Times New Roman"/>
          <w:sz w:val="24"/>
          <w:szCs w:val="24"/>
        </w:rPr>
        <w:t xml:space="preserve">. at 141. Allowing a negative inference to be drawn from the party’s refusal to answer questions is but one potential remedy. </w:t>
      </w:r>
      <w:r w:rsidRPr="00935DA8">
        <w:rPr>
          <w:rFonts w:eastAsia="Times New Roman"/>
          <w:i/>
          <w:sz w:val="24"/>
          <w:szCs w:val="24"/>
        </w:rPr>
        <w:t>Id.</w:t>
      </w:r>
      <w:r w:rsidRPr="00935DA8">
        <w:rPr>
          <w:rFonts w:eastAsia="Times New Roman"/>
          <w:b/>
          <w:sz w:val="24"/>
          <w:szCs w:val="24"/>
        </w:rPr>
        <w:t xml:space="preserve"> </w:t>
      </w:r>
      <w:r w:rsidRPr="00935DA8">
        <w:rPr>
          <w:rFonts w:eastAsia="Times New Roman"/>
          <w:sz w:val="24"/>
          <w:szCs w:val="24"/>
        </w:rPr>
        <w:t xml:space="preserve">at 143 (court should consider various possibilities, including negative inference or issuing a stay of discovery until the applicable statute of limitations has run on the party’s potential criminal activity). </w:t>
      </w:r>
    </w:p>
    <w:p w14:paraId="5F86BBDB"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2. This instruction may be used, in modified form, if a nonparty witness invokes his or her Fifth Amendment privilege. </w:t>
      </w:r>
      <w:r w:rsidRPr="00935DA8">
        <w:rPr>
          <w:rFonts w:eastAsia="Times New Roman"/>
          <w:i/>
          <w:sz w:val="24"/>
          <w:szCs w:val="24"/>
        </w:rPr>
        <w:t>See</w:t>
      </w:r>
      <w:r w:rsidRPr="00935DA8">
        <w:rPr>
          <w:rFonts w:eastAsia="Times New Roman"/>
          <w:sz w:val="24"/>
          <w:szCs w:val="24"/>
        </w:rPr>
        <w:t xml:space="preserve"> </w:t>
      </w:r>
      <w:r w:rsidRPr="00935DA8">
        <w:rPr>
          <w:rFonts w:eastAsia="Times New Roman"/>
          <w:b/>
          <w:sz w:val="24"/>
          <w:szCs w:val="24"/>
        </w:rPr>
        <w:t>McGillis Inv. Co. v. First Interstate Fin. Utah LLC</w:t>
      </w:r>
      <w:r w:rsidRPr="00935DA8">
        <w:rPr>
          <w:rFonts w:eastAsia="Times New Roman"/>
          <w:sz w:val="24"/>
          <w:szCs w:val="24"/>
        </w:rPr>
        <w:t xml:space="preserve">, 2015 COA 116, ¶ 35, 370 P.3d 295 (admissibility of nonparty’s invocation of Fifth Amendment privilege and concomitant drawing of adverse inferences should be considered on a case-by-case basis to assure that any inference is reliable, relevant, and fairly advanced). In deciding whether the suggested inference is reliable, relevant, and fairly advanced, four non-exclusive factors should be considered: (a) the nature of the relevant relationships between the parties and the witness, focusing on the perspective of the nonparty witness’s loyalty to the plaintiff or the defendant; (b) “[t]he degree of control which the party has vested in the non-party witness in regard to the key facts and general subject matter of the litigation,” and whether any such control suggests that the testimony might serve as a vicarious admission; (c) “whether the non-party witness is pragmatically a </w:t>
      </w:r>
      <w:proofErr w:type="spellStart"/>
      <w:r w:rsidRPr="00935DA8">
        <w:rPr>
          <w:rFonts w:eastAsia="Times New Roman"/>
          <w:sz w:val="24"/>
          <w:szCs w:val="24"/>
        </w:rPr>
        <w:t>noncaptioned</w:t>
      </w:r>
      <w:proofErr w:type="spellEnd"/>
      <w:r w:rsidRPr="00935DA8">
        <w:rPr>
          <w:rFonts w:eastAsia="Times New Roman"/>
          <w:sz w:val="24"/>
          <w:szCs w:val="24"/>
        </w:rPr>
        <w:t xml:space="preserve"> party in interest, and whether the assertion of the privilege advances the interests of both the non-party witness and the affected party in the outcome of the litigation”; and (d) whether the nonparty witness is a key figure in the litigation and played a controlling role in any of the underlying aspects of the litigation. </w:t>
      </w:r>
      <w:r w:rsidRPr="00935DA8">
        <w:rPr>
          <w:rFonts w:eastAsia="Times New Roman"/>
          <w:i/>
          <w:sz w:val="24"/>
          <w:szCs w:val="24"/>
        </w:rPr>
        <w:t>Id</w:t>
      </w:r>
      <w:r w:rsidRPr="00935DA8">
        <w:rPr>
          <w:rFonts w:eastAsia="Times New Roman"/>
          <w:sz w:val="24"/>
          <w:szCs w:val="24"/>
        </w:rPr>
        <w:t xml:space="preserve">. at ¶¶ 29-35. If the instruction is modified for use with a nonparty witness, the following language may be appropriately added: “You should not draw such an inference if you find that </w:t>
      </w:r>
      <w:r w:rsidRPr="00935DA8">
        <w:rPr>
          <w:rFonts w:eastAsia="Times New Roman"/>
          <w:i/>
          <w:sz w:val="24"/>
          <w:szCs w:val="24"/>
        </w:rPr>
        <w:t>(name of witness)</w:t>
      </w:r>
      <w:r w:rsidRPr="00935DA8">
        <w:rPr>
          <w:rFonts w:eastAsia="Times New Roman"/>
          <w:sz w:val="24"/>
          <w:szCs w:val="24"/>
        </w:rPr>
        <w:t xml:space="preserve"> asserted the privilege for reasons unrelated to this case.” </w:t>
      </w:r>
      <w:r w:rsidRPr="00935DA8">
        <w:rPr>
          <w:rFonts w:eastAsia="Times New Roman"/>
          <w:i/>
          <w:sz w:val="24"/>
          <w:szCs w:val="24"/>
        </w:rPr>
        <w:t>Id</w:t>
      </w:r>
      <w:r w:rsidRPr="00935DA8">
        <w:rPr>
          <w:rFonts w:eastAsia="Times New Roman"/>
          <w:sz w:val="24"/>
          <w:szCs w:val="24"/>
        </w:rPr>
        <w:t xml:space="preserve">. at ¶ 36. It is unclear whether this additional language is appropriate when a party asserts the privilege. </w:t>
      </w:r>
    </w:p>
    <w:p w14:paraId="4EE1AF87" w14:textId="77777777" w:rsidR="004425AA" w:rsidRPr="0054263B" w:rsidRDefault="004425AA" w:rsidP="004425AA">
      <w:pPr>
        <w:keepNext/>
        <w:spacing w:after="240"/>
        <w:jc w:val="center"/>
        <w:rPr>
          <w:rFonts w:eastAsia="Times New Roman"/>
          <w:b/>
          <w:sz w:val="24"/>
          <w:szCs w:val="24"/>
        </w:rPr>
      </w:pPr>
      <w:r>
        <w:rPr>
          <w:rFonts w:eastAsia="Times New Roman"/>
          <w:b/>
          <w:sz w:val="24"/>
          <w:szCs w:val="24"/>
        </w:rPr>
        <w:lastRenderedPageBreak/>
        <w:t>Source and Authority</w:t>
      </w:r>
    </w:p>
    <w:p w14:paraId="4317A842" w14:textId="77777777" w:rsidR="00935DA8" w:rsidRPr="00935DA8" w:rsidRDefault="00935DA8" w:rsidP="00935DA8">
      <w:pPr>
        <w:spacing w:after="240"/>
        <w:ind w:firstLine="720"/>
        <w:rPr>
          <w:rFonts w:eastAsia="Times New Roman"/>
          <w:sz w:val="24"/>
          <w:szCs w:val="24"/>
        </w:rPr>
      </w:pPr>
      <w:r w:rsidRPr="00935DA8">
        <w:rPr>
          <w:rFonts w:eastAsia="Times New Roman"/>
          <w:iCs/>
          <w:sz w:val="24"/>
          <w:szCs w:val="24"/>
        </w:rPr>
        <w:t xml:space="preserve">This instruction is supported by </w:t>
      </w:r>
      <w:r w:rsidRPr="00935DA8">
        <w:rPr>
          <w:rFonts w:eastAsia="Times New Roman"/>
          <w:b/>
          <w:sz w:val="24"/>
          <w:szCs w:val="24"/>
        </w:rPr>
        <w:t>Steiner</w:t>
      </w:r>
      <w:r w:rsidRPr="00935DA8">
        <w:rPr>
          <w:rFonts w:eastAsia="Times New Roman"/>
          <w:sz w:val="24"/>
          <w:szCs w:val="24"/>
        </w:rPr>
        <w:t xml:space="preserve">, 85 P.3d at 141 (where party refused to answer questions based on Fifth Amendment privilege, trial court should have considered remedies short of dismissal, such as allowing a negative inference to be drawn from); </w:t>
      </w:r>
      <w:r w:rsidRPr="00935DA8">
        <w:rPr>
          <w:rFonts w:eastAsia="Times New Roman"/>
          <w:b/>
          <w:sz w:val="24"/>
          <w:szCs w:val="24"/>
        </w:rPr>
        <w:t>McGillis Inv. Co.</w:t>
      </w:r>
      <w:r w:rsidRPr="00935DA8">
        <w:rPr>
          <w:rFonts w:eastAsia="Times New Roman"/>
          <w:sz w:val="24"/>
          <w:szCs w:val="24"/>
        </w:rPr>
        <w:t xml:space="preserve">, 2015 COA 116, ¶ 27 (negative inference instruction may be proper when nonparty witness invokes Fifth Amendment privilege); </w:t>
      </w:r>
      <w:r w:rsidRPr="00935DA8">
        <w:rPr>
          <w:rFonts w:eastAsia="Times New Roman"/>
          <w:b/>
          <w:iCs/>
          <w:sz w:val="24"/>
          <w:szCs w:val="24"/>
        </w:rPr>
        <w:t xml:space="preserve">Chaffin, Inc. v. </w:t>
      </w:r>
      <w:proofErr w:type="spellStart"/>
      <w:r w:rsidRPr="00935DA8">
        <w:rPr>
          <w:rFonts w:eastAsia="Times New Roman"/>
          <w:b/>
          <w:iCs/>
          <w:sz w:val="24"/>
          <w:szCs w:val="24"/>
        </w:rPr>
        <w:t>Wallain</w:t>
      </w:r>
      <w:proofErr w:type="spellEnd"/>
      <w:r w:rsidRPr="00935DA8">
        <w:rPr>
          <w:rFonts w:eastAsia="Times New Roman"/>
          <w:sz w:val="24"/>
          <w:szCs w:val="24"/>
        </w:rPr>
        <w:t xml:space="preserve">, 689 P.2d 684 (Colo. App. 1984) (factfinder in civil case should be permitted to draw an adverse inference against party who claims the Fifth Amendment privilege in response to discovery requests and to properly posed questions); and </w:t>
      </w:r>
      <w:proofErr w:type="spellStart"/>
      <w:r w:rsidRPr="00935DA8">
        <w:rPr>
          <w:rFonts w:eastAsia="Times New Roman"/>
          <w:b/>
          <w:sz w:val="24"/>
          <w:szCs w:val="24"/>
        </w:rPr>
        <w:t>Asplin</w:t>
      </w:r>
      <w:proofErr w:type="spellEnd"/>
      <w:r w:rsidRPr="00935DA8">
        <w:rPr>
          <w:rFonts w:eastAsia="Times New Roman"/>
          <w:b/>
          <w:sz w:val="24"/>
          <w:szCs w:val="24"/>
        </w:rPr>
        <w:t xml:space="preserve"> v. Mueller</w:t>
      </w:r>
      <w:r w:rsidRPr="00935DA8">
        <w:rPr>
          <w:rFonts w:eastAsia="Times New Roman"/>
          <w:sz w:val="24"/>
          <w:szCs w:val="24"/>
        </w:rPr>
        <w:t xml:space="preserve">, 687 P.2d 1329 (Colo. App. 1984) (not error to require party who declines to answer certain questions on Fifth Amendment grounds to invoke the privilege in jury’s presence, and such failure raises a strong inference that the answers would have been unfavorable). </w:t>
      </w:r>
    </w:p>
    <w:p w14:paraId="7D9EBA20" w14:textId="77777777" w:rsidR="003F108C" w:rsidRDefault="003F108C" w:rsidP="007A612E">
      <w:pPr>
        <w:spacing w:after="240"/>
        <w:ind w:firstLine="720"/>
        <w:rPr>
          <w:rFonts w:eastAsia="Times New Roman"/>
          <w:sz w:val="24"/>
          <w:szCs w:val="24"/>
        </w:rPr>
      </w:pPr>
      <w:r>
        <w:rPr>
          <w:rFonts w:eastAsia="Times New Roman"/>
          <w:sz w:val="24"/>
          <w:szCs w:val="24"/>
        </w:rPr>
        <w:t xml:space="preserve"> </w:t>
      </w:r>
    </w:p>
    <w:p w14:paraId="4D5748C6" w14:textId="77777777" w:rsidR="003F108C" w:rsidRDefault="003F108C" w:rsidP="003F108C">
      <w:r>
        <w:br w:type="page"/>
      </w:r>
    </w:p>
    <w:p w14:paraId="288FA42E" w14:textId="77777777" w:rsidR="003F108C" w:rsidRPr="009E3DA4" w:rsidRDefault="003F108C" w:rsidP="003F108C">
      <w:pPr>
        <w:spacing w:after="240"/>
        <w:ind w:left="720" w:hanging="720"/>
        <w:rPr>
          <w:rFonts w:eastAsia="Times New Roman"/>
          <w:b/>
          <w:sz w:val="24"/>
          <w:szCs w:val="24"/>
        </w:rPr>
      </w:pPr>
      <w:bookmarkStart w:id="6" w:name="a3_6"/>
      <w:bookmarkEnd w:id="6"/>
      <w:r w:rsidRPr="003F108C">
        <w:rPr>
          <w:rFonts w:eastAsia="Times New Roman"/>
          <w:b/>
          <w:sz w:val="24"/>
          <w:szCs w:val="24"/>
        </w:rPr>
        <w:lastRenderedPageBreak/>
        <w:t xml:space="preserve">3:6 </w:t>
      </w:r>
      <w:r w:rsidRPr="003F108C">
        <w:rPr>
          <w:rFonts w:eastAsia="Times New Roman"/>
          <w:b/>
          <w:sz w:val="24"/>
          <w:szCs w:val="24"/>
        </w:rPr>
        <w:tab/>
        <w:t>STATUTORY PRESUMPTIONS THAT SHIFT THE BURDEN OF PROOF</w:t>
      </w:r>
    </w:p>
    <w:p w14:paraId="299A40CB" w14:textId="77777777" w:rsidR="003F108C" w:rsidRPr="003F108C" w:rsidRDefault="003F108C" w:rsidP="003F108C">
      <w:pPr>
        <w:spacing w:after="240"/>
        <w:ind w:firstLine="720"/>
        <w:rPr>
          <w:rFonts w:eastAsia="Times New Roman"/>
          <w:b/>
          <w:sz w:val="24"/>
          <w:szCs w:val="24"/>
        </w:rPr>
      </w:pPr>
      <w:r w:rsidRPr="003F108C">
        <w:rPr>
          <w:rFonts w:eastAsia="Times New Roman"/>
          <w:b/>
          <w:sz w:val="24"/>
          <w:szCs w:val="24"/>
        </w:rPr>
        <w:t xml:space="preserve">If you find by a preponderance of the evidence that </w:t>
      </w:r>
      <w:r w:rsidRPr="003F108C">
        <w:rPr>
          <w:rFonts w:eastAsia="Times New Roman"/>
          <w:i/>
          <w:sz w:val="24"/>
          <w:szCs w:val="24"/>
        </w:rPr>
        <w:t>(insert the basic facts of the applicable presumption, describing them in terms appropriate to the specific evidence in the case)</w:t>
      </w:r>
      <w:r w:rsidRPr="003F108C">
        <w:rPr>
          <w:rFonts w:eastAsia="Times New Roman"/>
          <w:b/>
          <w:sz w:val="24"/>
          <w:szCs w:val="24"/>
        </w:rPr>
        <w:t xml:space="preserve">, then you must find that </w:t>
      </w:r>
      <w:r w:rsidRPr="003F108C">
        <w:rPr>
          <w:rFonts w:eastAsia="Times New Roman"/>
          <w:i/>
          <w:sz w:val="24"/>
          <w:szCs w:val="24"/>
        </w:rPr>
        <w:t xml:space="preserve">(insert the presumed facts, describing them in terms appropriate to the specific evidence in the case) </w:t>
      </w:r>
      <w:r w:rsidRPr="003F108C">
        <w:rPr>
          <w:rFonts w:eastAsia="Times New Roman"/>
          <w:b/>
          <w:sz w:val="24"/>
          <w:szCs w:val="24"/>
        </w:rPr>
        <w:t xml:space="preserve">(unless you find </w:t>
      </w:r>
      <w:r w:rsidRPr="003F108C">
        <w:rPr>
          <w:rFonts w:eastAsia="Times New Roman"/>
          <w:i/>
          <w:sz w:val="24"/>
          <w:szCs w:val="24"/>
        </w:rPr>
        <w:t xml:space="preserve">[insert appropriate description of burden of proof, e.g., “by a preponderance of the evidence,” “by clear and convincing evidence,” “beyond a reasonable doubt”] </w:t>
      </w:r>
      <w:r w:rsidRPr="003F108C">
        <w:rPr>
          <w:rFonts w:eastAsia="Times New Roman"/>
          <w:b/>
          <w:sz w:val="24"/>
          <w:szCs w:val="24"/>
        </w:rPr>
        <w:t>that</w:t>
      </w:r>
      <w:r w:rsidRPr="003F108C">
        <w:rPr>
          <w:rFonts w:eastAsia="Times New Roman"/>
          <w:i/>
          <w:sz w:val="24"/>
          <w:szCs w:val="24"/>
        </w:rPr>
        <w:t xml:space="preserve"> [insert appropriate negative description of presumed fact, e.g., “(name) was not in fact negligent,” “(name) is not in fact the father of (name)”]</w:t>
      </w:r>
      <w:r w:rsidRPr="003F108C">
        <w:rPr>
          <w:rFonts w:eastAsia="Times New Roman"/>
          <w:b/>
          <w:i/>
          <w:sz w:val="24"/>
          <w:szCs w:val="24"/>
        </w:rPr>
        <w:t>)</w:t>
      </w:r>
      <w:r w:rsidRPr="003F108C">
        <w:rPr>
          <w:rFonts w:eastAsia="Times New Roman"/>
          <w:b/>
          <w:sz w:val="24"/>
          <w:szCs w:val="24"/>
        </w:rPr>
        <w:t>.</w:t>
      </w:r>
    </w:p>
    <w:p w14:paraId="1DB47B8C" w14:textId="77777777" w:rsidR="003F108C" w:rsidRDefault="003F108C" w:rsidP="003F108C">
      <w:pPr>
        <w:jc w:val="center"/>
        <w:rPr>
          <w:rFonts w:eastAsia="Times New Roman"/>
          <w:sz w:val="24"/>
          <w:szCs w:val="24"/>
        </w:rPr>
      </w:pPr>
    </w:p>
    <w:p w14:paraId="2FF46E7F" w14:textId="77777777" w:rsidR="003F108C" w:rsidRPr="0054263B" w:rsidRDefault="003F108C" w:rsidP="003F108C">
      <w:pPr>
        <w:keepNext/>
        <w:spacing w:after="240"/>
        <w:jc w:val="center"/>
        <w:rPr>
          <w:rFonts w:eastAsia="Times New Roman"/>
          <w:b/>
          <w:sz w:val="24"/>
          <w:szCs w:val="24"/>
        </w:rPr>
      </w:pPr>
      <w:r w:rsidRPr="0054263B">
        <w:rPr>
          <w:rFonts w:eastAsia="Times New Roman"/>
          <w:b/>
          <w:sz w:val="24"/>
          <w:szCs w:val="24"/>
        </w:rPr>
        <w:t>Notes on Use</w:t>
      </w:r>
    </w:p>
    <w:p w14:paraId="4F3FC04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should be used only for rebuttable statutory presumptions that not only shift the burden of going forward with the evidence, but also shift the burden of proof, and consequently are not governed by CRE 301. </w:t>
      </w:r>
      <w:r w:rsidRPr="005B3A78">
        <w:rPr>
          <w:rFonts w:eastAsia="Times New Roman"/>
          <w:i/>
          <w:sz w:val="24"/>
          <w:szCs w:val="24"/>
        </w:rPr>
        <w:t xml:space="preserve">See </w:t>
      </w:r>
      <w:r w:rsidRPr="005B3A78">
        <w:rPr>
          <w:rFonts w:eastAsia="Times New Roman"/>
          <w:b/>
          <w:sz w:val="24"/>
          <w:szCs w:val="24"/>
        </w:rPr>
        <w:t>City of Littleton v. Indus. Claim Appeals Office</w:t>
      </w:r>
      <w:r w:rsidRPr="005B3A78">
        <w:rPr>
          <w:rFonts w:eastAsia="Times New Roman"/>
          <w:sz w:val="24"/>
          <w:szCs w:val="24"/>
        </w:rPr>
        <w:t>, 2016 CO 25, ¶ 37, 370 P.3d 157 (distinguishing between a “Thayer–</w:t>
      </w:r>
      <w:proofErr w:type="spellStart"/>
      <w:r w:rsidRPr="005B3A78">
        <w:rPr>
          <w:rFonts w:eastAsia="Times New Roman"/>
          <w:sz w:val="24"/>
          <w:szCs w:val="24"/>
        </w:rPr>
        <w:t>Wigmore</w:t>
      </w:r>
      <w:proofErr w:type="spellEnd"/>
      <w:r w:rsidRPr="005B3A78">
        <w:rPr>
          <w:rFonts w:eastAsia="Times New Roman"/>
          <w:sz w:val="24"/>
          <w:szCs w:val="24"/>
        </w:rPr>
        <w:t xml:space="preserve">” presumption that shifts only the burden of production and a “Morgan-type” presumption that shifts the burden of persuasion); </w:t>
      </w:r>
      <w:r w:rsidRPr="005B3A78">
        <w:rPr>
          <w:rFonts w:eastAsia="Times New Roman"/>
          <w:i/>
          <w:sz w:val="24"/>
          <w:szCs w:val="24"/>
        </w:rPr>
        <w:t>see also</w:t>
      </w:r>
      <w:r w:rsidRPr="005B3A78">
        <w:rPr>
          <w:rFonts w:eastAsia="Times New Roman"/>
          <w:sz w:val="24"/>
          <w:szCs w:val="24"/>
        </w:rPr>
        <w:t xml:space="preserve"> § 33-44-109(2), C.R.S. (presumption of sole responsibility of skier and not ski area operator for certain collisions, discussed in </w:t>
      </w:r>
      <w:r w:rsidRPr="005B3A78">
        <w:rPr>
          <w:rFonts w:eastAsia="Times New Roman"/>
          <w:b/>
          <w:sz w:val="24"/>
          <w:szCs w:val="24"/>
        </w:rPr>
        <w:t>Pizza v. Wolf Creek Ski Dev. Corp.</w:t>
      </w:r>
      <w:r w:rsidRPr="005B3A78">
        <w:rPr>
          <w:rFonts w:eastAsia="Times New Roman"/>
          <w:sz w:val="24"/>
          <w:szCs w:val="24"/>
        </w:rPr>
        <w:t>, 711 P.2d 671 (Colo. 1985), and</w:t>
      </w:r>
      <w:r w:rsidRPr="005B3A78">
        <w:rPr>
          <w:rFonts w:eastAsia="Times New Roman"/>
          <w:b/>
          <w:sz w:val="24"/>
          <w:szCs w:val="24"/>
        </w:rPr>
        <w:t xml:space="preserve"> Scott v. Silver Creek Ski Corp.</w:t>
      </w:r>
      <w:r w:rsidRPr="005B3A78">
        <w:rPr>
          <w:rFonts w:eastAsia="Times New Roman"/>
          <w:sz w:val="24"/>
          <w:szCs w:val="24"/>
        </w:rPr>
        <w:t xml:space="preserve">, 767 P.2d 806 (Colo. App. 1988)). </w:t>
      </w:r>
    </w:p>
    <w:p w14:paraId="5BC10C5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2. This instruction should not be given unless there is sufficient evidence from which a reasonable jury could find by a preponderance of the evidence that the basic facts giving rise to the presumption are true.</w:t>
      </w:r>
    </w:p>
    <w:p w14:paraId="1803FCB7"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When this instruction is given, the parenthetical last clause of the instruction should be omitted unless the party opposing the presumption has established a prima facie case of the nonexistence of the presumed fact. If the party has done that, then that party is entitled to have the jury determine whether the burden of disproving the presumed fact has also been met. </w:t>
      </w:r>
    </w:p>
    <w:p w14:paraId="6C02C368"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4. Normally the burden of proof to be met as described in the parenthetical last clause will be a preponderance of the evidence. § 13-25-127(1), C.R.S. A specific statute, however, may require a higher standard. </w:t>
      </w:r>
      <w:r w:rsidRPr="005B3A78">
        <w:rPr>
          <w:rFonts w:eastAsia="Times New Roman"/>
          <w:i/>
          <w:sz w:val="24"/>
          <w:szCs w:val="24"/>
        </w:rPr>
        <w:t>See, e.g.</w:t>
      </w:r>
      <w:r w:rsidRPr="005B3A78">
        <w:rPr>
          <w:rFonts w:eastAsia="Times New Roman"/>
          <w:sz w:val="24"/>
          <w:szCs w:val="24"/>
        </w:rPr>
        <w:t>, § 19-4-105(2), C.R.S. (statutory presumptions of paternity may be rebutted only by clear and convincing evidence).</w:t>
      </w:r>
    </w:p>
    <w:p w14:paraId="410F5F32" w14:textId="77777777" w:rsidR="003F108C" w:rsidRPr="0054263B" w:rsidRDefault="003F108C" w:rsidP="003F108C">
      <w:pPr>
        <w:keepNext/>
        <w:spacing w:after="240"/>
        <w:jc w:val="center"/>
        <w:rPr>
          <w:rFonts w:eastAsia="Times New Roman"/>
          <w:b/>
          <w:sz w:val="24"/>
          <w:szCs w:val="24"/>
        </w:rPr>
      </w:pPr>
      <w:r>
        <w:rPr>
          <w:rFonts w:eastAsia="Times New Roman"/>
          <w:b/>
          <w:sz w:val="24"/>
          <w:szCs w:val="24"/>
        </w:rPr>
        <w:t>Source and Authority</w:t>
      </w:r>
    </w:p>
    <w:p w14:paraId="05C3E918" w14:textId="77777777" w:rsidR="007A612E" w:rsidRDefault="005B3A78" w:rsidP="007A612E">
      <w:pPr>
        <w:spacing w:after="240"/>
        <w:ind w:firstLine="720"/>
        <w:rPr>
          <w:rFonts w:eastAsia="Times New Roman"/>
          <w:iCs/>
          <w:sz w:val="24"/>
          <w:szCs w:val="24"/>
        </w:rPr>
      </w:pPr>
      <w:r w:rsidRPr="005B3A78">
        <w:rPr>
          <w:rFonts w:eastAsia="Times New Roman"/>
          <w:iCs/>
          <w:sz w:val="24"/>
          <w:szCs w:val="24"/>
        </w:rPr>
        <w:t>This instruction is supported by</w:t>
      </w:r>
      <w:r w:rsidRPr="005B3A78">
        <w:rPr>
          <w:rFonts w:eastAsia="Times New Roman"/>
          <w:b/>
          <w:iCs/>
          <w:sz w:val="24"/>
          <w:szCs w:val="24"/>
        </w:rPr>
        <w:t xml:space="preserve"> Pizza</w:t>
      </w:r>
      <w:r w:rsidRPr="005B3A78">
        <w:rPr>
          <w:rFonts w:eastAsia="Times New Roman"/>
          <w:iCs/>
          <w:sz w:val="24"/>
          <w:szCs w:val="24"/>
        </w:rPr>
        <w:t xml:space="preserve">, 711 P.2d at 680, and </w:t>
      </w:r>
      <w:r w:rsidRPr="005B3A78">
        <w:rPr>
          <w:rFonts w:eastAsia="Times New Roman"/>
          <w:b/>
          <w:iCs/>
          <w:sz w:val="24"/>
          <w:szCs w:val="24"/>
        </w:rPr>
        <w:t>Scott</w:t>
      </w:r>
      <w:r w:rsidRPr="005B3A78">
        <w:rPr>
          <w:rFonts w:eastAsia="Times New Roman"/>
          <w:iCs/>
          <w:sz w:val="24"/>
          <w:szCs w:val="24"/>
        </w:rPr>
        <w:t>, 767 P.2d at 807.</w:t>
      </w:r>
    </w:p>
    <w:p w14:paraId="47D1EEB9" w14:textId="77777777" w:rsidR="005B3A78" w:rsidRDefault="005B3A78">
      <w:pPr>
        <w:rPr>
          <w:rFonts w:eastAsia="Times New Roman"/>
          <w:iCs/>
          <w:sz w:val="24"/>
          <w:szCs w:val="24"/>
        </w:rPr>
      </w:pPr>
      <w:r>
        <w:rPr>
          <w:rFonts w:eastAsia="Times New Roman"/>
          <w:iCs/>
          <w:sz w:val="24"/>
          <w:szCs w:val="24"/>
        </w:rPr>
        <w:br w:type="page"/>
      </w:r>
    </w:p>
    <w:p w14:paraId="5BC0011A" w14:textId="77777777" w:rsidR="005B3A78" w:rsidRPr="009E3DA4" w:rsidRDefault="005B3A78" w:rsidP="005B3A78">
      <w:pPr>
        <w:spacing w:after="240"/>
        <w:ind w:left="720" w:hanging="720"/>
        <w:rPr>
          <w:rFonts w:eastAsia="Times New Roman"/>
          <w:b/>
          <w:sz w:val="24"/>
          <w:szCs w:val="24"/>
        </w:rPr>
      </w:pPr>
      <w:bookmarkStart w:id="7" w:name="a3_7"/>
      <w:bookmarkEnd w:id="7"/>
      <w:r w:rsidRPr="005B3A78">
        <w:rPr>
          <w:rFonts w:eastAsia="Times New Roman"/>
          <w:b/>
          <w:sz w:val="24"/>
          <w:szCs w:val="24"/>
        </w:rPr>
        <w:lastRenderedPageBreak/>
        <w:t xml:space="preserve">3:7 </w:t>
      </w:r>
      <w:r w:rsidRPr="005B3A78">
        <w:rPr>
          <w:rFonts w:eastAsia="Times New Roman"/>
          <w:b/>
          <w:sz w:val="24"/>
          <w:szCs w:val="24"/>
        </w:rPr>
        <w:tab/>
        <w:t>CONSTRUCTIVE KNOWLEDGE BASED ON DUTY TO INQUIRE</w:t>
      </w:r>
    </w:p>
    <w:p w14:paraId="6FF730BD" w14:textId="77777777" w:rsidR="005B3A78" w:rsidRPr="005B3A78" w:rsidRDefault="005B3A78" w:rsidP="005B3A78">
      <w:pPr>
        <w:spacing w:after="240"/>
        <w:ind w:firstLine="720"/>
        <w:rPr>
          <w:rFonts w:eastAsia="Times New Roman"/>
          <w:b/>
          <w:sz w:val="24"/>
          <w:szCs w:val="24"/>
        </w:rPr>
      </w:pPr>
      <w:r w:rsidRPr="005B3A78">
        <w:rPr>
          <w:rFonts w:eastAsia="Times New Roman"/>
          <w:b/>
          <w:sz w:val="24"/>
          <w:szCs w:val="24"/>
        </w:rPr>
        <w:t>You must find that a person knew a fact, if (he) (she) had information that would have led a reasonable person to inquire further and that inquiry would have revealed that fact.</w:t>
      </w:r>
    </w:p>
    <w:p w14:paraId="7915AAE2" w14:textId="77777777" w:rsidR="005B3A78" w:rsidRDefault="005B3A78" w:rsidP="005B3A78">
      <w:pPr>
        <w:jc w:val="center"/>
        <w:rPr>
          <w:rFonts w:eastAsia="Times New Roman"/>
          <w:sz w:val="24"/>
          <w:szCs w:val="24"/>
        </w:rPr>
      </w:pPr>
    </w:p>
    <w:p w14:paraId="4F49936A" w14:textId="77777777" w:rsidR="005B3A78" w:rsidRPr="0054263B" w:rsidRDefault="005B3A78" w:rsidP="005B3A78">
      <w:pPr>
        <w:keepNext/>
        <w:spacing w:after="240"/>
        <w:jc w:val="center"/>
        <w:rPr>
          <w:rFonts w:eastAsia="Times New Roman"/>
          <w:b/>
          <w:sz w:val="24"/>
          <w:szCs w:val="24"/>
        </w:rPr>
      </w:pPr>
      <w:r w:rsidRPr="0054263B">
        <w:rPr>
          <w:rFonts w:eastAsia="Times New Roman"/>
          <w:b/>
          <w:sz w:val="24"/>
          <w:szCs w:val="24"/>
        </w:rPr>
        <w:t>Notes on Use</w:t>
      </w:r>
    </w:p>
    <w:p w14:paraId="54A9385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is applicable to those situations where the law imposes a duty to inquire. Such situations may include negligence cases where a reasonable person would have made further inquiry before proceeding in his or her conduct, e.g., investigating the meaning of a warning signal such as a flashing red light on a road indicating a major road hazard. </w:t>
      </w:r>
      <w:r w:rsidRPr="005B3A78">
        <w:rPr>
          <w:rFonts w:eastAsia="Times New Roman"/>
          <w:i/>
          <w:sz w:val="24"/>
          <w:szCs w:val="24"/>
        </w:rPr>
        <w:t>See</w:t>
      </w:r>
      <w:r w:rsidRPr="005B3A78">
        <w:rPr>
          <w:rFonts w:eastAsia="Times New Roman"/>
          <w:sz w:val="24"/>
          <w:szCs w:val="24"/>
        </w:rPr>
        <w:t xml:space="preserve"> </w:t>
      </w:r>
      <w:r w:rsidRPr="005B3A78">
        <w:rPr>
          <w:rFonts w:eastAsia="Times New Roman"/>
          <w:b/>
          <w:sz w:val="24"/>
          <w:szCs w:val="24"/>
        </w:rPr>
        <w:t>Sheffield Servs. Co. v. Trowbridge</w:t>
      </w:r>
      <w:r w:rsidRPr="005B3A78">
        <w:rPr>
          <w:rFonts w:eastAsia="Times New Roman"/>
          <w:sz w:val="24"/>
          <w:szCs w:val="24"/>
        </w:rPr>
        <w:t xml:space="preserve">, 211 P.3d 714 (Colo. App. 2009) (inquiry notice in negligent misrepresentation case), </w:t>
      </w:r>
      <w:r w:rsidRPr="005B3A78">
        <w:rPr>
          <w:rFonts w:eastAsia="Times New Roman"/>
          <w:i/>
          <w:sz w:val="24"/>
          <w:szCs w:val="24"/>
        </w:rPr>
        <w:t>overruled on other grounds by</w:t>
      </w:r>
      <w:r w:rsidRPr="005B3A78">
        <w:rPr>
          <w:rFonts w:eastAsia="Times New Roman"/>
          <w:sz w:val="24"/>
          <w:szCs w:val="24"/>
        </w:rPr>
        <w:t xml:space="preserve"> </w:t>
      </w:r>
      <w:r w:rsidRPr="005B3A78">
        <w:rPr>
          <w:rFonts w:eastAsia="Times New Roman"/>
          <w:b/>
          <w:sz w:val="24"/>
          <w:szCs w:val="24"/>
        </w:rPr>
        <w:t xml:space="preserve">Weinstein v. Colborne </w:t>
      </w:r>
      <w:proofErr w:type="spellStart"/>
      <w:r w:rsidRPr="005B3A78">
        <w:rPr>
          <w:rFonts w:eastAsia="Times New Roman"/>
          <w:b/>
          <w:sz w:val="24"/>
          <w:szCs w:val="24"/>
        </w:rPr>
        <w:t>Foodbotics</w:t>
      </w:r>
      <w:proofErr w:type="spellEnd"/>
      <w:r w:rsidRPr="005B3A78">
        <w:rPr>
          <w:rFonts w:eastAsia="Times New Roman"/>
          <w:b/>
          <w:sz w:val="24"/>
          <w:szCs w:val="24"/>
        </w:rPr>
        <w:t>, LLC</w:t>
      </w:r>
      <w:r w:rsidRPr="005B3A78">
        <w:rPr>
          <w:rFonts w:eastAsia="Times New Roman"/>
          <w:sz w:val="24"/>
          <w:szCs w:val="24"/>
        </w:rPr>
        <w:t>, 2013 CO 33, 302 P.3d 263.</w:t>
      </w:r>
    </w:p>
    <w:p w14:paraId="7AE2BACA"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2. This instruction does not apply in deceit cases. </w:t>
      </w:r>
      <w:r w:rsidRPr="005B3A78">
        <w:rPr>
          <w:rFonts w:eastAsia="Times New Roman"/>
          <w:i/>
          <w:sz w:val="24"/>
          <w:szCs w:val="24"/>
        </w:rPr>
        <w:t>See</w:t>
      </w:r>
      <w:r w:rsidRPr="005B3A78">
        <w:rPr>
          <w:rFonts w:eastAsia="Times New Roman"/>
          <w:sz w:val="24"/>
          <w:szCs w:val="24"/>
        </w:rPr>
        <w:t xml:space="preserve"> Instruction 19:10.</w:t>
      </w:r>
    </w:p>
    <w:p w14:paraId="6724D42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This instruction need not be given in negligence cases if other instructions given in the case adequately advise the jury as to the applicable law. </w:t>
      </w:r>
      <w:r w:rsidRPr="005B3A78">
        <w:rPr>
          <w:rFonts w:eastAsia="Times New Roman"/>
          <w:b/>
          <w:sz w:val="24"/>
          <w:szCs w:val="24"/>
        </w:rPr>
        <w:t xml:space="preserve">Allen v. Ramada </w:t>
      </w:r>
      <w:smartTag w:uri="urn:schemas-microsoft-com:office:smarttags" w:element="place">
        <w:r w:rsidRPr="005B3A78">
          <w:rPr>
            <w:rFonts w:eastAsia="Times New Roman"/>
            <w:b/>
            <w:sz w:val="24"/>
            <w:szCs w:val="24"/>
          </w:rPr>
          <w:t>Inn</w:t>
        </w:r>
      </w:smartTag>
      <w:r w:rsidRPr="005B3A78">
        <w:rPr>
          <w:rFonts w:eastAsia="Times New Roman"/>
          <w:b/>
          <w:sz w:val="24"/>
          <w:szCs w:val="24"/>
        </w:rPr>
        <w:t>, Inc.</w:t>
      </w:r>
      <w:r w:rsidRPr="005B3A78">
        <w:rPr>
          <w:rFonts w:eastAsia="Times New Roman"/>
          <w:sz w:val="24"/>
          <w:szCs w:val="24"/>
        </w:rPr>
        <w:t>, 778 P.2d 291 (Colo. App. 1989).</w:t>
      </w:r>
    </w:p>
    <w:p w14:paraId="0AEB2D31" w14:textId="77777777" w:rsidR="005B3A78" w:rsidRPr="0054263B" w:rsidRDefault="005B3A78" w:rsidP="005B3A78">
      <w:pPr>
        <w:keepNext/>
        <w:spacing w:after="240"/>
        <w:jc w:val="center"/>
        <w:rPr>
          <w:rFonts w:eastAsia="Times New Roman"/>
          <w:b/>
          <w:sz w:val="24"/>
          <w:szCs w:val="24"/>
        </w:rPr>
      </w:pPr>
      <w:r>
        <w:rPr>
          <w:rFonts w:eastAsia="Times New Roman"/>
          <w:b/>
          <w:sz w:val="24"/>
          <w:szCs w:val="24"/>
        </w:rPr>
        <w:t>Source and Authority</w:t>
      </w:r>
    </w:p>
    <w:p w14:paraId="7B31688B" w14:textId="77777777" w:rsidR="005B3A78" w:rsidRPr="005B3A78" w:rsidRDefault="005B3A78" w:rsidP="005B3A78">
      <w:pPr>
        <w:spacing w:after="240"/>
        <w:ind w:firstLine="720"/>
        <w:rPr>
          <w:rFonts w:eastAsia="Times New Roman"/>
          <w:iCs/>
          <w:sz w:val="24"/>
          <w:szCs w:val="24"/>
        </w:rPr>
      </w:pPr>
      <w:r w:rsidRPr="005B3A78">
        <w:rPr>
          <w:rFonts w:eastAsia="Times New Roman"/>
          <w:iCs/>
          <w:sz w:val="24"/>
          <w:szCs w:val="24"/>
        </w:rPr>
        <w:t xml:space="preserve">This instruction is supported by </w:t>
      </w:r>
      <w:r w:rsidRPr="005B3A78">
        <w:rPr>
          <w:rFonts w:eastAsia="Times New Roman"/>
          <w:b/>
          <w:iCs/>
          <w:sz w:val="24"/>
          <w:szCs w:val="24"/>
        </w:rPr>
        <w:t>Martinez v. Affordable Housing Network, Inc.</w:t>
      </w:r>
      <w:r w:rsidRPr="005B3A78">
        <w:rPr>
          <w:rFonts w:eastAsia="Times New Roman"/>
          <w:iCs/>
          <w:sz w:val="24"/>
          <w:szCs w:val="24"/>
        </w:rPr>
        <w:t>,</w:t>
      </w:r>
      <w:r w:rsidRPr="005B3A78">
        <w:rPr>
          <w:rFonts w:eastAsia="Times New Roman"/>
          <w:b/>
          <w:i/>
          <w:iCs/>
          <w:sz w:val="24"/>
          <w:szCs w:val="24"/>
        </w:rPr>
        <w:t xml:space="preserve"> </w:t>
      </w:r>
      <w:r w:rsidRPr="005B3A78">
        <w:rPr>
          <w:rFonts w:eastAsia="Times New Roman"/>
          <w:iCs/>
          <w:sz w:val="24"/>
          <w:szCs w:val="24"/>
        </w:rPr>
        <w:t xml:space="preserve">123 P.3d 1201 (Colo. 2005). </w:t>
      </w:r>
    </w:p>
    <w:p w14:paraId="3184A218" w14:textId="77777777" w:rsidR="00837F81" w:rsidRDefault="00837F81">
      <w:pPr>
        <w:rPr>
          <w:rFonts w:eastAsia="Times New Roman"/>
          <w:b/>
          <w:iCs/>
          <w:sz w:val="24"/>
          <w:szCs w:val="24"/>
        </w:rPr>
      </w:pPr>
      <w:r>
        <w:rPr>
          <w:rFonts w:eastAsia="Times New Roman"/>
          <w:b/>
          <w:iCs/>
          <w:sz w:val="24"/>
          <w:szCs w:val="24"/>
        </w:rPr>
        <w:br w:type="page"/>
      </w:r>
    </w:p>
    <w:p w14:paraId="484B4776" w14:textId="77777777" w:rsidR="00837F81" w:rsidRDefault="00837F81" w:rsidP="00837F81">
      <w:pPr>
        <w:spacing w:after="240"/>
        <w:jc w:val="center"/>
        <w:rPr>
          <w:rFonts w:eastAsia="Times New Roman"/>
          <w:b/>
          <w:sz w:val="24"/>
          <w:szCs w:val="24"/>
        </w:rPr>
      </w:pPr>
      <w:r w:rsidRPr="00837F81">
        <w:rPr>
          <w:rFonts w:eastAsia="Times New Roman"/>
          <w:b/>
          <w:sz w:val="24"/>
          <w:szCs w:val="24"/>
        </w:rPr>
        <w:lastRenderedPageBreak/>
        <w:t>C. WEIGHING OF EVIDENCE</w:t>
      </w:r>
    </w:p>
    <w:p w14:paraId="0B01646B" w14:textId="77777777" w:rsidR="00837F81" w:rsidRPr="009E3DA4" w:rsidRDefault="00837F81" w:rsidP="00837F81">
      <w:pPr>
        <w:spacing w:after="240"/>
        <w:ind w:left="720" w:hanging="720"/>
        <w:rPr>
          <w:rFonts w:eastAsia="Times New Roman"/>
          <w:b/>
          <w:sz w:val="24"/>
          <w:szCs w:val="24"/>
        </w:rPr>
      </w:pPr>
      <w:bookmarkStart w:id="8" w:name="a3_8"/>
      <w:bookmarkEnd w:id="8"/>
      <w:r w:rsidRPr="00837F81">
        <w:rPr>
          <w:rFonts w:eastAsia="Times New Roman"/>
          <w:b/>
          <w:sz w:val="24"/>
          <w:szCs w:val="24"/>
        </w:rPr>
        <w:t xml:space="preserve">3:8 </w:t>
      </w:r>
      <w:r w:rsidRPr="00837F81">
        <w:rPr>
          <w:rFonts w:eastAsia="Times New Roman"/>
          <w:b/>
          <w:sz w:val="24"/>
          <w:szCs w:val="24"/>
        </w:rPr>
        <w:tab/>
        <w:t>EVIDENCE IN THE CASE — STIPULATIONS — JUDICIAL NOTICE —INFERENCES PERMITTED AND DEFINED</w:t>
      </w:r>
    </w:p>
    <w:p w14:paraId="4F761B96"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The evidence in the case consists of the sworn testimony of all the witnesses (all exhibits which have been received in evidence), (all facts which have been admitted or agreed to), (all facts and events which have been judicially noticed), (and all presumptions stated in these instructions).</w:t>
      </w:r>
    </w:p>
    <w:p w14:paraId="010D249C" w14:textId="5FC8E3E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In deciding the facts, you must consider only t</w:t>
      </w:r>
      <w:r w:rsidR="00DF4FED">
        <w:rPr>
          <w:rFonts w:eastAsia="Times New Roman"/>
          <w:b/>
          <w:sz w:val="24"/>
          <w:szCs w:val="24"/>
        </w:rPr>
        <w:t xml:space="preserve">he evidence received at trial. </w:t>
      </w:r>
      <w:r w:rsidRPr="00837F81">
        <w:rPr>
          <w:rFonts w:eastAsia="Times New Roman"/>
          <w:b/>
          <w:sz w:val="24"/>
          <w:szCs w:val="24"/>
        </w:rPr>
        <w:t xml:space="preserve">Evidence offered at the trial and rejected or stricken by the Court </w:t>
      </w:r>
      <w:r w:rsidR="00DF4FED">
        <w:rPr>
          <w:rFonts w:eastAsia="Times New Roman"/>
          <w:b/>
          <w:sz w:val="24"/>
          <w:szCs w:val="24"/>
        </w:rPr>
        <w:t xml:space="preserve">must not be considered by you. </w:t>
      </w:r>
      <w:r w:rsidRPr="00837F81">
        <w:rPr>
          <w:rFonts w:eastAsia="Times New Roman"/>
          <w:b/>
          <w:sz w:val="24"/>
          <w:szCs w:val="24"/>
        </w:rPr>
        <w:t>Statements, remarks, arguments, and objections by counsel and remarks of the Court not directed to you are not evidence.</w:t>
      </w:r>
    </w:p>
    <w:p w14:paraId="70422359" w14:textId="262ECD73"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You are to consider only the evidence in the case and the reasonable inferences from that evidence</w:t>
      </w:r>
      <w:r w:rsidR="00DF4FED">
        <w:rPr>
          <w:rFonts w:eastAsia="Times New Roman"/>
          <w:b/>
          <w:sz w:val="24"/>
          <w:szCs w:val="24"/>
        </w:rPr>
        <w:t xml:space="preserve">. </w:t>
      </w:r>
      <w:r w:rsidRPr="00837F81">
        <w:rPr>
          <w:rFonts w:eastAsia="Times New Roman"/>
          <w:b/>
          <w:sz w:val="24"/>
          <w:szCs w:val="24"/>
        </w:rPr>
        <w:t>An inference is a conclusion that follows, as a matter of reason and common sense, from the evidence.</w:t>
      </w:r>
    </w:p>
    <w:p w14:paraId="345313C1" w14:textId="77777777" w:rsidR="00837F81" w:rsidRPr="00837F81" w:rsidRDefault="00837F81" w:rsidP="00837F81">
      <w:pPr>
        <w:spacing w:after="240"/>
        <w:ind w:firstLine="720"/>
        <w:rPr>
          <w:rFonts w:eastAsia="Times New Roman"/>
          <w:i/>
          <w:sz w:val="24"/>
          <w:szCs w:val="24"/>
        </w:rPr>
      </w:pPr>
      <w:r w:rsidRPr="00837F81">
        <w:rPr>
          <w:rFonts w:eastAsia="Times New Roman"/>
          <w:i/>
          <w:sz w:val="24"/>
          <w:szCs w:val="24"/>
        </w:rPr>
        <w:t>(If there are any stipulations or admissions of fact or stipulations regarding the testimony of any witnesses, instruct the jury in accordance with Instructions 1:12 and 1:13 unless the jury has already been so instructed.)</w:t>
      </w:r>
    </w:p>
    <w:p w14:paraId="7229B33E"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(When the Court declares it has taken judicial notice of some fact or event, the jury must accept that fact or event as proved.)</w:t>
      </w:r>
    </w:p>
    <w:p w14:paraId="44CE5373" w14:textId="77777777" w:rsidR="00837F81" w:rsidRDefault="00837F81" w:rsidP="00837F81">
      <w:pPr>
        <w:jc w:val="center"/>
        <w:rPr>
          <w:rFonts w:eastAsia="Times New Roman"/>
          <w:sz w:val="24"/>
          <w:szCs w:val="24"/>
        </w:rPr>
      </w:pPr>
    </w:p>
    <w:p w14:paraId="3A643B6B" w14:textId="77777777" w:rsidR="00837F81" w:rsidRPr="0054263B" w:rsidRDefault="00837F81" w:rsidP="00837F81">
      <w:pPr>
        <w:keepNext/>
        <w:spacing w:after="240"/>
        <w:jc w:val="center"/>
        <w:rPr>
          <w:rFonts w:eastAsia="Times New Roman"/>
          <w:b/>
          <w:sz w:val="24"/>
          <w:szCs w:val="24"/>
        </w:rPr>
      </w:pPr>
      <w:r w:rsidRPr="0054263B">
        <w:rPr>
          <w:rFonts w:eastAsia="Times New Roman"/>
          <w:b/>
          <w:sz w:val="24"/>
          <w:szCs w:val="24"/>
        </w:rPr>
        <w:t>Notes on Use</w:t>
      </w:r>
    </w:p>
    <w:p w14:paraId="32484D24"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1. If no exhibits have been admitted, or if no facts have been admitted or stipulated or judicially noticed or the jury will not be instructed on any presumptions, references to any of these matters should be deleted from the first paragraph. If the parties have agreed or stipulated to any facts or if the court has judicially noticed any facts, the court should enumerate such facts at the appropriate time, preferably during the trial. Omit the fourth paragraph (or portions thereof) and the fifth paragraph if not applicable.</w:t>
      </w:r>
    </w:p>
    <w:p w14:paraId="1AC42CAE"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2. Instruction 3:9 should be given with this instruction whenever the third paragraph of this instruction is given.</w:t>
      </w:r>
    </w:p>
    <w:p w14:paraId="72F2D770"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 xml:space="preserve">3. Though instructions emphasizing specific evidence are disfavored, policy considerations in some circumstances may permit the trial court to instruct the jury on inferences it may draw from particular facts. </w:t>
      </w:r>
      <w:r w:rsidRPr="00837F81">
        <w:rPr>
          <w:rFonts w:eastAsia="Times New Roman"/>
          <w:b/>
          <w:sz w:val="24"/>
          <w:szCs w:val="24"/>
        </w:rPr>
        <w:t xml:space="preserve">Krueger v. </w:t>
      </w:r>
      <w:proofErr w:type="spellStart"/>
      <w:r w:rsidRPr="00837F81">
        <w:rPr>
          <w:rFonts w:eastAsia="Times New Roman"/>
          <w:b/>
          <w:sz w:val="24"/>
          <w:szCs w:val="24"/>
        </w:rPr>
        <w:t>Ary</w:t>
      </w:r>
      <w:proofErr w:type="spellEnd"/>
      <w:r w:rsidRPr="00837F81">
        <w:rPr>
          <w:rFonts w:eastAsia="Times New Roman"/>
          <w:sz w:val="24"/>
          <w:szCs w:val="24"/>
        </w:rPr>
        <w:t xml:space="preserve">, 205 P.3d 1150 (Colo. 2009) (though presumptions of undue influence and unfairness were sufficiently rebutted such that a presumption instruction was inappropriate, trial court had discretion to inform jury of permissible inferences to be drawn from the evidence giving rise to the presumptions); </w:t>
      </w:r>
      <w:r w:rsidRPr="00310B6B">
        <w:rPr>
          <w:rFonts w:eastAsia="Times New Roman"/>
          <w:i/>
          <w:sz w:val="24"/>
          <w:szCs w:val="24"/>
        </w:rPr>
        <w:t>see, e.g.</w:t>
      </w:r>
      <w:r w:rsidRPr="00837F81">
        <w:rPr>
          <w:rFonts w:eastAsia="Times New Roman"/>
          <w:sz w:val="24"/>
          <w:szCs w:val="24"/>
        </w:rPr>
        <w:t>, Instructions 3:5 and 34:17.</w:t>
      </w:r>
    </w:p>
    <w:p w14:paraId="693FE7C9"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lastRenderedPageBreak/>
        <w:t xml:space="preserve">4. Courts may take judicial notice of the contents of a county attorney’s website where (1) the contents of the website on a specific date and time are not subject to reasonable dispute; (2) the party making the request complies with the requirements of CRE 201(d); (3) the website is self-authenticating as an official publication; and (4) the contents fall within an exception to the hearsay rule (such as that for public records and reports). </w:t>
      </w:r>
      <w:r w:rsidRPr="00837F81">
        <w:rPr>
          <w:rFonts w:eastAsia="Times New Roman"/>
          <w:b/>
          <w:sz w:val="24"/>
          <w:szCs w:val="24"/>
        </w:rPr>
        <w:t xml:space="preserve">Shook v. Pitkin </w:t>
      </w:r>
      <w:proofErr w:type="spellStart"/>
      <w:r w:rsidRPr="00837F81">
        <w:rPr>
          <w:rFonts w:eastAsia="Times New Roman"/>
          <w:b/>
          <w:sz w:val="24"/>
          <w:szCs w:val="24"/>
        </w:rPr>
        <w:t>Cty</w:t>
      </w:r>
      <w:proofErr w:type="spellEnd"/>
      <w:r w:rsidRPr="00837F81">
        <w:rPr>
          <w:rFonts w:eastAsia="Times New Roman"/>
          <w:b/>
          <w:sz w:val="24"/>
          <w:szCs w:val="24"/>
        </w:rPr>
        <w:t xml:space="preserve">. Bd. of </w:t>
      </w:r>
      <w:proofErr w:type="spellStart"/>
      <w:r w:rsidRPr="00837F81">
        <w:rPr>
          <w:rFonts w:eastAsia="Times New Roman"/>
          <w:b/>
          <w:sz w:val="24"/>
          <w:szCs w:val="24"/>
        </w:rPr>
        <w:t>Cty</w:t>
      </w:r>
      <w:proofErr w:type="spellEnd"/>
      <w:r w:rsidRPr="00837F81">
        <w:rPr>
          <w:rFonts w:eastAsia="Times New Roman"/>
          <w:b/>
          <w:sz w:val="24"/>
          <w:szCs w:val="24"/>
        </w:rPr>
        <w:t>. Comm’rs</w:t>
      </w:r>
      <w:r w:rsidRPr="00837F81">
        <w:rPr>
          <w:rFonts w:eastAsia="Times New Roman"/>
          <w:sz w:val="24"/>
          <w:szCs w:val="24"/>
        </w:rPr>
        <w:t>, 2015 COA 84, ¶ 12 n.4</w:t>
      </w:r>
      <w:r w:rsidR="009B2AE8">
        <w:rPr>
          <w:rFonts w:eastAsia="Times New Roman"/>
          <w:sz w:val="24"/>
          <w:szCs w:val="24"/>
        </w:rPr>
        <w:t>, 411 P.3d 158</w:t>
      </w:r>
      <w:r w:rsidRPr="00837F81">
        <w:rPr>
          <w:rFonts w:eastAsia="Times New Roman"/>
          <w:sz w:val="24"/>
          <w:szCs w:val="24"/>
        </w:rPr>
        <w:t>.</w:t>
      </w:r>
    </w:p>
    <w:p w14:paraId="53ABECD9" w14:textId="77777777" w:rsidR="00837F81" w:rsidRPr="0054263B" w:rsidRDefault="00837F81" w:rsidP="00837F81">
      <w:pPr>
        <w:keepNext/>
        <w:spacing w:after="240"/>
        <w:jc w:val="center"/>
        <w:rPr>
          <w:rFonts w:eastAsia="Times New Roman"/>
          <w:b/>
          <w:sz w:val="24"/>
          <w:szCs w:val="24"/>
        </w:rPr>
      </w:pPr>
      <w:r>
        <w:rPr>
          <w:rFonts w:eastAsia="Times New Roman"/>
          <w:b/>
          <w:sz w:val="24"/>
          <w:szCs w:val="24"/>
        </w:rPr>
        <w:t>Source and Authority</w:t>
      </w:r>
    </w:p>
    <w:p w14:paraId="05AA3114" w14:textId="77777777" w:rsidR="00837F81" w:rsidRPr="00837F81" w:rsidRDefault="00837F81" w:rsidP="00837F81">
      <w:pPr>
        <w:spacing w:after="240"/>
        <w:ind w:firstLine="720"/>
        <w:rPr>
          <w:rFonts w:eastAsia="Times New Roman"/>
          <w:iCs/>
          <w:sz w:val="24"/>
          <w:szCs w:val="24"/>
        </w:rPr>
      </w:pPr>
      <w:r w:rsidRPr="00837F81">
        <w:rPr>
          <w:rFonts w:eastAsia="Times New Roman"/>
          <w:iCs/>
          <w:sz w:val="24"/>
          <w:szCs w:val="24"/>
        </w:rPr>
        <w:t xml:space="preserve">1. As to the definition and use of inferences, this instruction is supported by </w:t>
      </w:r>
      <w:proofErr w:type="spellStart"/>
      <w:r w:rsidRPr="00837F81">
        <w:rPr>
          <w:rFonts w:eastAsia="Times New Roman"/>
          <w:b/>
          <w:iCs/>
          <w:sz w:val="24"/>
          <w:szCs w:val="24"/>
        </w:rPr>
        <w:t>Venetucci</w:t>
      </w:r>
      <w:proofErr w:type="spellEnd"/>
      <w:r w:rsidRPr="00837F81">
        <w:rPr>
          <w:rFonts w:eastAsia="Times New Roman"/>
          <w:b/>
          <w:iCs/>
          <w:sz w:val="24"/>
          <w:szCs w:val="24"/>
        </w:rPr>
        <w:t xml:space="preserve"> v. City of Colorado Springs</w:t>
      </w:r>
      <w:r w:rsidRPr="00837F81">
        <w:rPr>
          <w:rFonts w:eastAsia="Times New Roman"/>
          <w:iCs/>
          <w:sz w:val="24"/>
          <w:szCs w:val="24"/>
        </w:rPr>
        <w:t xml:space="preserve">, 99 Colo. 389, 63 P.2d 462 (1936); and </w:t>
      </w:r>
      <w:r w:rsidRPr="00837F81">
        <w:rPr>
          <w:rFonts w:eastAsia="Times New Roman"/>
          <w:b/>
          <w:iCs/>
          <w:sz w:val="24"/>
          <w:szCs w:val="24"/>
        </w:rPr>
        <w:t xml:space="preserve">Independence Coffee &amp; Spice Co. v. </w:t>
      </w:r>
      <w:proofErr w:type="spellStart"/>
      <w:r w:rsidRPr="00837F81">
        <w:rPr>
          <w:rFonts w:eastAsia="Times New Roman"/>
          <w:b/>
          <w:iCs/>
          <w:sz w:val="24"/>
          <w:szCs w:val="24"/>
        </w:rPr>
        <w:t>Kalkman</w:t>
      </w:r>
      <w:proofErr w:type="spellEnd"/>
      <w:r w:rsidRPr="00837F81">
        <w:rPr>
          <w:rFonts w:eastAsia="Times New Roman"/>
          <w:iCs/>
          <w:sz w:val="24"/>
          <w:szCs w:val="24"/>
        </w:rPr>
        <w:t>,</w:t>
      </w:r>
      <w:r w:rsidRPr="00837F81">
        <w:rPr>
          <w:rFonts w:eastAsia="Times New Roman"/>
          <w:b/>
          <w:iCs/>
          <w:sz w:val="24"/>
          <w:szCs w:val="24"/>
        </w:rPr>
        <w:t xml:space="preserve"> </w:t>
      </w:r>
      <w:r w:rsidRPr="00837F81">
        <w:rPr>
          <w:rFonts w:eastAsia="Times New Roman"/>
          <w:iCs/>
          <w:sz w:val="24"/>
          <w:szCs w:val="24"/>
        </w:rPr>
        <w:t xml:space="preserve">61 Colo. 98, 156 P. 135 (1916). </w:t>
      </w:r>
      <w:r w:rsidRPr="00837F81">
        <w:rPr>
          <w:rFonts w:eastAsia="Times New Roman"/>
          <w:i/>
          <w:iCs/>
          <w:sz w:val="24"/>
          <w:szCs w:val="24"/>
        </w:rPr>
        <w:t>See also</w:t>
      </w:r>
      <w:r w:rsidRPr="00837F81">
        <w:rPr>
          <w:rFonts w:eastAsia="Times New Roman"/>
          <w:iCs/>
          <w:sz w:val="24"/>
          <w:szCs w:val="24"/>
        </w:rPr>
        <w:t xml:space="preserve"> </w:t>
      </w:r>
      <w:r w:rsidRPr="00837F81">
        <w:rPr>
          <w:rFonts w:eastAsia="Times New Roman"/>
          <w:i/>
          <w:iCs/>
          <w:sz w:val="24"/>
          <w:szCs w:val="24"/>
        </w:rPr>
        <w:t>Black’s Law Dictionary</w:t>
      </w:r>
      <w:r w:rsidRPr="00837F81">
        <w:rPr>
          <w:rFonts w:eastAsia="Times New Roman"/>
          <w:iCs/>
          <w:sz w:val="24"/>
          <w:szCs w:val="24"/>
        </w:rPr>
        <w:t xml:space="preserve"> 897 (10th ed. 2014).</w:t>
      </w:r>
    </w:p>
    <w:p w14:paraId="6D29837C" w14:textId="77777777" w:rsidR="005B3A78" w:rsidRDefault="00837F81" w:rsidP="007A612E">
      <w:pPr>
        <w:spacing w:after="240"/>
        <w:ind w:firstLine="720"/>
        <w:rPr>
          <w:rFonts w:eastAsia="Times New Roman"/>
          <w:iCs/>
          <w:sz w:val="24"/>
          <w:szCs w:val="24"/>
        </w:rPr>
      </w:pPr>
      <w:r w:rsidRPr="00837F81">
        <w:rPr>
          <w:rFonts w:eastAsia="Times New Roman"/>
          <w:iCs/>
          <w:sz w:val="24"/>
          <w:szCs w:val="24"/>
        </w:rPr>
        <w:t xml:space="preserve">2. Under CRE 201(g), a judicially noticed fact must be taken by the jury as conclusive. </w:t>
      </w:r>
      <w:r w:rsidRPr="00837F81">
        <w:rPr>
          <w:rFonts w:eastAsia="Times New Roman"/>
          <w:i/>
          <w:iCs/>
          <w:sz w:val="24"/>
          <w:szCs w:val="24"/>
        </w:rPr>
        <w:t>See also</w:t>
      </w:r>
      <w:r w:rsidRPr="00837F81">
        <w:rPr>
          <w:rFonts w:eastAsia="Times New Roman"/>
          <w:iCs/>
          <w:sz w:val="24"/>
          <w:szCs w:val="24"/>
        </w:rPr>
        <w:t xml:space="preserve"> </w:t>
      </w:r>
      <w:r w:rsidRPr="0082168C">
        <w:rPr>
          <w:rFonts w:eastAsia="Times New Roman"/>
          <w:iCs/>
          <w:smallCaps/>
          <w:sz w:val="24"/>
          <w:szCs w:val="24"/>
        </w:rPr>
        <w:t>C. McCormick, Evidence</w:t>
      </w:r>
      <w:r w:rsidRPr="00837F81">
        <w:rPr>
          <w:rFonts w:eastAsia="Times New Roman"/>
          <w:iCs/>
          <w:sz w:val="24"/>
          <w:szCs w:val="24"/>
        </w:rPr>
        <w:t xml:space="preserve"> § 332, at 931 n.9 (E. Cleary 3d ed. 1984).</w:t>
      </w:r>
    </w:p>
    <w:p w14:paraId="6CA6273A" w14:textId="77777777" w:rsidR="0082168C" w:rsidRDefault="0082168C">
      <w:pPr>
        <w:rPr>
          <w:rFonts w:eastAsia="Times New Roman"/>
          <w:iCs/>
          <w:sz w:val="24"/>
          <w:szCs w:val="24"/>
        </w:rPr>
      </w:pPr>
      <w:r>
        <w:rPr>
          <w:rFonts w:eastAsia="Times New Roman"/>
          <w:iCs/>
          <w:sz w:val="24"/>
          <w:szCs w:val="24"/>
        </w:rPr>
        <w:br w:type="page"/>
      </w:r>
    </w:p>
    <w:p w14:paraId="3D3BCD96" w14:textId="77777777" w:rsidR="0082168C" w:rsidRPr="009E3DA4" w:rsidRDefault="0082168C" w:rsidP="0082168C">
      <w:pPr>
        <w:spacing w:after="240"/>
        <w:ind w:left="720" w:hanging="720"/>
        <w:rPr>
          <w:rFonts w:eastAsia="Times New Roman"/>
          <w:b/>
          <w:sz w:val="24"/>
          <w:szCs w:val="24"/>
        </w:rPr>
      </w:pPr>
      <w:bookmarkStart w:id="9" w:name="a3_9"/>
      <w:bookmarkEnd w:id="9"/>
      <w:r w:rsidRPr="0082168C">
        <w:rPr>
          <w:rFonts w:eastAsia="Times New Roman"/>
          <w:b/>
          <w:sz w:val="24"/>
          <w:szCs w:val="24"/>
        </w:rPr>
        <w:lastRenderedPageBreak/>
        <w:t xml:space="preserve">3:9 </w:t>
      </w:r>
      <w:r w:rsidRPr="0082168C">
        <w:rPr>
          <w:rFonts w:eastAsia="Times New Roman"/>
          <w:b/>
          <w:sz w:val="24"/>
          <w:szCs w:val="24"/>
        </w:rPr>
        <w:tab/>
        <w:t>DIRECT AND INDIRECT (CIRCUMSTANTIAL) EVIDENCE — DEFINED</w:t>
      </w:r>
    </w:p>
    <w:p w14:paraId="3A4AD486" w14:textId="77777777" w:rsidR="0082168C" w:rsidRPr="0082168C" w:rsidRDefault="0082168C" w:rsidP="0082168C">
      <w:pPr>
        <w:spacing w:after="240"/>
        <w:ind w:firstLine="720"/>
        <w:rPr>
          <w:rFonts w:eastAsia="Times New Roman"/>
          <w:b/>
          <w:sz w:val="24"/>
          <w:szCs w:val="24"/>
        </w:rPr>
      </w:pPr>
      <w:r w:rsidRPr="0082168C">
        <w:rPr>
          <w:rFonts w:eastAsia="Times New Roman"/>
          <w:b/>
          <w:sz w:val="24"/>
          <w:szCs w:val="24"/>
        </w:rPr>
        <w:t>Evidence may be either direct or circumstantial. Circumstantial evidence is the proof of facts or circumstances from which the existence or nonexistence of other facts may reasonably be inferred. All other evidence is direct evidence. The law makes no distinction between the effect of direct evidence and circumstantial evidence.</w:t>
      </w:r>
    </w:p>
    <w:p w14:paraId="63C7FB22" w14:textId="77777777" w:rsidR="0082168C" w:rsidRDefault="0082168C" w:rsidP="0082168C">
      <w:pPr>
        <w:jc w:val="center"/>
        <w:rPr>
          <w:rFonts w:eastAsia="Times New Roman"/>
          <w:sz w:val="24"/>
          <w:szCs w:val="24"/>
        </w:rPr>
      </w:pPr>
    </w:p>
    <w:p w14:paraId="09FA3B1F" w14:textId="77777777" w:rsidR="0082168C" w:rsidRPr="0054263B" w:rsidRDefault="0082168C" w:rsidP="0082168C">
      <w:pPr>
        <w:keepNext/>
        <w:spacing w:after="240"/>
        <w:jc w:val="center"/>
        <w:rPr>
          <w:rFonts w:eastAsia="Times New Roman"/>
          <w:b/>
          <w:sz w:val="24"/>
          <w:szCs w:val="24"/>
        </w:rPr>
      </w:pPr>
      <w:r w:rsidRPr="0054263B">
        <w:rPr>
          <w:rFonts w:eastAsia="Times New Roman"/>
          <w:b/>
          <w:sz w:val="24"/>
          <w:szCs w:val="24"/>
        </w:rPr>
        <w:t>Notes on Use</w:t>
      </w:r>
    </w:p>
    <w:p w14:paraId="5FBAB9B9" w14:textId="77777777" w:rsidR="0082168C" w:rsidRPr="0082168C" w:rsidRDefault="0082168C" w:rsidP="0082168C">
      <w:pPr>
        <w:spacing w:after="240"/>
        <w:ind w:firstLine="720"/>
        <w:rPr>
          <w:rFonts w:eastAsia="Times New Roman"/>
          <w:sz w:val="24"/>
          <w:szCs w:val="24"/>
        </w:rPr>
      </w:pPr>
      <w:r w:rsidRPr="0082168C">
        <w:rPr>
          <w:rFonts w:eastAsia="Times New Roman"/>
          <w:sz w:val="24"/>
          <w:szCs w:val="24"/>
        </w:rPr>
        <w:t>This instruction should be given whenever the third paragraph of Instruction 3:8 is given.</w:t>
      </w:r>
    </w:p>
    <w:p w14:paraId="1973E785" w14:textId="77777777" w:rsidR="0082168C" w:rsidRPr="0054263B" w:rsidRDefault="0082168C" w:rsidP="0082168C">
      <w:pPr>
        <w:keepNext/>
        <w:spacing w:after="240"/>
        <w:jc w:val="center"/>
        <w:rPr>
          <w:rFonts w:eastAsia="Times New Roman"/>
          <w:b/>
          <w:sz w:val="24"/>
          <w:szCs w:val="24"/>
        </w:rPr>
      </w:pPr>
      <w:r>
        <w:rPr>
          <w:rFonts w:eastAsia="Times New Roman"/>
          <w:b/>
          <w:sz w:val="24"/>
          <w:szCs w:val="24"/>
        </w:rPr>
        <w:t>Source and Authority</w:t>
      </w:r>
    </w:p>
    <w:p w14:paraId="0E858FB8" w14:textId="77777777" w:rsidR="0082168C" w:rsidRDefault="0082168C" w:rsidP="007A612E">
      <w:pPr>
        <w:spacing w:after="240"/>
        <w:ind w:firstLine="720"/>
        <w:rPr>
          <w:rFonts w:eastAsia="Times New Roman"/>
          <w:iCs/>
          <w:sz w:val="24"/>
          <w:szCs w:val="24"/>
        </w:rPr>
      </w:pPr>
      <w:r w:rsidRPr="0082168C">
        <w:rPr>
          <w:rFonts w:eastAsia="Times New Roman"/>
          <w:iCs/>
          <w:sz w:val="24"/>
          <w:szCs w:val="24"/>
        </w:rPr>
        <w:t xml:space="preserve">This instruction is supported by </w:t>
      </w:r>
      <w:r w:rsidRPr="0082168C">
        <w:rPr>
          <w:rFonts w:eastAsia="Times New Roman"/>
          <w:b/>
          <w:iCs/>
          <w:sz w:val="24"/>
          <w:szCs w:val="24"/>
        </w:rPr>
        <w:t xml:space="preserve">Quintana v. </w:t>
      </w:r>
      <w:proofErr w:type="spellStart"/>
      <w:r w:rsidRPr="0082168C">
        <w:rPr>
          <w:rFonts w:eastAsia="Times New Roman"/>
          <w:b/>
          <w:iCs/>
          <w:sz w:val="24"/>
          <w:szCs w:val="24"/>
        </w:rPr>
        <w:t>Kudrna</w:t>
      </w:r>
      <w:proofErr w:type="spellEnd"/>
      <w:r w:rsidRPr="0082168C">
        <w:rPr>
          <w:rFonts w:eastAsia="Times New Roman"/>
          <w:iCs/>
          <w:sz w:val="24"/>
          <w:szCs w:val="24"/>
        </w:rPr>
        <w:t xml:space="preserve">, 157 Colo. 421, 402 P.2d 927 (1965); </w:t>
      </w:r>
      <w:r w:rsidRPr="0082168C">
        <w:rPr>
          <w:rFonts w:eastAsia="Times New Roman"/>
          <w:b/>
          <w:iCs/>
          <w:sz w:val="24"/>
          <w:szCs w:val="24"/>
        </w:rPr>
        <w:t>Miller v. Boma Inv. Co.</w:t>
      </w:r>
      <w:r w:rsidRPr="0082168C">
        <w:rPr>
          <w:rFonts w:eastAsia="Times New Roman"/>
          <w:iCs/>
          <w:sz w:val="24"/>
          <w:szCs w:val="24"/>
        </w:rPr>
        <w:t>,</w:t>
      </w:r>
      <w:r w:rsidRPr="0082168C">
        <w:rPr>
          <w:rFonts w:eastAsia="Times New Roman"/>
          <w:b/>
          <w:iCs/>
          <w:sz w:val="24"/>
          <w:szCs w:val="24"/>
        </w:rPr>
        <w:t xml:space="preserve"> </w:t>
      </w:r>
      <w:r w:rsidRPr="0082168C">
        <w:rPr>
          <w:rFonts w:eastAsia="Times New Roman"/>
          <w:iCs/>
          <w:sz w:val="24"/>
          <w:szCs w:val="24"/>
        </w:rPr>
        <w:t xml:space="preserve">112 Colo. 7, 144 P.2d 988 (1944); and </w:t>
      </w:r>
      <w:r w:rsidRPr="0082168C">
        <w:rPr>
          <w:rFonts w:eastAsia="Times New Roman"/>
          <w:b/>
          <w:iCs/>
          <w:sz w:val="24"/>
          <w:szCs w:val="24"/>
        </w:rPr>
        <w:t>In re Estate of Ramstetter</w:t>
      </w:r>
      <w:r w:rsidRPr="0082168C">
        <w:rPr>
          <w:rFonts w:eastAsia="Times New Roman"/>
          <w:iCs/>
          <w:sz w:val="24"/>
          <w:szCs w:val="24"/>
        </w:rPr>
        <w:t>, 2016 COA 81, ¶¶ 53-54</w:t>
      </w:r>
      <w:r w:rsidR="009B2AE8">
        <w:rPr>
          <w:rFonts w:eastAsia="Times New Roman"/>
          <w:iCs/>
          <w:sz w:val="24"/>
          <w:szCs w:val="24"/>
        </w:rPr>
        <w:t>, 411 P.3d 1043</w:t>
      </w:r>
      <w:r w:rsidRPr="0082168C">
        <w:rPr>
          <w:rFonts w:eastAsia="Times New Roman"/>
          <w:iCs/>
          <w:sz w:val="24"/>
          <w:szCs w:val="24"/>
        </w:rPr>
        <w:t xml:space="preserve"> (Because circumstantial evidence enjoys the same status as direct evidence, it may be sufficient to support a finding of mutual mistake in a contract dispute.).</w:t>
      </w:r>
    </w:p>
    <w:p w14:paraId="34E73460" w14:textId="77777777" w:rsidR="00037111" w:rsidRDefault="00037111">
      <w:pPr>
        <w:rPr>
          <w:rFonts w:eastAsia="Times New Roman"/>
          <w:iCs/>
          <w:sz w:val="24"/>
          <w:szCs w:val="24"/>
        </w:rPr>
      </w:pPr>
      <w:r>
        <w:rPr>
          <w:rFonts w:eastAsia="Times New Roman"/>
          <w:iCs/>
          <w:sz w:val="24"/>
          <w:szCs w:val="24"/>
        </w:rPr>
        <w:br w:type="page"/>
      </w:r>
    </w:p>
    <w:p w14:paraId="24D11900" w14:textId="77777777" w:rsidR="00037111" w:rsidRPr="009E3DA4" w:rsidRDefault="00037111" w:rsidP="00037111">
      <w:pPr>
        <w:spacing w:after="240"/>
        <w:ind w:left="720" w:hanging="720"/>
        <w:rPr>
          <w:rFonts w:eastAsia="Times New Roman"/>
          <w:b/>
          <w:sz w:val="24"/>
          <w:szCs w:val="24"/>
        </w:rPr>
      </w:pPr>
      <w:bookmarkStart w:id="10" w:name="a3_10"/>
      <w:bookmarkEnd w:id="10"/>
      <w:r w:rsidRPr="00037111">
        <w:rPr>
          <w:rFonts w:eastAsia="Times New Roman"/>
          <w:b/>
          <w:sz w:val="24"/>
          <w:szCs w:val="24"/>
        </w:rPr>
        <w:lastRenderedPageBreak/>
        <w:t xml:space="preserve">3:10 </w:t>
      </w:r>
      <w:r w:rsidRPr="00037111">
        <w:rPr>
          <w:rFonts w:eastAsia="Times New Roman"/>
          <w:b/>
          <w:sz w:val="24"/>
          <w:szCs w:val="24"/>
        </w:rPr>
        <w:tab/>
        <w:t>DEPOSITIONS AS EVIDENCE</w:t>
      </w:r>
    </w:p>
    <w:p w14:paraId="04B8CB7A"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(summarized and read) (video recorded and introduced) (audio recorded and introduced) into evidence from a deposition. A deposition is testimony taken under oath before the trial. You are to consider that (testimony) (summary of testimony) as if it had been given by the witness from the witness stand.</w:t>
      </w:r>
    </w:p>
    <w:p w14:paraId="4062BCD2" w14:textId="77777777" w:rsidR="00037111" w:rsidRDefault="00037111" w:rsidP="00037111">
      <w:pPr>
        <w:jc w:val="center"/>
        <w:rPr>
          <w:rFonts w:eastAsia="Times New Roman"/>
          <w:sz w:val="24"/>
          <w:szCs w:val="24"/>
        </w:rPr>
      </w:pPr>
    </w:p>
    <w:p w14:paraId="26F2924B"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2E2FE18"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1. Use whichever parenthesized words are most appropriate.</w:t>
      </w:r>
    </w:p>
    <w:p w14:paraId="193AB710"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 xml:space="preserve">2. This instruction should be given immediately before or after the deposition is admitted into evidence. </w:t>
      </w:r>
    </w:p>
    <w:p w14:paraId="7C8D9A34"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3. This instruction should be given only if a deposition has been admitted as substantive evidence. It should not be given if a deposition has only been used for impeachment, for example, by showing a prior inconsistent statement. If one or more depositions have been used for impeachment purposes in a case in which one or more other depositions have been admitted as substantive evidence, the court should add to this instruction an identification of those depositions which have been admitted as substantive evidence and those which have been used only for impeachment purposes. As to the latter, the court should also caution the jury that they are not to be considered as substantive evidence on the merits of the case, but should be considered by them only insofar as such depositions may relate to the credibility of a witness.</w:t>
      </w:r>
    </w:p>
    <w:p w14:paraId="5F61C256"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4. The “Report of the Colorado Supreme Court Committee on the Effective and Efficient Use of Juries,” adopted in principle by the Colorado Supreme Court in February 1997, recommends:</w:t>
      </w:r>
    </w:p>
    <w:p w14:paraId="44694A6A" w14:textId="77777777" w:rsidR="00037111" w:rsidRPr="00037111" w:rsidRDefault="00037111" w:rsidP="00037111">
      <w:pPr>
        <w:spacing w:after="240"/>
        <w:ind w:left="720"/>
        <w:rPr>
          <w:rFonts w:eastAsia="Times New Roman"/>
          <w:sz w:val="24"/>
          <w:szCs w:val="24"/>
        </w:rPr>
      </w:pPr>
      <w:r w:rsidRPr="00037111">
        <w:rPr>
          <w:rFonts w:eastAsia="Times New Roman"/>
          <w:sz w:val="24"/>
          <w:szCs w:val="24"/>
        </w:rPr>
        <w:t>The court should adopt procedures that would encourage parties to use concise written summaries of deposition testimony instead of reading depositions to the jury and to present such testimony in a logical order.</w:t>
      </w:r>
    </w:p>
    <w:p w14:paraId="165890F0" w14:textId="77777777" w:rsidR="00037111" w:rsidRPr="00037111" w:rsidRDefault="00037111" w:rsidP="00037111">
      <w:pPr>
        <w:spacing w:after="240"/>
        <w:rPr>
          <w:rFonts w:eastAsia="Times New Roman"/>
          <w:sz w:val="24"/>
          <w:szCs w:val="24"/>
        </w:rPr>
      </w:pPr>
      <w:r w:rsidRPr="00037111">
        <w:rPr>
          <w:rFonts w:eastAsia="Times New Roman"/>
          <w:i/>
          <w:sz w:val="24"/>
          <w:szCs w:val="24"/>
        </w:rPr>
        <w:t>Id.</w:t>
      </w:r>
      <w:r w:rsidRPr="00037111">
        <w:rPr>
          <w:rFonts w:eastAsia="Times New Roman"/>
          <w:sz w:val="24"/>
          <w:szCs w:val="24"/>
        </w:rPr>
        <w:t xml:space="preserve"> at p. 49, ¶ 21.</w:t>
      </w:r>
    </w:p>
    <w:p w14:paraId="5EBD0527"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147B8B54"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i/>
          <w:iCs/>
          <w:sz w:val="24"/>
          <w:szCs w:val="24"/>
        </w:rPr>
        <w:t xml:space="preserve"> </w:t>
      </w:r>
      <w:r w:rsidRPr="00037111">
        <w:rPr>
          <w:rFonts w:eastAsia="Times New Roman"/>
          <w:iCs/>
          <w:sz w:val="24"/>
          <w:szCs w:val="24"/>
        </w:rPr>
        <w:t>C.R.C.P. 32(a).</w:t>
      </w:r>
    </w:p>
    <w:p w14:paraId="629CC70B" w14:textId="77777777" w:rsidR="00037111" w:rsidRDefault="00037111">
      <w:pPr>
        <w:rPr>
          <w:rFonts w:eastAsia="Times New Roman"/>
          <w:iCs/>
          <w:sz w:val="24"/>
          <w:szCs w:val="24"/>
        </w:rPr>
      </w:pPr>
      <w:r>
        <w:rPr>
          <w:rFonts w:eastAsia="Times New Roman"/>
          <w:iCs/>
          <w:sz w:val="24"/>
          <w:szCs w:val="24"/>
        </w:rPr>
        <w:br w:type="page"/>
      </w:r>
    </w:p>
    <w:p w14:paraId="338CCD4F" w14:textId="77777777" w:rsidR="00037111" w:rsidRPr="009E3DA4" w:rsidRDefault="00037111" w:rsidP="00037111">
      <w:pPr>
        <w:spacing w:after="240"/>
        <w:ind w:left="720" w:hanging="720"/>
        <w:rPr>
          <w:rFonts w:eastAsia="Times New Roman"/>
          <w:b/>
          <w:sz w:val="24"/>
          <w:szCs w:val="24"/>
        </w:rPr>
      </w:pPr>
      <w:bookmarkStart w:id="11" w:name="a3_11"/>
      <w:bookmarkEnd w:id="11"/>
      <w:r w:rsidRPr="00037111">
        <w:rPr>
          <w:rFonts w:eastAsia="Times New Roman"/>
          <w:b/>
          <w:sz w:val="24"/>
          <w:szCs w:val="24"/>
        </w:rPr>
        <w:lastRenderedPageBreak/>
        <w:t xml:space="preserve">3:11 </w:t>
      </w:r>
      <w:r w:rsidRPr="00037111">
        <w:rPr>
          <w:rFonts w:eastAsia="Times New Roman"/>
          <w:b/>
          <w:sz w:val="24"/>
          <w:szCs w:val="24"/>
        </w:rPr>
        <w:tab/>
        <w:t>TESTIMONY READ FROM TRANSCRIPT</w:t>
      </w:r>
    </w:p>
    <w:p w14:paraId="3BAD2126"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read into evidence from a transcript of an earlier proceeding. The transcript is testimony taken under oath at the earlier proceeding and preserved in writing. You are to consider that testimony as if it had been given before you from the witness stand.</w:t>
      </w:r>
    </w:p>
    <w:p w14:paraId="7BDD7349" w14:textId="77777777" w:rsidR="00037111" w:rsidRDefault="00037111" w:rsidP="00037111">
      <w:pPr>
        <w:jc w:val="center"/>
        <w:rPr>
          <w:rFonts w:eastAsia="Times New Roman"/>
          <w:sz w:val="24"/>
          <w:szCs w:val="24"/>
        </w:rPr>
      </w:pPr>
    </w:p>
    <w:p w14:paraId="799CB878"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0C5DC4AA"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should be given immediately before or after the prior testimony has been properly admitted. As to when such prior testimony is admissible under the hearsay rule, see CRE 804(b)(1).</w:t>
      </w:r>
    </w:p>
    <w:p w14:paraId="044E64FC"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E84C600"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 C.R.C.P. 80(c) and 380(b).</w:t>
      </w:r>
    </w:p>
    <w:p w14:paraId="56ACDF84" w14:textId="77777777" w:rsidR="00037111" w:rsidRDefault="00037111">
      <w:pPr>
        <w:rPr>
          <w:rFonts w:eastAsia="Times New Roman"/>
          <w:iCs/>
          <w:sz w:val="24"/>
          <w:szCs w:val="24"/>
        </w:rPr>
      </w:pPr>
      <w:r>
        <w:rPr>
          <w:rFonts w:eastAsia="Times New Roman"/>
          <w:iCs/>
          <w:sz w:val="24"/>
          <w:szCs w:val="24"/>
        </w:rPr>
        <w:br w:type="page"/>
      </w:r>
    </w:p>
    <w:p w14:paraId="4107ABE9" w14:textId="77777777" w:rsidR="00037111" w:rsidRPr="009E3DA4" w:rsidRDefault="00037111" w:rsidP="00037111">
      <w:pPr>
        <w:spacing w:after="240"/>
        <w:ind w:left="720" w:hanging="720"/>
        <w:rPr>
          <w:rFonts w:eastAsia="Times New Roman"/>
          <w:b/>
          <w:sz w:val="24"/>
          <w:szCs w:val="24"/>
        </w:rPr>
      </w:pPr>
      <w:bookmarkStart w:id="12" w:name="a3_12"/>
      <w:bookmarkEnd w:id="12"/>
      <w:r w:rsidRPr="00037111">
        <w:rPr>
          <w:rFonts w:eastAsia="Times New Roman"/>
          <w:b/>
          <w:sz w:val="24"/>
          <w:szCs w:val="24"/>
        </w:rPr>
        <w:lastRenderedPageBreak/>
        <w:t xml:space="preserve">3:12 </w:t>
      </w:r>
      <w:r w:rsidRPr="00037111">
        <w:rPr>
          <w:rFonts w:eastAsia="Times New Roman"/>
          <w:b/>
          <w:sz w:val="24"/>
          <w:szCs w:val="24"/>
        </w:rPr>
        <w:tab/>
        <w:t>PREPONDERANCE NOT DETERMINED BY NUMBER OF WITNESSES</w:t>
      </w:r>
    </w:p>
    <w:p w14:paraId="5E5AE521"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The weight of evidence is not necessarily determined by the number of witnesses testifying to a particular fact.</w:t>
      </w:r>
    </w:p>
    <w:p w14:paraId="60151ADF" w14:textId="77777777" w:rsidR="00037111" w:rsidRDefault="00037111" w:rsidP="00037111">
      <w:pPr>
        <w:jc w:val="center"/>
        <w:rPr>
          <w:rFonts w:eastAsia="Times New Roman"/>
          <w:sz w:val="24"/>
          <w:szCs w:val="24"/>
        </w:rPr>
      </w:pPr>
    </w:p>
    <w:p w14:paraId="24B4CED4"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76F717C"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may be given by the trial court in its discretion when more witnesses have testified to a particular fact for one side than for the other.</w:t>
      </w:r>
    </w:p>
    <w:p w14:paraId="19616D0E"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9A15EBE" w14:textId="77777777" w:rsidR="00037111" w:rsidRP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b/>
          <w:iCs/>
          <w:sz w:val="24"/>
          <w:szCs w:val="24"/>
        </w:rPr>
        <w:t xml:space="preserve"> </w:t>
      </w:r>
      <w:proofErr w:type="spellStart"/>
      <w:r w:rsidRPr="00037111">
        <w:rPr>
          <w:rFonts w:eastAsia="Times New Roman"/>
          <w:b/>
          <w:iCs/>
          <w:sz w:val="24"/>
          <w:szCs w:val="24"/>
        </w:rPr>
        <w:t>Swaim</w:t>
      </w:r>
      <w:proofErr w:type="spellEnd"/>
      <w:r w:rsidRPr="00037111">
        <w:rPr>
          <w:rFonts w:eastAsia="Times New Roman"/>
          <w:b/>
          <w:iCs/>
          <w:sz w:val="24"/>
          <w:szCs w:val="24"/>
        </w:rPr>
        <w:t xml:space="preserve"> v. Swanson</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118 Colo. 509, 197 P.2d 624 (1948); </w:t>
      </w:r>
      <w:r w:rsidRPr="00037111">
        <w:rPr>
          <w:rFonts w:eastAsia="Times New Roman"/>
          <w:b/>
          <w:iCs/>
          <w:sz w:val="24"/>
          <w:szCs w:val="24"/>
        </w:rPr>
        <w:t>Green v. Taney</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7 Colo. 278, 3 P. 423 (1884); and </w:t>
      </w:r>
      <w:r w:rsidRPr="00037111">
        <w:rPr>
          <w:rFonts w:eastAsia="Times New Roman"/>
          <w:b/>
          <w:iCs/>
          <w:sz w:val="24"/>
          <w:szCs w:val="24"/>
        </w:rPr>
        <w:t xml:space="preserve">Gonzalez v. </w:t>
      </w:r>
      <w:proofErr w:type="spellStart"/>
      <w:r w:rsidRPr="00037111">
        <w:rPr>
          <w:rFonts w:eastAsia="Times New Roman"/>
          <w:b/>
          <w:iCs/>
          <w:sz w:val="24"/>
          <w:szCs w:val="24"/>
        </w:rPr>
        <w:t>Windlan</w:t>
      </w:r>
      <w:proofErr w:type="spellEnd"/>
      <w:r w:rsidRPr="00037111">
        <w:rPr>
          <w:rFonts w:eastAsia="Times New Roman"/>
          <w:iCs/>
          <w:sz w:val="24"/>
          <w:szCs w:val="24"/>
        </w:rPr>
        <w:t>, 2014 COA 176, ¶ 34</w:t>
      </w:r>
      <w:r w:rsidR="009B2AE8">
        <w:rPr>
          <w:rFonts w:eastAsia="Times New Roman"/>
          <w:iCs/>
          <w:sz w:val="24"/>
          <w:szCs w:val="24"/>
        </w:rPr>
        <w:t>, 411 P.3d 878</w:t>
      </w:r>
      <w:r w:rsidRPr="00037111">
        <w:rPr>
          <w:rFonts w:eastAsia="Times New Roman"/>
          <w:iCs/>
          <w:sz w:val="24"/>
          <w:szCs w:val="24"/>
        </w:rPr>
        <w:t>.</w:t>
      </w:r>
    </w:p>
    <w:p w14:paraId="4EBC82C1" w14:textId="77777777" w:rsidR="009902F2" w:rsidRDefault="009902F2">
      <w:pPr>
        <w:rPr>
          <w:rFonts w:eastAsia="Times New Roman"/>
          <w:iCs/>
          <w:sz w:val="24"/>
          <w:szCs w:val="24"/>
        </w:rPr>
      </w:pPr>
      <w:r>
        <w:rPr>
          <w:rFonts w:eastAsia="Times New Roman"/>
          <w:iCs/>
          <w:sz w:val="24"/>
          <w:szCs w:val="24"/>
        </w:rPr>
        <w:br w:type="page"/>
      </w:r>
    </w:p>
    <w:p w14:paraId="30F0F6E3" w14:textId="2D721850" w:rsidR="009902F2" w:rsidRPr="009E3DA4" w:rsidRDefault="009902F2" w:rsidP="009902F2">
      <w:pPr>
        <w:spacing w:after="240"/>
        <w:ind w:left="720" w:hanging="720"/>
        <w:rPr>
          <w:rFonts w:eastAsia="Times New Roman"/>
          <w:b/>
          <w:sz w:val="24"/>
          <w:szCs w:val="24"/>
        </w:rPr>
      </w:pPr>
      <w:bookmarkStart w:id="13" w:name="a3_13"/>
      <w:bookmarkEnd w:id="13"/>
      <w:r w:rsidRPr="009902F2">
        <w:rPr>
          <w:rFonts w:eastAsia="Times New Roman"/>
          <w:b/>
          <w:sz w:val="24"/>
          <w:szCs w:val="24"/>
        </w:rPr>
        <w:lastRenderedPageBreak/>
        <w:t xml:space="preserve">3:13 </w:t>
      </w:r>
      <w:r w:rsidRPr="009902F2">
        <w:rPr>
          <w:rFonts w:eastAsia="Times New Roman"/>
          <w:b/>
          <w:sz w:val="24"/>
          <w:szCs w:val="24"/>
        </w:rPr>
        <w:tab/>
        <w:t>ADVERSE INFERENCE FROM THE LOSS OR DESTRUCTION OF EVIDENCE</w:t>
      </w:r>
    </w:p>
    <w:p w14:paraId="64ABBFD1" w14:textId="77B3702F" w:rsidR="00757718" w:rsidRDefault="00FA0293" w:rsidP="00757718">
      <w:pPr>
        <w:ind w:firstLine="720"/>
        <w:rPr>
          <w:rFonts w:eastAsia="Times New Roman"/>
          <w:sz w:val="24"/>
          <w:szCs w:val="24"/>
        </w:rPr>
      </w:pPr>
      <w:r>
        <w:rPr>
          <w:rFonts w:eastAsia="Times New Roman"/>
          <w:sz w:val="24"/>
          <w:szCs w:val="24"/>
        </w:rPr>
        <w:t>Instruction deleted.</w:t>
      </w:r>
    </w:p>
    <w:p w14:paraId="561B7DBC" w14:textId="77777777" w:rsidR="00FA0293" w:rsidRDefault="00FA0293" w:rsidP="00757718">
      <w:pPr>
        <w:ind w:firstLine="720"/>
        <w:rPr>
          <w:rFonts w:eastAsia="Times New Roman"/>
          <w:sz w:val="24"/>
          <w:szCs w:val="24"/>
        </w:rPr>
      </w:pPr>
    </w:p>
    <w:p w14:paraId="69E2F2D4" w14:textId="3CADDC3B" w:rsidR="009902F2" w:rsidRPr="0054263B" w:rsidRDefault="009902F2" w:rsidP="009902F2">
      <w:pPr>
        <w:keepNext/>
        <w:spacing w:after="240"/>
        <w:jc w:val="center"/>
        <w:rPr>
          <w:rFonts w:eastAsia="Times New Roman"/>
          <w:b/>
          <w:sz w:val="24"/>
          <w:szCs w:val="24"/>
        </w:rPr>
      </w:pPr>
      <w:r w:rsidRPr="0054263B">
        <w:rPr>
          <w:rFonts w:eastAsia="Times New Roman"/>
          <w:b/>
          <w:sz w:val="24"/>
          <w:szCs w:val="24"/>
        </w:rPr>
        <w:t>Note</w:t>
      </w:r>
    </w:p>
    <w:p w14:paraId="0736580E" w14:textId="30A23AC2" w:rsidR="00DE30F6" w:rsidRDefault="009902F2" w:rsidP="009902F2">
      <w:pPr>
        <w:spacing w:after="240"/>
        <w:ind w:firstLine="720"/>
        <w:rPr>
          <w:rFonts w:eastAsia="Times New Roman"/>
          <w:sz w:val="24"/>
          <w:szCs w:val="24"/>
        </w:rPr>
      </w:pPr>
      <w:r w:rsidRPr="009902F2">
        <w:rPr>
          <w:rFonts w:eastAsia="Times New Roman"/>
          <w:sz w:val="24"/>
          <w:szCs w:val="24"/>
        </w:rPr>
        <w:t xml:space="preserve">1. </w:t>
      </w:r>
      <w:r w:rsidR="00FA0293">
        <w:rPr>
          <w:rFonts w:eastAsia="Times New Roman"/>
          <w:bCs/>
          <w:sz w:val="24"/>
          <w:szCs w:val="24"/>
        </w:rPr>
        <w:t>Due to the range of circumstances surrounding the loss, destruction, or alteration of evidence and a trial court’s broad discretion in addressing those circumstances, the Committee has decided to withdraw the instruction that previously appeared here because it did not apply in all circumstances.</w:t>
      </w:r>
    </w:p>
    <w:p w14:paraId="497FBDEC" w14:textId="4B5DB86F" w:rsidR="00FA0293" w:rsidRPr="007A3970" w:rsidRDefault="00DE30F6" w:rsidP="00FA0293">
      <w:pPr>
        <w:spacing w:after="240"/>
        <w:ind w:firstLine="720"/>
        <w:rPr>
          <w:rFonts w:eastAsia="Times New Roman"/>
          <w:bCs/>
          <w:sz w:val="24"/>
          <w:szCs w:val="24"/>
        </w:rPr>
      </w:pPr>
      <w:r>
        <w:rPr>
          <w:rFonts w:eastAsia="Times New Roman"/>
          <w:sz w:val="24"/>
          <w:szCs w:val="24"/>
        </w:rPr>
        <w:t>2.</w:t>
      </w:r>
      <w:r w:rsidR="00FA0293" w:rsidRPr="00FA0293">
        <w:rPr>
          <w:rFonts w:eastAsia="Times New Roman"/>
          <w:sz w:val="24"/>
          <w:szCs w:val="24"/>
        </w:rPr>
        <w:t xml:space="preserve"> </w:t>
      </w:r>
      <w:r w:rsidR="00FA0293" w:rsidRPr="00DE30F6">
        <w:rPr>
          <w:rFonts w:eastAsia="Times New Roman"/>
          <w:sz w:val="24"/>
          <w:szCs w:val="24"/>
        </w:rPr>
        <w:t xml:space="preserve">Trial courts have broad discretion </w:t>
      </w:r>
      <w:r w:rsidR="00C31E3A">
        <w:rPr>
          <w:rFonts w:eastAsia="Times New Roman"/>
          <w:sz w:val="24"/>
          <w:szCs w:val="24"/>
        </w:rPr>
        <w:t>to</w:t>
      </w:r>
      <w:r w:rsidR="00FA0293" w:rsidRPr="00DE30F6">
        <w:rPr>
          <w:rFonts w:eastAsia="Times New Roman"/>
          <w:sz w:val="24"/>
          <w:szCs w:val="24"/>
        </w:rPr>
        <w:t xml:space="preserve"> determin</w:t>
      </w:r>
      <w:r w:rsidR="00C31E3A">
        <w:rPr>
          <w:rFonts w:eastAsia="Times New Roman"/>
          <w:sz w:val="24"/>
          <w:szCs w:val="24"/>
        </w:rPr>
        <w:t>e</w:t>
      </w:r>
      <w:r w:rsidR="00FA0293" w:rsidRPr="00DE30F6">
        <w:rPr>
          <w:rFonts w:eastAsia="Times New Roman"/>
          <w:sz w:val="24"/>
          <w:szCs w:val="24"/>
        </w:rPr>
        <w:t xml:space="preserve"> an appropriate sanction for spoliation. The sanction</w:t>
      </w:r>
      <w:r w:rsidR="00FA0293">
        <w:rPr>
          <w:rFonts w:eastAsia="Times New Roman"/>
          <w:sz w:val="24"/>
          <w:szCs w:val="24"/>
        </w:rPr>
        <w:t>, and any attendant instruction to the jury, depends on</w:t>
      </w:r>
      <w:r w:rsidR="00FA0293" w:rsidRPr="00DE30F6">
        <w:rPr>
          <w:rFonts w:eastAsia="Times New Roman"/>
          <w:sz w:val="24"/>
          <w:szCs w:val="24"/>
        </w:rPr>
        <w:t xml:space="preserve"> the nature of the spoliating party’s conduct</w:t>
      </w:r>
      <w:r w:rsidR="00FA0293">
        <w:rPr>
          <w:rFonts w:eastAsia="Times New Roman"/>
          <w:sz w:val="24"/>
          <w:szCs w:val="24"/>
        </w:rPr>
        <w:t>, including whether the spoliating party acted willfully or in bad faith, recklessly, or in a less egregious manner</w:t>
      </w:r>
      <w:r w:rsidR="00FA0293" w:rsidRPr="00DE30F6">
        <w:rPr>
          <w:rFonts w:eastAsia="Times New Roman"/>
          <w:sz w:val="24"/>
          <w:szCs w:val="24"/>
        </w:rPr>
        <w:t xml:space="preserve">. </w:t>
      </w:r>
      <w:r w:rsidR="00FA0293" w:rsidRPr="00DE30F6">
        <w:rPr>
          <w:rFonts w:eastAsia="Times New Roman"/>
          <w:i/>
          <w:sz w:val="24"/>
          <w:szCs w:val="24"/>
        </w:rPr>
        <w:t>See</w:t>
      </w:r>
      <w:r w:rsidR="00FA0293" w:rsidRPr="00DE30F6">
        <w:rPr>
          <w:rFonts w:eastAsia="Times New Roman"/>
          <w:sz w:val="24"/>
          <w:szCs w:val="24"/>
        </w:rPr>
        <w:t xml:space="preserve"> </w:t>
      </w:r>
      <w:proofErr w:type="spellStart"/>
      <w:r w:rsidR="00FA0293" w:rsidRPr="00A40260">
        <w:rPr>
          <w:rFonts w:eastAsia="Times New Roman"/>
          <w:b/>
          <w:sz w:val="24"/>
          <w:szCs w:val="24"/>
        </w:rPr>
        <w:t>Aloi</w:t>
      </w:r>
      <w:proofErr w:type="spellEnd"/>
      <w:r w:rsidR="00FA0293" w:rsidRPr="00A40260">
        <w:rPr>
          <w:rFonts w:eastAsia="Times New Roman"/>
          <w:b/>
          <w:sz w:val="24"/>
          <w:szCs w:val="24"/>
        </w:rPr>
        <w:t xml:space="preserve"> v. Union Pac. R.R.</w:t>
      </w:r>
      <w:r w:rsidR="00FA0293">
        <w:rPr>
          <w:rFonts w:eastAsia="Times New Roman"/>
          <w:sz w:val="24"/>
          <w:szCs w:val="24"/>
        </w:rPr>
        <w:t xml:space="preserve">, 129 P.3d 999 (Colo. 2006); </w:t>
      </w:r>
      <w:proofErr w:type="spellStart"/>
      <w:r w:rsidR="00FA0293" w:rsidRPr="00DE30F6">
        <w:rPr>
          <w:rFonts w:eastAsia="Times New Roman"/>
          <w:b/>
          <w:sz w:val="24"/>
          <w:szCs w:val="24"/>
        </w:rPr>
        <w:t>Warembourg</w:t>
      </w:r>
      <w:proofErr w:type="spellEnd"/>
      <w:r w:rsidR="00FA0293" w:rsidRPr="00DE30F6">
        <w:rPr>
          <w:rFonts w:eastAsia="Times New Roman"/>
          <w:b/>
          <w:sz w:val="24"/>
          <w:szCs w:val="24"/>
        </w:rPr>
        <w:t xml:space="preserve"> v. Excel Elec., Inc.</w:t>
      </w:r>
      <w:r w:rsidR="00FA0293" w:rsidRPr="00DE30F6">
        <w:rPr>
          <w:rFonts w:eastAsia="Times New Roman"/>
          <w:sz w:val="24"/>
          <w:szCs w:val="24"/>
        </w:rPr>
        <w:t xml:space="preserve">, </w:t>
      </w:r>
      <w:r w:rsidR="00FA0293">
        <w:rPr>
          <w:rFonts w:eastAsia="Times New Roman"/>
          <w:sz w:val="24"/>
          <w:szCs w:val="24"/>
        </w:rPr>
        <w:t>2020 COA 103, ¶¶ 53-57, 471 P.3d 1213</w:t>
      </w:r>
      <w:r w:rsidR="00FA0293" w:rsidRPr="00DE30F6">
        <w:rPr>
          <w:rFonts w:eastAsia="Times New Roman"/>
          <w:sz w:val="24"/>
          <w:szCs w:val="24"/>
        </w:rPr>
        <w:t>.</w:t>
      </w:r>
    </w:p>
    <w:p w14:paraId="428AA541" w14:textId="3438CAE1" w:rsidR="009902F2" w:rsidRPr="009902F2" w:rsidRDefault="00DE30F6" w:rsidP="009902F2">
      <w:pPr>
        <w:spacing w:after="240"/>
        <w:ind w:firstLine="720"/>
        <w:rPr>
          <w:rFonts w:eastAsia="Times New Roman"/>
          <w:sz w:val="24"/>
          <w:szCs w:val="24"/>
        </w:rPr>
      </w:pPr>
      <w:r>
        <w:rPr>
          <w:rFonts w:eastAsia="Times New Roman"/>
          <w:sz w:val="24"/>
          <w:szCs w:val="24"/>
        </w:rPr>
        <w:t xml:space="preserve"> </w:t>
      </w:r>
      <w:r w:rsidR="00FA0293">
        <w:rPr>
          <w:rFonts w:eastAsia="Times New Roman"/>
          <w:sz w:val="24"/>
          <w:szCs w:val="24"/>
        </w:rPr>
        <w:t xml:space="preserve">3. </w:t>
      </w:r>
      <w:r w:rsidR="009902F2" w:rsidRPr="009902F2">
        <w:rPr>
          <w:rFonts w:eastAsia="Times New Roman"/>
          <w:sz w:val="24"/>
          <w:szCs w:val="24"/>
        </w:rPr>
        <w:t xml:space="preserve">Before </w:t>
      </w:r>
      <w:r w:rsidR="004E5FFE">
        <w:rPr>
          <w:rFonts w:eastAsia="Times New Roman"/>
          <w:sz w:val="24"/>
          <w:szCs w:val="24"/>
        </w:rPr>
        <w:t>a</w:t>
      </w:r>
      <w:r w:rsidR="00FA0293">
        <w:rPr>
          <w:rFonts w:eastAsia="Times New Roman"/>
          <w:sz w:val="24"/>
          <w:szCs w:val="24"/>
        </w:rPr>
        <w:t>ny</w:t>
      </w:r>
      <w:r w:rsidR="004E5FFE">
        <w:rPr>
          <w:rFonts w:eastAsia="Times New Roman"/>
          <w:sz w:val="24"/>
          <w:szCs w:val="24"/>
        </w:rPr>
        <w:t xml:space="preserve"> spoliation</w:t>
      </w:r>
      <w:r w:rsidR="004E5FFE" w:rsidRPr="009902F2">
        <w:rPr>
          <w:rFonts w:eastAsia="Times New Roman"/>
          <w:sz w:val="24"/>
          <w:szCs w:val="24"/>
        </w:rPr>
        <w:t xml:space="preserve"> </w:t>
      </w:r>
      <w:r w:rsidR="009902F2" w:rsidRPr="009902F2">
        <w:rPr>
          <w:rFonts w:eastAsia="Times New Roman"/>
          <w:sz w:val="24"/>
          <w:szCs w:val="24"/>
        </w:rPr>
        <w:t xml:space="preserve">instruction is given, </w:t>
      </w:r>
      <w:r w:rsidR="004E5FFE">
        <w:rPr>
          <w:rFonts w:eastAsia="Times New Roman"/>
          <w:sz w:val="24"/>
          <w:szCs w:val="24"/>
        </w:rPr>
        <w:t>t</w:t>
      </w:r>
      <w:r w:rsidR="009902F2" w:rsidRPr="009902F2">
        <w:rPr>
          <w:rFonts w:eastAsia="Times New Roman"/>
          <w:sz w:val="24"/>
          <w:szCs w:val="24"/>
        </w:rPr>
        <w:t xml:space="preserve">he court must determine that the lost or destroyed evidence is relevant to the action and otherwise naturally would have been introduced into evidence. </w:t>
      </w:r>
      <w:proofErr w:type="spellStart"/>
      <w:r w:rsidR="009902F2" w:rsidRPr="009902F2">
        <w:rPr>
          <w:rFonts w:eastAsia="Times New Roman"/>
          <w:b/>
          <w:sz w:val="24"/>
          <w:szCs w:val="24"/>
        </w:rPr>
        <w:t>Aloi</w:t>
      </w:r>
      <w:proofErr w:type="spellEnd"/>
      <w:r w:rsidR="009902F2" w:rsidRPr="009902F2">
        <w:rPr>
          <w:rFonts w:eastAsia="Times New Roman"/>
          <w:sz w:val="24"/>
          <w:szCs w:val="24"/>
        </w:rPr>
        <w:t xml:space="preserve">, 129 P.3d </w:t>
      </w:r>
      <w:r w:rsidR="00FA0293">
        <w:rPr>
          <w:rFonts w:eastAsia="Times New Roman"/>
          <w:sz w:val="24"/>
          <w:szCs w:val="24"/>
        </w:rPr>
        <w:t>at 1004</w:t>
      </w:r>
      <w:r w:rsidR="009902F2" w:rsidRPr="009902F2">
        <w:rPr>
          <w:rFonts w:eastAsia="Times New Roman"/>
          <w:sz w:val="24"/>
          <w:szCs w:val="24"/>
        </w:rPr>
        <w:t xml:space="preserve">. </w:t>
      </w:r>
    </w:p>
    <w:p w14:paraId="5BF27A37" w14:textId="0715D469" w:rsidR="009902F2" w:rsidRPr="009902F2" w:rsidRDefault="00FA0293" w:rsidP="009902F2">
      <w:pPr>
        <w:spacing w:after="240"/>
        <w:ind w:firstLine="720"/>
        <w:rPr>
          <w:rFonts w:eastAsia="Times New Roman"/>
          <w:sz w:val="24"/>
          <w:szCs w:val="24"/>
        </w:rPr>
      </w:pPr>
      <w:r>
        <w:rPr>
          <w:rFonts w:eastAsia="Times New Roman"/>
          <w:sz w:val="24"/>
          <w:szCs w:val="24"/>
        </w:rPr>
        <w:t>4</w:t>
      </w:r>
      <w:r w:rsidR="009902F2" w:rsidRPr="009902F2">
        <w:rPr>
          <w:rFonts w:eastAsia="Times New Roman"/>
          <w:sz w:val="24"/>
          <w:szCs w:val="24"/>
        </w:rPr>
        <w:t xml:space="preserve">. </w:t>
      </w:r>
      <w:r>
        <w:rPr>
          <w:rFonts w:eastAsia="Times New Roman"/>
          <w:sz w:val="24"/>
          <w:szCs w:val="24"/>
        </w:rPr>
        <w:t>If an instruction uses the term “inference,”</w:t>
      </w:r>
      <w:r w:rsidR="009902F2" w:rsidRPr="009902F2">
        <w:rPr>
          <w:rFonts w:eastAsia="Times New Roman"/>
          <w:sz w:val="24"/>
          <w:szCs w:val="24"/>
        </w:rPr>
        <w:t xml:space="preserve"> also use Instruction 3:8 defining inference. </w:t>
      </w:r>
    </w:p>
    <w:p w14:paraId="035C97AF" w14:textId="77777777" w:rsidR="00531F87" w:rsidRDefault="00531F87">
      <w:pPr>
        <w:rPr>
          <w:rFonts w:eastAsia="Times New Roman"/>
          <w:iCs/>
          <w:sz w:val="24"/>
          <w:szCs w:val="24"/>
        </w:rPr>
      </w:pPr>
      <w:r>
        <w:rPr>
          <w:rFonts w:eastAsia="Times New Roman"/>
          <w:iCs/>
          <w:sz w:val="24"/>
          <w:szCs w:val="24"/>
        </w:rPr>
        <w:br w:type="page"/>
      </w:r>
    </w:p>
    <w:p w14:paraId="1233B758" w14:textId="77777777" w:rsidR="00531F87" w:rsidRPr="009E3DA4" w:rsidRDefault="00531F87" w:rsidP="00531F87">
      <w:pPr>
        <w:spacing w:after="240"/>
        <w:ind w:left="720" w:hanging="720"/>
        <w:rPr>
          <w:rFonts w:eastAsia="Times New Roman"/>
          <w:b/>
          <w:sz w:val="24"/>
          <w:szCs w:val="24"/>
        </w:rPr>
      </w:pPr>
      <w:bookmarkStart w:id="14" w:name="a3_14"/>
      <w:bookmarkEnd w:id="14"/>
      <w:r w:rsidRPr="00531F87">
        <w:rPr>
          <w:rFonts w:eastAsia="Times New Roman"/>
          <w:b/>
          <w:sz w:val="24"/>
          <w:szCs w:val="24"/>
        </w:rPr>
        <w:lastRenderedPageBreak/>
        <w:t xml:space="preserve">3:14 </w:t>
      </w:r>
      <w:r w:rsidRPr="00531F87">
        <w:rPr>
          <w:rFonts w:eastAsia="Times New Roman"/>
          <w:b/>
          <w:sz w:val="24"/>
          <w:szCs w:val="24"/>
        </w:rPr>
        <w:tab/>
        <w:t>SYMPATHY — PREJUDICE</w:t>
      </w:r>
    </w:p>
    <w:p w14:paraId="650D693B" w14:textId="77777777"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You must not be influenced by sympathy, bias, or prejudice for or against any party in this case.</w:t>
      </w:r>
    </w:p>
    <w:p w14:paraId="4E8AFA76" w14:textId="77777777" w:rsidR="00531F87" w:rsidRDefault="00531F87" w:rsidP="00531F87">
      <w:pPr>
        <w:jc w:val="center"/>
        <w:rPr>
          <w:rFonts w:eastAsia="Times New Roman"/>
          <w:sz w:val="24"/>
          <w:szCs w:val="24"/>
        </w:rPr>
      </w:pPr>
    </w:p>
    <w:p w14:paraId="44B76EA3"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4C1C4106" w14:textId="77777777" w:rsidR="00531F87" w:rsidRDefault="00531F87" w:rsidP="00531F87">
      <w:pPr>
        <w:spacing w:after="240"/>
        <w:ind w:firstLine="720"/>
        <w:rPr>
          <w:rFonts w:eastAsia="Times New Roman"/>
          <w:sz w:val="24"/>
          <w:szCs w:val="24"/>
        </w:rPr>
      </w:pPr>
      <w:r w:rsidRPr="00531F87">
        <w:rPr>
          <w:rFonts w:eastAsia="Times New Roman"/>
          <w:sz w:val="24"/>
          <w:szCs w:val="24"/>
        </w:rPr>
        <w:t>This instruction should not be given in a juvenile delinquency case because the point is covered by the fourth paragraph of Instruction 40:3, which is applicable to such proceedings.</w:t>
      </w:r>
    </w:p>
    <w:p w14:paraId="72F76CE7" w14:textId="77777777" w:rsidR="00531F87" w:rsidRDefault="00531F87">
      <w:pPr>
        <w:rPr>
          <w:rFonts w:eastAsia="Times New Roman"/>
          <w:sz w:val="24"/>
          <w:szCs w:val="24"/>
        </w:rPr>
      </w:pPr>
      <w:r>
        <w:rPr>
          <w:rFonts w:eastAsia="Times New Roman"/>
          <w:sz w:val="24"/>
          <w:szCs w:val="24"/>
        </w:rPr>
        <w:br w:type="page"/>
      </w:r>
    </w:p>
    <w:p w14:paraId="1919BF13" w14:textId="77777777" w:rsidR="00531F87" w:rsidRPr="009E3DA4" w:rsidRDefault="00531F87" w:rsidP="00531F87">
      <w:pPr>
        <w:spacing w:after="240"/>
        <w:ind w:left="720" w:hanging="720"/>
        <w:rPr>
          <w:rFonts w:eastAsia="Times New Roman"/>
          <w:b/>
          <w:sz w:val="24"/>
          <w:szCs w:val="24"/>
        </w:rPr>
      </w:pPr>
      <w:bookmarkStart w:id="15" w:name="a3_15"/>
      <w:bookmarkEnd w:id="15"/>
      <w:r w:rsidRPr="00531F87">
        <w:rPr>
          <w:rFonts w:eastAsia="Times New Roman"/>
          <w:b/>
          <w:sz w:val="24"/>
          <w:szCs w:val="24"/>
        </w:rPr>
        <w:lastRenderedPageBreak/>
        <w:t xml:space="preserve">3:15 </w:t>
      </w:r>
      <w:r w:rsidRPr="00531F87">
        <w:rPr>
          <w:rFonts w:eastAsia="Times New Roman"/>
          <w:b/>
          <w:sz w:val="24"/>
          <w:szCs w:val="24"/>
        </w:rPr>
        <w:tab/>
        <w:t>EXPERT WITNESSES</w:t>
      </w:r>
    </w:p>
    <w:p w14:paraId="0BC3F7C6" w14:textId="77777777"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A witness qualified as an expert by education, training, or experience may state opinions. You should judge expert testimony just as you would judge any other testimony. You may accept it or reject it, in whole or in part. You should give the testimony the importance you think it deserves, considering the witness’s qualifications, the reasons for the opinions, and all of the other evidence in the case.</w:t>
      </w:r>
    </w:p>
    <w:p w14:paraId="78051F6C" w14:textId="77777777" w:rsidR="00531F87" w:rsidRDefault="00531F87" w:rsidP="00531F87">
      <w:pPr>
        <w:jc w:val="center"/>
        <w:rPr>
          <w:rFonts w:eastAsia="Times New Roman"/>
          <w:sz w:val="24"/>
          <w:szCs w:val="24"/>
        </w:rPr>
      </w:pPr>
    </w:p>
    <w:p w14:paraId="779370C9"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6E5AC747"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1. This instruction should be given only if one or more expert witnesses have testified in the case. The court should not point out to the jury which witnesses testified as experts, since this might put undue emphasis on their testimony.</w:t>
      </w:r>
    </w:p>
    <w:p w14:paraId="2B9BDD2A"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2. This instruction applies to a “professional person” appointed by the court under section 27-65-111(2), C.R.S., to testify in a mental health proceeding for short-term or long-term care and treatment.</w:t>
      </w:r>
    </w:p>
    <w:p w14:paraId="15805D2A" w14:textId="77777777" w:rsidR="00531F87" w:rsidRPr="0054263B" w:rsidRDefault="00531F87" w:rsidP="00531F87">
      <w:pPr>
        <w:keepNext/>
        <w:spacing w:after="240"/>
        <w:jc w:val="center"/>
        <w:rPr>
          <w:rFonts w:eastAsia="Times New Roman"/>
          <w:b/>
          <w:sz w:val="24"/>
          <w:szCs w:val="24"/>
        </w:rPr>
      </w:pPr>
      <w:r>
        <w:rPr>
          <w:rFonts w:eastAsia="Times New Roman"/>
          <w:b/>
          <w:sz w:val="24"/>
          <w:szCs w:val="24"/>
        </w:rPr>
        <w:t>Source and Authority</w:t>
      </w:r>
    </w:p>
    <w:p w14:paraId="7882E3FA"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1. This instruction is supported by CRE 702; </w:t>
      </w:r>
      <w:r w:rsidRPr="00531F87">
        <w:rPr>
          <w:rFonts w:eastAsia="Times New Roman"/>
          <w:b/>
          <w:iCs/>
          <w:sz w:val="24"/>
          <w:szCs w:val="24"/>
        </w:rPr>
        <w:t>Young v. Burke</w:t>
      </w:r>
      <w:r w:rsidRPr="00531F87">
        <w:rPr>
          <w:rFonts w:eastAsia="Times New Roman"/>
          <w:iCs/>
          <w:sz w:val="24"/>
          <w:szCs w:val="24"/>
        </w:rPr>
        <w:t>,</w:t>
      </w:r>
      <w:r w:rsidRPr="00531F87">
        <w:rPr>
          <w:rFonts w:eastAsia="Times New Roman"/>
          <w:b/>
          <w:iCs/>
          <w:sz w:val="24"/>
          <w:szCs w:val="24"/>
        </w:rPr>
        <w:t xml:space="preserve"> </w:t>
      </w:r>
      <w:r w:rsidRPr="00531F87">
        <w:rPr>
          <w:rFonts w:eastAsia="Times New Roman"/>
          <w:iCs/>
          <w:sz w:val="24"/>
          <w:szCs w:val="24"/>
        </w:rPr>
        <w:t xml:space="preserve">139 </w:t>
      </w:r>
      <w:smartTag w:uri="urn:schemas-microsoft-com:office:smarttags" w:element="State">
        <w:r w:rsidRPr="00531F87">
          <w:rPr>
            <w:rFonts w:eastAsia="Times New Roman"/>
            <w:iCs/>
            <w:sz w:val="24"/>
            <w:szCs w:val="24"/>
          </w:rPr>
          <w:t>Colo.</w:t>
        </w:r>
      </w:smartTag>
      <w:r w:rsidRPr="00531F87">
        <w:rPr>
          <w:rFonts w:eastAsia="Times New Roman"/>
          <w:iCs/>
          <w:sz w:val="24"/>
          <w:szCs w:val="24"/>
        </w:rPr>
        <w:t xml:space="preserve"> 305, 338 P.2d 284 (1959); and </w:t>
      </w:r>
      <w:r w:rsidRPr="00531F87">
        <w:rPr>
          <w:rFonts w:eastAsia="Times New Roman"/>
          <w:b/>
          <w:iCs/>
          <w:sz w:val="24"/>
          <w:szCs w:val="24"/>
        </w:rPr>
        <w:t>Ryan Gulch Reservoir Co. v. Swartz</w:t>
      </w:r>
      <w:r w:rsidRPr="00531F87">
        <w:rPr>
          <w:rFonts w:eastAsia="Times New Roman"/>
          <w:iCs/>
          <w:sz w:val="24"/>
          <w:szCs w:val="24"/>
        </w:rPr>
        <w:t xml:space="preserve">, 83 </w:t>
      </w:r>
      <w:smartTag w:uri="urn:schemas-microsoft-com:office:smarttags" w:element="State">
        <w:smartTag w:uri="urn:schemas-microsoft-com:office:smarttags" w:element="place">
          <w:r w:rsidRPr="00531F87">
            <w:rPr>
              <w:rFonts w:eastAsia="Times New Roman"/>
              <w:iCs/>
              <w:sz w:val="24"/>
              <w:szCs w:val="24"/>
            </w:rPr>
            <w:t>Colo.</w:t>
          </w:r>
        </w:smartTag>
      </w:smartTag>
      <w:r w:rsidRPr="00531F87">
        <w:rPr>
          <w:rFonts w:eastAsia="Times New Roman"/>
          <w:iCs/>
          <w:sz w:val="24"/>
          <w:szCs w:val="24"/>
        </w:rPr>
        <w:t xml:space="preserve"> 225, 263 P. 728 (1928).</w:t>
      </w:r>
    </w:p>
    <w:p w14:paraId="5070F836"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2. The testimony of an expert witness is to be treated the same as that of any other witness. </w:t>
      </w:r>
      <w:r w:rsidRPr="00531F87">
        <w:rPr>
          <w:rFonts w:eastAsia="Times New Roman"/>
          <w:b/>
          <w:iCs/>
          <w:sz w:val="24"/>
          <w:szCs w:val="24"/>
        </w:rPr>
        <w:t>Burnham v. Grant</w:t>
      </w:r>
      <w:r w:rsidRPr="00531F87">
        <w:rPr>
          <w:rFonts w:eastAsia="Times New Roman"/>
          <w:iCs/>
          <w:sz w:val="24"/>
          <w:szCs w:val="24"/>
        </w:rPr>
        <w:t>, 24 Colo. App. 131, 134 P. 254 (1913).</w:t>
      </w:r>
    </w:p>
    <w:p w14:paraId="18EF1C57"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3. For a discussion regarding the propriety of admitting expert testimony under CRE 702, see </w:t>
      </w:r>
      <w:proofErr w:type="spellStart"/>
      <w:r w:rsidRPr="00531F87">
        <w:rPr>
          <w:rFonts w:eastAsia="Times New Roman"/>
          <w:b/>
          <w:iCs/>
          <w:sz w:val="24"/>
          <w:szCs w:val="24"/>
        </w:rPr>
        <w:t>Huntoon</w:t>
      </w:r>
      <w:proofErr w:type="spellEnd"/>
      <w:r w:rsidRPr="00531F87">
        <w:rPr>
          <w:rFonts w:eastAsia="Times New Roman"/>
          <w:b/>
          <w:iCs/>
          <w:sz w:val="24"/>
          <w:szCs w:val="24"/>
        </w:rPr>
        <w:t xml:space="preserve"> v. TCI Cablevision of Colorado, Inc.</w:t>
      </w:r>
      <w:r w:rsidRPr="00531F87">
        <w:rPr>
          <w:rFonts w:eastAsia="Times New Roman"/>
          <w:iCs/>
          <w:sz w:val="24"/>
          <w:szCs w:val="24"/>
        </w:rPr>
        <w:t>, 969 P.2d 681 (Colo. 1998).</w:t>
      </w:r>
    </w:p>
    <w:p w14:paraId="281EFE96" w14:textId="77777777" w:rsidR="00531F87" w:rsidRDefault="00531F87" w:rsidP="00531F87">
      <w:pPr>
        <w:spacing w:after="240"/>
        <w:ind w:firstLine="720"/>
        <w:rPr>
          <w:rFonts w:eastAsia="Times New Roman"/>
          <w:iCs/>
          <w:sz w:val="24"/>
          <w:szCs w:val="24"/>
        </w:rPr>
      </w:pPr>
      <w:r w:rsidRPr="00531F87">
        <w:rPr>
          <w:rFonts w:eastAsia="Times New Roman"/>
          <w:iCs/>
          <w:sz w:val="24"/>
          <w:szCs w:val="24"/>
        </w:rPr>
        <w:t xml:space="preserve">4. The jury is not bound by the expert’s testimony even when there is no contradictory evidence. </w:t>
      </w:r>
      <w:r w:rsidRPr="00531F87">
        <w:rPr>
          <w:rFonts w:eastAsia="Times New Roman"/>
          <w:b/>
          <w:iCs/>
          <w:sz w:val="24"/>
          <w:szCs w:val="24"/>
        </w:rPr>
        <w:t xml:space="preserve">McWilliams v. </w:t>
      </w:r>
      <w:proofErr w:type="spellStart"/>
      <w:r w:rsidRPr="00531F87">
        <w:rPr>
          <w:rFonts w:eastAsia="Times New Roman"/>
          <w:b/>
          <w:iCs/>
          <w:sz w:val="24"/>
          <w:szCs w:val="24"/>
        </w:rPr>
        <w:t>Garstin</w:t>
      </w:r>
      <w:proofErr w:type="spellEnd"/>
      <w:r w:rsidRPr="00531F87">
        <w:rPr>
          <w:rFonts w:eastAsia="Times New Roman"/>
          <w:iCs/>
          <w:sz w:val="24"/>
          <w:szCs w:val="24"/>
        </w:rPr>
        <w:t>, 70 Colo. 59, 197 P. 246 (1921).</w:t>
      </w:r>
    </w:p>
    <w:p w14:paraId="4819972F" w14:textId="77777777" w:rsidR="00F32AA4" w:rsidRDefault="00F32AA4">
      <w:pPr>
        <w:rPr>
          <w:rFonts w:eastAsia="Times New Roman"/>
          <w:iCs/>
          <w:sz w:val="24"/>
          <w:szCs w:val="24"/>
        </w:rPr>
      </w:pPr>
      <w:r>
        <w:rPr>
          <w:rFonts w:eastAsia="Times New Roman"/>
          <w:iCs/>
          <w:sz w:val="24"/>
          <w:szCs w:val="24"/>
        </w:rPr>
        <w:br w:type="page"/>
      </w:r>
    </w:p>
    <w:p w14:paraId="18C9C5FC" w14:textId="77777777" w:rsidR="00F32AA4" w:rsidRPr="009E3DA4" w:rsidRDefault="00F32AA4" w:rsidP="00F32AA4">
      <w:pPr>
        <w:spacing w:after="240"/>
        <w:ind w:left="720" w:hanging="720"/>
        <w:rPr>
          <w:rFonts w:eastAsia="Times New Roman"/>
          <w:b/>
          <w:sz w:val="24"/>
          <w:szCs w:val="24"/>
        </w:rPr>
      </w:pPr>
      <w:bookmarkStart w:id="16" w:name="a3_16"/>
      <w:bookmarkEnd w:id="16"/>
      <w:r w:rsidRPr="00F32AA4">
        <w:rPr>
          <w:rFonts w:eastAsia="Times New Roman"/>
          <w:b/>
          <w:sz w:val="24"/>
          <w:szCs w:val="24"/>
        </w:rPr>
        <w:lastRenderedPageBreak/>
        <w:t xml:space="preserve">3:16 </w:t>
      </w:r>
      <w:r w:rsidRPr="00F32AA4">
        <w:rPr>
          <w:rFonts w:eastAsia="Times New Roman"/>
          <w:b/>
          <w:sz w:val="24"/>
          <w:szCs w:val="24"/>
        </w:rPr>
        <w:tab/>
        <w:t>DETERMINING CREDIBILITY OF WITNESSES</w:t>
      </w:r>
    </w:p>
    <w:p w14:paraId="0FBD1B35"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You are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other evidence; their bias, prejudice or interest, if any; their manner or demeanor upon the witness stand; and all other facts and circumstances shown by the evidence which affect the credibility of the witnesses.</w:t>
      </w:r>
    </w:p>
    <w:p w14:paraId="64C97EBE"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Based on these considerations, you may believe all, part or none of the testimony of a witness.</w:t>
      </w:r>
    </w:p>
    <w:p w14:paraId="21102B99" w14:textId="77777777" w:rsidR="00F32AA4" w:rsidRDefault="00F32AA4" w:rsidP="00F32AA4">
      <w:pPr>
        <w:jc w:val="center"/>
        <w:rPr>
          <w:rFonts w:eastAsia="Times New Roman"/>
          <w:sz w:val="24"/>
          <w:szCs w:val="24"/>
        </w:rPr>
      </w:pPr>
    </w:p>
    <w:p w14:paraId="046547A1"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3C79A40F"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A separate instruction on impeaching a witness by contradictory evidence, bad reputation for truth and veracity, convictions of a felony, etc., should not be given since these matters are adequately covered by this instruction.</w:t>
      </w:r>
    </w:p>
    <w:p w14:paraId="2197B29C"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53ABD85F"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1. This instruction is supported by </w:t>
      </w:r>
      <w:r w:rsidRPr="00F32AA4">
        <w:rPr>
          <w:rFonts w:eastAsia="Times New Roman"/>
          <w:b/>
          <w:iCs/>
          <w:sz w:val="24"/>
          <w:szCs w:val="24"/>
        </w:rPr>
        <w:t>Prudential Insurance Co. of America v. Cline</w:t>
      </w:r>
      <w:r w:rsidRPr="00F32AA4">
        <w:rPr>
          <w:rFonts w:eastAsia="Times New Roman"/>
          <w:iCs/>
          <w:sz w:val="24"/>
          <w:szCs w:val="24"/>
        </w:rPr>
        <w:t xml:space="preserve">, 98 Colo. 275, 57 P.2d 1205 (1936), </w:t>
      </w:r>
      <w:r w:rsidRPr="00F32AA4">
        <w:rPr>
          <w:rFonts w:eastAsia="Times New Roman"/>
          <w:i/>
          <w:iCs/>
          <w:sz w:val="24"/>
          <w:szCs w:val="24"/>
        </w:rPr>
        <w:t>overruled on other grounds by</w:t>
      </w:r>
      <w:r w:rsidRPr="00F32AA4">
        <w:rPr>
          <w:rFonts w:eastAsia="Times New Roman"/>
          <w:iCs/>
          <w:sz w:val="24"/>
          <w:szCs w:val="24"/>
        </w:rPr>
        <w:t xml:space="preserve"> </w:t>
      </w:r>
      <w:r w:rsidRPr="00F32AA4">
        <w:rPr>
          <w:rFonts w:eastAsia="Times New Roman"/>
          <w:b/>
          <w:iCs/>
          <w:sz w:val="24"/>
          <w:szCs w:val="24"/>
        </w:rPr>
        <w:t>Lockwood v. Travelers Insurance Co.</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179 Colo. 103, 498 P.2d 947 (1972).</w:t>
      </w:r>
    </w:p>
    <w:p w14:paraId="02989C37"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2. In </w:t>
      </w:r>
      <w:r w:rsidRPr="00F32AA4">
        <w:rPr>
          <w:rFonts w:eastAsia="Times New Roman"/>
          <w:b/>
          <w:iCs/>
          <w:sz w:val="24"/>
          <w:szCs w:val="24"/>
        </w:rPr>
        <w:t>Murray v. Just in Case Business Lighthouse, LLC</w:t>
      </w:r>
      <w:r w:rsidRPr="00F32AA4">
        <w:rPr>
          <w:rFonts w:eastAsia="Times New Roman"/>
          <w:iCs/>
          <w:sz w:val="24"/>
          <w:szCs w:val="24"/>
        </w:rPr>
        <w:t xml:space="preserve">, 2016 CO 47M, ¶ 21, 374 P.3d 443, 451, the Colorado Supreme Court held that, subject to the trial court’s discretion to determine whether to allow a witness to testify, “a witness’s credibility is for the fact-finder to decide.” </w:t>
      </w:r>
    </w:p>
    <w:p w14:paraId="33ADAC71" w14:textId="77777777" w:rsidR="00F32AA4" w:rsidRDefault="00F32AA4" w:rsidP="00531F87">
      <w:pPr>
        <w:spacing w:after="240"/>
        <w:ind w:firstLine="720"/>
        <w:rPr>
          <w:rFonts w:eastAsia="Times New Roman"/>
          <w:iCs/>
          <w:sz w:val="24"/>
          <w:szCs w:val="24"/>
        </w:rPr>
      </w:pPr>
      <w:r w:rsidRPr="00F32AA4">
        <w:rPr>
          <w:rFonts w:eastAsia="Times New Roman"/>
          <w:iCs/>
          <w:sz w:val="24"/>
          <w:szCs w:val="24"/>
        </w:rPr>
        <w:t xml:space="preserve">3. The jury is entitled to disregard all or any portion of the testimony of any witness who it finds has willfully testified falsely to any material fact. </w:t>
      </w:r>
      <w:r w:rsidRPr="00F32AA4">
        <w:rPr>
          <w:rFonts w:eastAsia="Times New Roman"/>
          <w:b/>
          <w:iCs/>
          <w:sz w:val="24"/>
          <w:szCs w:val="24"/>
        </w:rPr>
        <w:t>Denver &amp; Rio Grande R.R. v. Warring</w:t>
      </w:r>
      <w:r w:rsidRPr="00F32AA4">
        <w:rPr>
          <w:rFonts w:eastAsia="Times New Roman"/>
          <w:iCs/>
          <w:sz w:val="24"/>
          <w:szCs w:val="24"/>
        </w:rPr>
        <w:t xml:space="preserve">, 37 Colo. 122, 86 P. 305 (1906); </w:t>
      </w:r>
      <w:r w:rsidRPr="00F32AA4">
        <w:rPr>
          <w:rFonts w:eastAsia="Times New Roman"/>
          <w:b/>
          <w:iCs/>
          <w:sz w:val="24"/>
          <w:szCs w:val="24"/>
        </w:rPr>
        <w:t>Ward v. Ward</w:t>
      </w:r>
      <w:r w:rsidRPr="00F32AA4">
        <w:rPr>
          <w:rFonts w:eastAsia="Times New Roman"/>
          <w:iCs/>
          <w:sz w:val="24"/>
          <w:szCs w:val="24"/>
        </w:rPr>
        <w:t xml:space="preserve">, 25 Colo. 33, 52 P. 1105 (1898); </w:t>
      </w:r>
      <w:r w:rsidRPr="00F32AA4">
        <w:rPr>
          <w:rFonts w:eastAsia="Times New Roman"/>
          <w:i/>
          <w:iCs/>
          <w:sz w:val="24"/>
          <w:szCs w:val="24"/>
        </w:rPr>
        <w:t>see also</w:t>
      </w:r>
      <w:r w:rsidRPr="00F32AA4">
        <w:rPr>
          <w:rFonts w:eastAsia="Times New Roman"/>
          <w:iCs/>
          <w:sz w:val="24"/>
          <w:szCs w:val="24"/>
        </w:rPr>
        <w:t xml:space="preserve"> </w:t>
      </w:r>
      <w:r w:rsidRPr="00F32AA4">
        <w:rPr>
          <w:rFonts w:eastAsia="Times New Roman"/>
          <w:b/>
          <w:iCs/>
          <w:sz w:val="24"/>
          <w:szCs w:val="24"/>
        </w:rPr>
        <w:t>Gordon v. Benson</w:t>
      </w:r>
      <w:r w:rsidRPr="00F32AA4">
        <w:rPr>
          <w:rFonts w:eastAsia="Times New Roman"/>
          <w:iCs/>
          <w:sz w:val="24"/>
          <w:szCs w:val="24"/>
        </w:rPr>
        <w:t xml:space="preserve">, 925 P.2d 775 (Colo. 1996) (jury may believe all or just part of the testimony of a witness); </w:t>
      </w:r>
      <w:proofErr w:type="spellStart"/>
      <w:r w:rsidRPr="00F32AA4">
        <w:rPr>
          <w:rFonts w:eastAsia="Times New Roman"/>
          <w:b/>
          <w:iCs/>
          <w:sz w:val="24"/>
          <w:szCs w:val="24"/>
        </w:rPr>
        <w:t>Huntoon</w:t>
      </w:r>
      <w:proofErr w:type="spellEnd"/>
      <w:r w:rsidRPr="00F32AA4">
        <w:rPr>
          <w:rFonts w:eastAsia="Times New Roman"/>
          <w:b/>
          <w:iCs/>
          <w:sz w:val="24"/>
          <w:szCs w:val="24"/>
        </w:rPr>
        <w:t xml:space="preserve"> v. TCI Cablevision of Colo., Inc.</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 xml:space="preserve">948 P.2d 33 (Colo. App. 1997) (same), </w:t>
      </w:r>
      <w:proofErr w:type="spellStart"/>
      <w:r w:rsidRPr="00F32AA4">
        <w:rPr>
          <w:rFonts w:eastAsia="Times New Roman"/>
          <w:i/>
          <w:iCs/>
          <w:sz w:val="24"/>
          <w:szCs w:val="24"/>
        </w:rPr>
        <w:t>rev’d</w:t>
      </w:r>
      <w:proofErr w:type="spellEnd"/>
      <w:r w:rsidRPr="00F32AA4">
        <w:rPr>
          <w:rFonts w:eastAsia="Times New Roman"/>
          <w:i/>
          <w:iCs/>
          <w:sz w:val="24"/>
          <w:szCs w:val="24"/>
        </w:rPr>
        <w:t xml:space="preserve"> on other grounds</w:t>
      </w:r>
      <w:r w:rsidRPr="00F32AA4">
        <w:rPr>
          <w:rFonts w:eastAsia="Times New Roman"/>
          <w:iCs/>
          <w:sz w:val="24"/>
          <w:szCs w:val="24"/>
        </w:rPr>
        <w:t>, 969 P.2d 681 (Colo. 1998).</w:t>
      </w:r>
    </w:p>
    <w:p w14:paraId="28BD4951" w14:textId="77777777" w:rsidR="00F32AA4" w:rsidRDefault="00F32AA4">
      <w:pPr>
        <w:rPr>
          <w:rFonts w:eastAsia="Times New Roman"/>
          <w:iCs/>
          <w:sz w:val="24"/>
          <w:szCs w:val="24"/>
        </w:rPr>
      </w:pPr>
      <w:r>
        <w:rPr>
          <w:rFonts w:eastAsia="Times New Roman"/>
          <w:iCs/>
          <w:sz w:val="24"/>
          <w:szCs w:val="24"/>
        </w:rPr>
        <w:br w:type="page"/>
      </w:r>
    </w:p>
    <w:p w14:paraId="00B25FE0" w14:textId="77777777" w:rsidR="00F32AA4" w:rsidRPr="009E3DA4" w:rsidRDefault="00F32AA4" w:rsidP="00F32AA4">
      <w:pPr>
        <w:spacing w:after="240"/>
        <w:ind w:left="720" w:hanging="720"/>
        <w:rPr>
          <w:rFonts w:eastAsia="Times New Roman"/>
          <w:b/>
          <w:sz w:val="24"/>
          <w:szCs w:val="24"/>
        </w:rPr>
      </w:pPr>
      <w:bookmarkStart w:id="17" w:name="a3_17"/>
      <w:bookmarkEnd w:id="17"/>
      <w:r w:rsidRPr="00F32AA4">
        <w:rPr>
          <w:rFonts w:eastAsia="Times New Roman"/>
          <w:b/>
          <w:sz w:val="24"/>
          <w:szCs w:val="24"/>
        </w:rPr>
        <w:lastRenderedPageBreak/>
        <w:t xml:space="preserve">3:17 </w:t>
      </w:r>
      <w:r w:rsidRPr="00F32AA4">
        <w:rPr>
          <w:rFonts w:eastAsia="Times New Roman"/>
          <w:b/>
          <w:sz w:val="24"/>
          <w:szCs w:val="24"/>
        </w:rPr>
        <w:tab/>
        <w:t>HIGHLIGHTED EXHIBITS</w:t>
      </w:r>
    </w:p>
    <w:p w14:paraId="5614D7BC"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The lawyers have highlighted certain parts of some exhibits. However, it is for you to determine the significance of the highlighted parts.</w:t>
      </w:r>
    </w:p>
    <w:p w14:paraId="78A52C73" w14:textId="77777777" w:rsidR="00F32AA4" w:rsidRDefault="00F32AA4" w:rsidP="00F32AA4">
      <w:pPr>
        <w:jc w:val="center"/>
        <w:rPr>
          <w:rFonts w:eastAsia="Times New Roman"/>
          <w:sz w:val="24"/>
          <w:szCs w:val="24"/>
        </w:rPr>
      </w:pPr>
    </w:p>
    <w:p w14:paraId="73A72552"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6E4FAA34"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The “Report of the Colorado Supreme Court Committee on the Effective and Efficient Use of Juries,” adopted in principle by the Colorado Supreme Court in February 1997, recommends:</w:t>
      </w:r>
    </w:p>
    <w:p w14:paraId="014190FE" w14:textId="77777777" w:rsidR="00F32AA4" w:rsidRPr="00F32AA4" w:rsidRDefault="00F32AA4" w:rsidP="00F32AA4">
      <w:pPr>
        <w:spacing w:after="240"/>
        <w:ind w:left="720"/>
        <w:rPr>
          <w:rFonts w:eastAsia="Times New Roman"/>
          <w:sz w:val="24"/>
          <w:szCs w:val="24"/>
        </w:rPr>
      </w:pPr>
      <w:r w:rsidRPr="00F32AA4">
        <w:rPr>
          <w:rFonts w:eastAsia="Times New Roman"/>
          <w:sz w:val="24"/>
          <w:szCs w:val="24"/>
        </w:rPr>
        <w:t>The court should adopt procedures that would allow important exhibits to be highlighted or otherwise marked to direct jurors’ attention to significant parts of an exhibit.</w:t>
      </w:r>
    </w:p>
    <w:p w14:paraId="4B641CBD" w14:textId="77777777" w:rsidR="00F32AA4" w:rsidRPr="00F32AA4" w:rsidRDefault="00F32AA4" w:rsidP="00F32AA4">
      <w:pPr>
        <w:spacing w:after="240"/>
        <w:rPr>
          <w:rFonts w:eastAsia="Times New Roman"/>
          <w:sz w:val="24"/>
          <w:szCs w:val="24"/>
        </w:rPr>
      </w:pPr>
      <w:r w:rsidRPr="00F32AA4">
        <w:rPr>
          <w:rFonts w:eastAsia="Times New Roman"/>
          <w:i/>
          <w:sz w:val="24"/>
          <w:szCs w:val="24"/>
        </w:rPr>
        <w:t>Id.</w:t>
      </w:r>
      <w:r w:rsidRPr="00F32AA4">
        <w:rPr>
          <w:rFonts w:eastAsia="Times New Roman"/>
          <w:sz w:val="24"/>
          <w:szCs w:val="24"/>
        </w:rPr>
        <w:t xml:space="preserve"> at p. 50, ¶ 22.</w:t>
      </w:r>
    </w:p>
    <w:p w14:paraId="5AAF6EE7"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173E7CF8"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This instruction is supported by C.R.C.P. 16(f)(3)(VI)(B).</w:t>
      </w:r>
    </w:p>
    <w:sectPr w:rsidR="00F32AA4" w:rsidRPr="00F32AA4"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B93E" w14:textId="77777777" w:rsidR="00312ECB" w:rsidRDefault="00312ECB" w:rsidP="0054263B">
      <w:r>
        <w:separator/>
      </w:r>
    </w:p>
    <w:p w14:paraId="516B42CF" w14:textId="77777777" w:rsidR="00312ECB" w:rsidRDefault="00312ECB"/>
  </w:endnote>
  <w:endnote w:type="continuationSeparator" w:id="0">
    <w:p w14:paraId="58AFDECD" w14:textId="77777777" w:rsidR="00312ECB" w:rsidRDefault="00312ECB" w:rsidP="0054263B">
      <w:r>
        <w:continuationSeparator/>
      </w:r>
    </w:p>
    <w:p w14:paraId="6E035562" w14:textId="77777777" w:rsidR="00312ECB" w:rsidRDefault="00312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954898"/>
      <w:docPartObj>
        <w:docPartGallery w:val="Page Numbers (Bottom of Page)"/>
        <w:docPartUnique/>
      </w:docPartObj>
    </w:sdtPr>
    <w:sdtEndPr>
      <w:rPr>
        <w:noProof/>
      </w:rPr>
    </w:sdtEndPr>
    <w:sdtContent>
      <w:p w14:paraId="25A5EB8C" w14:textId="77777777" w:rsidR="00F41152" w:rsidRDefault="00F41152">
        <w:pPr>
          <w:pStyle w:val="Footer"/>
          <w:jc w:val="center"/>
        </w:pPr>
        <w:r>
          <w:fldChar w:fldCharType="begin"/>
        </w:r>
        <w:r>
          <w:instrText xml:space="preserve"> PAGE   \* MERGEFORMAT </w:instrText>
        </w:r>
        <w:r>
          <w:fldChar w:fldCharType="separate"/>
        </w:r>
        <w:r w:rsidR="00B150D4">
          <w:rPr>
            <w:noProof/>
          </w:rPr>
          <w:t>20</w:t>
        </w:r>
        <w:r>
          <w:rPr>
            <w:noProof/>
          </w:rPr>
          <w:fldChar w:fldCharType="end"/>
        </w:r>
      </w:p>
    </w:sdtContent>
  </w:sdt>
  <w:p w14:paraId="694A20D0" w14:textId="77777777" w:rsidR="00F41152" w:rsidRDefault="00F41152">
    <w:pPr>
      <w:pStyle w:val="Footer"/>
    </w:pPr>
  </w:p>
  <w:p w14:paraId="5BD9CC4A" w14:textId="77777777" w:rsidR="00F41152" w:rsidRDefault="00F41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A1E0" w14:textId="77777777" w:rsidR="00312ECB" w:rsidRDefault="00312ECB" w:rsidP="0054263B">
      <w:r>
        <w:separator/>
      </w:r>
    </w:p>
    <w:p w14:paraId="1F70F661" w14:textId="77777777" w:rsidR="00312ECB" w:rsidRDefault="00312ECB"/>
  </w:footnote>
  <w:footnote w:type="continuationSeparator" w:id="0">
    <w:p w14:paraId="1EF0A865" w14:textId="77777777" w:rsidR="00312ECB" w:rsidRDefault="00312ECB" w:rsidP="0054263B">
      <w:r>
        <w:continuationSeparator/>
      </w:r>
    </w:p>
    <w:p w14:paraId="1178F300" w14:textId="77777777" w:rsidR="00312ECB" w:rsidRDefault="00312E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7793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3328A"/>
    <w:rsid w:val="00037111"/>
    <w:rsid w:val="00057725"/>
    <w:rsid w:val="00060E35"/>
    <w:rsid w:val="00075B87"/>
    <w:rsid w:val="00085495"/>
    <w:rsid w:val="000921F1"/>
    <w:rsid w:val="000C6F97"/>
    <w:rsid w:val="000D24FE"/>
    <w:rsid w:val="000D3EE4"/>
    <w:rsid w:val="001117D9"/>
    <w:rsid w:val="00112770"/>
    <w:rsid w:val="001267B6"/>
    <w:rsid w:val="00142B1D"/>
    <w:rsid w:val="001903CB"/>
    <w:rsid w:val="001A2648"/>
    <w:rsid w:val="001F401B"/>
    <w:rsid w:val="00200BA5"/>
    <w:rsid w:val="002065D8"/>
    <w:rsid w:val="0021368F"/>
    <w:rsid w:val="0022134E"/>
    <w:rsid w:val="00223286"/>
    <w:rsid w:val="00257B26"/>
    <w:rsid w:val="002A23B0"/>
    <w:rsid w:val="002A40A1"/>
    <w:rsid w:val="002B0E7D"/>
    <w:rsid w:val="002E0970"/>
    <w:rsid w:val="002F143E"/>
    <w:rsid w:val="00310B6B"/>
    <w:rsid w:val="00312ECB"/>
    <w:rsid w:val="00331011"/>
    <w:rsid w:val="00336CE4"/>
    <w:rsid w:val="00340E3D"/>
    <w:rsid w:val="00352111"/>
    <w:rsid w:val="0037178E"/>
    <w:rsid w:val="003937B8"/>
    <w:rsid w:val="003C675A"/>
    <w:rsid w:val="003C7DB9"/>
    <w:rsid w:val="003F108C"/>
    <w:rsid w:val="004066E2"/>
    <w:rsid w:val="00427068"/>
    <w:rsid w:val="00436771"/>
    <w:rsid w:val="004425AA"/>
    <w:rsid w:val="004530E2"/>
    <w:rsid w:val="00456038"/>
    <w:rsid w:val="00462445"/>
    <w:rsid w:val="00471618"/>
    <w:rsid w:val="00474D9F"/>
    <w:rsid w:val="00476E09"/>
    <w:rsid w:val="00482FF3"/>
    <w:rsid w:val="004C62F9"/>
    <w:rsid w:val="004E5FFE"/>
    <w:rsid w:val="004E7EF1"/>
    <w:rsid w:val="00531F87"/>
    <w:rsid w:val="0053375F"/>
    <w:rsid w:val="0054263B"/>
    <w:rsid w:val="0057193E"/>
    <w:rsid w:val="0059405E"/>
    <w:rsid w:val="005B3A78"/>
    <w:rsid w:val="006178B4"/>
    <w:rsid w:val="006204B2"/>
    <w:rsid w:val="006272FE"/>
    <w:rsid w:val="006311ED"/>
    <w:rsid w:val="006568CE"/>
    <w:rsid w:val="00661D05"/>
    <w:rsid w:val="00675252"/>
    <w:rsid w:val="006A74B6"/>
    <w:rsid w:val="006E0D06"/>
    <w:rsid w:val="006E3575"/>
    <w:rsid w:val="006E62F0"/>
    <w:rsid w:val="0070557F"/>
    <w:rsid w:val="007119D8"/>
    <w:rsid w:val="00711CA1"/>
    <w:rsid w:val="00721C85"/>
    <w:rsid w:val="007532AB"/>
    <w:rsid w:val="00757718"/>
    <w:rsid w:val="00760A2E"/>
    <w:rsid w:val="007924A1"/>
    <w:rsid w:val="007A612E"/>
    <w:rsid w:val="007A74B0"/>
    <w:rsid w:val="007E1675"/>
    <w:rsid w:val="007F7129"/>
    <w:rsid w:val="00815883"/>
    <w:rsid w:val="0082168C"/>
    <w:rsid w:val="00832DB4"/>
    <w:rsid w:val="00834CE7"/>
    <w:rsid w:val="00837F81"/>
    <w:rsid w:val="00853ECF"/>
    <w:rsid w:val="00873833"/>
    <w:rsid w:val="00875064"/>
    <w:rsid w:val="00897CF0"/>
    <w:rsid w:val="008A719A"/>
    <w:rsid w:val="008B1617"/>
    <w:rsid w:val="008E41F1"/>
    <w:rsid w:val="008E6E50"/>
    <w:rsid w:val="008E720F"/>
    <w:rsid w:val="008F4C42"/>
    <w:rsid w:val="00902A25"/>
    <w:rsid w:val="00914128"/>
    <w:rsid w:val="00935348"/>
    <w:rsid w:val="00935DA8"/>
    <w:rsid w:val="00943118"/>
    <w:rsid w:val="00955A99"/>
    <w:rsid w:val="0095709A"/>
    <w:rsid w:val="009902F2"/>
    <w:rsid w:val="009913C4"/>
    <w:rsid w:val="009A7406"/>
    <w:rsid w:val="009B2AE8"/>
    <w:rsid w:val="009B6746"/>
    <w:rsid w:val="009C00D9"/>
    <w:rsid w:val="009E20C7"/>
    <w:rsid w:val="009E3DA4"/>
    <w:rsid w:val="009F73FD"/>
    <w:rsid w:val="00A14D68"/>
    <w:rsid w:val="00A36457"/>
    <w:rsid w:val="00A5314C"/>
    <w:rsid w:val="00A67667"/>
    <w:rsid w:val="00A80C10"/>
    <w:rsid w:val="00AA100F"/>
    <w:rsid w:val="00AD51CD"/>
    <w:rsid w:val="00AE5A9C"/>
    <w:rsid w:val="00B150D4"/>
    <w:rsid w:val="00B37722"/>
    <w:rsid w:val="00B421C1"/>
    <w:rsid w:val="00B43DE7"/>
    <w:rsid w:val="00B567C1"/>
    <w:rsid w:val="00B579DF"/>
    <w:rsid w:val="00B70D68"/>
    <w:rsid w:val="00B72D6B"/>
    <w:rsid w:val="00B937E4"/>
    <w:rsid w:val="00BA1F23"/>
    <w:rsid w:val="00BC0E0F"/>
    <w:rsid w:val="00BE2B09"/>
    <w:rsid w:val="00BE654D"/>
    <w:rsid w:val="00BF781C"/>
    <w:rsid w:val="00C205BE"/>
    <w:rsid w:val="00C31E3A"/>
    <w:rsid w:val="00C40968"/>
    <w:rsid w:val="00C452F7"/>
    <w:rsid w:val="00C46C19"/>
    <w:rsid w:val="00C60E95"/>
    <w:rsid w:val="00C84E71"/>
    <w:rsid w:val="00CA41CC"/>
    <w:rsid w:val="00CC0502"/>
    <w:rsid w:val="00CC1AC8"/>
    <w:rsid w:val="00CC6A95"/>
    <w:rsid w:val="00CC7E17"/>
    <w:rsid w:val="00CD4A7D"/>
    <w:rsid w:val="00CE593D"/>
    <w:rsid w:val="00D06D8D"/>
    <w:rsid w:val="00D333AA"/>
    <w:rsid w:val="00D7096B"/>
    <w:rsid w:val="00DA3726"/>
    <w:rsid w:val="00DB2C90"/>
    <w:rsid w:val="00DB5EE0"/>
    <w:rsid w:val="00DC63A9"/>
    <w:rsid w:val="00DC66A6"/>
    <w:rsid w:val="00DE2930"/>
    <w:rsid w:val="00DE30F6"/>
    <w:rsid w:val="00DF3BF1"/>
    <w:rsid w:val="00DF4FED"/>
    <w:rsid w:val="00E058BA"/>
    <w:rsid w:val="00E25B9B"/>
    <w:rsid w:val="00E25C6F"/>
    <w:rsid w:val="00E31F38"/>
    <w:rsid w:val="00E7307E"/>
    <w:rsid w:val="00E75D5D"/>
    <w:rsid w:val="00E87C31"/>
    <w:rsid w:val="00E921A3"/>
    <w:rsid w:val="00E970B9"/>
    <w:rsid w:val="00EC17E3"/>
    <w:rsid w:val="00EC7C98"/>
    <w:rsid w:val="00ED06B1"/>
    <w:rsid w:val="00ED7176"/>
    <w:rsid w:val="00EF17C5"/>
    <w:rsid w:val="00F13404"/>
    <w:rsid w:val="00F32AA4"/>
    <w:rsid w:val="00F41152"/>
    <w:rsid w:val="00F764F4"/>
    <w:rsid w:val="00FA0293"/>
    <w:rsid w:val="00FA57E4"/>
    <w:rsid w:val="00FA7B76"/>
    <w:rsid w:val="00FC4361"/>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705694C"/>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474D9F"/>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747919899">
      <w:bodyDiv w:val="1"/>
      <w:marLeft w:val="0"/>
      <w:marRight w:val="0"/>
      <w:marTop w:val="0"/>
      <w:marBottom w:val="0"/>
      <w:divBdr>
        <w:top w:val="none" w:sz="0" w:space="0" w:color="auto"/>
        <w:left w:val="none" w:sz="0" w:space="0" w:color="auto"/>
        <w:bottom w:val="none" w:sz="0" w:space="0" w:color="auto"/>
        <w:right w:val="none" w:sz="0" w:space="0" w:color="auto"/>
      </w:divBdr>
      <w:divsChild>
        <w:div w:id="2108307861">
          <w:marLeft w:val="0"/>
          <w:marRight w:val="0"/>
          <w:marTop w:val="0"/>
          <w:marBottom w:val="0"/>
          <w:divBdr>
            <w:top w:val="none" w:sz="0" w:space="0" w:color="auto"/>
            <w:left w:val="none" w:sz="0" w:space="0" w:color="auto"/>
            <w:bottom w:val="none" w:sz="0" w:space="0" w:color="auto"/>
            <w:right w:val="none" w:sz="0" w:space="0" w:color="auto"/>
          </w:divBdr>
          <w:divsChild>
            <w:div w:id="1063678173">
              <w:marLeft w:val="0"/>
              <w:marRight w:val="0"/>
              <w:marTop w:val="0"/>
              <w:marBottom w:val="0"/>
              <w:divBdr>
                <w:top w:val="none" w:sz="0" w:space="0" w:color="auto"/>
                <w:left w:val="none" w:sz="0" w:space="0" w:color="auto"/>
                <w:bottom w:val="none" w:sz="0" w:space="0" w:color="auto"/>
                <w:right w:val="none" w:sz="0" w:space="0" w:color="auto"/>
              </w:divBdr>
              <w:divsChild>
                <w:div w:id="2490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97832-F988-4CA7-B4F6-56EC4B73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5711</Words>
  <Characters>32558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krista schelhaas</cp:lastModifiedBy>
  <cp:revision>2</cp:revision>
  <dcterms:created xsi:type="dcterms:W3CDTF">2023-03-07T16:51:00Z</dcterms:created>
  <dcterms:modified xsi:type="dcterms:W3CDTF">2023-03-07T16:51:00Z</dcterms:modified>
</cp:coreProperties>
</file>