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7B24C" w14:textId="56527D65" w:rsidR="00CA41CC" w:rsidRPr="00914128" w:rsidRDefault="0068336D" w:rsidP="00914128">
      <w:pPr>
        <w:pStyle w:val="Heading1"/>
      </w:pPr>
      <w:r>
        <w:t xml:space="preserve">CHAPTER </w:t>
      </w:r>
      <w:r w:rsidR="00A109BC">
        <w:t>18</w:t>
      </w:r>
    </w:p>
    <w:p w14:paraId="1A3004BF" w14:textId="77777777" w:rsidR="00EC7C98" w:rsidRPr="00914128" w:rsidRDefault="00167A38" w:rsidP="00914128">
      <w:pPr>
        <w:pStyle w:val="Heading1"/>
      </w:pPr>
      <w:r w:rsidRPr="00167A38">
        <w:t>TRESPASS TO LAND</w:t>
      </w:r>
    </w:p>
    <w:p w14:paraId="3F32E608" w14:textId="77777777" w:rsidR="00EC7C98" w:rsidRDefault="00000000" w:rsidP="00914128">
      <w:pPr>
        <w:pStyle w:val="ToC"/>
      </w:pPr>
      <w:hyperlink w:anchor="a18_01" w:history="1">
        <w:r w:rsidR="003F78F0" w:rsidRPr="00A109BC">
          <w:rPr>
            <w:rStyle w:val="Hyperlink"/>
          </w:rPr>
          <w:t>18:1</w:t>
        </w:r>
      </w:hyperlink>
      <w:r w:rsidR="003F78F0" w:rsidRPr="00A109BC">
        <w:tab/>
        <w:t xml:space="preserve">Trespass — Elements </w:t>
      </w:r>
      <w:r w:rsidR="003F78F0">
        <w:t>o</w:t>
      </w:r>
      <w:r w:rsidR="003F78F0" w:rsidRPr="00A109BC">
        <w:t>f Liability</w:t>
      </w:r>
    </w:p>
    <w:p w14:paraId="1EAFA829" w14:textId="77777777" w:rsidR="00A109BC" w:rsidRDefault="00000000" w:rsidP="00914128">
      <w:pPr>
        <w:pStyle w:val="ToC"/>
      </w:pPr>
      <w:hyperlink w:anchor="a18_02" w:history="1">
        <w:r w:rsidR="003F78F0" w:rsidRPr="00A109BC">
          <w:rPr>
            <w:rStyle w:val="Hyperlink"/>
          </w:rPr>
          <w:t>18:2</w:t>
        </w:r>
      </w:hyperlink>
      <w:r w:rsidR="003F78F0">
        <w:tab/>
      </w:r>
      <w:r w:rsidR="003F78F0" w:rsidRPr="00A109BC">
        <w:t>Intentionally — Defined</w:t>
      </w:r>
    </w:p>
    <w:p w14:paraId="53D2EBE9" w14:textId="77777777" w:rsidR="00A109BC" w:rsidRDefault="00000000" w:rsidP="00914128">
      <w:pPr>
        <w:pStyle w:val="ToC"/>
      </w:pPr>
      <w:hyperlink w:anchor="a18_03" w:history="1">
        <w:r w:rsidR="003F78F0" w:rsidRPr="00A109BC">
          <w:rPr>
            <w:rStyle w:val="Hyperlink"/>
          </w:rPr>
          <w:t>18:3</w:t>
        </w:r>
      </w:hyperlink>
      <w:r w:rsidR="003F78F0" w:rsidRPr="00A109BC">
        <w:t xml:space="preserve"> </w:t>
      </w:r>
      <w:r w:rsidR="003F78F0" w:rsidRPr="00A109BC">
        <w:tab/>
        <w:t>Consent</w:t>
      </w:r>
    </w:p>
    <w:p w14:paraId="5DB11A44" w14:textId="77777777" w:rsidR="00A109BC" w:rsidRDefault="00000000" w:rsidP="00914128">
      <w:pPr>
        <w:pStyle w:val="ToC"/>
      </w:pPr>
      <w:hyperlink w:anchor="a18_04" w:history="1">
        <w:r w:rsidR="003F78F0" w:rsidRPr="00A109BC">
          <w:rPr>
            <w:rStyle w:val="Hyperlink"/>
          </w:rPr>
          <w:t>18:4</w:t>
        </w:r>
      </w:hyperlink>
      <w:r w:rsidR="003F78F0" w:rsidRPr="00A109BC">
        <w:tab/>
        <w:t xml:space="preserve">Actual </w:t>
      </w:r>
      <w:r w:rsidR="003F78F0">
        <w:t>o</w:t>
      </w:r>
      <w:r w:rsidR="003F78F0" w:rsidRPr="00A109BC">
        <w:t>r Nominal Damages</w:t>
      </w:r>
    </w:p>
    <w:p w14:paraId="6E498DA0" w14:textId="77777777" w:rsidR="00352111" w:rsidRPr="00352111" w:rsidRDefault="00352111">
      <w:pPr>
        <w:rPr>
          <w:rFonts w:eastAsia="Times New Roman"/>
          <w:sz w:val="24"/>
          <w:szCs w:val="24"/>
        </w:rPr>
      </w:pPr>
      <w:r w:rsidRPr="00352111">
        <w:rPr>
          <w:rFonts w:eastAsia="Times New Roman"/>
          <w:sz w:val="24"/>
          <w:szCs w:val="24"/>
        </w:rPr>
        <w:br w:type="page"/>
      </w:r>
    </w:p>
    <w:p w14:paraId="16CB14AF" w14:textId="77777777" w:rsidR="009E3DA4" w:rsidRPr="009E3DA4" w:rsidRDefault="00167A38" w:rsidP="00CC0502">
      <w:pPr>
        <w:spacing w:after="240"/>
        <w:ind w:left="720" w:hanging="720"/>
        <w:rPr>
          <w:rFonts w:eastAsia="Times New Roman"/>
          <w:b/>
          <w:sz w:val="24"/>
          <w:szCs w:val="24"/>
        </w:rPr>
      </w:pPr>
      <w:bookmarkStart w:id="0" w:name="a18_01"/>
      <w:bookmarkEnd w:id="0"/>
      <w:r w:rsidRPr="00167A38">
        <w:rPr>
          <w:rFonts w:eastAsia="Times New Roman"/>
          <w:b/>
          <w:sz w:val="24"/>
          <w:szCs w:val="24"/>
        </w:rPr>
        <w:lastRenderedPageBreak/>
        <w:t xml:space="preserve">18:1 </w:t>
      </w:r>
      <w:r w:rsidRPr="00167A38">
        <w:rPr>
          <w:rFonts w:eastAsia="Times New Roman"/>
          <w:b/>
          <w:sz w:val="24"/>
          <w:szCs w:val="24"/>
        </w:rPr>
        <w:tab/>
        <w:t>TRESPASS — ELEMENTS OF LIABILITY</w:t>
      </w:r>
    </w:p>
    <w:p w14:paraId="07E5443C"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 xml:space="preserve">For the plaintiff, </w:t>
      </w:r>
      <w:r w:rsidRPr="00167A38">
        <w:rPr>
          <w:rFonts w:eastAsia="Times New Roman"/>
          <w:i/>
          <w:sz w:val="24"/>
          <w:szCs w:val="24"/>
        </w:rPr>
        <w:t>(name)</w:t>
      </w:r>
      <w:r w:rsidRPr="00167A38">
        <w:rPr>
          <w:rFonts w:eastAsia="Times New Roman"/>
          <w:b/>
          <w:sz w:val="24"/>
          <w:szCs w:val="24"/>
        </w:rPr>
        <w:t xml:space="preserve">, to recover from the defendant, </w:t>
      </w:r>
      <w:r w:rsidRPr="00167A38">
        <w:rPr>
          <w:rFonts w:eastAsia="Times New Roman"/>
          <w:i/>
          <w:sz w:val="24"/>
          <w:szCs w:val="24"/>
        </w:rPr>
        <w:t>(name)</w:t>
      </w:r>
      <w:r w:rsidRPr="00167A38">
        <w:rPr>
          <w:rFonts w:eastAsia="Times New Roman"/>
          <w:b/>
          <w:sz w:val="24"/>
          <w:szCs w:val="24"/>
        </w:rPr>
        <w:t>, on (his) (her) claim of trespass, you must find that (both) (all) of the following have been proved by a preponderance of the evidence:</w:t>
      </w:r>
    </w:p>
    <w:p w14:paraId="0177704B"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 xml:space="preserve">1. The plaintiff was (the owner) (in lawful possession of) </w:t>
      </w:r>
      <w:r w:rsidRPr="00167A38">
        <w:rPr>
          <w:rFonts w:eastAsia="Times New Roman"/>
          <w:i/>
          <w:sz w:val="24"/>
          <w:szCs w:val="24"/>
        </w:rPr>
        <w:t>(insert appropriate description of property)</w:t>
      </w:r>
      <w:r w:rsidRPr="00167A38">
        <w:rPr>
          <w:rFonts w:eastAsia="Times New Roman"/>
          <w:b/>
          <w:sz w:val="24"/>
          <w:szCs w:val="24"/>
        </w:rPr>
        <w:t>; and</w:t>
      </w:r>
    </w:p>
    <w:p w14:paraId="5E1B8D17"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 xml:space="preserve">2. The defendant intentionally (entered upon) (caused another to enter upon) (caused </w:t>
      </w:r>
      <w:r w:rsidRPr="00167A38">
        <w:rPr>
          <w:rFonts w:eastAsia="Times New Roman"/>
          <w:i/>
          <w:sz w:val="24"/>
          <w:szCs w:val="24"/>
        </w:rPr>
        <w:t>[insert appropriate description]</w:t>
      </w:r>
      <w:r w:rsidRPr="00167A38">
        <w:rPr>
          <w:rFonts w:eastAsia="Times New Roman"/>
          <w:b/>
          <w:i/>
          <w:sz w:val="24"/>
          <w:szCs w:val="24"/>
        </w:rPr>
        <w:t xml:space="preserve"> </w:t>
      </w:r>
      <w:r w:rsidRPr="00167A38">
        <w:rPr>
          <w:rFonts w:eastAsia="Times New Roman"/>
          <w:b/>
          <w:sz w:val="24"/>
          <w:szCs w:val="24"/>
        </w:rPr>
        <w:t>to</w:t>
      </w:r>
      <w:r w:rsidRPr="00167A38">
        <w:rPr>
          <w:rFonts w:eastAsia="Times New Roman"/>
          <w:b/>
          <w:i/>
          <w:sz w:val="24"/>
          <w:szCs w:val="24"/>
        </w:rPr>
        <w:t xml:space="preserve"> </w:t>
      </w:r>
      <w:r w:rsidRPr="00167A38">
        <w:rPr>
          <w:rFonts w:eastAsia="Times New Roman"/>
          <w:b/>
          <w:sz w:val="24"/>
          <w:szCs w:val="24"/>
        </w:rPr>
        <w:t>come upon) that property.</w:t>
      </w:r>
    </w:p>
    <w:p w14:paraId="62008CC3"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 xml:space="preserve">(3. The </w:t>
      </w:r>
      <w:r w:rsidRPr="00167A38">
        <w:rPr>
          <w:rFonts w:eastAsia="Times New Roman"/>
          <w:i/>
          <w:sz w:val="24"/>
          <w:szCs w:val="24"/>
        </w:rPr>
        <w:t>[insert appropriate description]</w:t>
      </w:r>
      <w:r w:rsidRPr="00167A38">
        <w:rPr>
          <w:rFonts w:eastAsia="Times New Roman"/>
          <w:b/>
          <w:sz w:val="24"/>
          <w:szCs w:val="24"/>
        </w:rPr>
        <w:t xml:space="preserve"> caused physical damage to plaintiff’s property.)</w:t>
      </w:r>
    </w:p>
    <w:p w14:paraId="4A24FF3D"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If you find that one of these statements has not been proved, then your verdict must be for the defendant.</w:t>
      </w:r>
    </w:p>
    <w:p w14:paraId="08609E4E" w14:textId="77777777" w:rsidR="00167A38" w:rsidRPr="00167A38" w:rsidRDefault="00167A38" w:rsidP="00167A38">
      <w:pPr>
        <w:spacing w:after="240"/>
        <w:ind w:firstLine="720"/>
        <w:rPr>
          <w:rFonts w:eastAsia="Times New Roman"/>
          <w:i/>
          <w:sz w:val="24"/>
          <w:szCs w:val="24"/>
        </w:rPr>
      </w:pPr>
      <w:r w:rsidRPr="00167A38">
        <w:rPr>
          <w:rFonts w:eastAsia="Times New Roman"/>
          <w:b/>
          <w:sz w:val="24"/>
          <w:szCs w:val="24"/>
        </w:rPr>
        <w:t xml:space="preserve">On the other hand, if you find that (both) (all) of these statements have been proved, (then your verdict must be for the plaintiff) (then you must consider the defendant’s affirmative defense(s) of </w:t>
      </w:r>
      <w:r w:rsidRPr="00167A38">
        <w:rPr>
          <w:rFonts w:eastAsia="Times New Roman"/>
          <w:i/>
          <w:sz w:val="24"/>
          <w:szCs w:val="24"/>
        </w:rPr>
        <w:t>[insert any affirmative defense that would be a complete defense to plaintiff’s claim]).</w:t>
      </w:r>
    </w:p>
    <w:p w14:paraId="7DA5D353"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DA911CF" w14:textId="77777777" w:rsidR="00167A38" w:rsidRPr="00167A38" w:rsidRDefault="00167A38" w:rsidP="00167A38">
      <w:pPr>
        <w:spacing w:after="240"/>
        <w:ind w:firstLine="720"/>
        <w:rPr>
          <w:rFonts w:eastAsia="Times New Roman"/>
          <w:b/>
          <w:sz w:val="24"/>
          <w:szCs w:val="24"/>
        </w:rPr>
      </w:pPr>
      <w:r w:rsidRPr="00167A38">
        <w:rPr>
          <w:rFonts w:eastAsia="Times New Roman"/>
          <w:b/>
          <w:sz w:val="24"/>
          <w:szCs w:val="24"/>
        </w:rPr>
        <w:t>However, if you find that (this affirmative defense has</w:t>
      </w:r>
      <w:r w:rsidR="00B6178E">
        <w:rPr>
          <w:rFonts w:eastAsia="Times New Roman"/>
          <w:b/>
          <w:sz w:val="24"/>
          <w:szCs w:val="24"/>
        </w:rPr>
        <w:t xml:space="preserve"> not</w:t>
      </w:r>
      <w:r w:rsidRPr="00167A38">
        <w:rPr>
          <w:rFonts w:eastAsia="Times New Roman"/>
          <w:b/>
          <w:sz w:val="24"/>
          <w:szCs w:val="24"/>
        </w:rPr>
        <w:t>) (</w:t>
      </w:r>
      <w:r w:rsidR="00B6178E">
        <w:rPr>
          <w:rFonts w:eastAsia="Times New Roman"/>
          <w:b/>
          <w:sz w:val="24"/>
          <w:szCs w:val="24"/>
        </w:rPr>
        <w:t xml:space="preserve">none </w:t>
      </w:r>
      <w:r w:rsidRPr="00167A38">
        <w:rPr>
          <w:rFonts w:eastAsia="Times New Roman"/>
          <w:b/>
          <w:sz w:val="24"/>
          <w:szCs w:val="24"/>
        </w:rPr>
        <w:t>of these affirmative defenses have) been proved, then your verdict must be for the plaintiff.</w:t>
      </w:r>
    </w:p>
    <w:p w14:paraId="3A1D1960" w14:textId="77777777" w:rsidR="00832DB4" w:rsidRDefault="00832DB4" w:rsidP="0054263B">
      <w:pPr>
        <w:jc w:val="center"/>
        <w:rPr>
          <w:rFonts w:eastAsia="Times New Roman"/>
          <w:sz w:val="24"/>
          <w:szCs w:val="24"/>
        </w:rPr>
      </w:pPr>
    </w:p>
    <w:p w14:paraId="0963564A"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42F20343"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1. Use whichever parenthesized phrase is most appropriate.</w:t>
      </w:r>
    </w:p>
    <w:p w14:paraId="59740BE3"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2. Paragraph 3 should be used only when the intrusion onto property is intangible. </w:t>
      </w:r>
      <w:r w:rsidRPr="00167A38">
        <w:rPr>
          <w:rFonts w:eastAsia="Times New Roman"/>
          <w:i/>
          <w:sz w:val="24"/>
          <w:szCs w:val="24"/>
        </w:rPr>
        <w:t>See</w:t>
      </w:r>
      <w:r w:rsidRPr="00167A38">
        <w:rPr>
          <w:rFonts w:eastAsia="Times New Roman"/>
          <w:sz w:val="24"/>
          <w:szCs w:val="24"/>
        </w:rPr>
        <w:t xml:space="preserve"> </w:t>
      </w:r>
      <w:r w:rsidRPr="00167A38">
        <w:rPr>
          <w:rFonts w:eastAsia="Times New Roman"/>
          <w:b/>
          <w:sz w:val="24"/>
          <w:szCs w:val="24"/>
        </w:rPr>
        <w:t xml:space="preserve">Pub. Serv. Co. v. Van </w:t>
      </w:r>
      <w:proofErr w:type="spellStart"/>
      <w:r w:rsidRPr="00167A38">
        <w:rPr>
          <w:rFonts w:eastAsia="Times New Roman"/>
          <w:b/>
          <w:sz w:val="24"/>
          <w:szCs w:val="24"/>
        </w:rPr>
        <w:t>Wyk</w:t>
      </w:r>
      <w:proofErr w:type="spellEnd"/>
      <w:r w:rsidRPr="00167A38">
        <w:rPr>
          <w:rFonts w:eastAsia="Times New Roman"/>
          <w:sz w:val="24"/>
          <w:szCs w:val="24"/>
        </w:rPr>
        <w:t>, 27 P.3d 377 (Colo. 2001) (intrusions of electromagnetic fields, radiation waves, and noise emitted from power lines do not cause physical damage and, therefore, will not support a claim of trespass).</w:t>
      </w:r>
    </w:p>
    <w:p w14:paraId="53F8E88B"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3. In cases involving multiple defendants or designated nonparties where the pro rata liability statute, § 13</w:t>
      </w:r>
      <w:r w:rsidRPr="00167A38">
        <w:rPr>
          <w:rFonts w:eastAsia="Times New Roman"/>
          <w:sz w:val="24"/>
          <w:szCs w:val="24"/>
        </w:rPr>
        <w:noBreakHyphen/>
        <w:t>21</w:t>
      </w:r>
      <w:r w:rsidRPr="00167A38">
        <w:rPr>
          <w:rFonts w:eastAsia="Times New Roman"/>
          <w:sz w:val="24"/>
          <w:szCs w:val="24"/>
        </w:rPr>
        <w:noBreakHyphen/>
        <w:t xml:space="preserve">111.5, C.R.S., is applicable, see the Notes on Use to Instruction 4:20 (model unified verdict form).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b/>
          <w:sz w:val="24"/>
          <w:szCs w:val="24"/>
        </w:rPr>
        <w:t xml:space="preserve">Sanderson v. Heath Mesa Homeowners </w:t>
      </w:r>
      <w:proofErr w:type="spellStart"/>
      <w:r w:rsidRPr="00167A38">
        <w:rPr>
          <w:rFonts w:eastAsia="Times New Roman"/>
          <w:b/>
          <w:sz w:val="24"/>
          <w:szCs w:val="24"/>
        </w:rPr>
        <w:t>Ass’n</w:t>
      </w:r>
      <w:proofErr w:type="spellEnd"/>
      <w:r w:rsidRPr="00167A38">
        <w:rPr>
          <w:rFonts w:eastAsia="Times New Roman"/>
          <w:sz w:val="24"/>
          <w:szCs w:val="24"/>
        </w:rPr>
        <w:t>, 183 P.3d 679 (Colo. App. 2008) (on remand, liability for damages may be allocated to “act of God,” natural subsidence, and plaintiffs’ own irrigation if the evidence supports such an allocation).</w:t>
      </w:r>
    </w:p>
    <w:p w14:paraId="0EFDF79D"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4. Instruction 18:2, defining “intentionally,” must also be given with this instruction. </w:t>
      </w:r>
    </w:p>
    <w:p w14:paraId="4010F0B7"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lastRenderedPageBreak/>
        <w:t xml:space="preserve">5. One may commit a trespass by affirmative conduct other than a direct entry. In such cases, this instruction must be appropriately modified. </w:t>
      </w:r>
      <w:r w:rsidRPr="00167A38">
        <w:rPr>
          <w:rFonts w:eastAsia="Times New Roman"/>
          <w:i/>
          <w:sz w:val="24"/>
          <w:szCs w:val="24"/>
        </w:rPr>
        <w:t>See, e.g.</w:t>
      </w:r>
      <w:r w:rsidRPr="00167A38">
        <w:rPr>
          <w:rFonts w:eastAsia="Times New Roman"/>
          <w:sz w:val="24"/>
          <w:szCs w:val="24"/>
        </w:rPr>
        <w:t>,</w:t>
      </w:r>
      <w:r w:rsidRPr="00167A38">
        <w:rPr>
          <w:rFonts w:eastAsia="Times New Roman"/>
          <w:i/>
          <w:sz w:val="24"/>
          <w:szCs w:val="24"/>
        </w:rPr>
        <w:t xml:space="preserve"> </w:t>
      </w:r>
      <w:proofErr w:type="spellStart"/>
      <w:r w:rsidRPr="00167A38">
        <w:rPr>
          <w:rFonts w:eastAsia="Times New Roman"/>
          <w:b/>
          <w:sz w:val="24"/>
          <w:szCs w:val="24"/>
        </w:rPr>
        <w:t>Cobai</w:t>
      </w:r>
      <w:proofErr w:type="spellEnd"/>
      <w:r w:rsidRPr="00167A38">
        <w:rPr>
          <w:rFonts w:eastAsia="Times New Roman"/>
          <w:b/>
          <w:sz w:val="24"/>
          <w:szCs w:val="24"/>
        </w:rPr>
        <w:t xml:space="preserve"> v. Young</w:t>
      </w:r>
      <w:r w:rsidRPr="00167A38">
        <w:rPr>
          <w:rFonts w:eastAsia="Times New Roman"/>
          <w:sz w:val="24"/>
          <w:szCs w:val="24"/>
        </w:rPr>
        <w:t xml:space="preserve">, 679 P.2d 121 (Colo. App. 1984) (defendants constructed their house </w:t>
      </w:r>
      <w:proofErr w:type="gramStart"/>
      <w:r w:rsidRPr="00167A38">
        <w:rPr>
          <w:rFonts w:eastAsia="Times New Roman"/>
          <w:sz w:val="24"/>
          <w:szCs w:val="24"/>
        </w:rPr>
        <w:t>so as to</w:t>
      </w:r>
      <w:proofErr w:type="gramEnd"/>
      <w:r w:rsidRPr="00167A38">
        <w:rPr>
          <w:rFonts w:eastAsia="Times New Roman"/>
          <w:sz w:val="24"/>
          <w:szCs w:val="24"/>
        </w:rPr>
        <w:t xml:space="preserve"> cause snow to slide off the roof and hit the plaintiff’s house). </w:t>
      </w:r>
    </w:p>
    <w:p w14:paraId="64EF7C89"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52898EBA"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1. This instruction is supported by </w:t>
      </w:r>
      <w:r w:rsidRPr="00167A38">
        <w:rPr>
          <w:rFonts w:eastAsia="Times New Roman"/>
          <w:b/>
          <w:sz w:val="24"/>
          <w:szCs w:val="24"/>
        </w:rPr>
        <w:t xml:space="preserve">Hugunin v. </w:t>
      </w:r>
      <w:proofErr w:type="spellStart"/>
      <w:r w:rsidRPr="00167A38">
        <w:rPr>
          <w:rFonts w:eastAsia="Times New Roman"/>
          <w:b/>
          <w:sz w:val="24"/>
          <w:szCs w:val="24"/>
        </w:rPr>
        <w:t>McCunniff</w:t>
      </w:r>
      <w:proofErr w:type="spellEnd"/>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2 Colo. 367 (1874); and </w:t>
      </w:r>
      <w:r w:rsidRPr="00167A38">
        <w:rPr>
          <w:rFonts w:eastAsia="Times New Roman"/>
          <w:smallCaps/>
          <w:sz w:val="24"/>
          <w:szCs w:val="24"/>
        </w:rPr>
        <w:t>Restatement (Second) of Torts</w:t>
      </w:r>
      <w:r w:rsidRPr="00167A38">
        <w:rPr>
          <w:rFonts w:eastAsia="Times New Roman"/>
          <w:sz w:val="24"/>
          <w:szCs w:val="24"/>
        </w:rPr>
        <w:t xml:space="preserve"> §§ 158-159 (1965). </w:t>
      </w:r>
      <w:r w:rsidRPr="00167A38">
        <w:rPr>
          <w:rFonts w:eastAsia="Times New Roman"/>
          <w:i/>
          <w:sz w:val="24"/>
          <w:szCs w:val="24"/>
        </w:rPr>
        <w:t>See also</w:t>
      </w:r>
      <w:r w:rsidRPr="00167A38">
        <w:rPr>
          <w:rFonts w:eastAsia="Times New Roman"/>
          <w:sz w:val="24"/>
          <w:szCs w:val="24"/>
        </w:rPr>
        <w:t xml:space="preserve"> </w:t>
      </w:r>
      <w:proofErr w:type="spellStart"/>
      <w:r w:rsidRPr="00167A38">
        <w:rPr>
          <w:rFonts w:eastAsia="Times New Roman"/>
          <w:b/>
          <w:sz w:val="24"/>
          <w:szCs w:val="24"/>
        </w:rPr>
        <w:t>Hoery</w:t>
      </w:r>
      <w:proofErr w:type="spellEnd"/>
      <w:r w:rsidRPr="00167A38">
        <w:rPr>
          <w:rFonts w:eastAsia="Times New Roman"/>
          <w:b/>
          <w:sz w:val="24"/>
          <w:szCs w:val="24"/>
        </w:rPr>
        <w:t xml:space="preserve"> v. United States</w:t>
      </w:r>
      <w:r w:rsidRPr="00167A38">
        <w:rPr>
          <w:rFonts w:eastAsia="Times New Roman"/>
          <w:sz w:val="24"/>
          <w:szCs w:val="24"/>
        </w:rPr>
        <w:t xml:space="preserve">, 64 P.3d 214 (Colo. 2003); </w:t>
      </w:r>
      <w:proofErr w:type="spellStart"/>
      <w:r w:rsidRPr="00167A38">
        <w:rPr>
          <w:rFonts w:eastAsia="Times New Roman"/>
          <w:b/>
          <w:sz w:val="24"/>
          <w:szCs w:val="24"/>
        </w:rPr>
        <w:t>Antolovich</w:t>
      </w:r>
      <w:proofErr w:type="spellEnd"/>
      <w:r w:rsidRPr="00167A38">
        <w:rPr>
          <w:rFonts w:eastAsia="Times New Roman"/>
          <w:b/>
          <w:sz w:val="24"/>
          <w:szCs w:val="24"/>
        </w:rPr>
        <w:t xml:space="preserve"> v. Brown Grp. Retail, Inc.</w:t>
      </w:r>
      <w:r w:rsidRPr="00167A38">
        <w:rPr>
          <w:rFonts w:eastAsia="Times New Roman"/>
          <w:sz w:val="24"/>
          <w:szCs w:val="24"/>
        </w:rPr>
        <w:t xml:space="preserve">, 183 P.3d 582 (Colo. App. 2007); </w:t>
      </w:r>
      <w:r w:rsidRPr="00167A38">
        <w:rPr>
          <w:rFonts w:eastAsia="Times New Roman"/>
          <w:b/>
          <w:sz w:val="24"/>
          <w:szCs w:val="24"/>
        </w:rPr>
        <w:t xml:space="preserve">Trask v. </w:t>
      </w:r>
      <w:proofErr w:type="spellStart"/>
      <w:r w:rsidRPr="00167A38">
        <w:rPr>
          <w:rFonts w:eastAsia="Times New Roman"/>
          <w:b/>
          <w:sz w:val="24"/>
          <w:szCs w:val="24"/>
        </w:rPr>
        <w:t>Nozisko</w:t>
      </w:r>
      <w:proofErr w:type="spellEnd"/>
      <w:r w:rsidRPr="00167A38">
        <w:rPr>
          <w:rFonts w:eastAsia="Times New Roman"/>
          <w:sz w:val="24"/>
          <w:szCs w:val="24"/>
        </w:rPr>
        <w:t xml:space="preserve">, 134 P.3d 544 (Colo. App. 2006); </w:t>
      </w:r>
      <w:r w:rsidRPr="00167A38">
        <w:rPr>
          <w:rFonts w:eastAsia="Times New Roman"/>
          <w:b/>
          <w:sz w:val="24"/>
          <w:szCs w:val="24"/>
        </w:rPr>
        <w:t>Gifford v. City of Colo. Springs</w:t>
      </w:r>
      <w:r w:rsidRPr="00167A38">
        <w:rPr>
          <w:rFonts w:eastAsia="Times New Roman"/>
          <w:sz w:val="24"/>
          <w:szCs w:val="24"/>
        </w:rPr>
        <w:t xml:space="preserve">, 815 P.2d 1008 (Colo. App. 1991); </w:t>
      </w:r>
      <w:r w:rsidRPr="00167A38">
        <w:rPr>
          <w:rFonts w:eastAsia="Times New Roman"/>
          <w:b/>
          <w:sz w:val="24"/>
          <w:szCs w:val="24"/>
        </w:rPr>
        <w:t>Burt v. Beautiful Savior Lutheran Church</w:t>
      </w:r>
      <w:r w:rsidRPr="00167A38">
        <w:rPr>
          <w:rFonts w:eastAsia="Times New Roman"/>
          <w:sz w:val="24"/>
          <w:szCs w:val="24"/>
        </w:rPr>
        <w:t xml:space="preserve">, 809 P.2d 1064 (Colo. App. 1990) (trespass is the physical intrusion upon the property of another without the permission of the person lawfully entitled to possession of such property); </w:t>
      </w:r>
      <w:proofErr w:type="spellStart"/>
      <w:r w:rsidRPr="00167A38">
        <w:rPr>
          <w:rFonts w:eastAsia="Times New Roman"/>
          <w:b/>
          <w:sz w:val="24"/>
          <w:szCs w:val="24"/>
        </w:rPr>
        <w:t>Magliocco</w:t>
      </w:r>
      <w:proofErr w:type="spellEnd"/>
      <w:r w:rsidRPr="00167A38">
        <w:rPr>
          <w:rFonts w:eastAsia="Times New Roman"/>
          <w:b/>
          <w:sz w:val="24"/>
          <w:szCs w:val="24"/>
        </w:rPr>
        <w:t xml:space="preserve"> v. Olson</w:t>
      </w:r>
      <w:r w:rsidRPr="00167A38">
        <w:rPr>
          <w:rFonts w:eastAsia="Times New Roman"/>
          <w:sz w:val="24"/>
          <w:szCs w:val="24"/>
        </w:rPr>
        <w:t xml:space="preserve">, 762 P.2d 681 (Colo. App. 1987); </w:t>
      </w:r>
      <w:proofErr w:type="spellStart"/>
      <w:r w:rsidRPr="00167A38">
        <w:rPr>
          <w:rFonts w:eastAsia="Times New Roman"/>
          <w:b/>
          <w:sz w:val="24"/>
          <w:szCs w:val="24"/>
        </w:rPr>
        <w:t>Docheff</w:t>
      </w:r>
      <w:proofErr w:type="spellEnd"/>
      <w:r w:rsidRPr="00167A38">
        <w:rPr>
          <w:rFonts w:eastAsia="Times New Roman"/>
          <w:b/>
          <w:sz w:val="24"/>
          <w:szCs w:val="24"/>
        </w:rPr>
        <w:t xml:space="preserve"> v. City of Broomfield</w:t>
      </w:r>
      <w:r w:rsidRPr="00167A38">
        <w:rPr>
          <w:rFonts w:eastAsia="Times New Roman"/>
          <w:sz w:val="24"/>
          <w:szCs w:val="24"/>
        </w:rPr>
        <w:t xml:space="preserve">, 623 P.2d 69 (Colo. App. 1980); </w:t>
      </w:r>
      <w:r w:rsidRPr="00167A38">
        <w:rPr>
          <w:rFonts w:eastAsia="Times New Roman"/>
          <w:b/>
          <w:sz w:val="24"/>
          <w:szCs w:val="24"/>
        </w:rPr>
        <w:t>Miller v. Carnation Co.</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33 Colo. App. 62, 516 P.2d 661 (1973).</w:t>
      </w:r>
    </w:p>
    <w:p w14:paraId="02355230"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2. “The elements of the tort of trespass are a physical intrusion upon the property of another without the proper permission from the person legally entitled to possession of that property.” </w:t>
      </w:r>
      <w:r w:rsidRPr="00167A38">
        <w:rPr>
          <w:rFonts w:eastAsia="Times New Roman"/>
          <w:b/>
          <w:sz w:val="24"/>
          <w:szCs w:val="24"/>
        </w:rPr>
        <w:t>Wal-Mart Stores, Inc. v. United Food &amp; Commercial Workers Int’l Union</w:t>
      </w:r>
      <w:r w:rsidRPr="00167A38">
        <w:rPr>
          <w:rFonts w:eastAsia="Times New Roman"/>
          <w:sz w:val="24"/>
          <w:szCs w:val="24"/>
        </w:rPr>
        <w:t>, 2016 COA 72, ¶ 12</w:t>
      </w:r>
      <w:r w:rsidR="0022161C">
        <w:rPr>
          <w:rFonts w:eastAsia="Times New Roman"/>
          <w:sz w:val="24"/>
          <w:szCs w:val="24"/>
        </w:rPr>
        <w:t>, 382 P.3d 1249</w:t>
      </w:r>
      <w:r w:rsidRPr="00167A38">
        <w:rPr>
          <w:rFonts w:eastAsia="Times New Roman"/>
          <w:sz w:val="24"/>
          <w:szCs w:val="24"/>
        </w:rPr>
        <w:t xml:space="preserve"> (quoting </w:t>
      </w:r>
      <w:r w:rsidRPr="00167A38">
        <w:rPr>
          <w:rFonts w:eastAsia="Times New Roman"/>
          <w:b/>
          <w:sz w:val="24"/>
          <w:szCs w:val="24"/>
        </w:rPr>
        <w:t>Sanderson</w:t>
      </w:r>
      <w:r w:rsidRPr="00167A38">
        <w:rPr>
          <w:rFonts w:eastAsia="Times New Roman"/>
          <w:sz w:val="24"/>
          <w:szCs w:val="24"/>
        </w:rPr>
        <w:t xml:space="preserve">, 183 P.3d at 682). Only the person lawfully in actual or constructive possession of the land at the time of the trespass may maintain an action for trespass. </w:t>
      </w:r>
      <w:r w:rsidRPr="00167A38">
        <w:rPr>
          <w:rFonts w:eastAsia="Times New Roman"/>
          <w:b/>
          <w:sz w:val="24"/>
          <w:szCs w:val="24"/>
        </w:rPr>
        <w:t>Hugunin</w:t>
      </w:r>
      <w:r w:rsidRPr="00167A38">
        <w:rPr>
          <w:rFonts w:eastAsia="Times New Roman"/>
          <w:sz w:val="24"/>
          <w:szCs w:val="24"/>
        </w:rPr>
        <w:t xml:space="preserve">, 2 Colo. at 369; </w:t>
      </w:r>
      <w:r w:rsidRPr="00167A38">
        <w:rPr>
          <w:rFonts w:eastAsia="Times New Roman"/>
          <w:i/>
          <w:sz w:val="24"/>
          <w:szCs w:val="24"/>
        </w:rPr>
        <w:t>see also</w:t>
      </w:r>
      <w:r w:rsidRPr="00167A38">
        <w:rPr>
          <w:rFonts w:eastAsia="Times New Roman"/>
          <w:sz w:val="24"/>
          <w:szCs w:val="24"/>
        </w:rPr>
        <w:t xml:space="preserve"> </w:t>
      </w:r>
      <w:proofErr w:type="spellStart"/>
      <w:r w:rsidRPr="00167A38">
        <w:rPr>
          <w:rFonts w:eastAsia="Times New Roman"/>
          <w:b/>
          <w:sz w:val="24"/>
          <w:szCs w:val="24"/>
        </w:rPr>
        <w:t>Betterview</w:t>
      </w:r>
      <w:proofErr w:type="spellEnd"/>
      <w:r w:rsidRPr="00167A38">
        <w:rPr>
          <w:rFonts w:eastAsia="Times New Roman"/>
          <w:b/>
          <w:sz w:val="24"/>
          <w:szCs w:val="24"/>
        </w:rPr>
        <w:t xml:space="preserve"> </w:t>
      </w:r>
      <w:proofErr w:type="spellStart"/>
      <w:r w:rsidRPr="00167A38">
        <w:rPr>
          <w:rFonts w:eastAsia="Times New Roman"/>
          <w:b/>
          <w:sz w:val="24"/>
          <w:szCs w:val="24"/>
        </w:rPr>
        <w:t>Invs</w:t>
      </w:r>
      <w:proofErr w:type="spellEnd"/>
      <w:r w:rsidRPr="00167A38">
        <w:rPr>
          <w:rFonts w:eastAsia="Times New Roman"/>
          <w:b/>
          <w:sz w:val="24"/>
          <w:szCs w:val="24"/>
        </w:rPr>
        <w:t>., LLC v. Pub. Serv. Co.</w:t>
      </w:r>
      <w:r w:rsidRPr="00167A38">
        <w:rPr>
          <w:rFonts w:eastAsia="Times New Roman"/>
          <w:sz w:val="24"/>
          <w:szCs w:val="24"/>
        </w:rPr>
        <w:t xml:space="preserve">, 198 P.3d 1258 (Colo. App. 2008) (plaintiff may assert trespass claim even though it had no interest in the property when pipeline was placed on it because the trespass continued as long as the pipeline remained). A landlord, notwithstanding a lease, is in constructive possession for the purpose of maintaining a trespass action to vindicate a harm inflicted upon the landlord’s reversionary interest. </w:t>
      </w:r>
      <w:r w:rsidRPr="00167A38">
        <w:rPr>
          <w:rFonts w:eastAsia="Times New Roman"/>
          <w:b/>
          <w:sz w:val="24"/>
          <w:szCs w:val="24"/>
        </w:rPr>
        <w:t>Plotkin v. Club Valencia Condo.</w:t>
      </w:r>
      <w:r w:rsidRPr="00167A38">
        <w:rPr>
          <w:rFonts w:eastAsia="Times New Roman"/>
          <w:sz w:val="24"/>
          <w:szCs w:val="24"/>
        </w:rPr>
        <w:t xml:space="preserve"> </w:t>
      </w:r>
      <w:proofErr w:type="spellStart"/>
      <w:r w:rsidRPr="00167A38">
        <w:rPr>
          <w:rFonts w:eastAsia="Times New Roman"/>
          <w:b/>
          <w:sz w:val="24"/>
          <w:szCs w:val="24"/>
        </w:rPr>
        <w:t>Ass’n</w:t>
      </w:r>
      <w:proofErr w:type="spellEnd"/>
      <w:r w:rsidRPr="00167A38">
        <w:rPr>
          <w:rFonts w:eastAsia="Times New Roman"/>
          <w:sz w:val="24"/>
          <w:szCs w:val="24"/>
        </w:rPr>
        <w:t xml:space="preserve">, 717 P.2d 1027 (Colo. App. 1986) (citing and paraphrasing this instruction for the definition of trespass). Similarly, the owner or lessee of a mineral estate may maintain a trespass action for an unauthorized geophysical exploration for that mineral notwithstanding such exploration was made with the consent of the surface owner. </w:t>
      </w:r>
      <w:proofErr w:type="spellStart"/>
      <w:r w:rsidRPr="00167A38">
        <w:rPr>
          <w:rFonts w:eastAsia="Times New Roman"/>
          <w:b/>
          <w:sz w:val="24"/>
          <w:szCs w:val="24"/>
        </w:rPr>
        <w:t>Grynberg</w:t>
      </w:r>
      <w:proofErr w:type="spellEnd"/>
      <w:r w:rsidRPr="00167A38">
        <w:rPr>
          <w:rFonts w:eastAsia="Times New Roman"/>
          <w:b/>
          <w:sz w:val="24"/>
          <w:szCs w:val="24"/>
        </w:rPr>
        <w:t xml:space="preserve"> v. City of Northglenn</w:t>
      </w:r>
      <w:r w:rsidRPr="00167A38">
        <w:rPr>
          <w:rFonts w:eastAsia="Times New Roman"/>
          <w:sz w:val="24"/>
          <w:szCs w:val="24"/>
        </w:rPr>
        <w:t xml:space="preserve">, 739 P.2d 230 (Colo. 1987). Either a landlord with a reversionary interest or a tenant in possession of premises is entitled to sue for trespass. </w:t>
      </w:r>
      <w:r w:rsidRPr="00167A38">
        <w:rPr>
          <w:rFonts w:eastAsia="Times New Roman"/>
          <w:b/>
          <w:sz w:val="24"/>
          <w:szCs w:val="24"/>
        </w:rPr>
        <w:t>Gifford</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815 P.2d at 1012.</w:t>
      </w:r>
    </w:p>
    <w:p w14:paraId="529E9C08"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3. A trespass may occur when the defendant originally had permission to be on the land, but such permission was subsequently revoked or otherwise </w:t>
      </w:r>
      <w:proofErr w:type="gramStart"/>
      <w:r w:rsidRPr="00167A38">
        <w:rPr>
          <w:rFonts w:eastAsia="Times New Roman"/>
          <w:sz w:val="24"/>
          <w:szCs w:val="24"/>
        </w:rPr>
        <w:t>terminated</w:t>
      </w:r>
      <w:proofErr w:type="gramEnd"/>
      <w:r w:rsidRPr="00167A38">
        <w:rPr>
          <w:rFonts w:eastAsia="Times New Roman"/>
          <w:sz w:val="24"/>
          <w:szCs w:val="24"/>
        </w:rPr>
        <w:t xml:space="preserve"> and defendant remained on the land. </w:t>
      </w:r>
      <w:r w:rsidRPr="00167A38">
        <w:rPr>
          <w:rFonts w:eastAsia="Times New Roman"/>
          <w:smallCaps/>
          <w:sz w:val="24"/>
          <w:szCs w:val="24"/>
        </w:rPr>
        <w:t>Restatement</w:t>
      </w:r>
      <w:r w:rsidRPr="00167A38">
        <w:rPr>
          <w:rFonts w:eastAsia="Times New Roman"/>
          <w:sz w:val="24"/>
          <w:szCs w:val="24"/>
        </w:rPr>
        <w:t xml:space="preserve"> § 158;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b/>
          <w:sz w:val="24"/>
          <w:szCs w:val="24"/>
        </w:rPr>
        <w:t>Hugunin</w:t>
      </w:r>
      <w:r w:rsidRPr="00167A38">
        <w:rPr>
          <w:rFonts w:eastAsia="Times New Roman"/>
          <w:sz w:val="24"/>
          <w:szCs w:val="24"/>
        </w:rPr>
        <w:t xml:space="preserve">, 2 Colo. at 371. Similarly, a trespass may occur when the defendant originally had a privilege to come upon the premises, but remained for a longer time than was reasonably necessary to accomplish the purposes of the privilege. </w:t>
      </w:r>
      <w:r w:rsidRPr="00167A38">
        <w:rPr>
          <w:rFonts w:eastAsia="Times New Roman"/>
          <w:b/>
          <w:sz w:val="24"/>
          <w:szCs w:val="24"/>
        </w:rPr>
        <w:t>Walker v. City of Denver</w:t>
      </w:r>
      <w:r w:rsidRPr="00167A38">
        <w:rPr>
          <w:rFonts w:eastAsia="Times New Roman"/>
          <w:sz w:val="24"/>
          <w:szCs w:val="24"/>
        </w:rPr>
        <w:t xml:space="preserve">, 720 P.2d 619 (Colo. App. 1986). In these cases, this instruction must be modified accordingly.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b/>
          <w:sz w:val="24"/>
          <w:szCs w:val="24"/>
        </w:rPr>
        <w:t>Gerrity Oil &amp; Gas Corp. v. Magness</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946 P.2d 913 (Colo. 1997) (where the privilege is defined in terms of reasonableness, trespass may occur only when holder of privilege acts unreasonably or unnecessarily); </w:t>
      </w:r>
      <w:proofErr w:type="spellStart"/>
      <w:r w:rsidRPr="00167A38">
        <w:rPr>
          <w:rFonts w:eastAsia="Times New Roman"/>
          <w:b/>
          <w:sz w:val="24"/>
          <w:szCs w:val="24"/>
        </w:rPr>
        <w:t>Steiger</w:t>
      </w:r>
      <w:proofErr w:type="spellEnd"/>
      <w:r w:rsidRPr="00167A38">
        <w:rPr>
          <w:rFonts w:eastAsia="Times New Roman"/>
          <w:b/>
          <w:sz w:val="24"/>
          <w:szCs w:val="24"/>
        </w:rPr>
        <w:t xml:space="preserve"> v. Burroughs</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878 P.2d 131 (Colo. App. 1994).</w:t>
      </w:r>
    </w:p>
    <w:p w14:paraId="29D4B946"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lastRenderedPageBreak/>
        <w:t xml:space="preserve">4. Plaintiff need not establish defendant’s “willfulness” to prevail on a trespass claim. </w:t>
      </w:r>
      <w:r w:rsidRPr="00167A38">
        <w:rPr>
          <w:rFonts w:eastAsia="Times New Roman"/>
          <w:b/>
          <w:sz w:val="24"/>
          <w:szCs w:val="24"/>
        </w:rPr>
        <w:t xml:space="preserve">Bittersweet Farms, Inc. v. </w:t>
      </w:r>
      <w:proofErr w:type="spellStart"/>
      <w:r w:rsidRPr="00167A38">
        <w:rPr>
          <w:rFonts w:eastAsia="Times New Roman"/>
          <w:b/>
          <w:sz w:val="24"/>
          <w:szCs w:val="24"/>
        </w:rPr>
        <w:t>Zimbelman</w:t>
      </w:r>
      <w:proofErr w:type="spellEnd"/>
      <w:r w:rsidRPr="00167A38">
        <w:rPr>
          <w:rFonts w:eastAsia="Times New Roman"/>
          <w:sz w:val="24"/>
          <w:szCs w:val="24"/>
        </w:rPr>
        <w:t xml:space="preserve">, 976 P.2d 326 (Colo. App. 1998); </w:t>
      </w:r>
      <w:r w:rsidRPr="00167A38">
        <w:rPr>
          <w:rFonts w:eastAsia="Times New Roman"/>
          <w:b/>
          <w:sz w:val="24"/>
          <w:szCs w:val="24"/>
        </w:rPr>
        <w:t>Engler v. Hatch</w:t>
      </w:r>
      <w:r w:rsidRPr="00167A38">
        <w:rPr>
          <w:rFonts w:eastAsia="Times New Roman"/>
          <w:sz w:val="24"/>
          <w:szCs w:val="24"/>
        </w:rPr>
        <w:t xml:space="preserve">, 472 P.2d 680 (Colo. App. 1970) (not published pursuant to C.A.R. 35(f)). However, liability for trespass requires a showing that the defendant “intended” to perform conduct that either constituted or caused an intrusion onto the property of another. </w:t>
      </w:r>
      <w:proofErr w:type="spellStart"/>
      <w:r w:rsidRPr="00167A38">
        <w:rPr>
          <w:rFonts w:eastAsia="Times New Roman"/>
          <w:b/>
          <w:sz w:val="24"/>
          <w:szCs w:val="24"/>
        </w:rPr>
        <w:t>Antolovich</w:t>
      </w:r>
      <w:proofErr w:type="spellEnd"/>
      <w:r w:rsidRPr="00167A38">
        <w:rPr>
          <w:rFonts w:eastAsia="Times New Roman"/>
          <w:sz w:val="24"/>
          <w:szCs w:val="24"/>
        </w:rPr>
        <w:t xml:space="preserve">, 183 P.3d at 603; </w:t>
      </w:r>
      <w:r w:rsidRPr="00167A38">
        <w:rPr>
          <w:rFonts w:eastAsia="Times New Roman"/>
          <w:b/>
          <w:sz w:val="24"/>
          <w:szCs w:val="24"/>
        </w:rPr>
        <w:t>Burt</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809 P.2d at 1067; </w:t>
      </w:r>
      <w:r w:rsidRPr="00167A38">
        <w:rPr>
          <w:rFonts w:eastAsia="Times New Roman"/>
          <w:i/>
          <w:sz w:val="24"/>
          <w:szCs w:val="24"/>
        </w:rPr>
        <w:t>see also</w:t>
      </w:r>
      <w:r w:rsidRPr="00167A38">
        <w:rPr>
          <w:rFonts w:eastAsia="Times New Roman"/>
          <w:sz w:val="24"/>
          <w:szCs w:val="24"/>
        </w:rPr>
        <w:t xml:space="preserve"> </w:t>
      </w:r>
      <w:r w:rsidRPr="00167A38">
        <w:rPr>
          <w:rFonts w:eastAsia="Times New Roman"/>
          <w:smallCaps/>
          <w:sz w:val="24"/>
          <w:szCs w:val="24"/>
        </w:rPr>
        <w:t>Restatement</w:t>
      </w:r>
      <w:r w:rsidRPr="00167A38">
        <w:rPr>
          <w:rFonts w:eastAsia="Times New Roman"/>
          <w:sz w:val="24"/>
          <w:szCs w:val="24"/>
        </w:rPr>
        <w:t xml:space="preserve"> § 158.</w:t>
      </w:r>
    </w:p>
    <w:p w14:paraId="60D47F28"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5. Trespass may occur without direct entry: “‘A landowner who sets in motion a force which, in the usual course of events, will damage property of another is guilty of a trespass on such property.’” </w:t>
      </w:r>
      <w:proofErr w:type="spellStart"/>
      <w:r w:rsidRPr="00167A38">
        <w:rPr>
          <w:rFonts w:eastAsia="Times New Roman"/>
          <w:b/>
          <w:sz w:val="24"/>
          <w:szCs w:val="24"/>
        </w:rPr>
        <w:t>Hoery</w:t>
      </w:r>
      <w:proofErr w:type="spellEnd"/>
      <w:r w:rsidRPr="00167A38">
        <w:rPr>
          <w:rFonts w:eastAsia="Times New Roman"/>
          <w:sz w:val="24"/>
          <w:szCs w:val="24"/>
        </w:rPr>
        <w:t xml:space="preserve">, 64 P.3d at 217 (quoting </w:t>
      </w:r>
      <w:r w:rsidRPr="00167A38">
        <w:rPr>
          <w:rFonts w:eastAsia="Times New Roman"/>
          <w:b/>
          <w:sz w:val="24"/>
          <w:szCs w:val="24"/>
        </w:rPr>
        <w:t>Miller</w:t>
      </w:r>
      <w:r w:rsidRPr="00167A38">
        <w:rPr>
          <w:rFonts w:eastAsia="Times New Roman"/>
          <w:sz w:val="24"/>
          <w:szCs w:val="24"/>
        </w:rPr>
        <w:t>, 33 Colo. App. at 68, 516 P.2d at 664).</w:t>
      </w:r>
    </w:p>
    <w:p w14:paraId="531EFB5F"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6. Comparative negligence is not a defense to a claim for trespass, even though defendant’s conduct may also have been negligent. </w:t>
      </w:r>
      <w:r w:rsidRPr="00167A38">
        <w:rPr>
          <w:rFonts w:eastAsia="Times New Roman"/>
          <w:b/>
          <w:sz w:val="24"/>
          <w:szCs w:val="24"/>
        </w:rPr>
        <w:t>Burt</w:t>
      </w:r>
      <w:r w:rsidRPr="00167A38">
        <w:rPr>
          <w:rFonts w:eastAsia="Times New Roman"/>
          <w:sz w:val="24"/>
          <w:szCs w:val="24"/>
        </w:rPr>
        <w:t>, 809 P.2d at 1067 (comparative negligence only a defense to negligence claims).</w:t>
      </w:r>
    </w:p>
    <w:p w14:paraId="669E3D2E"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7. For a discussion of what constitutes a “geophysical trespass,” see </w:t>
      </w:r>
      <w:r w:rsidRPr="00167A38">
        <w:rPr>
          <w:rFonts w:eastAsia="Times New Roman"/>
          <w:b/>
          <w:sz w:val="24"/>
          <w:szCs w:val="24"/>
        </w:rPr>
        <w:t>Mallon Oil Co. v. Bowen/Edwards Associates, Inc.</w:t>
      </w:r>
      <w:r w:rsidRPr="00167A38">
        <w:rPr>
          <w:rFonts w:eastAsia="Times New Roman"/>
          <w:sz w:val="24"/>
          <w:szCs w:val="24"/>
        </w:rPr>
        <w:t>, 965 P.2d 105 (Colo. 1998).</w:t>
      </w:r>
    </w:p>
    <w:p w14:paraId="5F9E0D76"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8. There are no Colorado appellate decisions that address the issues of whether “privilege,” “consent,” and “license” are affirmative defenses to a claim for trespass. However, other jurisdictions that have considered the matter have concluded that such is the case. </w:t>
      </w:r>
      <w:r w:rsidRPr="00167A38">
        <w:rPr>
          <w:rFonts w:eastAsia="Times New Roman"/>
          <w:i/>
          <w:sz w:val="24"/>
          <w:szCs w:val="24"/>
        </w:rPr>
        <w:t>See, e.g.</w:t>
      </w:r>
      <w:r w:rsidRPr="00167A38">
        <w:rPr>
          <w:rFonts w:eastAsia="Times New Roman"/>
          <w:sz w:val="24"/>
          <w:szCs w:val="24"/>
        </w:rPr>
        <w:t xml:space="preserve">, </w:t>
      </w:r>
      <w:r w:rsidRPr="00167A38">
        <w:rPr>
          <w:rFonts w:eastAsia="Times New Roman"/>
          <w:b/>
          <w:sz w:val="24"/>
          <w:szCs w:val="24"/>
        </w:rPr>
        <w:t>United States v. Imperial Irrigation Dist.</w:t>
      </w:r>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799 F. Supp. 1052 (S.D. Cal. 1992) (collecting cases); </w:t>
      </w:r>
      <w:r w:rsidRPr="00167A38">
        <w:rPr>
          <w:rFonts w:eastAsia="Times New Roman"/>
          <w:smallCaps/>
          <w:sz w:val="24"/>
          <w:szCs w:val="24"/>
        </w:rPr>
        <w:t>Restatement (Second) of Torts</w:t>
      </w:r>
      <w:r w:rsidRPr="00167A38">
        <w:rPr>
          <w:rFonts w:eastAsia="Times New Roman"/>
          <w:sz w:val="24"/>
          <w:szCs w:val="24"/>
        </w:rPr>
        <w:t xml:space="preserve"> § 167.</w:t>
      </w:r>
    </w:p>
    <w:p w14:paraId="4D775C75"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 xml:space="preserve">9. For a discussion of the distinction between a continuing and a permanent trespass, see </w:t>
      </w:r>
      <w:proofErr w:type="spellStart"/>
      <w:r w:rsidRPr="00167A38">
        <w:rPr>
          <w:rFonts w:eastAsia="Times New Roman"/>
          <w:b/>
          <w:sz w:val="24"/>
          <w:szCs w:val="24"/>
        </w:rPr>
        <w:t>Hoery</w:t>
      </w:r>
      <w:proofErr w:type="spellEnd"/>
      <w:r w:rsidRPr="00167A38">
        <w:rPr>
          <w:rFonts w:eastAsia="Times New Roman"/>
          <w:sz w:val="24"/>
          <w:szCs w:val="24"/>
        </w:rPr>
        <w:t>,</w:t>
      </w:r>
      <w:r w:rsidRPr="00167A38">
        <w:rPr>
          <w:rFonts w:eastAsia="Times New Roman"/>
          <w:b/>
          <w:sz w:val="24"/>
          <w:szCs w:val="24"/>
        </w:rPr>
        <w:t xml:space="preserve"> </w:t>
      </w:r>
      <w:r w:rsidRPr="00167A38">
        <w:rPr>
          <w:rFonts w:eastAsia="Times New Roman"/>
          <w:sz w:val="24"/>
          <w:szCs w:val="24"/>
        </w:rPr>
        <w:t xml:space="preserve">64 P.3d at 217-22 (continuing migration and ongoing presence of toxic pollution on plaintiff’s property constitutes a continuing trespass for limitation purposes, even though the condition causing the pollution has ceased). The statute of limitations for a continuing trespass does not begin to run until the defendant removes or stops the improper invasion. </w:t>
      </w:r>
      <w:r w:rsidRPr="00167A38">
        <w:rPr>
          <w:rFonts w:eastAsia="Times New Roman"/>
          <w:i/>
          <w:sz w:val="24"/>
          <w:szCs w:val="24"/>
        </w:rPr>
        <w:t>Id.</w:t>
      </w:r>
      <w:r w:rsidRPr="00167A38">
        <w:rPr>
          <w:rFonts w:eastAsia="Times New Roman"/>
          <w:sz w:val="24"/>
          <w:szCs w:val="24"/>
        </w:rPr>
        <w:t xml:space="preserve"> at 220; </w:t>
      </w:r>
      <w:r w:rsidRPr="00167A38">
        <w:rPr>
          <w:rFonts w:eastAsia="Times New Roman"/>
          <w:b/>
          <w:sz w:val="24"/>
          <w:szCs w:val="24"/>
        </w:rPr>
        <w:t>Sanderson</w:t>
      </w:r>
      <w:r w:rsidRPr="00167A38">
        <w:rPr>
          <w:rFonts w:eastAsia="Times New Roman"/>
          <w:sz w:val="24"/>
          <w:szCs w:val="24"/>
        </w:rPr>
        <w:t>, 183 P.3d at 682.</w:t>
      </w:r>
      <w:r w:rsidR="002E12FC">
        <w:rPr>
          <w:rFonts w:eastAsia="Times New Roman"/>
          <w:sz w:val="24"/>
          <w:szCs w:val="24"/>
        </w:rPr>
        <w:t xml:space="preserve"> Continuing trespass and nuisance may occur when a defendant doe</w:t>
      </w:r>
      <w:r w:rsidR="007C7289">
        <w:rPr>
          <w:rFonts w:eastAsia="Times New Roman"/>
          <w:sz w:val="24"/>
          <w:szCs w:val="24"/>
        </w:rPr>
        <w:t>s not stop or remove continuing</w:t>
      </w:r>
      <w:r w:rsidR="002E12FC">
        <w:rPr>
          <w:rFonts w:eastAsia="Times New Roman"/>
          <w:sz w:val="24"/>
          <w:szCs w:val="24"/>
        </w:rPr>
        <w:t xml:space="preserve"> harmful physical conditions that are wrongfully placed on plaintiff</w:t>
      </w:r>
      <w:r w:rsidR="007C7289">
        <w:rPr>
          <w:rFonts w:eastAsia="Times New Roman"/>
          <w:sz w:val="24"/>
          <w:szCs w:val="24"/>
        </w:rPr>
        <w:t>’</w:t>
      </w:r>
      <w:r w:rsidR="002E12FC">
        <w:rPr>
          <w:rFonts w:eastAsia="Times New Roman"/>
          <w:sz w:val="24"/>
          <w:szCs w:val="24"/>
        </w:rPr>
        <w:t xml:space="preserve">s land. </w:t>
      </w:r>
      <w:proofErr w:type="spellStart"/>
      <w:r w:rsidR="002E12FC" w:rsidRPr="00273CCA">
        <w:rPr>
          <w:rFonts w:eastAsia="Times New Roman"/>
          <w:b/>
          <w:sz w:val="24"/>
          <w:szCs w:val="24"/>
        </w:rPr>
        <w:t>Smokebrush</w:t>
      </w:r>
      <w:proofErr w:type="spellEnd"/>
      <w:r w:rsidR="002E12FC" w:rsidRPr="00273CCA">
        <w:rPr>
          <w:rFonts w:eastAsia="Times New Roman"/>
          <w:b/>
          <w:sz w:val="24"/>
          <w:szCs w:val="24"/>
        </w:rPr>
        <w:t xml:space="preserve"> Found</w:t>
      </w:r>
      <w:r w:rsidR="00FD1EE6">
        <w:rPr>
          <w:rFonts w:eastAsia="Times New Roman"/>
          <w:b/>
          <w:sz w:val="24"/>
          <w:szCs w:val="24"/>
        </w:rPr>
        <w:t>.</w:t>
      </w:r>
      <w:r w:rsidR="002E12FC" w:rsidRPr="00273CCA">
        <w:rPr>
          <w:rFonts w:eastAsia="Times New Roman"/>
          <w:b/>
          <w:sz w:val="24"/>
          <w:szCs w:val="24"/>
        </w:rPr>
        <w:t xml:space="preserve"> v. City of Colo. Sp</w:t>
      </w:r>
      <w:r w:rsidR="00FD1EE6">
        <w:rPr>
          <w:rFonts w:eastAsia="Times New Roman"/>
          <w:b/>
          <w:sz w:val="24"/>
          <w:szCs w:val="24"/>
        </w:rPr>
        <w:t>rin</w:t>
      </w:r>
      <w:r w:rsidR="002E12FC" w:rsidRPr="00273CCA">
        <w:rPr>
          <w:rFonts w:eastAsia="Times New Roman"/>
          <w:b/>
          <w:sz w:val="24"/>
          <w:szCs w:val="24"/>
        </w:rPr>
        <w:t>gs</w:t>
      </w:r>
      <w:r w:rsidR="002E12FC">
        <w:rPr>
          <w:rFonts w:eastAsia="Times New Roman"/>
          <w:sz w:val="24"/>
          <w:szCs w:val="24"/>
        </w:rPr>
        <w:t>, 2018 CO 10,</w:t>
      </w:r>
      <w:r w:rsidR="00FD1EE6">
        <w:rPr>
          <w:rFonts w:eastAsia="Times New Roman"/>
          <w:sz w:val="24"/>
          <w:szCs w:val="24"/>
        </w:rPr>
        <w:t xml:space="preserve"> </w:t>
      </w:r>
      <w:r w:rsidR="002E12FC" w:rsidRPr="00E73889">
        <w:rPr>
          <w:rFonts w:eastAsia="Times New Roman"/>
          <w:sz w:val="24"/>
          <w:szCs w:val="24"/>
        </w:rPr>
        <w:t>¶</w:t>
      </w:r>
      <w:r w:rsidR="002E12FC">
        <w:rPr>
          <w:rFonts w:eastAsia="Times New Roman"/>
          <w:sz w:val="24"/>
          <w:szCs w:val="24"/>
        </w:rPr>
        <w:t xml:space="preserve"> 47</w:t>
      </w:r>
      <w:r w:rsidR="00FD1EE6">
        <w:rPr>
          <w:rFonts w:eastAsia="Times New Roman"/>
          <w:sz w:val="24"/>
          <w:szCs w:val="24"/>
        </w:rPr>
        <w:t>, 410 P.3d 1236</w:t>
      </w:r>
      <w:r w:rsidR="002E12FC">
        <w:rPr>
          <w:rFonts w:eastAsia="Times New Roman"/>
          <w:sz w:val="24"/>
          <w:szCs w:val="24"/>
        </w:rPr>
        <w:t>.</w:t>
      </w:r>
    </w:p>
    <w:p w14:paraId="7722C041"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10. Section 34-45-101, C.R.S., elaborates on the rules of constructive possession for actions in which the plaintiff seeks to recover damages for the wrongful taking of ore.</w:t>
      </w:r>
    </w:p>
    <w:p w14:paraId="0B366FF5" w14:textId="77777777" w:rsidR="00167A38" w:rsidRDefault="00167A38">
      <w:pPr>
        <w:rPr>
          <w:rFonts w:eastAsia="Times New Roman"/>
          <w:sz w:val="24"/>
          <w:szCs w:val="24"/>
        </w:rPr>
      </w:pPr>
      <w:r>
        <w:rPr>
          <w:rFonts w:eastAsia="Times New Roman"/>
          <w:sz w:val="24"/>
          <w:szCs w:val="24"/>
        </w:rPr>
        <w:br w:type="page"/>
      </w:r>
    </w:p>
    <w:p w14:paraId="4271C4AC" w14:textId="77777777" w:rsidR="00167A38" w:rsidRPr="009E3DA4" w:rsidRDefault="00167A38" w:rsidP="00167A38">
      <w:pPr>
        <w:spacing w:after="240"/>
        <w:ind w:left="720" w:hanging="720"/>
        <w:rPr>
          <w:rFonts w:eastAsia="Times New Roman"/>
          <w:b/>
          <w:sz w:val="24"/>
          <w:szCs w:val="24"/>
        </w:rPr>
      </w:pPr>
      <w:bookmarkStart w:id="1" w:name="a18_02"/>
      <w:bookmarkEnd w:id="1"/>
      <w:r w:rsidRPr="00167A38">
        <w:rPr>
          <w:rFonts w:eastAsia="Times New Roman"/>
          <w:b/>
          <w:sz w:val="24"/>
          <w:szCs w:val="24"/>
        </w:rPr>
        <w:lastRenderedPageBreak/>
        <w:t>18:2</w:t>
      </w:r>
      <w:r w:rsidR="00A109BC">
        <w:rPr>
          <w:rFonts w:eastAsia="Times New Roman"/>
          <w:b/>
          <w:sz w:val="24"/>
          <w:szCs w:val="24"/>
        </w:rPr>
        <w:tab/>
      </w:r>
      <w:r w:rsidRPr="00167A38">
        <w:rPr>
          <w:rFonts w:eastAsia="Times New Roman"/>
          <w:b/>
          <w:sz w:val="24"/>
          <w:szCs w:val="24"/>
        </w:rPr>
        <w:t>INTENTIONALLY — DEFINED</w:t>
      </w:r>
    </w:p>
    <w:p w14:paraId="2192DCF1" w14:textId="77777777" w:rsidR="00167A38" w:rsidRPr="00167A38" w:rsidRDefault="00167A38" w:rsidP="00167A38">
      <w:pPr>
        <w:spacing w:after="240"/>
        <w:ind w:firstLine="720"/>
        <w:rPr>
          <w:rFonts w:eastAsia="Times New Roman"/>
          <w:sz w:val="24"/>
          <w:szCs w:val="24"/>
        </w:rPr>
      </w:pPr>
      <w:r w:rsidRPr="00167A38">
        <w:rPr>
          <w:rFonts w:eastAsia="Times New Roman"/>
          <w:b/>
          <w:sz w:val="24"/>
          <w:szCs w:val="24"/>
        </w:rPr>
        <w:t xml:space="preserve">A person intentionally (enters upon) (causes another to enter upon) (causes </w:t>
      </w:r>
      <w:r w:rsidRPr="00167A38">
        <w:rPr>
          <w:rFonts w:eastAsia="Times New Roman"/>
          <w:i/>
          <w:sz w:val="24"/>
          <w:szCs w:val="24"/>
        </w:rPr>
        <w:t>[insert appropriate description]</w:t>
      </w:r>
      <w:r w:rsidRPr="00167A38">
        <w:rPr>
          <w:rFonts w:eastAsia="Times New Roman"/>
          <w:sz w:val="24"/>
          <w:szCs w:val="24"/>
        </w:rPr>
        <w:t xml:space="preserve"> </w:t>
      </w:r>
      <w:r w:rsidRPr="00167A38">
        <w:rPr>
          <w:rFonts w:eastAsia="Times New Roman"/>
          <w:b/>
          <w:sz w:val="24"/>
          <w:szCs w:val="24"/>
        </w:rPr>
        <w:t xml:space="preserve">to come upon) property when it is his or her purpose to (enter upon) (cause another to enter upon) (cause </w:t>
      </w:r>
      <w:r w:rsidRPr="00167A38">
        <w:rPr>
          <w:rFonts w:eastAsia="Times New Roman"/>
          <w:i/>
          <w:sz w:val="24"/>
          <w:szCs w:val="24"/>
        </w:rPr>
        <w:t>[insert appropriate description]</w:t>
      </w:r>
      <w:r w:rsidRPr="00167A38">
        <w:rPr>
          <w:rFonts w:eastAsia="Times New Roman"/>
          <w:b/>
          <w:sz w:val="24"/>
          <w:szCs w:val="24"/>
        </w:rPr>
        <w:t xml:space="preserve"> to come upon) property, or when it is his or her purpose to do the act that in the natural course of events results in the intrusion.</w:t>
      </w:r>
      <w:r w:rsidRPr="00167A38">
        <w:rPr>
          <w:rFonts w:eastAsia="Times New Roman"/>
          <w:sz w:val="24"/>
          <w:szCs w:val="24"/>
        </w:rPr>
        <w:t xml:space="preserve"> </w:t>
      </w:r>
    </w:p>
    <w:p w14:paraId="1A32D6F4" w14:textId="77777777" w:rsidR="00167A38" w:rsidRDefault="00167A38" w:rsidP="00167A38">
      <w:pPr>
        <w:jc w:val="center"/>
        <w:rPr>
          <w:rFonts w:eastAsia="Times New Roman"/>
          <w:sz w:val="24"/>
          <w:szCs w:val="24"/>
        </w:rPr>
      </w:pPr>
    </w:p>
    <w:p w14:paraId="2B6D1A78" w14:textId="77777777" w:rsidR="00167A38" w:rsidRPr="0054263B" w:rsidRDefault="00167A38" w:rsidP="00167A38">
      <w:pPr>
        <w:keepNext/>
        <w:spacing w:after="240"/>
        <w:jc w:val="center"/>
        <w:rPr>
          <w:rFonts w:eastAsia="Times New Roman"/>
          <w:b/>
          <w:sz w:val="24"/>
          <w:szCs w:val="24"/>
        </w:rPr>
      </w:pPr>
      <w:r w:rsidRPr="0054263B">
        <w:rPr>
          <w:rFonts w:eastAsia="Times New Roman"/>
          <w:b/>
          <w:sz w:val="24"/>
          <w:szCs w:val="24"/>
        </w:rPr>
        <w:t>Notes on Use</w:t>
      </w:r>
    </w:p>
    <w:p w14:paraId="139D408B" w14:textId="77777777" w:rsidR="00167A38" w:rsidRPr="00167A38" w:rsidRDefault="00167A38" w:rsidP="00167A38">
      <w:pPr>
        <w:spacing w:after="240"/>
        <w:ind w:firstLine="720"/>
        <w:rPr>
          <w:rFonts w:eastAsia="Times New Roman"/>
          <w:sz w:val="24"/>
          <w:szCs w:val="24"/>
        </w:rPr>
      </w:pPr>
      <w:r w:rsidRPr="00167A38">
        <w:rPr>
          <w:rFonts w:eastAsia="Times New Roman"/>
          <w:sz w:val="24"/>
          <w:szCs w:val="24"/>
        </w:rPr>
        <w:t>This instruction should be used with Instruction 18:1.</w:t>
      </w:r>
    </w:p>
    <w:p w14:paraId="12C1CAE6" w14:textId="77777777" w:rsidR="00167A38" w:rsidRPr="0054263B" w:rsidRDefault="00167A38" w:rsidP="00167A38">
      <w:pPr>
        <w:keepNext/>
        <w:spacing w:after="240"/>
        <w:jc w:val="center"/>
        <w:rPr>
          <w:rFonts w:eastAsia="Times New Roman"/>
          <w:b/>
          <w:sz w:val="24"/>
          <w:szCs w:val="24"/>
        </w:rPr>
      </w:pPr>
      <w:r>
        <w:rPr>
          <w:rFonts w:eastAsia="Times New Roman"/>
          <w:b/>
          <w:sz w:val="24"/>
          <w:szCs w:val="24"/>
        </w:rPr>
        <w:t>Source and Authority</w:t>
      </w:r>
    </w:p>
    <w:p w14:paraId="2F918816" w14:textId="0A541F43"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 This instruction is supported by </w:t>
      </w:r>
      <w:proofErr w:type="spellStart"/>
      <w:r w:rsidRPr="00B15A7A">
        <w:rPr>
          <w:rFonts w:eastAsia="Times New Roman"/>
          <w:b/>
          <w:sz w:val="24"/>
          <w:szCs w:val="24"/>
        </w:rPr>
        <w:t>Hoery</w:t>
      </w:r>
      <w:proofErr w:type="spellEnd"/>
      <w:r w:rsidRPr="00B15A7A">
        <w:rPr>
          <w:rFonts w:eastAsia="Times New Roman"/>
          <w:b/>
          <w:sz w:val="24"/>
          <w:szCs w:val="24"/>
        </w:rPr>
        <w:t xml:space="preserve"> v. United States</w:t>
      </w:r>
      <w:r w:rsidR="004B50BD">
        <w:rPr>
          <w:rFonts w:eastAsia="Times New Roman"/>
          <w:sz w:val="24"/>
          <w:szCs w:val="24"/>
        </w:rPr>
        <w:t xml:space="preserve">, 64 P.3d 214 (Colo. 2003); </w:t>
      </w:r>
      <w:proofErr w:type="spellStart"/>
      <w:r w:rsidRPr="00B15A7A">
        <w:rPr>
          <w:rFonts w:eastAsia="Times New Roman"/>
          <w:b/>
          <w:sz w:val="24"/>
          <w:szCs w:val="24"/>
        </w:rPr>
        <w:t>Antolovich</w:t>
      </w:r>
      <w:proofErr w:type="spellEnd"/>
      <w:r w:rsidRPr="00B15A7A">
        <w:rPr>
          <w:rFonts w:eastAsia="Times New Roman"/>
          <w:b/>
          <w:sz w:val="24"/>
          <w:szCs w:val="24"/>
        </w:rPr>
        <w:t xml:space="preserve"> v. Brown Grp. Retail, Inc.</w:t>
      </w:r>
      <w:r w:rsidRPr="00B15A7A">
        <w:rPr>
          <w:rFonts w:eastAsia="Times New Roman"/>
          <w:sz w:val="24"/>
          <w:szCs w:val="24"/>
        </w:rPr>
        <w:t>, 183 P.3d 582 (Colo. App. 2007) (plaintiffs alleged that defendant caused chemical to come into plaintiffs’ soil and groundwater);</w:t>
      </w:r>
      <w:r w:rsidRPr="00B15A7A">
        <w:rPr>
          <w:rFonts w:eastAsia="Times New Roman"/>
          <w:b/>
          <w:sz w:val="24"/>
          <w:szCs w:val="24"/>
        </w:rPr>
        <w:t xml:space="preserve"> </w:t>
      </w:r>
      <w:r w:rsidRPr="00B15A7A">
        <w:rPr>
          <w:rFonts w:eastAsia="Times New Roman"/>
          <w:sz w:val="24"/>
          <w:szCs w:val="24"/>
        </w:rPr>
        <w:t>and</w:t>
      </w:r>
      <w:r w:rsidRPr="00B15A7A">
        <w:rPr>
          <w:rFonts w:eastAsia="Times New Roman"/>
          <w:b/>
          <w:sz w:val="24"/>
          <w:szCs w:val="24"/>
        </w:rPr>
        <w:t xml:space="preserve"> Miller v. Carnation Co.</w:t>
      </w:r>
      <w:r w:rsidRPr="00B15A7A">
        <w:rPr>
          <w:rFonts w:eastAsia="Times New Roman"/>
          <w:sz w:val="24"/>
          <w:szCs w:val="24"/>
        </w:rPr>
        <w:t xml:space="preserve">, 33 Colo. App. 62, 516 P.2d 661 (1973). In </w:t>
      </w:r>
      <w:proofErr w:type="spellStart"/>
      <w:r w:rsidRPr="00B15A7A">
        <w:rPr>
          <w:rFonts w:eastAsia="Times New Roman"/>
          <w:b/>
          <w:sz w:val="24"/>
          <w:szCs w:val="24"/>
        </w:rPr>
        <w:t>Hoery</w:t>
      </w:r>
      <w:proofErr w:type="spellEnd"/>
      <w:r w:rsidRPr="00B15A7A">
        <w:rPr>
          <w:rFonts w:eastAsia="Times New Roman"/>
          <w:sz w:val="24"/>
          <w:szCs w:val="24"/>
        </w:rPr>
        <w:t xml:space="preserve">, 64 P.3d at 218, the Colorado Supreme Court, in dicta, cited the language of </w:t>
      </w:r>
      <w:r w:rsidRPr="00B15A7A">
        <w:rPr>
          <w:rFonts w:eastAsia="Times New Roman"/>
          <w:smallCaps/>
          <w:sz w:val="24"/>
          <w:szCs w:val="24"/>
        </w:rPr>
        <w:t>Restatement (Second) Of Torts</w:t>
      </w:r>
      <w:r w:rsidRPr="00B15A7A">
        <w:rPr>
          <w:rFonts w:eastAsia="Times New Roman"/>
          <w:sz w:val="24"/>
          <w:szCs w:val="24"/>
        </w:rPr>
        <w:t xml:space="preserve"> § 158 </w:t>
      </w:r>
      <w:proofErr w:type="spellStart"/>
      <w:r w:rsidRPr="00B15A7A">
        <w:rPr>
          <w:rFonts w:eastAsia="Times New Roman"/>
          <w:sz w:val="24"/>
          <w:szCs w:val="24"/>
        </w:rPr>
        <w:t>cmt</w:t>
      </w:r>
      <w:proofErr w:type="spellEnd"/>
      <w:r w:rsidRPr="00B15A7A">
        <w:rPr>
          <w:rFonts w:eastAsia="Times New Roman"/>
          <w:sz w:val="24"/>
          <w:szCs w:val="24"/>
        </w:rPr>
        <w:t xml:space="preserve">. </w:t>
      </w:r>
      <w:proofErr w:type="spellStart"/>
      <w:r w:rsidRPr="00B15A7A">
        <w:rPr>
          <w:rFonts w:eastAsia="Times New Roman"/>
          <w:sz w:val="24"/>
          <w:szCs w:val="24"/>
        </w:rPr>
        <w:t>i</w:t>
      </w:r>
      <w:proofErr w:type="spellEnd"/>
      <w:r w:rsidRPr="00B15A7A">
        <w:rPr>
          <w:rFonts w:eastAsia="Times New Roman"/>
          <w:sz w:val="24"/>
          <w:szCs w:val="24"/>
        </w:rPr>
        <w:t xml:space="preserve"> (1965): “It is enough that an act is done with knowledge that it will to a substantial certainty result in the entry of the foreign matter.” As a result, there is a question about whether knowledge is an element of trespass. </w:t>
      </w:r>
    </w:p>
    <w:p w14:paraId="7D1E861C"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2. Colorado has rejected the tort of negligent trespass. </w:t>
      </w:r>
      <w:r w:rsidRPr="00B15A7A">
        <w:rPr>
          <w:rFonts w:eastAsia="Times New Roman"/>
          <w:b/>
          <w:sz w:val="24"/>
          <w:szCs w:val="24"/>
        </w:rPr>
        <w:t>Burt v. Beautiful Savior Lutheran Church</w:t>
      </w:r>
      <w:r w:rsidRPr="00B15A7A">
        <w:rPr>
          <w:rFonts w:eastAsia="Times New Roman"/>
          <w:sz w:val="24"/>
          <w:szCs w:val="24"/>
        </w:rPr>
        <w:t>, 809 P.2d 1064 (Colo. App. 1990). The only intent required is to do the act that itself constitutes or inevitably causes the intrusion.</w:t>
      </w:r>
    </w:p>
    <w:p w14:paraId="170BE360"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3. For a discussion of the “natural course of events” language in this instruction, see</w:t>
      </w:r>
      <w:r w:rsidRPr="00B15A7A">
        <w:rPr>
          <w:rFonts w:eastAsia="Times New Roman"/>
          <w:i/>
          <w:sz w:val="24"/>
          <w:szCs w:val="24"/>
        </w:rPr>
        <w:t xml:space="preserve"> </w:t>
      </w:r>
      <w:proofErr w:type="spellStart"/>
      <w:r w:rsidRPr="00B15A7A">
        <w:rPr>
          <w:rFonts w:eastAsia="Times New Roman"/>
          <w:b/>
          <w:sz w:val="24"/>
          <w:szCs w:val="24"/>
        </w:rPr>
        <w:t>Antolovich</w:t>
      </w:r>
      <w:proofErr w:type="spellEnd"/>
      <w:r w:rsidRPr="00B15A7A">
        <w:rPr>
          <w:rFonts w:eastAsia="Times New Roman"/>
          <w:sz w:val="24"/>
          <w:szCs w:val="24"/>
        </w:rPr>
        <w:t>, 183 P.3d at 603.</w:t>
      </w:r>
    </w:p>
    <w:p w14:paraId="3E1E8F73" w14:textId="77777777" w:rsidR="00B15A7A" w:rsidRDefault="00B15A7A">
      <w:pPr>
        <w:rPr>
          <w:rFonts w:eastAsia="Times New Roman"/>
          <w:sz w:val="24"/>
          <w:szCs w:val="24"/>
        </w:rPr>
      </w:pPr>
      <w:r>
        <w:rPr>
          <w:rFonts w:eastAsia="Times New Roman"/>
          <w:sz w:val="24"/>
          <w:szCs w:val="24"/>
        </w:rPr>
        <w:br w:type="page"/>
      </w:r>
    </w:p>
    <w:p w14:paraId="357203BF" w14:textId="77777777" w:rsidR="00B15A7A" w:rsidRPr="009E3DA4" w:rsidRDefault="00B15A7A" w:rsidP="00B15A7A">
      <w:pPr>
        <w:spacing w:after="240"/>
        <w:ind w:left="720" w:hanging="720"/>
        <w:rPr>
          <w:rFonts w:eastAsia="Times New Roman"/>
          <w:b/>
          <w:sz w:val="24"/>
          <w:szCs w:val="24"/>
        </w:rPr>
      </w:pPr>
      <w:bookmarkStart w:id="2" w:name="a18_03"/>
      <w:bookmarkEnd w:id="2"/>
      <w:r w:rsidRPr="00B15A7A">
        <w:rPr>
          <w:rFonts w:eastAsia="Times New Roman"/>
          <w:b/>
          <w:sz w:val="24"/>
          <w:szCs w:val="24"/>
        </w:rPr>
        <w:lastRenderedPageBreak/>
        <w:t xml:space="preserve">18:3 </w:t>
      </w:r>
      <w:r w:rsidRPr="00B15A7A">
        <w:rPr>
          <w:rFonts w:eastAsia="Times New Roman"/>
          <w:b/>
          <w:sz w:val="24"/>
          <w:szCs w:val="24"/>
        </w:rPr>
        <w:tab/>
        <w:t>CONSENT</w:t>
      </w:r>
    </w:p>
    <w:p w14:paraId="72068F79"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The defendant, </w:t>
      </w:r>
      <w:r w:rsidRPr="00B15A7A">
        <w:rPr>
          <w:rFonts w:eastAsia="Times New Roman"/>
          <w:i/>
          <w:sz w:val="24"/>
          <w:szCs w:val="24"/>
        </w:rPr>
        <w:t>(name)</w:t>
      </w:r>
      <w:r w:rsidRPr="00B15A7A">
        <w:rPr>
          <w:rFonts w:eastAsia="Times New Roman"/>
          <w:b/>
          <w:sz w:val="24"/>
          <w:szCs w:val="24"/>
        </w:rPr>
        <w:t xml:space="preserve">, is not legally responsible to the plaintiff, </w:t>
      </w:r>
      <w:r w:rsidRPr="00B15A7A">
        <w:rPr>
          <w:rFonts w:eastAsia="Times New Roman"/>
          <w:i/>
          <w:sz w:val="24"/>
          <w:szCs w:val="24"/>
        </w:rPr>
        <w:t>(name)</w:t>
      </w:r>
      <w:r w:rsidRPr="00B15A7A">
        <w:rPr>
          <w:rFonts w:eastAsia="Times New Roman"/>
          <w:b/>
          <w:sz w:val="24"/>
          <w:szCs w:val="24"/>
        </w:rPr>
        <w:t>, on (his) (her) claim of trespass if the affirmative defense of consent is proved. This defense is proved if you find both of the following:</w:t>
      </w:r>
    </w:p>
    <w:p w14:paraId="00BB140A"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1. By words or conduct or both, the plaintiff led the defendant to reasonably believe that the plaintiff consented to (the defendant’s entry) (the entry of </w:t>
      </w:r>
      <w:r w:rsidRPr="00B15A7A">
        <w:rPr>
          <w:rFonts w:eastAsia="Times New Roman"/>
          <w:i/>
          <w:sz w:val="24"/>
          <w:szCs w:val="24"/>
        </w:rPr>
        <w:t>[name of third person]</w:t>
      </w:r>
      <w:r w:rsidRPr="00B15A7A">
        <w:rPr>
          <w:rFonts w:eastAsia="Times New Roman"/>
          <w:b/>
          <w:sz w:val="24"/>
          <w:szCs w:val="24"/>
        </w:rPr>
        <w:t xml:space="preserve">) (the </w:t>
      </w:r>
      <w:r w:rsidRPr="00B15A7A">
        <w:rPr>
          <w:rFonts w:eastAsia="Times New Roman"/>
          <w:i/>
          <w:sz w:val="24"/>
          <w:szCs w:val="24"/>
        </w:rPr>
        <w:t>[insert description]</w:t>
      </w:r>
      <w:r w:rsidRPr="00B15A7A">
        <w:rPr>
          <w:rFonts w:eastAsia="Times New Roman"/>
          <w:b/>
          <w:sz w:val="24"/>
          <w:szCs w:val="24"/>
        </w:rPr>
        <w:t xml:space="preserve"> coming) upon the </w:t>
      </w:r>
      <w:r w:rsidRPr="00B15A7A">
        <w:rPr>
          <w:rFonts w:eastAsia="Times New Roman"/>
          <w:i/>
          <w:sz w:val="24"/>
          <w:szCs w:val="24"/>
        </w:rPr>
        <w:t>(insert description of property)</w:t>
      </w:r>
      <w:r w:rsidRPr="00B15A7A">
        <w:rPr>
          <w:rFonts w:eastAsia="Times New Roman"/>
          <w:b/>
          <w:sz w:val="24"/>
          <w:szCs w:val="24"/>
        </w:rPr>
        <w:t>; and</w:t>
      </w:r>
    </w:p>
    <w:p w14:paraId="23FC7982"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2. (The defendant entered) (</w:t>
      </w:r>
      <w:r w:rsidRPr="00B15A7A">
        <w:rPr>
          <w:rFonts w:eastAsia="Times New Roman"/>
          <w:i/>
          <w:sz w:val="24"/>
          <w:szCs w:val="24"/>
        </w:rPr>
        <w:t>[name of third person]</w:t>
      </w:r>
      <w:r w:rsidRPr="00B15A7A">
        <w:rPr>
          <w:rFonts w:eastAsia="Times New Roman"/>
          <w:b/>
          <w:sz w:val="24"/>
          <w:szCs w:val="24"/>
        </w:rPr>
        <w:t xml:space="preserve"> entered) (The </w:t>
      </w:r>
      <w:r w:rsidRPr="00B15A7A">
        <w:rPr>
          <w:rFonts w:eastAsia="Times New Roman"/>
          <w:i/>
          <w:sz w:val="24"/>
          <w:szCs w:val="24"/>
        </w:rPr>
        <w:t>[insert description]</w:t>
      </w:r>
      <w:r w:rsidRPr="00B15A7A">
        <w:rPr>
          <w:rFonts w:eastAsia="Times New Roman"/>
          <w:b/>
          <w:sz w:val="24"/>
          <w:szCs w:val="24"/>
        </w:rPr>
        <w:t xml:space="preserve"> came) upon </w:t>
      </w:r>
      <w:r w:rsidRPr="00B15A7A">
        <w:rPr>
          <w:rFonts w:eastAsia="Times New Roman"/>
          <w:i/>
          <w:sz w:val="24"/>
          <w:szCs w:val="24"/>
        </w:rPr>
        <w:t>(insert description of property)</w:t>
      </w:r>
      <w:r w:rsidRPr="00B15A7A">
        <w:rPr>
          <w:rFonts w:eastAsia="Times New Roman"/>
          <w:b/>
          <w:sz w:val="24"/>
          <w:szCs w:val="24"/>
        </w:rPr>
        <w:t xml:space="preserve"> in a manner that was the same as or substantially similar to the manner consented to by the plaintiff.</w:t>
      </w:r>
    </w:p>
    <w:p w14:paraId="27CE3AB5" w14:textId="77777777" w:rsidR="00B15A7A" w:rsidRDefault="00B15A7A" w:rsidP="00B15A7A">
      <w:pPr>
        <w:jc w:val="center"/>
        <w:rPr>
          <w:rFonts w:eastAsia="Times New Roman"/>
          <w:sz w:val="24"/>
          <w:szCs w:val="24"/>
        </w:rPr>
      </w:pPr>
    </w:p>
    <w:p w14:paraId="2DAF05DD" w14:textId="77777777" w:rsidR="00B15A7A" w:rsidRPr="0054263B" w:rsidRDefault="00B15A7A" w:rsidP="00B15A7A">
      <w:pPr>
        <w:keepNext/>
        <w:spacing w:after="240"/>
        <w:jc w:val="center"/>
        <w:rPr>
          <w:rFonts w:eastAsia="Times New Roman"/>
          <w:b/>
          <w:sz w:val="24"/>
          <w:szCs w:val="24"/>
        </w:rPr>
      </w:pPr>
      <w:r w:rsidRPr="0054263B">
        <w:rPr>
          <w:rFonts w:eastAsia="Times New Roman"/>
          <w:b/>
          <w:sz w:val="24"/>
          <w:szCs w:val="24"/>
        </w:rPr>
        <w:t>Notes on Use</w:t>
      </w:r>
    </w:p>
    <w:p w14:paraId="2E80B1C9"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Where the defendant raises the defense of privilege or license, the unnumbered introductory paragraph of this instruction, appropriately modified, should be used.</w:t>
      </w:r>
    </w:p>
    <w:p w14:paraId="1A313A96" w14:textId="77777777" w:rsidR="00B15A7A" w:rsidRPr="0054263B" w:rsidRDefault="00B15A7A" w:rsidP="00B15A7A">
      <w:pPr>
        <w:keepNext/>
        <w:spacing w:after="240"/>
        <w:jc w:val="center"/>
        <w:rPr>
          <w:rFonts w:eastAsia="Times New Roman"/>
          <w:b/>
          <w:sz w:val="24"/>
          <w:szCs w:val="24"/>
        </w:rPr>
      </w:pPr>
      <w:r>
        <w:rPr>
          <w:rFonts w:eastAsia="Times New Roman"/>
          <w:b/>
          <w:sz w:val="24"/>
          <w:szCs w:val="24"/>
        </w:rPr>
        <w:t>Source and Authority</w:t>
      </w:r>
    </w:p>
    <w:p w14:paraId="6DA13E0E"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This instruction is based on </w:t>
      </w:r>
      <w:r w:rsidRPr="00B15A7A">
        <w:rPr>
          <w:rFonts w:eastAsia="Times New Roman"/>
          <w:smallCaps/>
          <w:sz w:val="24"/>
          <w:szCs w:val="24"/>
        </w:rPr>
        <w:t>Restatement (Second) of Torts</w:t>
      </w:r>
      <w:r w:rsidRPr="00B15A7A">
        <w:rPr>
          <w:rFonts w:eastAsia="Times New Roman"/>
          <w:sz w:val="24"/>
          <w:szCs w:val="24"/>
        </w:rPr>
        <w:t xml:space="preserve"> § 167 </w:t>
      </w:r>
      <w:proofErr w:type="spellStart"/>
      <w:r w:rsidRPr="00B15A7A">
        <w:rPr>
          <w:rFonts w:eastAsia="Times New Roman"/>
          <w:sz w:val="24"/>
          <w:szCs w:val="24"/>
        </w:rPr>
        <w:t>cmt</w:t>
      </w:r>
      <w:proofErr w:type="spellEnd"/>
      <w:r w:rsidRPr="00B15A7A">
        <w:rPr>
          <w:rFonts w:eastAsia="Times New Roman"/>
          <w:sz w:val="24"/>
          <w:szCs w:val="24"/>
        </w:rPr>
        <w:t>. c (1965) (“The burden of establishing the possessor’s consent is upon the person who relies upon it.”).</w:t>
      </w:r>
    </w:p>
    <w:p w14:paraId="5DD69210" w14:textId="77777777" w:rsidR="00B15A7A" w:rsidRDefault="00B15A7A">
      <w:pPr>
        <w:rPr>
          <w:rFonts w:eastAsia="Times New Roman"/>
          <w:sz w:val="24"/>
          <w:szCs w:val="24"/>
        </w:rPr>
      </w:pPr>
      <w:r>
        <w:rPr>
          <w:rFonts w:eastAsia="Times New Roman"/>
          <w:sz w:val="24"/>
          <w:szCs w:val="24"/>
        </w:rPr>
        <w:br w:type="page"/>
      </w:r>
    </w:p>
    <w:p w14:paraId="0BAE527F" w14:textId="77777777" w:rsidR="00B15A7A" w:rsidRPr="009E3DA4" w:rsidRDefault="00B15A7A" w:rsidP="00B15A7A">
      <w:pPr>
        <w:spacing w:after="240"/>
        <w:ind w:left="720" w:hanging="720"/>
        <w:rPr>
          <w:rFonts w:eastAsia="Times New Roman"/>
          <w:b/>
          <w:sz w:val="24"/>
          <w:szCs w:val="24"/>
        </w:rPr>
      </w:pPr>
      <w:bookmarkStart w:id="3" w:name="a18_04"/>
      <w:bookmarkEnd w:id="3"/>
      <w:r w:rsidRPr="00B15A7A">
        <w:rPr>
          <w:rFonts w:eastAsia="Times New Roman"/>
          <w:b/>
          <w:sz w:val="24"/>
          <w:szCs w:val="24"/>
        </w:rPr>
        <w:lastRenderedPageBreak/>
        <w:t>18:4</w:t>
      </w:r>
      <w:r w:rsidRPr="00B15A7A">
        <w:rPr>
          <w:rFonts w:eastAsia="Times New Roman"/>
          <w:b/>
          <w:sz w:val="24"/>
          <w:szCs w:val="24"/>
        </w:rPr>
        <w:tab/>
        <w:t>ACTUAL OR NOMINAL DAMAGES</w:t>
      </w:r>
    </w:p>
    <w:p w14:paraId="399F8E14"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Plaintiff, </w:t>
      </w:r>
      <w:r w:rsidRPr="00B15A7A">
        <w:rPr>
          <w:rFonts w:eastAsia="Times New Roman"/>
          <w:i/>
          <w:sz w:val="24"/>
          <w:szCs w:val="24"/>
        </w:rPr>
        <w:t>(name)</w:t>
      </w:r>
      <w:r w:rsidRPr="00B15A7A">
        <w:rPr>
          <w:rFonts w:eastAsia="Times New Roman"/>
          <w:b/>
          <w:sz w:val="24"/>
          <w:szCs w:val="24"/>
        </w:rPr>
        <w:t xml:space="preserve">, has the burden of proving the nature and extent of (his) (her) damages by a preponderance of the evidence. If you find in favor of the plaintiff, you must determine the total dollar amount of the plaintiff’s damages, if any, that were caused by the trespass of the defendant(s), </w:t>
      </w:r>
      <w:r w:rsidRPr="00B15A7A">
        <w:rPr>
          <w:rFonts w:eastAsia="Times New Roman"/>
          <w:i/>
          <w:sz w:val="24"/>
          <w:szCs w:val="24"/>
        </w:rPr>
        <w:t>(name[s])</w:t>
      </w:r>
      <w:r w:rsidRPr="00B15A7A">
        <w:rPr>
          <w:rFonts w:eastAsia="Times New Roman"/>
          <w:b/>
          <w:sz w:val="24"/>
          <w:szCs w:val="24"/>
        </w:rPr>
        <w:t xml:space="preserve">, (and the </w:t>
      </w:r>
      <w:r w:rsidRPr="00B15A7A">
        <w:rPr>
          <w:rFonts w:eastAsia="Times New Roman"/>
          <w:i/>
          <w:sz w:val="24"/>
          <w:szCs w:val="24"/>
        </w:rPr>
        <w:t>[insert appropriate description, e.g., “negligence”],</w:t>
      </w:r>
      <w:r w:rsidRPr="00B15A7A">
        <w:rPr>
          <w:rFonts w:eastAsia="Times New Roman"/>
          <w:b/>
          <w:sz w:val="24"/>
          <w:szCs w:val="24"/>
        </w:rPr>
        <w:t xml:space="preserve"> if any, of any designated nonparties).</w:t>
      </w:r>
    </w:p>
    <w:p w14:paraId="391A7B18"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In determining these damages, you shall consider the following:</w:t>
      </w:r>
    </w:p>
    <w:p w14:paraId="47F11BCA"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(1. </w:t>
      </w:r>
      <w:r w:rsidRPr="00B15A7A">
        <w:rPr>
          <w:rFonts w:eastAsia="Times New Roman"/>
          <w:i/>
          <w:sz w:val="24"/>
          <w:szCs w:val="24"/>
        </w:rPr>
        <w:t>[Version a]</w:t>
      </w:r>
      <w:r w:rsidRPr="00B15A7A">
        <w:rPr>
          <w:rFonts w:eastAsia="Times New Roman"/>
          <w:b/>
          <w:sz w:val="24"/>
          <w:szCs w:val="24"/>
        </w:rPr>
        <w:t xml:space="preserve"> The difference between the reasonable market value of the real estate immediately before the trespass and its reasonable market value immediately after the trespass [; and])</w:t>
      </w:r>
    </w:p>
    <w:p w14:paraId="07C3E695"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(1. </w:t>
      </w:r>
      <w:r w:rsidRPr="00B15A7A">
        <w:rPr>
          <w:rFonts w:eastAsia="Times New Roman"/>
          <w:i/>
          <w:sz w:val="24"/>
          <w:szCs w:val="24"/>
        </w:rPr>
        <w:t>[Version b]</w:t>
      </w:r>
      <w:r w:rsidRPr="00B15A7A">
        <w:rPr>
          <w:rFonts w:eastAsia="Times New Roman"/>
          <w:b/>
          <w:sz w:val="24"/>
          <w:szCs w:val="24"/>
        </w:rPr>
        <w:t xml:space="preserve"> The reasonable cost of [restoring] [repairing] [rebuilding] the property (and the decrease, if any, in market value of the property as [restored] [repaired] [rebuilt]) [; and])</w:t>
      </w:r>
    </w:p>
    <w:p w14:paraId="01719F93"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 xml:space="preserve">(2. </w:t>
      </w:r>
      <w:r w:rsidRPr="00B15A7A">
        <w:rPr>
          <w:rFonts w:eastAsia="Times New Roman"/>
          <w:i/>
          <w:sz w:val="24"/>
          <w:szCs w:val="24"/>
        </w:rPr>
        <w:t>[insert any consequential damages the jury might reasonably find the plaintiff suffered as a result of the defendant’s trespass]</w:t>
      </w:r>
      <w:r w:rsidRPr="00B15A7A">
        <w:rPr>
          <w:rFonts w:eastAsia="Times New Roman"/>
          <w:b/>
          <w:sz w:val="24"/>
          <w:szCs w:val="24"/>
        </w:rPr>
        <w:t>.)</w:t>
      </w:r>
    </w:p>
    <w:p w14:paraId="7F037BC7" w14:textId="77777777" w:rsidR="00B15A7A" w:rsidRPr="00B15A7A" w:rsidRDefault="00B15A7A" w:rsidP="00B15A7A">
      <w:pPr>
        <w:spacing w:after="240"/>
        <w:ind w:firstLine="720"/>
        <w:rPr>
          <w:rFonts w:eastAsia="Times New Roman"/>
          <w:b/>
          <w:sz w:val="24"/>
          <w:szCs w:val="24"/>
        </w:rPr>
      </w:pPr>
      <w:r w:rsidRPr="00B15A7A">
        <w:rPr>
          <w:rFonts w:eastAsia="Times New Roman"/>
          <w:b/>
          <w:sz w:val="24"/>
          <w:szCs w:val="24"/>
        </w:rPr>
        <w:t>If you find in favor of the plaintiff but do not find any actual damages, you shall award (him) (her) nominal damages of one dollar.</w:t>
      </w:r>
    </w:p>
    <w:p w14:paraId="43B07608" w14:textId="77777777" w:rsidR="00B15A7A" w:rsidRDefault="00B15A7A" w:rsidP="00B15A7A">
      <w:pPr>
        <w:jc w:val="center"/>
        <w:rPr>
          <w:rFonts w:eastAsia="Times New Roman"/>
          <w:sz w:val="24"/>
          <w:szCs w:val="24"/>
        </w:rPr>
      </w:pPr>
    </w:p>
    <w:p w14:paraId="63ACF622" w14:textId="77777777" w:rsidR="00B15A7A" w:rsidRPr="0054263B" w:rsidRDefault="00B15A7A" w:rsidP="00B15A7A">
      <w:pPr>
        <w:keepNext/>
        <w:spacing w:after="240"/>
        <w:jc w:val="center"/>
        <w:rPr>
          <w:rFonts w:eastAsia="Times New Roman"/>
          <w:b/>
          <w:sz w:val="24"/>
          <w:szCs w:val="24"/>
        </w:rPr>
      </w:pPr>
      <w:r w:rsidRPr="0054263B">
        <w:rPr>
          <w:rFonts w:eastAsia="Times New Roman"/>
          <w:b/>
          <w:sz w:val="24"/>
          <w:szCs w:val="24"/>
        </w:rPr>
        <w:t>Notes on Use</w:t>
      </w:r>
    </w:p>
    <w:p w14:paraId="7D6B5F66"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 In some cases an appropriate instruction relating to causation may need to be given with this instruction. </w:t>
      </w:r>
      <w:r w:rsidRPr="00B15A7A">
        <w:rPr>
          <w:rFonts w:eastAsia="Times New Roman"/>
          <w:i/>
          <w:sz w:val="24"/>
          <w:szCs w:val="24"/>
        </w:rPr>
        <w:t>See</w:t>
      </w:r>
      <w:r w:rsidRPr="00B15A7A">
        <w:rPr>
          <w:rFonts w:eastAsia="Times New Roman"/>
          <w:sz w:val="24"/>
          <w:szCs w:val="24"/>
        </w:rPr>
        <w:t xml:space="preserve"> Instructions 9:18 to 9:21.</w:t>
      </w:r>
    </w:p>
    <w:p w14:paraId="1B37BF39"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2. Use whichever parenthesized and bracketed words and phrases are appropriate. For most cases, either the “diminution in value” measure of damages (Version a of parenthesized numbered paragraph 1) or the “cost of restoration” measure of damages (alternative Version b of parenthesized numbered paragraph 1) will be the proper measure for any physical injuries to the property. </w:t>
      </w:r>
    </w:p>
    <w:p w14:paraId="44AFA83A"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3. There are, however, certain situations where yet another measure may be proper. </w:t>
      </w:r>
      <w:r w:rsidRPr="00B15A7A">
        <w:rPr>
          <w:rFonts w:eastAsia="Times New Roman"/>
          <w:i/>
          <w:sz w:val="24"/>
          <w:szCs w:val="24"/>
        </w:rPr>
        <w:t>See, e.g.</w:t>
      </w:r>
      <w:r w:rsidRPr="00B15A7A">
        <w:rPr>
          <w:rFonts w:eastAsia="Times New Roman"/>
          <w:sz w:val="24"/>
          <w:szCs w:val="24"/>
        </w:rPr>
        <w:t xml:space="preserve">, </w:t>
      </w:r>
      <w:r w:rsidRPr="00B15A7A">
        <w:rPr>
          <w:rFonts w:eastAsia="Times New Roman"/>
          <w:b/>
          <w:sz w:val="24"/>
          <w:szCs w:val="24"/>
        </w:rPr>
        <w:t xml:space="preserve">Bd. of </w:t>
      </w:r>
      <w:proofErr w:type="spellStart"/>
      <w:r w:rsidRPr="00B15A7A">
        <w:rPr>
          <w:rFonts w:eastAsia="Times New Roman"/>
          <w:b/>
          <w:sz w:val="24"/>
          <w:szCs w:val="24"/>
        </w:rPr>
        <w:t>Cty</w:t>
      </w:r>
      <w:proofErr w:type="spellEnd"/>
      <w:r w:rsidRPr="00B15A7A">
        <w:rPr>
          <w:rFonts w:eastAsia="Times New Roman"/>
          <w:b/>
          <w:sz w:val="24"/>
          <w:szCs w:val="24"/>
        </w:rPr>
        <w:t xml:space="preserve">. Comm’rs v. </w:t>
      </w:r>
      <w:proofErr w:type="spellStart"/>
      <w:r w:rsidRPr="00B15A7A">
        <w:rPr>
          <w:rFonts w:eastAsia="Times New Roman"/>
          <w:b/>
          <w:sz w:val="24"/>
          <w:szCs w:val="24"/>
        </w:rPr>
        <w:t>Slovek</w:t>
      </w:r>
      <w:proofErr w:type="spellEnd"/>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723 P.2d 1309 (Colo. 1986); </w:t>
      </w:r>
      <w:r w:rsidRPr="00B15A7A">
        <w:rPr>
          <w:rFonts w:eastAsia="Times New Roman"/>
          <w:b/>
          <w:sz w:val="24"/>
          <w:szCs w:val="24"/>
        </w:rPr>
        <w:t xml:space="preserve">Heritage </w:t>
      </w:r>
      <w:proofErr w:type="spellStart"/>
      <w:r w:rsidRPr="00B15A7A">
        <w:rPr>
          <w:rFonts w:eastAsia="Times New Roman"/>
          <w:b/>
          <w:sz w:val="24"/>
          <w:szCs w:val="24"/>
        </w:rPr>
        <w:t>Vill</w:t>
      </w:r>
      <w:proofErr w:type="spellEnd"/>
      <w:r w:rsidRPr="00B15A7A">
        <w:rPr>
          <w:rFonts w:eastAsia="Times New Roman"/>
          <w:b/>
          <w:sz w:val="24"/>
          <w:szCs w:val="24"/>
        </w:rPr>
        <w:t xml:space="preserve">. Owners </w:t>
      </w:r>
      <w:proofErr w:type="spellStart"/>
      <w:r w:rsidRPr="00B15A7A">
        <w:rPr>
          <w:rFonts w:eastAsia="Times New Roman"/>
          <w:b/>
          <w:sz w:val="24"/>
          <w:szCs w:val="24"/>
        </w:rPr>
        <w:t>Ass’n</w:t>
      </w:r>
      <w:proofErr w:type="spellEnd"/>
      <w:r w:rsidRPr="00B15A7A">
        <w:rPr>
          <w:rFonts w:eastAsia="Times New Roman"/>
          <w:b/>
          <w:sz w:val="24"/>
          <w:szCs w:val="24"/>
        </w:rPr>
        <w:t xml:space="preserve"> v. Golden Heritage </w:t>
      </w:r>
      <w:proofErr w:type="spellStart"/>
      <w:r w:rsidRPr="00B15A7A">
        <w:rPr>
          <w:rFonts w:eastAsia="Times New Roman"/>
          <w:b/>
          <w:sz w:val="24"/>
          <w:szCs w:val="24"/>
        </w:rPr>
        <w:t>Inv’rs</w:t>
      </w:r>
      <w:proofErr w:type="spellEnd"/>
      <w:r w:rsidRPr="00B15A7A">
        <w:rPr>
          <w:rFonts w:eastAsia="Times New Roman"/>
          <w:b/>
          <w:sz w:val="24"/>
          <w:szCs w:val="24"/>
        </w:rPr>
        <w:t>, Ltd.</w:t>
      </w:r>
      <w:r w:rsidRPr="00B15A7A">
        <w:rPr>
          <w:rFonts w:eastAsia="Times New Roman"/>
          <w:sz w:val="24"/>
          <w:szCs w:val="24"/>
        </w:rPr>
        <w:t xml:space="preserve">, 89 P.3d 513 (Colo. App. 2004). In such situations, this instruction must be appropriately modified. </w:t>
      </w:r>
    </w:p>
    <w:p w14:paraId="21D58D97"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4. In addition to recovering nominal or actual damages for physical injury to the property, the plaintiff may also be entitled to recover damages for certain consequential damages. When recoverable, if proved, these damages should be identified in the parenthesized numbered paragraph 2 and in additionally numbered paragraphs if necessary. </w:t>
      </w:r>
      <w:r w:rsidRPr="00B15A7A">
        <w:rPr>
          <w:rFonts w:eastAsia="Times New Roman"/>
          <w:i/>
          <w:sz w:val="24"/>
          <w:szCs w:val="24"/>
        </w:rPr>
        <w:t>See also</w:t>
      </w:r>
      <w:r w:rsidRPr="00B15A7A">
        <w:rPr>
          <w:rFonts w:eastAsia="Times New Roman"/>
          <w:sz w:val="24"/>
          <w:szCs w:val="24"/>
        </w:rPr>
        <w:t xml:space="preserve"> </w:t>
      </w:r>
      <w:proofErr w:type="spellStart"/>
      <w:r w:rsidRPr="00B15A7A">
        <w:rPr>
          <w:rFonts w:eastAsia="Times New Roman"/>
          <w:b/>
          <w:sz w:val="24"/>
          <w:szCs w:val="24"/>
        </w:rPr>
        <w:t>Calvaresi</w:t>
      </w:r>
      <w:proofErr w:type="spellEnd"/>
      <w:r w:rsidRPr="00B15A7A">
        <w:rPr>
          <w:rFonts w:eastAsia="Times New Roman"/>
          <w:b/>
          <w:sz w:val="24"/>
          <w:szCs w:val="24"/>
        </w:rPr>
        <w:t xml:space="preserve"> v. </w:t>
      </w:r>
      <w:proofErr w:type="spellStart"/>
      <w:r w:rsidRPr="00B15A7A">
        <w:rPr>
          <w:rFonts w:eastAsia="Times New Roman"/>
          <w:b/>
          <w:sz w:val="24"/>
          <w:szCs w:val="24"/>
        </w:rPr>
        <w:t>Nat’l</w:t>
      </w:r>
      <w:proofErr w:type="spellEnd"/>
      <w:r w:rsidRPr="00B15A7A">
        <w:rPr>
          <w:rFonts w:eastAsia="Times New Roman"/>
          <w:b/>
          <w:sz w:val="24"/>
          <w:szCs w:val="24"/>
        </w:rPr>
        <w:t xml:space="preserve"> Dev. Co.</w:t>
      </w:r>
      <w:r w:rsidRPr="00B15A7A">
        <w:rPr>
          <w:rFonts w:eastAsia="Times New Roman"/>
          <w:sz w:val="24"/>
          <w:szCs w:val="24"/>
        </w:rPr>
        <w:t>, 772 P.2d 640 (Colo. App. 1988).</w:t>
      </w:r>
    </w:p>
    <w:p w14:paraId="18A5AF80" w14:textId="77777777" w:rsidR="00B15A7A" w:rsidRPr="0054263B" w:rsidRDefault="00B15A7A" w:rsidP="00B15A7A">
      <w:pPr>
        <w:keepNext/>
        <w:spacing w:after="240"/>
        <w:jc w:val="center"/>
        <w:rPr>
          <w:rFonts w:eastAsia="Times New Roman"/>
          <w:b/>
          <w:sz w:val="24"/>
          <w:szCs w:val="24"/>
        </w:rPr>
      </w:pPr>
      <w:r>
        <w:rPr>
          <w:rFonts w:eastAsia="Times New Roman"/>
          <w:b/>
          <w:sz w:val="24"/>
          <w:szCs w:val="24"/>
        </w:rPr>
        <w:lastRenderedPageBreak/>
        <w:t>Source and Authority</w:t>
      </w:r>
    </w:p>
    <w:p w14:paraId="274A8C94"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 Version a of paragraph 1, the “diminution of value” rule, is supported by </w:t>
      </w:r>
      <w:r w:rsidRPr="00B15A7A">
        <w:rPr>
          <w:rFonts w:eastAsia="Times New Roman"/>
          <w:b/>
          <w:sz w:val="24"/>
          <w:szCs w:val="24"/>
        </w:rPr>
        <w:t>Colorado</w:t>
      </w:r>
      <w:r w:rsidRPr="00B15A7A">
        <w:rPr>
          <w:rFonts w:eastAsia="Times New Roman"/>
          <w:sz w:val="24"/>
          <w:szCs w:val="24"/>
        </w:rPr>
        <w:t xml:space="preserve"> </w:t>
      </w:r>
      <w:r w:rsidRPr="00B15A7A">
        <w:rPr>
          <w:rFonts w:eastAsia="Times New Roman"/>
          <w:b/>
          <w:sz w:val="24"/>
          <w:szCs w:val="24"/>
        </w:rPr>
        <w:t xml:space="preserve">Bridge &amp; Construction Co. v. </w:t>
      </w:r>
      <w:proofErr w:type="spellStart"/>
      <w:r w:rsidRPr="00B15A7A">
        <w:rPr>
          <w:rFonts w:eastAsia="Times New Roman"/>
          <w:b/>
          <w:sz w:val="24"/>
          <w:szCs w:val="24"/>
        </w:rPr>
        <w:t>Preuit</w:t>
      </w:r>
      <w:proofErr w:type="spellEnd"/>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75 Colo. 107, 224 P. 222 (1924); </w:t>
      </w:r>
      <w:r w:rsidRPr="00B15A7A">
        <w:rPr>
          <w:rFonts w:eastAsia="Times New Roman"/>
          <w:b/>
          <w:sz w:val="24"/>
          <w:szCs w:val="24"/>
        </w:rPr>
        <w:t>Big Five Mining Co. v. Left Hand Ditch Co.</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73 Colo. 545, 216 P. 719 (1923); </w:t>
      </w:r>
      <w:r w:rsidRPr="00B15A7A">
        <w:rPr>
          <w:rFonts w:eastAsia="Times New Roman"/>
          <w:b/>
          <w:sz w:val="24"/>
          <w:szCs w:val="24"/>
        </w:rPr>
        <w:t>Mogote-Northeastern Consolidated Ditch Co. v. Gallegos</w:t>
      </w:r>
      <w:r w:rsidRPr="00B15A7A">
        <w:rPr>
          <w:rFonts w:eastAsia="Times New Roman"/>
          <w:sz w:val="24"/>
          <w:szCs w:val="24"/>
        </w:rPr>
        <w:t xml:space="preserve">, 70 Colo. 550, 203 P. 668 (1922); and </w:t>
      </w:r>
      <w:r w:rsidRPr="00B15A7A">
        <w:rPr>
          <w:rFonts w:eastAsia="Times New Roman"/>
          <w:b/>
          <w:sz w:val="24"/>
          <w:szCs w:val="24"/>
        </w:rPr>
        <w:t xml:space="preserve">Mustang Reservoir, Canal &amp; Land Co. v. </w:t>
      </w:r>
      <w:proofErr w:type="spellStart"/>
      <w:r w:rsidRPr="00B15A7A">
        <w:rPr>
          <w:rFonts w:eastAsia="Times New Roman"/>
          <w:b/>
          <w:sz w:val="24"/>
          <w:szCs w:val="24"/>
        </w:rPr>
        <w:t>Hissman</w:t>
      </w:r>
      <w:proofErr w:type="spellEnd"/>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49 Colo. 308, 112 P. 800 (1911). </w:t>
      </w:r>
      <w:r w:rsidRPr="00B15A7A">
        <w:rPr>
          <w:rFonts w:eastAsia="Times New Roman"/>
          <w:i/>
          <w:sz w:val="24"/>
          <w:szCs w:val="24"/>
        </w:rPr>
        <w:t>See also</w:t>
      </w:r>
      <w:r w:rsidRPr="00B15A7A">
        <w:rPr>
          <w:rFonts w:eastAsia="Times New Roman"/>
          <w:sz w:val="24"/>
          <w:szCs w:val="24"/>
        </w:rPr>
        <w:t xml:space="preserve"> </w:t>
      </w:r>
      <w:proofErr w:type="spellStart"/>
      <w:r w:rsidRPr="00B15A7A">
        <w:rPr>
          <w:rFonts w:eastAsia="Times New Roman"/>
          <w:b/>
          <w:sz w:val="24"/>
          <w:szCs w:val="24"/>
        </w:rPr>
        <w:t>Dandrea</w:t>
      </w:r>
      <w:proofErr w:type="spellEnd"/>
      <w:r w:rsidRPr="00B15A7A">
        <w:rPr>
          <w:rFonts w:eastAsia="Times New Roman"/>
          <w:b/>
          <w:sz w:val="24"/>
          <w:szCs w:val="24"/>
        </w:rPr>
        <w:t xml:space="preserve"> v. Bd. of </w:t>
      </w:r>
      <w:proofErr w:type="spellStart"/>
      <w:r w:rsidRPr="00B15A7A">
        <w:rPr>
          <w:rFonts w:eastAsia="Times New Roman"/>
          <w:b/>
          <w:sz w:val="24"/>
          <w:szCs w:val="24"/>
        </w:rPr>
        <w:t>Cty</w:t>
      </w:r>
      <w:proofErr w:type="spellEnd"/>
      <w:r w:rsidRPr="00B15A7A">
        <w:rPr>
          <w:rFonts w:eastAsia="Times New Roman"/>
          <w:b/>
          <w:sz w:val="24"/>
          <w:szCs w:val="24"/>
        </w:rPr>
        <w:t>. Comm’rs</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144 Colo. 343, 356 P.2d 893 (1960); </w:t>
      </w:r>
      <w:r w:rsidRPr="00B15A7A">
        <w:rPr>
          <w:rFonts w:eastAsia="Times New Roman"/>
          <w:b/>
          <w:sz w:val="24"/>
          <w:szCs w:val="24"/>
        </w:rPr>
        <w:t>Denver, Tex. &amp; Ft. Worth R.R. v. Dotson</w:t>
      </w:r>
      <w:r w:rsidRPr="00B15A7A">
        <w:rPr>
          <w:rFonts w:eastAsia="Times New Roman"/>
          <w:sz w:val="24"/>
          <w:szCs w:val="24"/>
        </w:rPr>
        <w:t xml:space="preserve">, 20 Colo. 304, 38 P. 322 (1894). </w:t>
      </w:r>
    </w:p>
    <w:p w14:paraId="71FFE3C0"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2. Version b of paragraph 1, the “cost of restoration” rule, is supported by </w:t>
      </w:r>
      <w:proofErr w:type="spellStart"/>
      <w:r w:rsidRPr="00B15A7A">
        <w:rPr>
          <w:rFonts w:eastAsia="Times New Roman"/>
          <w:b/>
          <w:sz w:val="24"/>
          <w:szCs w:val="24"/>
        </w:rPr>
        <w:t>Slovek</w:t>
      </w:r>
      <w:proofErr w:type="spellEnd"/>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723 P.2d at 1316, which disapproved the view expressed in some earlier cases that the “diminution of value” rule is the only appropriate measure. Other cases that support the “cost of restoration” rule include </w:t>
      </w:r>
      <w:r w:rsidRPr="00B15A7A">
        <w:rPr>
          <w:rFonts w:eastAsia="Times New Roman"/>
          <w:b/>
          <w:sz w:val="24"/>
          <w:szCs w:val="24"/>
        </w:rPr>
        <w:t>Colorado Bridge &amp; Construction Co.</w:t>
      </w:r>
      <w:r w:rsidRPr="00B15A7A">
        <w:rPr>
          <w:rFonts w:eastAsia="Times New Roman"/>
          <w:sz w:val="24"/>
          <w:szCs w:val="24"/>
        </w:rPr>
        <w:t xml:space="preserve">, 75 Colo. at 109, 224 P. at 223 (allowing as damages cost of removing asphalt that had been dumped on the plaintiff’s property and stating, “[t]he rule to be applied should be such as will enable the jury to determine, as near as may be, the actual loss suffered”); and </w:t>
      </w:r>
      <w:r w:rsidRPr="00B15A7A">
        <w:rPr>
          <w:rFonts w:eastAsia="Times New Roman"/>
          <w:b/>
          <w:sz w:val="24"/>
          <w:szCs w:val="24"/>
        </w:rPr>
        <w:t>Big Five Mining Co.</w:t>
      </w:r>
      <w:r w:rsidRPr="00B15A7A">
        <w:rPr>
          <w:rFonts w:eastAsia="Times New Roman"/>
          <w:sz w:val="24"/>
          <w:szCs w:val="24"/>
        </w:rPr>
        <w:t>, 73 Colo. at 549, 216 P. 721</w:t>
      </w:r>
      <w:r w:rsidRPr="00B15A7A">
        <w:rPr>
          <w:rFonts w:eastAsia="Times New Roman"/>
          <w:i/>
          <w:sz w:val="24"/>
          <w:szCs w:val="24"/>
        </w:rPr>
        <w:t xml:space="preserve"> </w:t>
      </w:r>
      <w:r w:rsidRPr="00B15A7A">
        <w:rPr>
          <w:rFonts w:eastAsia="Times New Roman"/>
          <w:sz w:val="24"/>
          <w:szCs w:val="24"/>
        </w:rPr>
        <w:t xml:space="preserve">(allowing cost of restoration, as well as compensation for loss of use during repair, where injury is susceptible of remedy at moderate expense, and cost of restoring may be shown with reasonable certainty (distinguishing </w:t>
      </w:r>
      <w:r w:rsidRPr="00B15A7A">
        <w:rPr>
          <w:rFonts w:eastAsia="Times New Roman"/>
          <w:b/>
          <w:sz w:val="24"/>
          <w:szCs w:val="24"/>
        </w:rPr>
        <w:t>Mogote-Northeastern Consolidated Ditch Co.</w:t>
      </w:r>
      <w:r w:rsidRPr="00B15A7A">
        <w:rPr>
          <w:rFonts w:eastAsia="Times New Roman"/>
          <w:sz w:val="24"/>
          <w:szCs w:val="24"/>
        </w:rPr>
        <w:t xml:space="preserve">, 70 Colo. 550, 203 P. 668, and </w:t>
      </w:r>
      <w:r w:rsidRPr="00B15A7A">
        <w:rPr>
          <w:rFonts w:eastAsia="Times New Roman"/>
          <w:b/>
          <w:sz w:val="24"/>
          <w:szCs w:val="24"/>
        </w:rPr>
        <w:t>Mustang Reservoir, Canal &amp; Land Co.</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49 Colo. 308, 112 P. 800))</w:t>
      </w:r>
      <w:r w:rsidRPr="00B15A7A">
        <w:rPr>
          <w:rFonts w:eastAsia="Times New Roman"/>
          <w:i/>
          <w:sz w:val="24"/>
          <w:szCs w:val="24"/>
        </w:rPr>
        <w:t>.</w:t>
      </w:r>
      <w:r w:rsidRPr="00B15A7A">
        <w:rPr>
          <w:rFonts w:eastAsia="Times New Roman"/>
          <w:sz w:val="24"/>
          <w:szCs w:val="24"/>
        </w:rPr>
        <w:t xml:space="preserve"> </w:t>
      </w:r>
      <w:r w:rsidRPr="00B15A7A">
        <w:rPr>
          <w:rFonts w:eastAsia="Times New Roman"/>
          <w:i/>
          <w:sz w:val="24"/>
          <w:szCs w:val="24"/>
        </w:rPr>
        <w:t>See also</w:t>
      </w:r>
      <w:r w:rsidRPr="00B15A7A">
        <w:rPr>
          <w:rFonts w:eastAsia="Times New Roman"/>
          <w:sz w:val="24"/>
          <w:szCs w:val="24"/>
        </w:rPr>
        <w:t xml:space="preserve"> </w:t>
      </w:r>
      <w:r w:rsidRPr="00B15A7A">
        <w:rPr>
          <w:rFonts w:eastAsia="Times New Roman"/>
          <w:b/>
          <w:sz w:val="24"/>
          <w:szCs w:val="24"/>
        </w:rPr>
        <w:t>Zwick v. Simpson</w:t>
      </w:r>
      <w:r w:rsidRPr="00B15A7A">
        <w:rPr>
          <w:rFonts w:eastAsia="Times New Roman"/>
          <w:sz w:val="24"/>
          <w:szCs w:val="24"/>
        </w:rPr>
        <w:t xml:space="preserve">, 193 Colo. 36, 572 P.2d 133 (1977) (cost of restorations not the appropriate measure where plaintiff had sold property prior to trial); </w:t>
      </w:r>
      <w:r w:rsidRPr="00B15A7A">
        <w:rPr>
          <w:rFonts w:eastAsia="Times New Roman"/>
          <w:b/>
          <w:sz w:val="24"/>
          <w:szCs w:val="24"/>
        </w:rPr>
        <w:t>Bobrick v. Taylor</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171 Colo. 375, 467 P.2d 822 (1970) (costs of restoration allowed as appropriate measure of damages); </w:t>
      </w:r>
      <w:r w:rsidRPr="00B15A7A">
        <w:rPr>
          <w:rFonts w:eastAsia="Times New Roman"/>
          <w:b/>
          <w:sz w:val="24"/>
          <w:szCs w:val="24"/>
        </w:rPr>
        <w:t>Burt v. Beautiful Savior Lutheran Church</w:t>
      </w:r>
      <w:r w:rsidRPr="00B15A7A">
        <w:rPr>
          <w:rFonts w:eastAsia="Times New Roman"/>
          <w:sz w:val="24"/>
          <w:szCs w:val="24"/>
        </w:rPr>
        <w:t xml:space="preserve">, 809 P.2d 1064 (Colo. App. 1990) (actual damages may include diminution of market value or costs of restoration, loss of use of the property, and discomfort and annoyance to the occupant); </w:t>
      </w:r>
      <w:proofErr w:type="spellStart"/>
      <w:r w:rsidRPr="00B15A7A">
        <w:rPr>
          <w:rFonts w:eastAsia="Times New Roman"/>
          <w:b/>
          <w:sz w:val="24"/>
          <w:szCs w:val="24"/>
        </w:rPr>
        <w:t>Gladin</w:t>
      </w:r>
      <w:proofErr w:type="spellEnd"/>
      <w:r w:rsidRPr="00B15A7A">
        <w:rPr>
          <w:rFonts w:eastAsia="Times New Roman"/>
          <w:b/>
          <w:sz w:val="24"/>
          <w:szCs w:val="24"/>
        </w:rPr>
        <w:t xml:space="preserve"> v. Von </w:t>
      </w:r>
      <w:proofErr w:type="spellStart"/>
      <w:r w:rsidRPr="00B15A7A">
        <w:rPr>
          <w:rFonts w:eastAsia="Times New Roman"/>
          <w:b/>
          <w:sz w:val="24"/>
          <w:szCs w:val="24"/>
        </w:rPr>
        <w:t>Engeln</w:t>
      </w:r>
      <w:proofErr w:type="spellEnd"/>
      <w:r w:rsidRPr="00B15A7A">
        <w:rPr>
          <w:rFonts w:eastAsia="Times New Roman"/>
          <w:sz w:val="24"/>
          <w:szCs w:val="24"/>
        </w:rPr>
        <w:t xml:space="preserve">, 651 P.2d 905 (Colo. App. 1982) (even though not technically a trespass action, proper to award cost of repair and loss of use where property damaged by removal of lateral support); </w:t>
      </w:r>
      <w:r w:rsidRPr="00B15A7A">
        <w:rPr>
          <w:rFonts w:eastAsia="Times New Roman"/>
          <w:b/>
          <w:sz w:val="24"/>
          <w:szCs w:val="24"/>
        </w:rPr>
        <w:t xml:space="preserve">Evans v. Colo. Ute Elec. </w:t>
      </w:r>
      <w:proofErr w:type="spellStart"/>
      <w:r w:rsidRPr="00B15A7A">
        <w:rPr>
          <w:rFonts w:eastAsia="Times New Roman"/>
          <w:b/>
          <w:sz w:val="24"/>
          <w:szCs w:val="24"/>
        </w:rPr>
        <w:t>Ass’n</w:t>
      </w:r>
      <w:proofErr w:type="spellEnd"/>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653 P.2d 63 (Colo. App. 1982) (costs of restoration allowed).</w:t>
      </w:r>
    </w:p>
    <w:p w14:paraId="00D142BA"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3. When either the “diminution of market value” or the “cost of restoration” would be an appropriate measure for the recovery of damages for physical injury to property, the trial court must use its sound discretion to determine which measure would be the more appropriate, that is, Version a or Version b of parenthesized numbered paragraph 1. </w:t>
      </w:r>
      <w:r w:rsidRPr="00B15A7A">
        <w:rPr>
          <w:rFonts w:eastAsia="Times New Roman"/>
          <w:i/>
          <w:sz w:val="24"/>
          <w:szCs w:val="24"/>
        </w:rPr>
        <w:t>See</w:t>
      </w:r>
      <w:r w:rsidRPr="00B15A7A">
        <w:rPr>
          <w:rFonts w:eastAsia="Times New Roman"/>
          <w:sz w:val="24"/>
          <w:szCs w:val="24"/>
        </w:rPr>
        <w:t xml:space="preserve"> </w:t>
      </w:r>
      <w:proofErr w:type="spellStart"/>
      <w:r w:rsidRPr="00B15A7A">
        <w:rPr>
          <w:rFonts w:eastAsia="Times New Roman"/>
          <w:b/>
          <w:sz w:val="24"/>
          <w:szCs w:val="24"/>
        </w:rPr>
        <w:t>Slovek</w:t>
      </w:r>
      <w:proofErr w:type="spellEnd"/>
      <w:r w:rsidRPr="00B15A7A">
        <w:rPr>
          <w:rFonts w:eastAsia="Times New Roman"/>
          <w:sz w:val="24"/>
          <w:szCs w:val="24"/>
        </w:rPr>
        <w:t xml:space="preserve">, 723 P.2d at 1317 (if cost of restoration, though more than the market value of the property, is not “wholly unreasonable” and market value is not adequate compensation for some personal or special reason, restoration costs may be awarded); </w:t>
      </w:r>
      <w:r w:rsidRPr="00B15A7A">
        <w:rPr>
          <w:rFonts w:eastAsia="Times New Roman"/>
          <w:b/>
          <w:sz w:val="24"/>
          <w:szCs w:val="24"/>
        </w:rPr>
        <w:t>Fed. Ins. Co. v. Ferrellgas, Inc.</w:t>
      </w:r>
      <w:r w:rsidRPr="00B15A7A">
        <w:rPr>
          <w:rFonts w:eastAsia="Times New Roman"/>
          <w:sz w:val="24"/>
          <w:szCs w:val="24"/>
        </w:rPr>
        <w:t xml:space="preserve">, 961 P.2d 511 (Colo. App. 1997). A “cost of restoration” measure may be used even though in some cases it may exceed either the diminution in market value caused by the trespass or the value of the land as it existed before the trespass occurred. </w:t>
      </w:r>
      <w:proofErr w:type="spellStart"/>
      <w:r w:rsidRPr="00B15A7A">
        <w:rPr>
          <w:rFonts w:eastAsia="Times New Roman"/>
          <w:b/>
          <w:sz w:val="24"/>
          <w:szCs w:val="24"/>
        </w:rPr>
        <w:t>Slovek</w:t>
      </w:r>
      <w:proofErr w:type="spellEnd"/>
      <w:r w:rsidRPr="00B15A7A">
        <w:rPr>
          <w:rFonts w:eastAsia="Times New Roman"/>
          <w:sz w:val="24"/>
          <w:szCs w:val="24"/>
        </w:rPr>
        <w:t xml:space="preserve">, 723 P.2d at 1317. However, the cost of restoration measure is generally not applicable where no “personal or special use” of the property is shown. </w:t>
      </w:r>
      <w:r w:rsidRPr="00B15A7A">
        <w:rPr>
          <w:rFonts w:eastAsia="Times New Roman"/>
          <w:b/>
          <w:sz w:val="24"/>
          <w:szCs w:val="24"/>
        </w:rPr>
        <w:t>Razi v. Schmitt</w:t>
      </w:r>
      <w:r w:rsidRPr="00B15A7A">
        <w:rPr>
          <w:rFonts w:eastAsia="Times New Roman"/>
          <w:sz w:val="24"/>
          <w:szCs w:val="24"/>
        </w:rPr>
        <w:t>, 36 P.3d 102 (Colo. App. 2001) (award of damages to owner of commercial building that was damaged by arsonist’s fire limited to diminution in market value rather than cost of restoration where building was not used for any personal or special purpose).</w:t>
      </w:r>
    </w:p>
    <w:p w14:paraId="76F9845A" w14:textId="687DB6AA" w:rsidR="00B15A7A" w:rsidRPr="00B15A7A" w:rsidRDefault="00B15A7A" w:rsidP="00B15A7A">
      <w:pPr>
        <w:spacing w:after="240"/>
        <w:ind w:firstLine="720"/>
        <w:rPr>
          <w:rFonts w:eastAsia="Times New Roman"/>
          <w:sz w:val="24"/>
          <w:szCs w:val="24"/>
        </w:rPr>
      </w:pPr>
      <w:r w:rsidRPr="00B15A7A">
        <w:rPr>
          <w:rFonts w:eastAsia="Times New Roman"/>
          <w:sz w:val="24"/>
          <w:szCs w:val="24"/>
        </w:rPr>
        <w:lastRenderedPageBreak/>
        <w:t xml:space="preserve">4. For a discussion of the difference in damages recoverable for a “continuing trespass” as distinguished from a “permanent trespass,” see </w:t>
      </w:r>
      <w:r w:rsidRPr="00B15A7A">
        <w:rPr>
          <w:rFonts w:eastAsia="Times New Roman"/>
          <w:b/>
          <w:sz w:val="24"/>
          <w:szCs w:val="24"/>
        </w:rPr>
        <w:t xml:space="preserve">Hawley v. </w:t>
      </w:r>
      <w:proofErr w:type="spellStart"/>
      <w:r w:rsidRPr="00B15A7A">
        <w:rPr>
          <w:rFonts w:eastAsia="Times New Roman"/>
          <w:b/>
          <w:sz w:val="24"/>
          <w:szCs w:val="24"/>
        </w:rPr>
        <w:t>Mowatt</w:t>
      </w:r>
      <w:proofErr w:type="spellEnd"/>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160 P.3d 421 (Colo. App. 2007) (party injured by continuing trespass may not recover future damages, but party injured by permanent trespass may recover both past and future damages). </w:t>
      </w:r>
      <w:r w:rsidRPr="00B15A7A">
        <w:rPr>
          <w:rFonts w:eastAsia="Times New Roman"/>
          <w:i/>
          <w:sz w:val="24"/>
          <w:szCs w:val="24"/>
        </w:rPr>
        <w:t>See also</w:t>
      </w:r>
      <w:r w:rsidRPr="00B15A7A">
        <w:rPr>
          <w:rFonts w:eastAsia="Times New Roman"/>
          <w:b/>
          <w:sz w:val="24"/>
          <w:szCs w:val="24"/>
        </w:rPr>
        <w:t xml:space="preserve"> </w:t>
      </w:r>
      <w:r w:rsidR="008C3241" w:rsidRPr="006C6C4C">
        <w:rPr>
          <w:rFonts w:eastAsia="Times New Roman"/>
          <w:b/>
          <w:sz w:val="24"/>
          <w:szCs w:val="24"/>
        </w:rPr>
        <w:t xml:space="preserve">Rinker v. </w:t>
      </w:r>
      <w:proofErr w:type="spellStart"/>
      <w:r w:rsidR="008C3241" w:rsidRPr="006C6C4C">
        <w:rPr>
          <w:rFonts w:eastAsia="Times New Roman"/>
          <w:b/>
          <w:sz w:val="24"/>
          <w:szCs w:val="24"/>
        </w:rPr>
        <w:t>Colina</w:t>
      </w:r>
      <w:proofErr w:type="spellEnd"/>
      <w:r w:rsidR="008C3241" w:rsidRPr="006C6C4C">
        <w:rPr>
          <w:rFonts w:eastAsia="Times New Roman"/>
          <w:b/>
          <w:sz w:val="24"/>
          <w:szCs w:val="24"/>
        </w:rPr>
        <w:t>-Lee</w:t>
      </w:r>
      <w:r w:rsidR="008C3241" w:rsidRPr="00FB7EEE">
        <w:rPr>
          <w:rFonts w:eastAsia="Times New Roman"/>
          <w:sz w:val="24"/>
          <w:szCs w:val="24"/>
        </w:rPr>
        <w:t>, 2019 COA 45, ¶ 83</w:t>
      </w:r>
      <w:r w:rsidR="008211F2">
        <w:rPr>
          <w:rFonts w:eastAsia="Times New Roman"/>
          <w:sz w:val="24"/>
          <w:szCs w:val="24"/>
        </w:rPr>
        <w:t>, 452 P.3d 161, 174</w:t>
      </w:r>
      <w:r w:rsidR="008C3241" w:rsidRPr="006C6C4C">
        <w:rPr>
          <w:rFonts w:eastAsia="Times New Roman"/>
          <w:b/>
          <w:sz w:val="24"/>
          <w:szCs w:val="24"/>
        </w:rPr>
        <w:t xml:space="preserve"> </w:t>
      </w:r>
      <w:r w:rsidR="008C3241" w:rsidRPr="00FB7EEE">
        <w:rPr>
          <w:rFonts w:eastAsia="Times New Roman"/>
          <w:sz w:val="24"/>
          <w:szCs w:val="24"/>
        </w:rPr>
        <w:t>(“the traditiona</w:t>
      </w:r>
      <w:r w:rsidR="008C3241" w:rsidRPr="00267AA6">
        <w:rPr>
          <w:rFonts w:eastAsia="Times New Roman"/>
          <w:sz w:val="24"/>
          <w:szCs w:val="24"/>
        </w:rPr>
        <w:t>l and preferred equitable remed</w:t>
      </w:r>
      <w:r w:rsidR="008C3241" w:rsidRPr="00FB7EEE">
        <w:rPr>
          <w:rFonts w:eastAsia="Times New Roman"/>
          <w:sz w:val="24"/>
          <w:szCs w:val="24"/>
        </w:rPr>
        <w:t xml:space="preserve">y for </w:t>
      </w:r>
      <w:r w:rsidR="008C3241">
        <w:rPr>
          <w:rFonts w:eastAsia="Times New Roman"/>
          <w:sz w:val="24"/>
          <w:szCs w:val="24"/>
        </w:rPr>
        <w:t xml:space="preserve">a </w:t>
      </w:r>
      <w:r w:rsidR="008C3241" w:rsidRPr="00FB7EEE">
        <w:rPr>
          <w:rFonts w:eastAsia="Times New Roman"/>
          <w:sz w:val="24"/>
          <w:szCs w:val="24"/>
        </w:rPr>
        <w:t xml:space="preserve">continuing </w:t>
      </w:r>
      <w:r w:rsidR="008C3241" w:rsidRPr="00267AA6">
        <w:rPr>
          <w:rFonts w:eastAsia="Times New Roman"/>
          <w:sz w:val="24"/>
          <w:szCs w:val="24"/>
        </w:rPr>
        <w:t>trespass</w:t>
      </w:r>
      <w:r w:rsidR="008C3241" w:rsidRPr="00FB7EEE">
        <w:rPr>
          <w:rFonts w:eastAsia="Times New Roman"/>
          <w:sz w:val="24"/>
          <w:szCs w:val="24"/>
        </w:rPr>
        <w:t xml:space="preserve"> is a mandatory injunction requiring the removal of the encroachment”);</w:t>
      </w:r>
      <w:r w:rsidR="008C3241" w:rsidRPr="00B15A7A">
        <w:rPr>
          <w:rFonts w:eastAsia="Times New Roman"/>
          <w:b/>
          <w:sz w:val="24"/>
          <w:szCs w:val="24"/>
        </w:rPr>
        <w:t xml:space="preserve"> </w:t>
      </w:r>
      <w:r w:rsidRPr="00B15A7A">
        <w:rPr>
          <w:rFonts w:eastAsia="Times New Roman"/>
          <w:b/>
          <w:sz w:val="24"/>
          <w:szCs w:val="24"/>
        </w:rPr>
        <w:t>Hunter v. Mansell</w:t>
      </w:r>
      <w:r w:rsidRPr="00B15A7A">
        <w:rPr>
          <w:rFonts w:eastAsia="Times New Roman"/>
          <w:sz w:val="24"/>
          <w:szCs w:val="24"/>
        </w:rPr>
        <w:t>, 240 P.3d 469 (Colo. App. 2010) (reversing legal remedy of damages for continuing trespass where equitable remedy of mandatory injunction was more appropriate).</w:t>
      </w:r>
    </w:p>
    <w:p w14:paraId="5D576608"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5. Nominal damages are recoverable in an action for damages to real property if the action is one in trespass, </w:t>
      </w:r>
      <w:r w:rsidRPr="00B15A7A">
        <w:rPr>
          <w:rFonts w:eastAsia="Times New Roman"/>
          <w:smallCaps/>
          <w:sz w:val="24"/>
          <w:szCs w:val="24"/>
        </w:rPr>
        <w:t>C. McCormick, Handbook on the Law of Damages</w:t>
      </w:r>
      <w:r w:rsidRPr="00B15A7A">
        <w:rPr>
          <w:rFonts w:eastAsia="Times New Roman"/>
          <w:sz w:val="24"/>
          <w:szCs w:val="24"/>
        </w:rPr>
        <w:t xml:space="preserve"> § 22 (1935), but not if the action is one in negligence. </w:t>
      </w:r>
      <w:r w:rsidRPr="00B15A7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Hoover v. Shott</w:t>
      </w:r>
      <w:r w:rsidRPr="00B15A7A">
        <w:rPr>
          <w:rFonts w:eastAsia="Times New Roman"/>
          <w:sz w:val="24"/>
          <w:szCs w:val="24"/>
        </w:rPr>
        <w:t xml:space="preserve">, 68 Colo. 385, 189 P. 848 (1920). Only nominal damages are recoverable when there is insufficient evidence of any actual damages resulting from a trespass. </w:t>
      </w:r>
      <w:r w:rsidRPr="00B15A7A">
        <w:rPr>
          <w:rFonts w:eastAsia="Times New Roman"/>
          <w:b/>
          <w:sz w:val="24"/>
          <w:szCs w:val="24"/>
        </w:rPr>
        <w:t>Crawford v. French</w:t>
      </w:r>
      <w:r w:rsidRPr="00B15A7A">
        <w:rPr>
          <w:rFonts w:eastAsia="Times New Roman"/>
          <w:sz w:val="24"/>
          <w:szCs w:val="24"/>
        </w:rPr>
        <w:t>, 633 P.2d 524 (Colo. App. 1981).</w:t>
      </w:r>
    </w:p>
    <w:p w14:paraId="7CF23784"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6. In appropriate circumstances, exemplary damages are recoverable in a trespass action. </w:t>
      </w:r>
      <w:r w:rsidRPr="00B15A7A">
        <w:rPr>
          <w:rFonts w:eastAsia="Times New Roman"/>
          <w:b/>
          <w:sz w:val="24"/>
          <w:szCs w:val="24"/>
        </w:rPr>
        <w:t>Carlson v. McNeill</w:t>
      </w:r>
      <w:r w:rsidRPr="00B15A7A">
        <w:rPr>
          <w:rFonts w:eastAsia="Times New Roman"/>
          <w:sz w:val="24"/>
          <w:szCs w:val="24"/>
        </w:rPr>
        <w:t xml:space="preserve">, 114 Colo. 78, 162 P.2d 226 (1945); </w:t>
      </w:r>
      <w:r w:rsidRPr="00B15A7A">
        <w:rPr>
          <w:rFonts w:eastAsia="Times New Roman"/>
          <w:b/>
          <w:sz w:val="24"/>
          <w:szCs w:val="24"/>
        </w:rPr>
        <w:t xml:space="preserve">Livingston v. Utah-Colo. Land &amp; </w:t>
      </w:r>
      <w:proofErr w:type="gramStart"/>
      <w:r w:rsidRPr="00B15A7A">
        <w:rPr>
          <w:rFonts w:eastAsia="Times New Roman"/>
          <w:b/>
          <w:sz w:val="24"/>
          <w:szCs w:val="24"/>
        </w:rPr>
        <w:t>Live Stock</w:t>
      </w:r>
      <w:proofErr w:type="gramEnd"/>
      <w:r w:rsidRPr="00B15A7A">
        <w:rPr>
          <w:rFonts w:eastAsia="Times New Roman"/>
          <w:b/>
          <w:sz w:val="24"/>
          <w:szCs w:val="24"/>
        </w:rPr>
        <w:t xml:space="preserve"> Co.</w:t>
      </w:r>
      <w:r w:rsidRPr="00B15A7A">
        <w:rPr>
          <w:rFonts w:eastAsia="Times New Roman"/>
          <w:sz w:val="24"/>
          <w:szCs w:val="24"/>
        </w:rPr>
        <w:t>, 106 Colo. 278, 103 P.2d 684 (1940).</w:t>
      </w:r>
    </w:p>
    <w:p w14:paraId="7348B165"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7. Several cases have recognized the right to recover consequential damages, in addition to damages for physical injury to the property. </w:t>
      </w:r>
      <w:r w:rsidRPr="00B15A7A">
        <w:rPr>
          <w:rFonts w:eastAsia="Times New Roman"/>
          <w:i/>
          <w:sz w:val="24"/>
          <w:szCs w:val="24"/>
        </w:rPr>
        <w:t>See, e.g.</w:t>
      </w:r>
      <w:r w:rsidRPr="00B15A7A">
        <w:rPr>
          <w:rFonts w:eastAsia="Times New Roman"/>
          <w:sz w:val="24"/>
          <w:szCs w:val="24"/>
        </w:rPr>
        <w:t xml:space="preserve">, </w:t>
      </w:r>
      <w:proofErr w:type="spellStart"/>
      <w:r w:rsidRPr="00B15A7A">
        <w:rPr>
          <w:rFonts w:eastAsia="Times New Roman"/>
          <w:b/>
          <w:sz w:val="24"/>
          <w:szCs w:val="24"/>
        </w:rPr>
        <w:t>Slovek</w:t>
      </w:r>
      <w:proofErr w:type="spellEnd"/>
      <w:r w:rsidRPr="00B15A7A">
        <w:rPr>
          <w:rFonts w:eastAsia="Times New Roman"/>
          <w:sz w:val="24"/>
          <w:szCs w:val="24"/>
        </w:rPr>
        <w:t xml:space="preserve">, 723 P.2d at 1318 (loss of use value as well as personal injury to owner-occupant in form of discomfort, annoyance, sickness, physical harm); </w:t>
      </w:r>
      <w:r w:rsidRPr="00B15A7A">
        <w:rPr>
          <w:rFonts w:eastAsia="Times New Roman"/>
          <w:b/>
          <w:sz w:val="24"/>
          <w:szCs w:val="24"/>
        </w:rPr>
        <w:t>Big Five Mining Co.</w:t>
      </w:r>
      <w:r w:rsidRPr="00B15A7A">
        <w:rPr>
          <w:rFonts w:eastAsia="Times New Roman"/>
          <w:sz w:val="24"/>
          <w:szCs w:val="24"/>
        </w:rPr>
        <w:t xml:space="preserve">, 73 Colo. at 548, 216 P. at 720 (value of loss of use during repairs); </w:t>
      </w:r>
      <w:r w:rsidRPr="00B15A7A">
        <w:rPr>
          <w:rFonts w:eastAsia="Times New Roman"/>
          <w:b/>
          <w:sz w:val="24"/>
          <w:szCs w:val="24"/>
        </w:rPr>
        <w:t xml:space="preserve">Sanderson v. Heath Mesa Homeowners </w:t>
      </w:r>
      <w:proofErr w:type="spellStart"/>
      <w:r w:rsidRPr="00B15A7A">
        <w:rPr>
          <w:rFonts w:eastAsia="Times New Roman"/>
          <w:b/>
          <w:sz w:val="24"/>
          <w:szCs w:val="24"/>
        </w:rPr>
        <w:t>Ass’n</w:t>
      </w:r>
      <w:proofErr w:type="spellEnd"/>
      <w:r w:rsidRPr="00B15A7A">
        <w:rPr>
          <w:rFonts w:eastAsia="Times New Roman"/>
          <w:sz w:val="24"/>
          <w:szCs w:val="24"/>
        </w:rPr>
        <w:t xml:space="preserve">, 183 P.3d 679 (Colo. App. 2008) (discomfort and annoyance, along with diminution of market value, costs of restoration, and loss of use damages); </w:t>
      </w:r>
      <w:r w:rsidRPr="00B15A7A">
        <w:rPr>
          <w:rFonts w:eastAsia="Times New Roman"/>
          <w:b/>
          <w:sz w:val="24"/>
          <w:szCs w:val="24"/>
        </w:rPr>
        <w:t>Webster v. Boone</w:t>
      </w:r>
      <w:r w:rsidRPr="00B15A7A">
        <w:rPr>
          <w:rFonts w:eastAsia="Times New Roman"/>
          <w:sz w:val="24"/>
          <w:szCs w:val="24"/>
        </w:rPr>
        <w:t xml:space="preserve">, 992 P.2d 1183 (Colo. App. 1999) (annoyance and discomfort, but not emotional distress); </w:t>
      </w:r>
      <w:r w:rsidRPr="00B15A7A">
        <w:rPr>
          <w:rFonts w:eastAsia="Times New Roman"/>
          <w:b/>
          <w:sz w:val="24"/>
          <w:szCs w:val="24"/>
        </w:rPr>
        <w:t>Montgomery Ward &amp; Co., Inc. v. Andrews</w:t>
      </w:r>
      <w:r w:rsidRPr="00B15A7A">
        <w:rPr>
          <w:rFonts w:eastAsia="Times New Roman"/>
          <w:sz w:val="24"/>
          <w:szCs w:val="24"/>
        </w:rPr>
        <w:t xml:space="preserve">, 736 P.2d 40 (Colo. App. 1987) (destruction of business and termination of contract with third person); </w:t>
      </w:r>
      <w:r w:rsidRPr="00B15A7A">
        <w:rPr>
          <w:rFonts w:eastAsia="Times New Roman"/>
          <w:b/>
          <w:sz w:val="24"/>
          <w:szCs w:val="24"/>
        </w:rPr>
        <w:t>Miller v. Carnation Co</w:t>
      </w:r>
      <w:r w:rsidRPr="00B15A7A">
        <w:rPr>
          <w:rFonts w:eastAsia="Times New Roman"/>
          <w:sz w:val="24"/>
          <w:szCs w:val="24"/>
        </w:rPr>
        <w:t xml:space="preserve">., 39 Colo. App. 1, 564 P.2d 127 (1977) (in a nuisance and trespass action, damages allowed for loss of use and enjoyment and annoyance, discomfort, inconvenience, and loss of ability to enjoy their lives); </w:t>
      </w:r>
      <w:r w:rsidRPr="00B15A7A">
        <w:rPr>
          <w:rFonts w:eastAsia="Times New Roman"/>
          <w:b/>
          <w:sz w:val="24"/>
          <w:szCs w:val="24"/>
        </w:rPr>
        <w:t>Traver v. Dodd</w:t>
      </w:r>
      <w:r w:rsidRPr="00B15A7A">
        <w:rPr>
          <w:rFonts w:eastAsia="Times New Roman"/>
          <w:sz w:val="24"/>
          <w:szCs w:val="24"/>
        </w:rPr>
        <w:t xml:space="preserve">, 24 Colo. App. 273, 133 P. 1117 (1913) (damages for wrongful occupancy as measured by reasonable rental value); </w:t>
      </w:r>
      <w:r w:rsidRPr="00B15A7A">
        <w:rPr>
          <w:rFonts w:eastAsia="Times New Roman"/>
          <w:i/>
          <w:sz w:val="24"/>
          <w:szCs w:val="24"/>
        </w:rPr>
        <w:t>see also</w:t>
      </w:r>
      <w:r w:rsidRPr="00B15A7A">
        <w:rPr>
          <w:rFonts w:eastAsia="Times New Roman"/>
          <w:sz w:val="24"/>
          <w:szCs w:val="24"/>
        </w:rPr>
        <w:t xml:space="preserve"> </w:t>
      </w:r>
      <w:r w:rsidRPr="00B15A7A">
        <w:rPr>
          <w:rFonts w:eastAsia="Times New Roman"/>
          <w:b/>
          <w:sz w:val="24"/>
          <w:szCs w:val="24"/>
        </w:rPr>
        <w:t>Valley Dev. Co. v. Weeks</w:t>
      </w:r>
      <w:r w:rsidRPr="00B15A7A">
        <w:rPr>
          <w:rFonts w:eastAsia="Times New Roman"/>
          <w:sz w:val="24"/>
          <w:szCs w:val="24"/>
        </w:rPr>
        <w:t>, 147 Colo. 591, 597, 364 P.2d 730, 733 (1961) (in dictum, damages for mental suffering if trespass was “inspired by fraud, malice, or like motives”).</w:t>
      </w:r>
    </w:p>
    <w:p w14:paraId="46CA6601" w14:textId="77777777" w:rsidR="00B15A7A" w:rsidRPr="00B15A7A" w:rsidRDefault="00B15A7A" w:rsidP="00B15A7A">
      <w:pPr>
        <w:keepNext/>
        <w:rPr>
          <w:rFonts w:eastAsia="Times New Roman"/>
          <w:sz w:val="24"/>
          <w:szCs w:val="24"/>
        </w:rPr>
      </w:pPr>
      <w:r w:rsidRPr="00B15A7A">
        <w:rPr>
          <w:rFonts w:eastAsia="Times New Roman"/>
          <w:b/>
          <w:sz w:val="24"/>
          <w:szCs w:val="24"/>
          <w:u w:val="single"/>
        </w:rPr>
        <w:t>Damages for Destruction of Improvements (Buildings, Fences, etc.</w:t>
      </w:r>
      <w:r w:rsidRPr="00B15A7A">
        <w:rPr>
          <w:rFonts w:eastAsia="Times New Roman"/>
          <w:sz w:val="24"/>
          <w:szCs w:val="24"/>
        </w:rPr>
        <w:t>)</w:t>
      </w:r>
    </w:p>
    <w:p w14:paraId="5DB80702"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8. Where a structure or improvement has been destroyed, as opposed to only being damaged, and it can be treated as a unit apart from the land, a more appropriate measure of damages may be the value of the improvement at the time of its destruction as shown by original cost of replacement, less depreciation.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p>
    <w:p w14:paraId="77F1BEFA" w14:textId="77777777" w:rsidR="00B15A7A" w:rsidRPr="00B15A7A" w:rsidRDefault="00B15A7A" w:rsidP="00B15A7A">
      <w:pPr>
        <w:keepNext/>
        <w:rPr>
          <w:rFonts w:eastAsia="Times New Roman"/>
          <w:b/>
          <w:sz w:val="24"/>
          <w:szCs w:val="24"/>
          <w:u w:val="single"/>
        </w:rPr>
      </w:pPr>
      <w:r w:rsidRPr="00B15A7A">
        <w:rPr>
          <w:rFonts w:eastAsia="Times New Roman"/>
          <w:b/>
          <w:sz w:val="24"/>
          <w:szCs w:val="24"/>
          <w:u w:val="single"/>
        </w:rPr>
        <w:t>Damages for Injuries to Crops</w:t>
      </w:r>
    </w:p>
    <w:p w14:paraId="10386234"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9. If plaintiff is prevented from planting his land, then the measure of damages is the rental value of the land for the season. </w:t>
      </w:r>
      <w:r w:rsidRPr="00B15A7A">
        <w:rPr>
          <w:rFonts w:eastAsia="Times New Roman"/>
          <w:i/>
          <w:sz w:val="24"/>
          <w:szCs w:val="24"/>
        </w:rPr>
        <w:t>Id.</w:t>
      </w:r>
      <w:r w:rsidRPr="00B15A7A">
        <w:rPr>
          <w:rFonts w:eastAsia="Times New Roman"/>
          <w:sz w:val="24"/>
          <w:szCs w:val="24"/>
        </w:rPr>
        <w:t xml:space="preserve">; </w:t>
      </w:r>
      <w:r w:rsidRPr="00B15A7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 xml:space="preserve">Roberts v. </w:t>
      </w:r>
      <w:proofErr w:type="spellStart"/>
      <w:r w:rsidRPr="00B15A7A">
        <w:rPr>
          <w:rFonts w:eastAsia="Times New Roman"/>
          <w:b/>
          <w:sz w:val="24"/>
          <w:szCs w:val="24"/>
        </w:rPr>
        <w:t>Lehl</w:t>
      </w:r>
      <w:proofErr w:type="spellEnd"/>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27 Colo. App. 351, 149 P. 851 (1915) (loss is rental value of land with water less rental value of land without water).</w:t>
      </w:r>
    </w:p>
    <w:p w14:paraId="5E1C0F39"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lastRenderedPageBreak/>
        <w:t xml:space="preserve">10. For an annual, unmatured crop that is destroyed, the measure of damages is the value of the unmatured crop at the time and place of loss.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r w:rsidRPr="00B15A7A">
        <w:rPr>
          <w:rFonts w:eastAsia="Times New Roman"/>
          <w:i/>
          <w:sz w:val="24"/>
          <w:szCs w:val="24"/>
        </w:rPr>
        <w:t xml:space="preserve"> </w:t>
      </w:r>
      <w:r w:rsidR="008B7FB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Roberts</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27 Colo. App. 357, 149 P. 853. </w:t>
      </w:r>
      <w:r w:rsidRPr="00B15A7A">
        <w:rPr>
          <w:rFonts w:eastAsia="Times New Roman"/>
          <w:i/>
          <w:sz w:val="24"/>
          <w:szCs w:val="24"/>
        </w:rPr>
        <w:t xml:space="preserve">But see </w:t>
      </w:r>
      <w:r w:rsidRPr="00B15A7A">
        <w:rPr>
          <w:rFonts w:eastAsia="Times New Roman"/>
          <w:b/>
          <w:sz w:val="24"/>
          <w:szCs w:val="24"/>
        </w:rPr>
        <w:t>Harsh v. Cure Feeders</w:t>
      </w:r>
      <w:r w:rsidRPr="00B15A7A">
        <w:rPr>
          <w:rFonts w:eastAsia="Times New Roman"/>
          <w:sz w:val="24"/>
          <w:szCs w:val="24"/>
        </w:rPr>
        <w:t>,</w:t>
      </w:r>
      <w:r w:rsidRPr="00B15A7A">
        <w:rPr>
          <w:rFonts w:eastAsia="Times New Roman"/>
          <w:b/>
          <w:sz w:val="24"/>
          <w:szCs w:val="24"/>
        </w:rPr>
        <w:t xml:space="preserve"> L.L.C.</w:t>
      </w:r>
      <w:r w:rsidRPr="00B15A7A">
        <w:rPr>
          <w:rFonts w:eastAsia="Times New Roman"/>
          <w:sz w:val="24"/>
          <w:szCs w:val="24"/>
        </w:rPr>
        <w:t>, 116 P.3d 1286 (Colo. App. 2005) (farmer whose immature corn crop was partially destroyed by trespassing cattle was entitled to recover damages from owner of cattle based on difference between actual contract price for mature crop and what price would have been had crop not been damaged).</w:t>
      </w:r>
    </w:p>
    <w:p w14:paraId="7580EF98"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11. The measure of damages for crop loss caused by breach of warranty is “the amount the crop would have brought on the market less the costs incurred to raise, harvest, and sell” it, in other words, the farmer’s gross profits less the costs of operations. </w:t>
      </w:r>
      <w:r w:rsidRPr="00B15A7A">
        <w:rPr>
          <w:rFonts w:eastAsia="Times New Roman"/>
          <w:b/>
          <w:sz w:val="24"/>
          <w:szCs w:val="24"/>
        </w:rPr>
        <w:t>Deacon v. Am. Plant Food Corp.</w:t>
      </w:r>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782 P.2d 861, 865 (Colo. App. 1989), </w:t>
      </w:r>
      <w:proofErr w:type="spellStart"/>
      <w:r w:rsidRPr="00B15A7A">
        <w:rPr>
          <w:rFonts w:eastAsia="Times New Roman"/>
          <w:i/>
          <w:sz w:val="24"/>
          <w:szCs w:val="24"/>
        </w:rPr>
        <w:t>rev’d</w:t>
      </w:r>
      <w:proofErr w:type="spellEnd"/>
      <w:r w:rsidRPr="00B15A7A">
        <w:rPr>
          <w:rFonts w:eastAsia="Times New Roman"/>
          <w:i/>
          <w:sz w:val="24"/>
          <w:szCs w:val="24"/>
        </w:rPr>
        <w:t xml:space="preserve"> on other grounds sub nom.</w:t>
      </w:r>
      <w:r w:rsidRPr="00B15A7A">
        <w:rPr>
          <w:rFonts w:eastAsia="Times New Roman"/>
          <w:sz w:val="24"/>
          <w:szCs w:val="24"/>
        </w:rPr>
        <w:t xml:space="preserve"> </w:t>
      </w:r>
      <w:r w:rsidRPr="00B15A7A">
        <w:rPr>
          <w:rFonts w:eastAsia="Times New Roman"/>
          <w:b/>
          <w:sz w:val="24"/>
          <w:szCs w:val="24"/>
        </w:rPr>
        <w:t>Stone’s Farm Supply, Inc. v. Deacon</w:t>
      </w:r>
      <w:r w:rsidRPr="00B15A7A">
        <w:rPr>
          <w:rFonts w:eastAsia="Times New Roman"/>
          <w:sz w:val="24"/>
          <w:szCs w:val="24"/>
        </w:rPr>
        <w:t>, 805 P.2d 1109 (Colo. 1991).</w:t>
      </w:r>
    </w:p>
    <w:p w14:paraId="6E749E04"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12. For an annual, mature crop injured or destroyed, the measure of damages is the value of the crop at the time or place of its injury or destruction. </w:t>
      </w:r>
      <w:r w:rsidRPr="00B15A7A">
        <w:rPr>
          <w:rFonts w:eastAsia="Times New Roman"/>
          <w:b/>
          <w:sz w:val="24"/>
          <w:szCs w:val="24"/>
        </w:rPr>
        <w:t xml:space="preserve">Smith v. </w:t>
      </w:r>
      <w:proofErr w:type="spellStart"/>
      <w:r w:rsidRPr="00B15A7A">
        <w:rPr>
          <w:rFonts w:eastAsia="Times New Roman"/>
          <w:b/>
          <w:sz w:val="24"/>
          <w:szCs w:val="24"/>
        </w:rPr>
        <w:t>Eichheim</w:t>
      </w:r>
      <w:proofErr w:type="spellEnd"/>
      <w:r w:rsidRPr="00B15A7A">
        <w:rPr>
          <w:rFonts w:eastAsia="Times New Roman"/>
          <w:sz w:val="24"/>
          <w:szCs w:val="24"/>
        </w:rPr>
        <w:t>, 147 Colo. 180, 363 P.2d 185 (1961).</w:t>
      </w:r>
    </w:p>
    <w:p w14:paraId="0ADEECC7"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13. Where a crop that does not require annual planting is injured or destroyed, if just this year’s crop is injured or destroyed, the rules are the same as for annual crops. </w:t>
      </w:r>
      <w:r w:rsidRPr="00B15A7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Hoover</w:t>
      </w:r>
      <w:r w:rsidRPr="00B15A7A">
        <w:rPr>
          <w:rFonts w:eastAsia="Times New Roman"/>
          <w:sz w:val="24"/>
          <w:szCs w:val="24"/>
        </w:rPr>
        <w:t xml:space="preserve">, 68 Colo. at 387-88, 189 P. at 849 (by implication). If the injury goes deeper, damaging the roots, the measure of damage is diminution in the value of the land itself, or, alternatively, the cost of replanting plus loss of use of the land while it is being restored.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r w:rsidRPr="00B15A7A">
        <w:rPr>
          <w:rFonts w:eastAsia="Times New Roman"/>
          <w:i/>
          <w:sz w:val="24"/>
          <w:szCs w:val="24"/>
        </w:rPr>
        <w:t xml:space="preserve"> see</w:t>
      </w:r>
      <w:r w:rsidRPr="00B15A7A">
        <w:rPr>
          <w:rFonts w:eastAsia="Times New Roman"/>
          <w:sz w:val="24"/>
          <w:szCs w:val="24"/>
        </w:rPr>
        <w:t xml:space="preserve"> </w:t>
      </w:r>
      <w:r w:rsidRPr="00B15A7A">
        <w:rPr>
          <w:rFonts w:eastAsia="Times New Roman"/>
          <w:b/>
          <w:sz w:val="24"/>
          <w:szCs w:val="24"/>
        </w:rPr>
        <w:t>Frankfort Oil Co. v. Abrams</w:t>
      </w:r>
      <w:r w:rsidRPr="00B15A7A">
        <w:rPr>
          <w:rFonts w:eastAsia="Times New Roman"/>
          <w:sz w:val="24"/>
          <w:szCs w:val="24"/>
        </w:rPr>
        <w:t xml:space="preserve">, 159 Colo. 535, 413 P.2d 190 (1966) (diminution of value of land); </w:t>
      </w:r>
      <w:proofErr w:type="spellStart"/>
      <w:r w:rsidRPr="00B15A7A">
        <w:rPr>
          <w:rFonts w:eastAsia="Times New Roman"/>
          <w:b/>
          <w:sz w:val="24"/>
          <w:szCs w:val="24"/>
        </w:rPr>
        <w:t>Bullerdick</w:t>
      </w:r>
      <w:proofErr w:type="spellEnd"/>
      <w:r w:rsidRPr="00B15A7A">
        <w:rPr>
          <w:rFonts w:eastAsia="Times New Roman"/>
          <w:b/>
          <w:sz w:val="24"/>
          <w:szCs w:val="24"/>
        </w:rPr>
        <w:t xml:space="preserve"> v. Pritchard</w:t>
      </w:r>
      <w:r w:rsidRPr="00B15A7A">
        <w:rPr>
          <w:rFonts w:eastAsia="Times New Roman"/>
          <w:sz w:val="24"/>
          <w:szCs w:val="24"/>
        </w:rPr>
        <w:t>, 90 Colo. 272, 8 P.2d 705 (1932) (plaintiff recovered under the loss of the use of the land method for damage to his sheep from defendant’s destruction of plaintiff’s pasturage grass);</w:t>
      </w:r>
      <w:r w:rsidRPr="00B15A7A">
        <w:rPr>
          <w:rFonts w:eastAsia="Times New Roman"/>
          <w:b/>
          <w:sz w:val="24"/>
          <w:szCs w:val="24"/>
        </w:rPr>
        <w:t xml:space="preserve"> Traver</w:t>
      </w:r>
      <w:r w:rsidRPr="00B15A7A">
        <w:rPr>
          <w:rFonts w:eastAsia="Times New Roman"/>
          <w:sz w:val="24"/>
          <w:szCs w:val="24"/>
        </w:rPr>
        <w:t>, 24 Colo. App. at 277, 133 P. at 1119 (diminution in value theory).</w:t>
      </w:r>
    </w:p>
    <w:p w14:paraId="252E425F" w14:textId="77777777" w:rsidR="00B15A7A" w:rsidRPr="00B15A7A" w:rsidRDefault="00B15A7A" w:rsidP="00B15A7A">
      <w:pPr>
        <w:keepNext/>
        <w:rPr>
          <w:rFonts w:eastAsia="Times New Roman"/>
          <w:b/>
          <w:sz w:val="24"/>
          <w:szCs w:val="24"/>
          <w:u w:val="single"/>
        </w:rPr>
      </w:pPr>
      <w:r w:rsidRPr="00B15A7A">
        <w:rPr>
          <w:rFonts w:eastAsia="Times New Roman"/>
          <w:b/>
          <w:sz w:val="24"/>
          <w:szCs w:val="24"/>
          <w:u w:val="single"/>
        </w:rPr>
        <w:t>Damages for Injuries to Trees and Timber</w:t>
      </w:r>
    </w:p>
    <w:p w14:paraId="7AB4F333"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14. When injury to or destruction of fruit trees or shade trees occurs, the better measure of damages is to let plaintiff choose either: (1) diminution in value of land (amount of reduction in the value of the realty), or (2) loss of value of trees considered separately (market value of the standing timber).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xml:space="preserve">, § 126 (1935). The value of a unique growing tree is not limited to its value as lumber. Its aesthetic value may also be considered either by measuring damages by the diminution in the market value of the real property or by adding the aesthetic value of the tree to its value as lumber. </w:t>
      </w:r>
      <w:proofErr w:type="spellStart"/>
      <w:r w:rsidRPr="00B15A7A">
        <w:rPr>
          <w:rFonts w:eastAsia="Times New Roman"/>
          <w:b/>
          <w:sz w:val="24"/>
          <w:szCs w:val="24"/>
        </w:rPr>
        <w:t>Kroulik</w:t>
      </w:r>
      <w:proofErr w:type="spellEnd"/>
      <w:r w:rsidRPr="00B15A7A">
        <w:rPr>
          <w:rFonts w:eastAsia="Times New Roman"/>
          <w:b/>
          <w:sz w:val="24"/>
          <w:szCs w:val="24"/>
        </w:rPr>
        <w:t xml:space="preserve"> v. </w:t>
      </w:r>
      <w:proofErr w:type="spellStart"/>
      <w:r w:rsidRPr="00B15A7A">
        <w:rPr>
          <w:rFonts w:eastAsia="Times New Roman"/>
          <w:b/>
          <w:sz w:val="24"/>
          <w:szCs w:val="24"/>
        </w:rPr>
        <w:t>Knuppel</w:t>
      </w:r>
      <w:proofErr w:type="spellEnd"/>
      <w:r w:rsidRPr="00B15A7A">
        <w:rPr>
          <w:rFonts w:eastAsia="Times New Roman"/>
          <w:sz w:val="24"/>
          <w:szCs w:val="24"/>
        </w:rPr>
        <w:t>, 634 P.2d 1027 (Colo. App. 1981).</w:t>
      </w:r>
    </w:p>
    <w:p w14:paraId="0AE2F0AE"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15. For mature, standing timber, both methods give the same results, but the diminution in value of land method gives plaintiff a larger recovery when the trees are too small for cutting or are immature.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xml:space="preserve">, § 126. This fact was implicitly recognized in </w:t>
      </w:r>
      <w:r w:rsidRPr="00B15A7A">
        <w:rPr>
          <w:rFonts w:eastAsia="Times New Roman"/>
          <w:b/>
          <w:sz w:val="24"/>
          <w:szCs w:val="24"/>
        </w:rPr>
        <w:t>Manitou &amp; Pike’s Peak Ry. v. Harris</w:t>
      </w:r>
      <w:r w:rsidRPr="00B15A7A">
        <w:rPr>
          <w:rFonts w:eastAsia="Times New Roman"/>
          <w:sz w:val="24"/>
          <w:szCs w:val="24"/>
        </w:rPr>
        <w:t>, 45 Colo. 185, 101 P. 61 (1909).</w:t>
      </w:r>
    </w:p>
    <w:p w14:paraId="3F37EE25"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16. For cutting and appropriation of trees (not injury or destruction of trees), the rules are: (1) Where the trespasser made an innocent mistake, the measure of damage is the diminution in value of land or the value of the trees before cutting.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xml:space="preserve">, § 126; (2) Where the trespasser knew he or she was taking another’s property, the measure of damages is the value of </w:t>
      </w:r>
      <w:r w:rsidRPr="00B15A7A">
        <w:rPr>
          <w:rFonts w:eastAsia="Times New Roman"/>
          <w:sz w:val="24"/>
          <w:szCs w:val="24"/>
        </w:rPr>
        <w:lastRenderedPageBreak/>
        <w:t xml:space="preserve">the timber and its products as improved by defendant’s labor without any allowance for costs of cutting, milling, or other processing. </w:t>
      </w:r>
      <w:r w:rsidRPr="00B15A7A">
        <w:rPr>
          <w:rFonts w:eastAsia="Times New Roman"/>
          <w:i/>
          <w:sz w:val="24"/>
          <w:szCs w:val="24"/>
        </w:rPr>
        <w:t>Id.</w:t>
      </w:r>
    </w:p>
    <w:p w14:paraId="5FB7DE5A" w14:textId="77777777" w:rsidR="00B15A7A" w:rsidRPr="00B15A7A" w:rsidRDefault="00B15A7A" w:rsidP="00B15A7A">
      <w:pPr>
        <w:keepNext/>
        <w:rPr>
          <w:rFonts w:eastAsia="Times New Roman"/>
          <w:b/>
          <w:sz w:val="24"/>
          <w:szCs w:val="24"/>
          <w:u w:val="single"/>
        </w:rPr>
      </w:pPr>
      <w:r w:rsidRPr="00B15A7A">
        <w:rPr>
          <w:rFonts w:eastAsia="Times New Roman"/>
          <w:b/>
          <w:sz w:val="24"/>
          <w:szCs w:val="24"/>
          <w:u w:val="single"/>
        </w:rPr>
        <w:t>Damages for Appropriation of Gravel, Ore, Coal, Oil, or other Minerals</w:t>
      </w:r>
    </w:p>
    <w:p w14:paraId="2BDA0587"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17. Where the trespasser made an innocent mistake, the measure of damages is the value of the substance or mineral in place in the ground. </w:t>
      </w:r>
      <w:r w:rsidRPr="00B15A7A">
        <w:rPr>
          <w:rFonts w:eastAsia="Times New Roman"/>
          <w:i/>
          <w:sz w:val="24"/>
          <w:szCs w:val="24"/>
        </w:rPr>
        <w:t>Id.</w:t>
      </w:r>
      <w:r w:rsidRPr="00B15A7A">
        <w:rPr>
          <w:rFonts w:eastAsia="Times New Roman"/>
          <w:sz w:val="24"/>
          <w:szCs w:val="24"/>
        </w:rPr>
        <w:t xml:space="preserve"> This may be measured in two ways. The first is the value in place as shown by “royalty value,” which is the amount for which the landowner could sell the privilege of mining or removing the mineral. </w:t>
      </w:r>
      <w:r w:rsidRPr="00B15A7A">
        <w:rPr>
          <w:rFonts w:eastAsia="Times New Roman"/>
          <w:i/>
          <w:sz w:val="24"/>
          <w:szCs w:val="24"/>
        </w:rPr>
        <w:t>Id.</w:t>
      </w:r>
      <w:r w:rsidRPr="00B15A7A">
        <w:rPr>
          <w:rFonts w:eastAsia="Times New Roman"/>
          <w:sz w:val="24"/>
          <w:szCs w:val="24"/>
        </w:rPr>
        <w:t>;</w:t>
      </w:r>
      <w:r w:rsidRPr="00B15A7A">
        <w:rPr>
          <w:rFonts w:eastAsia="Times New Roman"/>
          <w:i/>
          <w:sz w:val="24"/>
          <w:szCs w:val="24"/>
        </w:rPr>
        <w:t xml:space="preserve"> see</w:t>
      </w:r>
      <w:r w:rsidRPr="00B15A7A">
        <w:rPr>
          <w:rFonts w:eastAsia="Times New Roman"/>
          <w:sz w:val="24"/>
          <w:szCs w:val="24"/>
        </w:rPr>
        <w:t xml:space="preserve"> </w:t>
      </w:r>
      <w:r w:rsidRPr="00B15A7A">
        <w:rPr>
          <w:rFonts w:eastAsia="Times New Roman"/>
          <w:b/>
          <w:sz w:val="24"/>
          <w:szCs w:val="24"/>
        </w:rPr>
        <w:t xml:space="preserve">Colo. Cent. Consol. Mining Co. v. </w:t>
      </w:r>
      <w:proofErr w:type="spellStart"/>
      <w:r w:rsidRPr="00B15A7A">
        <w:rPr>
          <w:rFonts w:eastAsia="Times New Roman"/>
          <w:b/>
          <w:sz w:val="24"/>
          <w:szCs w:val="24"/>
        </w:rPr>
        <w:t>Turck</w:t>
      </w:r>
      <w:proofErr w:type="spellEnd"/>
      <w:r w:rsidRPr="00B15A7A">
        <w:rPr>
          <w:rFonts w:eastAsia="Times New Roman"/>
          <w:sz w:val="24"/>
          <w:szCs w:val="24"/>
        </w:rPr>
        <w:t>,</w:t>
      </w:r>
      <w:r w:rsidRPr="00B15A7A">
        <w:rPr>
          <w:rFonts w:eastAsia="Times New Roman"/>
          <w:b/>
          <w:sz w:val="24"/>
          <w:szCs w:val="24"/>
        </w:rPr>
        <w:t xml:space="preserve"> </w:t>
      </w:r>
      <w:r w:rsidRPr="00B15A7A">
        <w:rPr>
          <w:rFonts w:eastAsia="Times New Roman"/>
          <w:sz w:val="24"/>
          <w:szCs w:val="24"/>
        </w:rPr>
        <w:t xml:space="preserve">70 F. 294 (8th Cir. 1895). The second is the value of material at the surface less direct cost of extracting and lifting the mineral.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r w:rsidRPr="00B15A7A">
        <w:rPr>
          <w:rFonts w:eastAsia="Times New Roman"/>
          <w:i/>
          <w:sz w:val="24"/>
          <w:szCs w:val="24"/>
        </w:rPr>
        <w:t xml:space="preserve"> </w:t>
      </w:r>
      <w:r w:rsidR="008B7FB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 xml:space="preserve">O’Connor v. </w:t>
      </w:r>
      <w:proofErr w:type="spellStart"/>
      <w:r w:rsidRPr="00B15A7A">
        <w:rPr>
          <w:rFonts w:eastAsia="Times New Roman"/>
          <w:b/>
          <w:sz w:val="24"/>
          <w:szCs w:val="24"/>
        </w:rPr>
        <w:t>Rolfes</w:t>
      </w:r>
      <w:proofErr w:type="spellEnd"/>
      <w:r w:rsidRPr="00B15A7A">
        <w:rPr>
          <w:rFonts w:eastAsia="Times New Roman"/>
          <w:sz w:val="24"/>
          <w:szCs w:val="24"/>
        </w:rPr>
        <w:t xml:space="preserve">, 899 P.2d 227 (Colo. App. 1994); </w:t>
      </w:r>
      <w:r w:rsidRPr="00B15A7A">
        <w:rPr>
          <w:rFonts w:eastAsia="Times New Roman"/>
          <w:b/>
          <w:sz w:val="24"/>
          <w:szCs w:val="24"/>
        </w:rPr>
        <w:t>St. Clair v. Cash Gold Mining &amp; Milling Co.</w:t>
      </w:r>
      <w:r w:rsidRPr="00B15A7A">
        <w:rPr>
          <w:rFonts w:eastAsia="Times New Roman"/>
          <w:sz w:val="24"/>
          <w:szCs w:val="24"/>
        </w:rPr>
        <w:t xml:space="preserve">, 9 Colo. App. 235, 47 P. 466 (1896) (defendant gets credited only with cost of extraction from plaintiff’s claim, not with the cost of reaching plaintiff’s claim). Where plaintiff’s and defendant’s ores were mingled, plaintiff gets the value of all the ore taken as shown by defendant’s books unless defendant can show just what came from him or her and what came from plaintiff. </w:t>
      </w:r>
      <w:r w:rsidRPr="00B15A7A">
        <w:rPr>
          <w:rFonts w:eastAsia="Times New Roman"/>
          <w:b/>
          <w:sz w:val="24"/>
          <w:szCs w:val="24"/>
        </w:rPr>
        <w:t>Little Pittsburg Consol. Mining Co. v. Little Chief Consol. Mining Co.</w:t>
      </w:r>
      <w:r w:rsidRPr="00B15A7A">
        <w:rPr>
          <w:rFonts w:eastAsia="Times New Roman"/>
          <w:sz w:val="24"/>
          <w:szCs w:val="24"/>
        </w:rPr>
        <w:t xml:space="preserve">, 11 Colo. 223, 17 P. 760 (1888); </w:t>
      </w:r>
      <w:r w:rsidR="008B7FBA">
        <w:rPr>
          <w:rFonts w:eastAsia="Times New Roman"/>
          <w:i/>
          <w:sz w:val="24"/>
          <w:szCs w:val="24"/>
        </w:rPr>
        <w:t>see</w:t>
      </w:r>
      <w:r w:rsidRPr="00B15A7A">
        <w:rPr>
          <w:rFonts w:eastAsia="Times New Roman"/>
          <w:sz w:val="24"/>
          <w:szCs w:val="24"/>
        </w:rPr>
        <w:t xml:space="preserve"> </w:t>
      </w:r>
      <w:r w:rsidRPr="00B15A7A">
        <w:rPr>
          <w:rFonts w:eastAsia="Times New Roman"/>
          <w:b/>
          <w:sz w:val="24"/>
          <w:szCs w:val="24"/>
        </w:rPr>
        <w:t>St. Clair</w:t>
      </w:r>
      <w:r w:rsidRPr="00B15A7A">
        <w:rPr>
          <w:rFonts w:eastAsia="Times New Roman"/>
          <w:sz w:val="24"/>
          <w:szCs w:val="24"/>
        </w:rPr>
        <w:t>,</w:t>
      </w:r>
      <w:r w:rsidRPr="00B15A7A">
        <w:rPr>
          <w:rFonts w:eastAsia="Times New Roman"/>
          <w:i/>
          <w:sz w:val="24"/>
          <w:szCs w:val="24"/>
        </w:rPr>
        <w:t xml:space="preserve"> </w:t>
      </w:r>
      <w:r w:rsidRPr="00B15A7A">
        <w:rPr>
          <w:rFonts w:eastAsia="Times New Roman"/>
          <w:sz w:val="24"/>
          <w:szCs w:val="24"/>
        </w:rPr>
        <w:t>9 Colo. App. at 244, 47 P. at 469</w:t>
      </w:r>
      <w:r w:rsidRPr="00B15A7A">
        <w:rPr>
          <w:rFonts w:eastAsia="Times New Roman"/>
          <w:i/>
          <w:sz w:val="24"/>
          <w:szCs w:val="24"/>
        </w:rPr>
        <w:t>.</w:t>
      </w:r>
      <w:r w:rsidRPr="00B15A7A">
        <w:rPr>
          <w:rFonts w:eastAsia="Times New Roman"/>
          <w:sz w:val="24"/>
          <w:szCs w:val="24"/>
        </w:rPr>
        <w:t xml:space="preserve"> For a discussion of the alternative methods of measuring the value of minerals in place, such as the “royalty” value or the value of the minerals at the surface less the direct costs of extraction, see </w:t>
      </w:r>
      <w:proofErr w:type="spellStart"/>
      <w:r w:rsidRPr="00B15A7A">
        <w:rPr>
          <w:rFonts w:eastAsia="Times New Roman"/>
          <w:b/>
          <w:sz w:val="24"/>
          <w:szCs w:val="24"/>
        </w:rPr>
        <w:t>Kroulik</w:t>
      </w:r>
      <w:proofErr w:type="spellEnd"/>
      <w:r w:rsidRPr="00B15A7A">
        <w:rPr>
          <w:rFonts w:eastAsia="Times New Roman"/>
          <w:sz w:val="24"/>
          <w:szCs w:val="24"/>
        </w:rPr>
        <w:t>, 634 P.2d at 1030-31 (citing this instruction).</w:t>
      </w:r>
    </w:p>
    <w:p w14:paraId="6612D5EC" w14:textId="77777777" w:rsidR="00B15A7A" w:rsidRPr="00B15A7A" w:rsidRDefault="00B15A7A" w:rsidP="00B15A7A">
      <w:pPr>
        <w:spacing w:after="240"/>
        <w:ind w:firstLine="720"/>
        <w:rPr>
          <w:rFonts w:eastAsia="Times New Roman"/>
          <w:sz w:val="24"/>
          <w:szCs w:val="24"/>
        </w:rPr>
      </w:pPr>
      <w:r w:rsidRPr="00B15A7A">
        <w:rPr>
          <w:rFonts w:eastAsia="Times New Roman"/>
          <w:sz w:val="24"/>
          <w:szCs w:val="24"/>
        </w:rPr>
        <w:t xml:space="preserve">18. Against a deliberate, willful appropriator, the measure of damages is the value at the mouth of the pit, or value when prepared and loaded in cars for final marketing, or amount of proceeds realized, with no deduction for labor, extracting, lifting, or processing. </w:t>
      </w:r>
      <w:r w:rsidRPr="00B15A7A">
        <w:rPr>
          <w:rFonts w:eastAsia="Times New Roman"/>
          <w:smallCaps/>
          <w:sz w:val="24"/>
          <w:szCs w:val="24"/>
        </w:rPr>
        <w:t>McCormick</w:t>
      </w:r>
      <w:r w:rsidRPr="00B15A7A">
        <w:rPr>
          <w:rFonts w:eastAsia="Times New Roman"/>
          <w:sz w:val="24"/>
          <w:szCs w:val="24"/>
        </w:rPr>
        <w:t xml:space="preserve">, </w:t>
      </w:r>
      <w:r w:rsidRPr="00B15A7A">
        <w:rPr>
          <w:rFonts w:eastAsia="Times New Roman"/>
          <w:i/>
          <w:sz w:val="24"/>
          <w:szCs w:val="24"/>
        </w:rPr>
        <w:t>supra</w:t>
      </w:r>
      <w:r w:rsidRPr="00B15A7A">
        <w:rPr>
          <w:rFonts w:eastAsia="Times New Roman"/>
          <w:sz w:val="24"/>
          <w:szCs w:val="24"/>
        </w:rPr>
        <w:t>, § 126;</w:t>
      </w:r>
      <w:r w:rsidRPr="00B15A7A">
        <w:rPr>
          <w:rFonts w:eastAsia="Times New Roman"/>
          <w:i/>
          <w:sz w:val="24"/>
          <w:szCs w:val="24"/>
        </w:rPr>
        <w:t xml:space="preserve"> see</w:t>
      </w:r>
      <w:r w:rsidRPr="00B15A7A">
        <w:rPr>
          <w:rFonts w:eastAsia="Times New Roman"/>
          <w:sz w:val="24"/>
          <w:szCs w:val="24"/>
        </w:rPr>
        <w:t xml:space="preserve"> </w:t>
      </w:r>
      <w:r w:rsidRPr="00B15A7A">
        <w:rPr>
          <w:rFonts w:eastAsia="Times New Roman"/>
          <w:b/>
          <w:sz w:val="24"/>
          <w:szCs w:val="24"/>
        </w:rPr>
        <w:t>United Coal Co. v. Canon City Coal Co.</w:t>
      </w:r>
      <w:r w:rsidRPr="00B15A7A">
        <w:rPr>
          <w:rFonts w:eastAsia="Times New Roman"/>
          <w:sz w:val="24"/>
          <w:szCs w:val="24"/>
        </w:rPr>
        <w:t xml:space="preserve">, 24 Colo. 116, 48 P. 1045 (1897) (Court announces the willful </w:t>
      </w:r>
      <w:proofErr w:type="gramStart"/>
      <w:r w:rsidRPr="00B15A7A">
        <w:rPr>
          <w:rFonts w:eastAsia="Times New Roman"/>
          <w:sz w:val="24"/>
          <w:szCs w:val="24"/>
        </w:rPr>
        <w:t>rule, but</w:t>
      </w:r>
      <w:proofErr w:type="gramEnd"/>
      <w:r w:rsidRPr="00B15A7A">
        <w:rPr>
          <w:rFonts w:eastAsia="Times New Roman"/>
          <w:sz w:val="24"/>
          <w:szCs w:val="24"/>
        </w:rPr>
        <w:t xml:space="preserve"> allowed trial court to apply </w:t>
      </w:r>
      <w:proofErr w:type="spellStart"/>
      <w:r w:rsidRPr="00B15A7A">
        <w:rPr>
          <w:rFonts w:eastAsia="Times New Roman"/>
          <w:sz w:val="24"/>
          <w:szCs w:val="24"/>
        </w:rPr>
        <w:t>nonwillful</w:t>
      </w:r>
      <w:proofErr w:type="spellEnd"/>
      <w:r w:rsidRPr="00B15A7A">
        <w:rPr>
          <w:rFonts w:eastAsia="Times New Roman"/>
          <w:sz w:val="24"/>
          <w:szCs w:val="24"/>
        </w:rPr>
        <w:t xml:space="preserve"> rule; conversion, however, was also involved.); </w:t>
      </w:r>
      <w:r w:rsidRPr="00B15A7A">
        <w:rPr>
          <w:rFonts w:eastAsia="Times New Roman"/>
          <w:b/>
          <w:sz w:val="24"/>
          <w:szCs w:val="24"/>
        </w:rPr>
        <w:t>St. Clair</w:t>
      </w:r>
      <w:r w:rsidRPr="00B15A7A">
        <w:rPr>
          <w:rFonts w:eastAsia="Times New Roman"/>
          <w:sz w:val="24"/>
          <w:szCs w:val="24"/>
        </w:rPr>
        <w:t>, 9 Colo. App. at 242, 47 P. at 468.</w:t>
      </w:r>
    </w:p>
    <w:p w14:paraId="7BA59C51" w14:textId="77777777" w:rsidR="009007E8" w:rsidRDefault="00B15A7A" w:rsidP="00E007F8">
      <w:pPr>
        <w:spacing w:after="240"/>
        <w:ind w:firstLine="720"/>
        <w:rPr>
          <w:rFonts w:eastAsia="Times New Roman"/>
          <w:sz w:val="24"/>
          <w:szCs w:val="24"/>
        </w:rPr>
      </w:pPr>
      <w:r w:rsidRPr="00B15A7A">
        <w:rPr>
          <w:rFonts w:eastAsia="Times New Roman"/>
          <w:sz w:val="24"/>
          <w:szCs w:val="24"/>
        </w:rPr>
        <w:t xml:space="preserve">19. Plaintiff may choose to sue for conversion instead of trespass where the measure of damages is the value of the mineral after being severed less the reasonable cost of mining, raising, and hauling it. </w:t>
      </w:r>
      <w:r w:rsidRPr="00B15A7A">
        <w:rPr>
          <w:rFonts w:eastAsia="Times New Roman"/>
          <w:b/>
          <w:sz w:val="24"/>
          <w:szCs w:val="24"/>
        </w:rPr>
        <w:t>Omaha &amp; Grant Smelting &amp; Ref. Co. v. Tabor</w:t>
      </w:r>
      <w:r w:rsidRPr="00B15A7A">
        <w:rPr>
          <w:rFonts w:eastAsia="Times New Roman"/>
          <w:sz w:val="24"/>
          <w:szCs w:val="24"/>
        </w:rPr>
        <w:t>, 13 Colo. 41, 21 P. 925 (1889) (in action where plaintiff sued the party to whom the trespasser sold the ore, plaintiff receives no damages for diminished value of plaintiff’s land, and it makes no difference whether the entr</w:t>
      </w:r>
      <w:r>
        <w:rPr>
          <w:rFonts w:eastAsia="Times New Roman"/>
          <w:sz w:val="24"/>
          <w:szCs w:val="24"/>
        </w:rPr>
        <w:t>y was intentional or innocent).</w:t>
      </w:r>
    </w:p>
    <w:p w14:paraId="6D9E3FA3" w14:textId="77777777" w:rsidR="00786121" w:rsidRPr="00322F02" w:rsidRDefault="00786121" w:rsidP="00430165">
      <w:pPr>
        <w:rPr>
          <w:rFonts w:eastAsia="Times New Roman"/>
          <w:b/>
          <w:bCs/>
          <w:sz w:val="24"/>
          <w:szCs w:val="24"/>
          <w:u w:val="single"/>
        </w:rPr>
      </w:pPr>
      <w:r w:rsidRPr="00322F02">
        <w:rPr>
          <w:rFonts w:eastAsia="Times New Roman"/>
          <w:b/>
          <w:bCs/>
          <w:sz w:val="24"/>
          <w:szCs w:val="24"/>
          <w:u w:val="single"/>
        </w:rPr>
        <w:t>Damages for Obstruction of Easements</w:t>
      </w:r>
    </w:p>
    <w:p w14:paraId="3E01FEF1" w14:textId="218554EA" w:rsidR="00786121" w:rsidRDefault="00786121" w:rsidP="00786121">
      <w:pPr>
        <w:spacing w:after="240"/>
        <w:ind w:firstLine="720"/>
        <w:rPr>
          <w:rFonts w:eastAsia="Times New Roman"/>
          <w:sz w:val="24"/>
          <w:szCs w:val="24"/>
        </w:rPr>
      </w:pPr>
      <w:r w:rsidRPr="00786121">
        <w:rPr>
          <w:rFonts w:eastAsia="Times New Roman"/>
          <w:bCs/>
          <w:sz w:val="24"/>
          <w:szCs w:val="24"/>
        </w:rPr>
        <w:t>20.</w:t>
      </w:r>
      <w:r>
        <w:rPr>
          <w:rFonts w:eastAsia="Times New Roman"/>
          <w:b/>
          <w:bCs/>
          <w:sz w:val="24"/>
          <w:szCs w:val="24"/>
        </w:rPr>
        <w:t xml:space="preserve"> </w:t>
      </w:r>
      <w:r w:rsidRPr="00A43023">
        <w:rPr>
          <w:rFonts w:eastAsia="Times New Roman"/>
          <w:sz w:val="24"/>
          <w:szCs w:val="24"/>
        </w:rPr>
        <w:t>Damages may be awarded to easement holder when denied access to his land.</w:t>
      </w:r>
      <w:r>
        <w:rPr>
          <w:rFonts w:eastAsia="Times New Roman"/>
          <w:b/>
          <w:bCs/>
          <w:sz w:val="24"/>
          <w:szCs w:val="24"/>
        </w:rPr>
        <w:t xml:space="preserve">  Amada Family Ltd. </w:t>
      </w:r>
      <w:proofErr w:type="spellStart"/>
      <w:r>
        <w:rPr>
          <w:rFonts w:eastAsia="Times New Roman"/>
          <w:b/>
          <w:bCs/>
          <w:sz w:val="24"/>
          <w:szCs w:val="24"/>
        </w:rPr>
        <w:t>P’ship</w:t>
      </w:r>
      <w:proofErr w:type="spellEnd"/>
      <w:r>
        <w:rPr>
          <w:rFonts w:eastAsia="Times New Roman"/>
          <w:b/>
          <w:bCs/>
          <w:sz w:val="24"/>
          <w:szCs w:val="24"/>
        </w:rPr>
        <w:t xml:space="preserve"> v. Pomeroy</w:t>
      </w:r>
      <w:r w:rsidRPr="00322F02">
        <w:rPr>
          <w:rFonts w:eastAsia="Times New Roman"/>
          <w:bCs/>
          <w:sz w:val="24"/>
          <w:szCs w:val="24"/>
        </w:rPr>
        <w:t xml:space="preserve">, </w:t>
      </w:r>
      <w:r w:rsidRPr="00A43023">
        <w:rPr>
          <w:rFonts w:eastAsia="Times New Roman"/>
          <w:sz w:val="24"/>
          <w:szCs w:val="24"/>
        </w:rPr>
        <w:t>2021 COA 73</w:t>
      </w:r>
      <w:r>
        <w:rPr>
          <w:rFonts w:eastAsia="Times New Roman"/>
          <w:sz w:val="24"/>
          <w:szCs w:val="24"/>
        </w:rPr>
        <w:t>,</w:t>
      </w:r>
      <w:r w:rsidRPr="00A43023">
        <w:rPr>
          <w:rFonts w:eastAsia="Times New Roman"/>
          <w:sz w:val="24"/>
          <w:szCs w:val="24"/>
        </w:rPr>
        <w:t xml:space="preserve"> ¶ 83</w:t>
      </w:r>
      <w:r w:rsidR="005917C1">
        <w:rPr>
          <w:rFonts w:eastAsia="Times New Roman"/>
          <w:sz w:val="24"/>
          <w:szCs w:val="24"/>
        </w:rPr>
        <w:t xml:space="preserve">, 494 P.3d 633, </w:t>
      </w:r>
      <w:r w:rsidR="005917C1" w:rsidRPr="005917C1">
        <w:rPr>
          <w:rFonts w:eastAsia="Times New Roman"/>
          <w:sz w:val="24"/>
          <w:szCs w:val="24"/>
        </w:rPr>
        <w:t xml:space="preserve">651 </w:t>
      </w:r>
      <w:r>
        <w:rPr>
          <w:rFonts w:eastAsia="Times New Roman"/>
          <w:sz w:val="24"/>
          <w:szCs w:val="24"/>
        </w:rPr>
        <w:t>(“</w:t>
      </w:r>
      <w:proofErr w:type="spellStart"/>
      <w:r>
        <w:rPr>
          <w:rFonts w:eastAsia="Times New Roman"/>
          <w:sz w:val="24"/>
          <w:szCs w:val="24"/>
        </w:rPr>
        <w:t>Pomeroys</w:t>
      </w:r>
      <w:proofErr w:type="spellEnd"/>
      <w:r>
        <w:rPr>
          <w:rFonts w:eastAsia="Times New Roman"/>
          <w:sz w:val="24"/>
          <w:szCs w:val="24"/>
        </w:rPr>
        <w:t xml:space="preserve"> committed trespass by locking the gate at the entrance to the access easement [requiring plaintiff] to leave his residence in Arizona, drive to Colorado, and spend two nights in a hotel room.”).</w:t>
      </w:r>
    </w:p>
    <w:p w14:paraId="40FA07EF" w14:textId="732F53EF" w:rsidR="009E4F11" w:rsidRPr="0052537F" w:rsidRDefault="009E4F11" w:rsidP="009E4F11">
      <w:pPr>
        <w:spacing w:after="240"/>
        <w:ind w:firstLine="720"/>
        <w:rPr>
          <w:rFonts w:eastAsia="Times New Roman"/>
          <w:sz w:val="24"/>
          <w:szCs w:val="24"/>
        </w:rPr>
      </w:pPr>
      <w:r>
        <w:rPr>
          <w:rFonts w:eastAsia="Times New Roman"/>
          <w:sz w:val="24"/>
          <w:szCs w:val="24"/>
        </w:rPr>
        <w:t xml:space="preserve">21. </w:t>
      </w:r>
      <w:r w:rsidRPr="009E4F11">
        <w:rPr>
          <w:rFonts w:eastAsia="Times New Roman"/>
          <w:sz w:val="24"/>
          <w:szCs w:val="24"/>
        </w:rPr>
        <w:t xml:space="preserve">A trespass occurs when a ditch easement is unilaterally altered. </w:t>
      </w:r>
      <w:r w:rsidRPr="009E4F11">
        <w:rPr>
          <w:rFonts w:eastAsia="Times New Roman"/>
          <w:b/>
          <w:sz w:val="24"/>
          <w:szCs w:val="24"/>
        </w:rPr>
        <w:t>Roaring Fork Club</w:t>
      </w:r>
      <w:r>
        <w:rPr>
          <w:rFonts w:eastAsia="Times New Roman"/>
          <w:b/>
          <w:sz w:val="24"/>
          <w:szCs w:val="24"/>
        </w:rPr>
        <w:t>,</w:t>
      </w:r>
      <w:r w:rsidRPr="009E4F11">
        <w:rPr>
          <w:rFonts w:eastAsia="Times New Roman"/>
          <w:b/>
          <w:sz w:val="24"/>
          <w:szCs w:val="24"/>
        </w:rPr>
        <w:t xml:space="preserve"> L.P. v. St. Jude’s Co.</w:t>
      </w:r>
      <w:r w:rsidRPr="00681617">
        <w:rPr>
          <w:rFonts w:eastAsia="Times New Roman"/>
          <w:sz w:val="24"/>
          <w:szCs w:val="24"/>
        </w:rPr>
        <w:t>,</w:t>
      </w:r>
      <w:r w:rsidRPr="009E4F11">
        <w:rPr>
          <w:rFonts w:eastAsia="Times New Roman"/>
          <w:sz w:val="24"/>
          <w:szCs w:val="24"/>
        </w:rPr>
        <w:t xml:space="preserve"> 36 P</w:t>
      </w:r>
      <w:r>
        <w:rPr>
          <w:rFonts w:eastAsia="Times New Roman"/>
          <w:sz w:val="24"/>
          <w:szCs w:val="24"/>
        </w:rPr>
        <w:t>.</w:t>
      </w:r>
      <w:r w:rsidRPr="009E4F11">
        <w:rPr>
          <w:rFonts w:eastAsia="Times New Roman"/>
          <w:sz w:val="24"/>
          <w:szCs w:val="24"/>
        </w:rPr>
        <w:t>3d 1229 (Colo. 2001). However, there must be evi</w:t>
      </w:r>
      <w:r>
        <w:rPr>
          <w:rFonts w:eastAsia="Times New Roman"/>
          <w:sz w:val="24"/>
          <w:szCs w:val="24"/>
        </w:rPr>
        <w:t xml:space="preserve">dence of an actual movement or </w:t>
      </w:r>
      <w:r w:rsidRPr="009E4F11">
        <w:rPr>
          <w:rFonts w:eastAsia="Times New Roman"/>
          <w:sz w:val="24"/>
          <w:szCs w:val="24"/>
        </w:rPr>
        <w:t xml:space="preserve">alteration. Accidental damage and repair </w:t>
      </w:r>
      <w:proofErr w:type="gramStart"/>
      <w:r w:rsidRPr="009E4F11">
        <w:rPr>
          <w:rFonts w:eastAsia="Times New Roman"/>
          <w:sz w:val="24"/>
          <w:szCs w:val="24"/>
        </w:rPr>
        <w:t>is</w:t>
      </w:r>
      <w:proofErr w:type="gramEnd"/>
      <w:r w:rsidRPr="009E4F11">
        <w:rPr>
          <w:rFonts w:eastAsia="Times New Roman"/>
          <w:sz w:val="24"/>
          <w:szCs w:val="24"/>
        </w:rPr>
        <w:t xml:space="preserve"> not movement or alteration. </w:t>
      </w:r>
      <w:r w:rsidRPr="009E4F11">
        <w:rPr>
          <w:rFonts w:eastAsia="Times New Roman"/>
          <w:b/>
          <w:sz w:val="24"/>
          <w:szCs w:val="24"/>
        </w:rPr>
        <w:t xml:space="preserve">Glover v. </w:t>
      </w:r>
      <w:proofErr w:type="spellStart"/>
      <w:r w:rsidRPr="009E4F11">
        <w:rPr>
          <w:rFonts w:eastAsia="Times New Roman"/>
          <w:b/>
          <w:sz w:val="24"/>
          <w:szCs w:val="24"/>
        </w:rPr>
        <w:t>Serratoga</w:t>
      </w:r>
      <w:proofErr w:type="spellEnd"/>
      <w:r w:rsidRPr="009E4F11">
        <w:rPr>
          <w:rFonts w:eastAsia="Times New Roman"/>
          <w:b/>
          <w:sz w:val="24"/>
          <w:szCs w:val="24"/>
        </w:rPr>
        <w:t xml:space="preserve"> Falls</w:t>
      </w:r>
      <w:r w:rsidR="00EC77D1">
        <w:rPr>
          <w:rFonts w:eastAsia="Times New Roman"/>
          <w:b/>
          <w:sz w:val="24"/>
          <w:szCs w:val="24"/>
        </w:rPr>
        <w:t xml:space="preserve"> LLC</w:t>
      </w:r>
      <w:r w:rsidR="00EC77D1" w:rsidRPr="002C27CE">
        <w:rPr>
          <w:rFonts w:eastAsia="Times New Roman"/>
          <w:sz w:val="24"/>
          <w:szCs w:val="24"/>
        </w:rPr>
        <w:t>,</w:t>
      </w:r>
      <w:r w:rsidRPr="009E4F11">
        <w:rPr>
          <w:rFonts w:eastAsia="Times New Roman"/>
          <w:sz w:val="24"/>
          <w:szCs w:val="24"/>
        </w:rPr>
        <w:t xml:space="preserve"> 2021 CO 77</w:t>
      </w:r>
      <w:r w:rsidR="00EC77D1">
        <w:rPr>
          <w:rFonts w:eastAsia="Times New Roman"/>
          <w:sz w:val="24"/>
          <w:szCs w:val="24"/>
        </w:rPr>
        <w:t>, ¶ 33, 498 P.3d 1106</w:t>
      </w:r>
      <w:r w:rsidRPr="009E4F11">
        <w:rPr>
          <w:rFonts w:eastAsia="Times New Roman"/>
          <w:sz w:val="24"/>
          <w:szCs w:val="24"/>
        </w:rPr>
        <w:t>.</w:t>
      </w:r>
    </w:p>
    <w:sectPr w:rsidR="009E4F11" w:rsidRPr="0052537F"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6EF7F" w14:textId="77777777" w:rsidR="00543618" w:rsidRDefault="00543618" w:rsidP="0054263B">
      <w:r>
        <w:separator/>
      </w:r>
    </w:p>
    <w:p w14:paraId="5ADEABFC" w14:textId="77777777" w:rsidR="00543618" w:rsidRDefault="00543618"/>
  </w:endnote>
  <w:endnote w:type="continuationSeparator" w:id="0">
    <w:p w14:paraId="51D19448" w14:textId="77777777" w:rsidR="00543618" w:rsidRDefault="00543618" w:rsidP="0054263B">
      <w:r>
        <w:continuationSeparator/>
      </w:r>
    </w:p>
    <w:p w14:paraId="70327C26" w14:textId="77777777" w:rsidR="00543618" w:rsidRDefault="00543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382F5C18" w14:textId="77777777" w:rsidR="008B7FBA" w:rsidRDefault="008B7FBA">
        <w:pPr>
          <w:pStyle w:val="Footer"/>
          <w:jc w:val="center"/>
        </w:pPr>
        <w:r>
          <w:fldChar w:fldCharType="begin"/>
        </w:r>
        <w:r>
          <w:instrText xml:space="preserve"> PAGE   \* MERGEFORMAT </w:instrText>
        </w:r>
        <w:r>
          <w:fldChar w:fldCharType="separate"/>
        </w:r>
        <w:r w:rsidR="00EC77D1">
          <w:rPr>
            <w:noProof/>
          </w:rPr>
          <w:t>11</w:t>
        </w:r>
        <w:r>
          <w:rPr>
            <w:noProof/>
          </w:rPr>
          <w:fldChar w:fldCharType="end"/>
        </w:r>
      </w:p>
    </w:sdtContent>
  </w:sdt>
  <w:p w14:paraId="0BECC4B6" w14:textId="77777777" w:rsidR="008B7FBA" w:rsidRDefault="008B7FBA">
    <w:pPr>
      <w:pStyle w:val="Footer"/>
    </w:pPr>
  </w:p>
  <w:p w14:paraId="1543323E" w14:textId="77777777" w:rsidR="008B7FBA" w:rsidRDefault="008B7F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E7A81" w14:textId="77777777" w:rsidR="00543618" w:rsidRDefault="00543618" w:rsidP="0054263B">
      <w:r>
        <w:separator/>
      </w:r>
    </w:p>
    <w:p w14:paraId="7BDE9A66" w14:textId="77777777" w:rsidR="00543618" w:rsidRDefault="00543618"/>
  </w:footnote>
  <w:footnote w:type="continuationSeparator" w:id="0">
    <w:p w14:paraId="27361E84" w14:textId="77777777" w:rsidR="00543618" w:rsidRDefault="00543618" w:rsidP="0054263B">
      <w:r>
        <w:continuationSeparator/>
      </w:r>
    </w:p>
    <w:p w14:paraId="623D8851" w14:textId="77777777" w:rsidR="00543618" w:rsidRDefault="005436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0259169">
    <w:abstractNumId w:val="0"/>
  </w:num>
  <w:num w:numId="2" w16cid:durableId="79757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12123"/>
    <w:rsid w:val="00014161"/>
    <w:rsid w:val="00037111"/>
    <w:rsid w:val="0006367C"/>
    <w:rsid w:val="000824C8"/>
    <w:rsid w:val="00085495"/>
    <w:rsid w:val="000921F1"/>
    <w:rsid w:val="000962C8"/>
    <w:rsid w:val="000A040F"/>
    <w:rsid w:val="000B1B7A"/>
    <w:rsid w:val="000C204E"/>
    <w:rsid w:val="000C503A"/>
    <w:rsid w:val="000C6F97"/>
    <w:rsid w:val="000D4856"/>
    <w:rsid w:val="000F205C"/>
    <w:rsid w:val="001117D9"/>
    <w:rsid w:val="00112C8E"/>
    <w:rsid w:val="00112FF9"/>
    <w:rsid w:val="00125209"/>
    <w:rsid w:val="00126B7A"/>
    <w:rsid w:val="00144917"/>
    <w:rsid w:val="001608FF"/>
    <w:rsid w:val="001671A9"/>
    <w:rsid w:val="00167A38"/>
    <w:rsid w:val="00172674"/>
    <w:rsid w:val="00174BB5"/>
    <w:rsid w:val="0018388B"/>
    <w:rsid w:val="001903CB"/>
    <w:rsid w:val="001913B1"/>
    <w:rsid w:val="00191498"/>
    <w:rsid w:val="00191C86"/>
    <w:rsid w:val="001A2648"/>
    <w:rsid w:val="001A31FD"/>
    <w:rsid w:val="001D5896"/>
    <w:rsid w:val="001E0F3B"/>
    <w:rsid w:val="001F0193"/>
    <w:rsid w:val="00200BA5"/>
    <w:rsid w:val="00202B81"/>
    <w:rsid w:val="002065D8"/>
    <w:rsid w:val="0021368F"/>
    <w:rsid w:val="0021730E"/>
    <w:rsid w:val="00217435"/>
    <w:rsid w:val="0022134E"/>
    <w:rsid w:val="0022161C"/>
    <w:rsid w:val="00223286"/>
    <w:rsid w:val="00227D3A"/>
    <w:rsid w:val="0024062B"/>
    <w:rsid w:val="0024597C"/>
    <w:rsid w:val="0024764A"/>
    <w:rsid w:val="002547C3"/>
    <w:rsid w:val="002613F9"/>
    <w:rsid w:val="00262EC2"/>
    <w:rsid w:val="00264B49"/>
    <w:rsid w:val="002654B4"/>
    <w:rsid w:val="00267805"/>
    <w:rsid w:val="00273777"/>
    <w:rsid w:val="00293F7E"/>
    <w:rsid w:val="002A23B0"/>
    <w:rsid w:val="002A6EC7"/>
    <w:rsid w:val="002C27CE"/>
    <w:rsid w:val="002D163D"/>
    <w:rsid w:val="002E0970"/>
    <w:rsid w:val="002E12FC"/>
    <w:rsid w:val="002F48D6"/>
    <w:rsid w:val="00304398"/>
    <w:rsid w:val="0031067D"/>
    <w:rsid w:val="00316D33"/>
    <w:rsid w:val="00320613"/>
    <w:rsid w:val="0032073B"/>
    <w:rsid w:val="00322F02"/>
    <w:rsid w:val="003247EA"/>
    <w:rsid w:val="003259EE"/>
    <w:rsid w:val="00333886"/>
    <w:rsid w:val="00335934"/>
    <w:rsid w:val="00336CE4"/>
    <w:rsid w:val="00345533"/>
    <w:rsid w:val="00352111"/>
    <w:rsid w:val="00352433"/>
    <w:rsid w:val="00352696"/>
    <w:rsid w:val="00353044"/>
    <w:rsid w:val="003613FE"/>
    <w:rsid w:val="00382177"/>
    <w:rsid w:val="003837B6"/>
    <w:rsid w:val="003937B8"/>
    <w:rsid w:val="003A2F1C"/>
    <w:rsid w:val="003A5A75"/>
    <w:rsid w:val="003C7EC2"/>
    <w:rsid w:val="003D027F"/>
    <w:rsid w:val="003D1B54"/>
    <w:rsid w:val="003D370E"/>
    <w:rsid w:val="003E472A"/>
    <w:rsid w:val="003E5B38"/>
    <w:rsid w:val="003F108C"/>
    <w:rsid w:val="003F6E89"/>
    <w:rsid w:val="003F78F0"/>
    <w:rsid w:val="00411F7A"/>
    <w:rsid w:val="00430165"/>
    <w:rsid w:val="00434371"/>
    <w:rsid w:val="004425AA"/>
    <w:rsid w:val="00456038"/>
    <w:rsid w:val="00462653"/>
    <w:rsid w:val="00467B80"/>
    <w:rsid w:val="0047120C"/>
    <w:rsid w:val="00471618"/>
    <w:rsid w:val="00474B1B"/>
    <w:rsid w:val="0047575F"/>
    <w:rsid w:val="004844EB"/>
    <w:rsid w:val="0048541F"/>
    <w:rsid w:val="0049313F"/>
    <w:rsid w:val="00494645"/>
    <w:rsid w:val="004A1210"/>
    <w:rsid w:val="004A32E6"/>
    <w:rsid w:val="004B50BD"/>
    <w:rsid w:val="004B753E"/>
    <w:rsid w:val="004C437F"/>
    <w:rsid w:val="004C62F9"/>
    <w:rsid w:val="004C723A"/>
    <w:rsid w:val="004D6A1A"/>
    <w:rsid w:val="004E0408"/>
    <w:rsid w:val="004E0838"/>
    <w:rsid w:val="004E7EF1"/>
    <w:rsid w:val="005065E6"/>
    <w:rsid w:val="0051385E"/>
    <w:rsid w:val="00516447"/>
    <w:rsid w:val="0052537F"/>
    <w:rsid w:val="00527A18"/>
    <w:rsid w:val="00531F87"/>
    <w:rsid w:val="0053544D"/>
    <w:rsid w:val="0054263B"/>
    <w:rsid w:val="00543618"/>
    <w:rsid w:val="00547D97"/>
    <w:rsid w:val="00550AFD"/>
    <w:rsid w:val="00557FCC"/>
    <w:rsid w:val="005648EF"/>
    <w:rsid w:val="0057158D"/>
    <w:rsid w:val="0057771F"/>
    <w:rsid w:val="005917C1"/>
    <w:rsid w:val="005A22A6"/>
    <w:rsid w:val="005B3A78"/>
    <w:rsid w:val="005C56C9"/>
    <w:rsid w:val="005C5CCB"/>
    <w:rsid w:val="005D1AD3"/>
    <w:rsid w:val="005D3156"/>
    <w:rsid w:val="005E712D"/>
    <w:rsid w:val="005F1017"/>
    <w:rsid w:val="005F19FD"/>
    <w:rsid w:val="005F5A94"/>
    <w:rsid w:val="006272FE"/>
    <w:rsid w:val="00647CC5"/>
    <w:rsid w:val="00651A64"/>
    <w:rsid w:val="00661D05"/>
    <w:rsid w:val="00675252"/>
    <w:rsid w:val="00681617"/>
    <w:rsid w:val="00682325"/>
    <w:rsid w:val="00682B93"/>
    <w:rsid w:val="0068336D"/>
    <w:rsid w:val="00683FA1"/>
    <w:rsid w:val="00685E76"/>
    <w:rsid w:val="00687304"/>
    <w:rsid w:val="00692BC2"/>
    <w:rsid w:val="00697DF2"/>
    <w:rsid w:val="006A74B6"/>
    <w:rsid w:val="006B2457"/>
    <w:rsid w:val="006B26D7"/>
    <w:rsid w:val="006E0D06"/>
    <w:rsid w:val="006E34FA"/>
    <w:rsid w:val="006E3575"/>
    <w:rsid w:val="006E62F0"/>
    <w:rsid w:val="006F02ED"/>
    <w:rsid w:val="006F7581"/>
    <w:rsid w:val="006F7DC0"/>
    <w:rsid w:val="00702B5A"/>
    <w:rsid w:val="0070752A"/>
    <w:rsid w:val="007119D8"/>
    <w:rsid w:val="0071225B"/>
    <w:rsid w:val="00713866"/>
    <w:rsid w:val="007216DA"/>
    <w:rsid w:val="00724230"/>
    <w:rsid w:val="007340B5"/>
    <w:rsid w:val="007532AB"/>
    <w:rsid w:val="007572BC"/>
    <w:rsid w:val="00766F81"/>
    <w:rsid w:val="00770FFC"/>
    <w:rsid w:val="00786121"/>
    <w:rsid w:val="00787065"/>
    <w:rsid w:val="00792028"/>
    <w:rsid w:val="007A3A0E"/>
    <w:rsid w:val="007A612E"/>
    <w:rsid w:val="007B1633"/>
    <w:rsid w:val="007C7289"/>
    <w:rsid w:val="007D168F"/>
    <w:rsid w:val="007D198E"/>
    <w:rsid w:val="007D2BCE"/>
    <w:rsid w:val="007D39CC"/>
    <w:rsid w:val="007E1675"/>
    <w:rsid w:val="007F7129"/>
    <w:rsid w:val="00801691"/>
    <w:rsid w:val="00806282"/>
    <w:rsid w:val="00813A6B"/>
    <w:rsid w:val="008211F2"/>
    <w:rsid w:val="0082168C"/>
    <w:rsid w:val="0083254A"/>
    <w:rsid w:val="0083264A"/>
    <w:rsid w:val="00832DB4"/>
    <w:rsid w:val="0083763B"/>
    <w:rsid w:val="00837F81"/>
    <w:rsid w:val="00845F81"/>
    <w:rsid w:val="00850A48"/>
    <w:rsid w:val="00853ECF"/>
    <w:rsid w:val="008557E1"/>
    <w:rsid w:val="0086735A"/>
    <w:rsid w:val="008703EF"/>
    <w:rsid w:val="00872C4E"/>
    <w:rsid w:val="00875064"/>
    <w:rsid w:val="008812A8"/>
    <w:rsid w:val="00881431"/>
    <w:rsid w:val="00895065"/>
    <w:rsid w:val="008A475A"/>
    <w:rsid w:val="008A6339"/>
    <w:rsid w:val="008A637B"/>
    <w:rsid w:val="008B1617"/>
    <w:rsid w:val="008B7FBA"/>
    <w:rsid w:val="008C1739"/>
    <w:rsid w:val="008C3241"/>
    <w:rsid w:val="008D2D56"/>
    <w:rsid w:val="008D4A28"/>
    <w:rsid w:val="008D609F"/>
    <w:rsid w:val="008D7ECC"/>
    <w:rsid w:val="008E41F1"/>
    <w:rsid w:val="008E51AF"/>
    <w:rsid w:val="008F4C42"/>
    <w:rsid w:val="008F746C"/>
    <w:rsid w:val="009007E8"/>
    <w:rsid w:val="009022AA"/>
    <w:rsid w:val="0090292A"/>
    <w:rsid w:val="00902A25"/>
    <w:rsid w:val="00914128"/>
    <w:rsid w:val="00932723"/>
    <w:rsid w:val="00935DA8"/>
    <w:rsid w:val="00936D0A"/>
    <w:rsid w:val="00950692"/>
    <w:rsid w:val="00952BBB"/>
    <w:rsid w:val="0095709A"/>
    <w:rsid w:val="009725D8"/>
    <w:rsid w:val="00973884"/>
    <w:rsid w:val="009902F2"/>
    <w:rsid w:val="009931B9"/>
    <w:rsid w:val="00993D46"/>
    <w:rsid w:val="009A5AA6"/>
    <w:rsid w:val="009B6746"/>
    <w:rsid w:val="009B777F"/>
    <w:rsid w:val="009C0C3F"/>
    <w:rsid w:val="009D3029"/>
    <w:rsid w:val="009E20C7"/>
    <w:rsid w:val="009E3DA4"/>
    <w:rsid w:val="009E4F11"/>
    <w:rsid w:val="009F581C"/>
    <w:rsid w:val="00A005E6"/>
    <w:rsid w:val="00A109BC"/>
    <w:rsid w:val="00A10F3D"/>
    <w:rsid w:val="00A110C7"/>
    <w:rsid w:val="00A250A2"/>
    <w:rsid w:val="00A36457"/>
    <w:rsid w:val="00A3678B"/>
    <w:rsid w:val="00A50F20"/>
    <w:rsid w:val="00A632A0"/>
    <w:rsid w:val="00A7145D"/>
    <w:rsid w:val="00A73AE6"/>
    <w:rsid w:val="00A76341"/>
    <w:rsid w:val="00A80C10"/>
    <w:rsid w:val="00A82D0A"/>
    <w:rsid w:val="00A85AAA"/>
    <w:rsid w:val="00A92C18"/>
    <w:rsid w:val="00AB2019"/>
    <w:rsid w:val="00AB5FFA"/>
    <w:rsid w:val="00AB71A7"/>
    <w:rsid w:val="00AC78F7"/>
    <w:rsid w:val="00AD4B56"/>
    <w:rsid w:val="00AF7D47"/>
    <w:rsid w:val="00B0264D"/>
    <w:rsid w:val="00B14314"/>
    <w:rsid w:val="00B15A7A"/>
    <w:rsid w:val="00B2028F"/>
    <w:rsid w:val="00B338E2"/>
    <w:rsid w:val="00B33FF6"/>
    <w:rsid w:val="00B35185"/>
    <w:rsid w:val="00B37722"/>
    <w:rsid w:val="00B567C1"/>
    <w:rsid w:val="00B579DF"/>
    <w:rsid w:val="00B6178E"/>
    <w:rsid w:val="00B6275E"/>
    <w:rsid w:val="00B70D68"/>
    <w:rsid w:val="00B719C2"/>
    <w:rsid w:val="00B72D6B"/>
    <w:rsid w:val="00B80FD1"/>
    <w:rsid w:val="00B81D5C"/>
    <w:rsid w:val="00B84E37"/>
    <w:rsid w:val="00B937E4"/>
    <w:rsid w:val="00B97801"/>
    <w:rsid w:val="00BA1C58"/>
    <w:rsid w:val="00BA2389"/>
    <w:rsid w:val="00BA27A8"/>
    <w:rsid w:val="00BA510E"/>
    <w:rsid w:val="00BA72D6"/>
    <w:rsid w:val="00BB344E"/>
    <w:rsid w:val="00BB5DBC"/>
    <w:rsid w:val="00BC49BF"/>
    <w:rsid w:val="00BC65EF"/>
    <w:rsid w:val="00BC681D"/>
    <w:rsid w:val="00BD0F7E"/>
    <w:rsid w:val="00BE2B09"/>
    <w:rsid w:val="00BE654D"/>
    <w:rsid w:val="00BE6634"/>
    <w:rsid w:val="00BF5DF3"/>
    <w:rsid w:val="00C21D93"/>
    <w:rsid w:val="00C225C9"/>
    <w:rsid w:val="00C26751"/>
    <w:rsid w:val="00C40968"/>
    <w:rsid w:val="00C473A2"/>
    <w:rsid w:val="00C60E95"/>
    <w:rsid w:val="00C610EC"/>
    <w:rsid w:val="00C724B6"/>
    <w:rsid w:val="00C75D6F"/>
    <w:rsid w:val="00C84E71"/>
    <w:rsid w:val="00C87463"/>
    <w:rsid w:val="00C8797B"/>
    <w:rsid w:val="00C93B0B"/>
    <w:rsid w:val="00C94C5E"/>
    <w:rsid w:val="00CA142A"/>
    <w:rsid w:val="00CA41CC"/>
    <w:rsid w:val="00CA7EF2"/>
    <w:rsid w:val="00CB008B"/>
    <w:rsid w:val="00CC0502"/>
    <w:rsid w:val="00CC1AC8"/>
    <w:rsid w:val="00CC6A95"/>
    <w:rsid w:val="00CC7E17"/>
    <w:rsid w:val="00CD4A7D"/>
    <w:rsid w:val="00CE4AA6"/>
    <w:rsid w:val="00CE593D"/>
    <w:rsid w:val="00CF07F1"/>
    <w:rsid w:val="00D00330"/>
    <w:rsid w:val="00D0050C"/>
    <w:rsid w:val="00D014AE"/>
    <w:rsid w:val="00D03893"/>
    <w:rsid w:val="00D05926"/>
    <w:rsid w:val="00D06D8D"/>
    <w:rsid w:val="00D16901"/>
    <w:rsid w:val="00D23BD0"/>
    <w:rsid w:val="00D333AA"/>
    <w:rsid w:val="00D347CA"/>
    <w:rsid w:val="00D51E80"/>
    <w:rsid w:val="00D53848"/>
    <w:rsid w:val="00D53AC5"/>
    <w:rsid w:val="00D5484F"/>
    <w:rsid w:val="00D8125F"/>
    <w:rsid w:val="00D90E67"/>
    <w:rsid w:val="00DA1796"/>
    <w:rsid w:val="00DA2814"/>
    <w:rsid w:val="00DB2C90"/>
    <w:rsid w:val="00DB44CA"/>
    <w:rsid w:val="00DC63A9"/>
    <w:rsid w:val="00DC66A6"/>
    <w:rsid w:val="00DC7533"/>
    <w:rsid w:val="00DD4ED4"/>
    <w:rsid w:val="00DE2930"/>
    <w:rsid w:val="00DF2CB7"/>
    <w:rsid w:val="00DF3BF1"/>
    <w:rsid w:val="00E007F8"/>
    <w:rsid w:val="00E058BA"/>
    <w:rsid w:val="00E111AA"/>
    <w:rsid w:val="00E172C8"/>
    <w:rsid w:val="00E21120"/>
    <w:rsid w:val="00E24E10"/>
    <w:rsid w:val="00E50187"/>
    <w:rsid w:val="00E55147"/>
    <w:rsid w:val="00E551EB"/>
    <w:rsid w:val="00E64EA9"/>
    <w:rsid w:val="00E67638"/>
    <w:rsid w:val="00E70C9B"/>
    <w:rsid w:val="00E72FF1"/>
    <w:rsid w:val="00E7526A"/>
    <w:rsid w:val="00E87248"/>
    <w:rsid w:val="00E87C31"/>
    <w:rsid w:val="00E87FFB"/>
    <w:rsid w:val="00E93068"/>
    <w:rsid w:val="00E970B9"/>
    <w:rsid w:val="00EB113C"/>
    <w:rsid w:val="00EB5133"/>
    <w:rsid w:val="00EC16F4"/>
    <w:rsid w:val="00EC17E3"/>
    <w:rsid w:val="00EC3919"/>
    <w:rsid w:val="00EC77D1"/>
    <w:rsid w:val="00EC7C98"/>
    <w:rsid w:val="00ED5E52"/>
    <w:rsid w:val="00ED7176"/>
    <w:rsid w:val="00ED75EA"/>
    <w:rsid w:val="00EF4043"/>
    <w:rsid w:val="00EF42D0"/>
    <w:rsid w:val="00F022D4"/>
    <w:rsid w:val="00F062A4"/>
    <w:rsid w:val="00F32AA4"/>
    <w:rsid w:val="00F35FB2"/>
    <w:rsid w:val="00F573CF"/>
    <w:rsid w:val="00F57A2B"/>
    <w:rsid w:val="00F658E5"/>
    <w:rsid w:val="00F71E85"/>
    <w:rsid w:val="00F764F4"/>
    <w:rsid w:val="00F86F49"/>
    <w:rsid w:val="00F948A1"/>
    <w:rsid w:val="00FA333E"/>
    <w:rsid w:val="00FA3D57"/>
    <w:rsid w:val="00FA7B76"/>
    <w:rsid w:val="00FD1EE6"/>
    <w:rsid w:val="00FD2DF4"/>
    <w:rsid w:val="00FD7D4E"/>
    <w:rsid w:val="00FE00D7"/>
    <w:rsid w:val="00FE156B"/>
    <w:rsid w:val="00FF171F"/>
    <w:rsid w:val="00FF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D8AB"/>
  <w15:docId w15:val="{62DAF7E0-883A-4029-A6AB-8223BBF8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DD4ED4"/>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 w:id="208151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11B36-D406-4175-8C3F-87F817D20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4118</Words>
  <Characters>23475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2023-03-07T17:19:00Z</dcterms:created>
  <dcterms:modified xsi:type="dcterms:W3CDTF">2023-03-07T17:19:00Z</dcterms:modified>
</cp:coreProperties>
</file>