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75BB" w14:textId="3391F6E2" w:rsidR="00CA41CC" w:rsidRPr="00914128" w:rsidRDefault="0068336D" w:rsidP="00914128">
      <w:pPr>
        <w:pStyle w:val="Heading1"/>
      </w:pPr>
      <w:r>
        <w:t xml:space="preserve">CHAPTER </w:t>
      </w:r>
      <w:r w:rsidR="00DC2F89">
        <w:t>26</w:t>
      </w:r>
    </w:p>
    <w:p w14:paraId="23E577DA" w14:textId="77777777" w:rsidR="00EC7C98" w:rsidRPr="00914128" w:rsidRDefault="009C22FE" w:rsidP="00914128">
      <w:pPr>
        <w:pStyle w:val="Heading1"/>
      </w:pPr>
      <w:r w:rsidRPr="009C22FE">
        <w:t>BREACH OF FIDUCIARY DUTY</w:t>
      </w:r>
    </w:p>
    <w:p w14:paraId="3533B5D8" w14:textId="77777777" w:rsidR="00EC7C98" w:rsidRDefault="00000000"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14:paraId="1BD3FC88" w14:textId="77777777" w:rsidR="00D9448D" w:rsidRDefault="00000000" w:rsidP="00914128">
      <w:pPr>
        <w:pStyle w:val="ToC"/>
      </w:pPr>
      <w:hyperlink w:anchor="a26_02" w:history="1">
        <w:r w:rsidR="009C22FE" w:rsidRPr="00D9448D">
          <w:rPr>
            <w:rStyle w:val="Hyperlink"/>
          </w:rPr>
          <w:t>26:2</w:t>
        </w:r>
      </w:hyperlink>
      <w:r w:rsidR="009C22FE" w:rsidRPr="00D9448D">
        <w:t xml:space="preserve"> </w:t>
      </w:r>
      <w:r w:rsidR="009C22FE" w:rsidRPr="00D9448D">
        <w:tab/>
        <w:t>Fiduciary Relationship — Defined</w:t>
      </w:r>
    </w:p>
    <w:p w14:paraId="2E8BB7D0" w14:textId="77777777" w:rsidR="00D9448D" w:rsidRDefault="00000000"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Relationship Arising Out </w:t>
      </w:r>
      <w:r w:rsidR="009C22FE">
        <w:t>o</w:t>
      </w:r>
      <w:r w:rsidR="009C22FE" w:rsidRPr="00D9448D">
        <w:t xml:space="preserve">f </w:t>
      </w:r>
      <w:r w:rsidR="009C22FE">
        <w:t>a</w:t>
      </w:r>
      <w:r w:rsidR="009C22FE" w:rsidRPr="00D9448D">
        <w:t xml:space="preserve"> Confidential Relationship</w:t>
      </w:r>
    </w:p>
    <w:p w14:paraId="41176833" w14:textId="77777777" w:rsidR="00D9448D" w:rsidRDefault="00000000" w:rsidP="00914128">
      <w:pPr>
        <w:pStyle w:val="ToC"/>
      </w:pPr>
      <w:hyperlink w:anchor="a26_04" w:history="1">
        <w:r w:rsidR="009C22FE" w:rsidRPr="00D9448D">
          <w:rPr>
            <w:rStyle w:val="Hyperlink"/>
          </w:rPr>
          <w:t>26:4</w:t>
        </w:r>
      </w:hyperlink>
      <w:r w:rsidR="009C22FE" w:rsidRPr="00D9448D">
        <w:t xml:space="preserve"> </w:t>
      </w:r>
      <w:r w:rsidR="009C22FE" w:rsidRPr="00D9448D">
        <w:tab/>
        <w:t>Confidential Relationship — Defined</w:t>
      </w:r>
    </w:p>
    <w:p w14:paraId="3A054ADD" w14:textId="77777777" w:rsidR="00D9448D" w:rsidRDefault="00000000"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14:paraId="7815CE0F" w14:textId="77777777" w:rsidR="00352111" w:rsidRPr="00352111" w:rsidRDefault="00352111">
      <w:pPr>
        <w:rPr>
          <w:rFonts w:eastAsia="Times New Roman"/>
          <w:sz w:val="24"/>
          <w:szCs w:val="24"/>
        </w:rPr>
      </w:pPr>
      <w:r w:rsidRPr="00352111">
        <w:rPr>
          <w:rFonts w:eastAsia="Times New Roman"/>
          <w:sz w:val="24"/>
          <w:szCs w:val="24"/>
        </w:rPr>
        <w:br w:type="page"/>
      </w:r>
    </w:p>
    <w:p w14:paraId="778F041E" w14:textId="77777777" w:rsidR="009E3DA4" w:rsidRPr="009E3DA4" w:rsidRDefault="00DC2F89" w:rsidP="00CC0502">
      <w:pPr>
        <w:spacing w:after="240"/>
        <w:ind w:left="720" w:hanging="720"/>
        <w:rPr>
          <w:rFonts w:eastAsia="Times New Roman"/>
          <w:b/>
          <w:sz w:val="24"/>
          <w:szCs w:val="24"/>
        </w:rPr>
      </w:pPr>
      <w:bookmarkStart w:id="0" w:name="a26_01"/>
      <w:bookmarkEnd w:id="0"/>
      <w:r w:rsidRPr="00DC2F89">
        <w:rPr>
          <w:rFonts w:eastAsia="Times New Roman"/>
          <w:b/>
          <w:sz w:val="24"/>
          <w:szCs w:val="24"/>
        </w:rPr>
        <w:lastRenderedPageBreak/>
        <w:t xml:space="preserve">26:1 </w:t>
      </w:r>
      <w:r w:rsidRPr="00DC2F89">
        <w:rPr>
          <w:rFonts w:eastAsia="Times New Roman"/>
          <w:b/>
          <w:sz w:val="24"/>
          <w:szCs w:val="24"/>
        </w:rPr>
        <w:tab/>
        <w:t>ELEMENTS OF LIABILITY</w:t>
      </w:r>
    </w:p>
    <w:p w14:paraId="449DD7AD"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on (his) (her) claim of breach of fiduciary duty, you must find that all of the following have been proved by a preponderance of the evidence:</w:t>
      </w:r>
    </w:p>
    <w:p w14:paraId="7667ED86"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14:paraId="0C101A2E"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14:paraId="60C90AC9"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14:paraId="1BAFA414"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14:paraId="3C364BB0"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14:paraId="0A02702A"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14:paraId="1A95AAD7"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AC7BAB1"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14:paraId="5B52082B" w14:textId="77777777" w:rsidR="00832DB4" w:rsidRDefault="00832DB4" w:rsidP="0054263B">
      <w:pPr>
        <w:jc w:val="center"/>
        <w:rPr>
          <w:rFonts w:eastAsia="Times New Roman"/>
          <w:sz w:val="24"/>
          <w:szCs w:val="24"/>
        </w:rPr>
      </w:pPr>
    </w:p>
    <w:p w14:paraId="75103AC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AACBADE"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14:paraId="1F899BCF"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In cases involving multiple defendants or designated nonparties where the pro rata liability statute, § 13-21-111.5, C.R.S., is applicable, see </w:t>
      </w:r>
      <w:r w:rsidR="00DD77BF">
        <w:rPr>
          <w:rFonts w:eastAsia="Times New Roman"/>
          <w:sz w:val="24"/>
          <w:szCs w:val="24"/>
        </w:rPr>
        <w:t xml:space="preserve">the </w:t>
      </w:r>
      <w:r w:rsidRPr="00DC2F89">
        <w:rPr>
          <w:rFonts w:eastAsia="Times New Roman"/>
          <w:sz w:val="24"/>
          <w:szCs w:val="24"/>
        </w:rPr>
        <w:t>Notes on Use to Instruction 4:20.</w:t>
      </w:r>
    </w:p>
    <w:p w14:paraId="7D2B20C6"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w:t>
      </w:r>
      <w:r w:rsidRPr="007A1E8C">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 718 P.2d 508 (Colo. 1986).</w:t>
      </w:r>
    </w:p>
    <w:p w14:paraId="7A953E31"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w:t>
      </w:r>
      <w:r w:rsidR="00AF1706">
        <w:rPr>
          <w:rFonts w:eastAsia="Times New Roman"/>
          <w:sz w:val="24"/>
          <w:szCs w:val="24"/>
        </w:rPr>
        <w:t xml:space="preserve">381 P.3d 428, </w:t>
      </w:r>
      <w:r w:rsidRPr="00DC2F89">
        <w:rPr>
          <w:rFonts w:eastAsia="Times New Roman"/>
          <w:sz w:val="24"/>
          <w:szCs w:val="24"/>
        </w:rPr>
        <w:t xml:space="preserve">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w:t>
      </w:r>
      <w:r w:rsidRPr="00DC2F89">
        <w:rPr>
          <w:rFonts w:eastAsia="Times New Roman"/>
          <w:sz w:val="24"/>
          <w:szCs w:val="24"/>
        </w:rPr>
        <w:lastRenderedPageBreak/>
        <w:t xml:space="preserve">(holding that 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Baker v. Wood, Ris &amp; Hames, P.C.</w:t>
      </w:r>
      <w:r w:rsidRPr="00DC2F89">
        <w:rPr>
          <w:rFonts w:eastAsia="Times New Roman"/>
          <w:sz w:val="24"/>
          <w:szCs w:val="24"/>
        </w:rPr>
        <w:t>,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party, this element of the instruction should be modified accordingly.</w:t>
      </w:r>
    </w:p>
    <w:p w14:paraId="4A7FDE27"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14:paraId="267A5DDA"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w:t>
      </w:r>
      <w:r w:rsidR="00DD77BF">
        <w:rPr>
          <w:rFonts w:eastAsia="Times New Roman"/>
          <w:sz w:val="24"/>
          <w:szCs w:val="24"/>
        </w:rPr>
        <w:t>for example</w:t>
      </w:r>
      <w:r w:rsidRPr="00DC2F89">
        <w:rPr>
          <w:rFonts w:eastAsia="Times New Roman"/>
          <w:sz w:val="24"/>
          <w:szCs w:val="24"/>
        </w:rPr>
        <w:t xml:space="preserve">,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w:t>
      </w:r>
      <w:r w:rsidR="00DD77BF">
        <w:t>–</w:t>
      </w:r>
      <w:r w:rsidRPr="00DC2F89">
        <w:rPr>
          <w:rFonts w:eastAsia="Times New Roman"/>
          <w:sz w:val="24"/>
          <w:szCs w:val="24"/>
        </w:rPr>
        <w:t xml:space="preserve"> 9:21.</w:t>
      </w:r>
    </w:p>
    <w:p w14:paraId="3F6F4C50"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14:paraId="2BCF63EB"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14:paraId="4E38F374"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w:t>
      </w:r>
      <w:r w:rsidR="00DD77BF">
        <w:rPr>
          <w:rFonts w:eastAsia="Times New Roman"/>
          <w:sz w:val="24"/>
          <w:szCs w:val="24"/>
        </w:rPr>
        <w:t>,</w:t>
      </w:r>
      <w:r w:rsidRPr="00DC2F89">
        <w:rPr>
          <w:rFonts w:eastAsia="Times New Roman"/>
          <w:sz w:val="24"/>
          <w:szCs w:val="24"/>
        </w:rPr>
        <w:t xml:space="preserve"> </w:t>
      </w:r>
      <w:r w:rsidRPr="007A1E8C">
        <w:rPr>
          <w:rFonts w:eastAsia="Times New Roman"/>
          <w:i/>
          <w:sz w:val="24"/>
          <w:szCs w:val="24"/>
        </w:rPr>
        <w:t>see</w:t>
      </w:r>
      <w:r w:rsidR="007A1E8C">
        <w:rPr>
          <w:rFonts w:eastAsia="Times New Roman"/>
          <w:sz w:val="24"/>
          <w:szCs w:val="24"/>
        </w:rPr>
        <w:t xml:space="preserve"> Instruction 5:2</w:t>
      </w:r>
      <w:r w:rsidRPr="00DC2F89">
        <w:rPr>
          <w:rFonts w:eastAsia="Times New Roman"/>
          <w:sz w:val="24"/>
          <w:szCs w:val="24"/>
        </w:rPr>
        <w:t>,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9E0951C" w14:textId="77777777" w:rsid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14:paraId="37C5498F" w14:textId="4593292E" w:rsidR="00806F39" w:rsidRPr="00DC2F89" w:rsidRDefault="00806F39" w:rsidP="00DC2F89">
      <w:pPr>
        <w:spacing w:after="240"/>
        <w:ind w:firstLine="720"/>
        <w:rPr>
          <w:rFonts w:eastAsia="Times New Roman"/>
          <w:sz w:val="24"/>
          <w:szCs w:val="24"/>
        </w:rPr>
      </w:pPr>
      <w:r>
        <w:rPr>
          <w:rFonts w:eastAsia="Times New Roman"/>
          <w:sz w:val="24"/>
          <w:szCs w:val="24"/>
        </w:rPr>
        <w:t>11</w:t>
      </w:r>
      <w:r w:rsidRPr="00DC2F89">
        <w:rPr>
          <w:rFonts w:eastAsia="Times New Roman"/>
          <w:sz w:val="24"/>
          <w:szCs w:val="24"/>
        </w:rPr>
        <w:t xml:space="preserve">. This instruction does not apply to claims for relief that are equitable rather than legal. </w:t>
      </w:r>
      <w:r w:rsidRPr="00DC2F89">
        <w:rPr>
          <w:rFonts w:eastAsia="Times New Roman"/>
          <w:i/>
          <w:sz w:val="24"/>
          <w:szCs w:val="24"/>
        </w:rPr>
        <w:t xml:space="preserve">Compare </w:t>
      </w:r>
      <w:r w:rsidRPr="00DC2F89">
        <w:rPr>
          <w:rFonts w:eastAsia="Times New Roman"/>
          <w:b/>
          <w:sz w:val="24"/>
          <w:szCs w:val="24"/>
        </w:rPr>
        <w:t>Kaitz v. Dist</w:t>
      </w:r>
      <w:r>
        <w:rPr>
          <w:rFonts w:eastAsia="Times New Roman"/>
          <w:b/>
          <w:sz w:val="24"/>
          <w:szCs w:val="24"/>
        </w:rPr>
        <w:t>.</w:t>
      </w:r>
      <w:r w:rsidRPr="00DC2F89">
        <w:rPr>
          <w:rFonts w:eastAsia="Times New Roman"/>
          <w:b/>
          <w:sz w:val="24"/>
          <w:szCs w:val="24"/>
        </w:rPr>
        <w:t xml:space="preserve">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w:t>
      </w:r>
      <w:r>
        <w:rPr>
          <w:rFonts w:eastAsia="Times New Roman"/>
          <w:sz w:val="24"/>
          <w:szCs w:val="24"/>
        </w:rPr>
        <w:t>at 513-14</w:t>
      </w:r>
      <w:r w:rsidRPr="00DC2F89">
        <w:rPr>
          <w:rFonts w:eastAsia="Times New Roman"/>
          <w:sz w:val="24"/>
          <w:szCs w:val="24"/>
        </w:rPr>
        <w:t xml:space="preserve">.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Mahoney Mktg. Corp.</w:t>
      </w:r>
      <w:r>
        <w:rPr>
          <w:rFonts w:eastAsia="Times New Roman"/>
          <w:b/>
          <w:sz w:val="24"/>
          <w:szCs w:val="24"/>
        </w:rPr>
        <w:t xml:space="preserve"> v. Sentry Builders</w:t>
      </w:r>
      <w:r w:rsidRPr="00DC2F89">
        <w:rPr>
          <w:rFonts w:eastAsia="Times New Roman"/>
          <w:sz w:val="24"/>
          <w:szCs w:val="24"/>
        </w:rPr>
        <w:t xml:space="preserve">, 697 P.2d </w:t>
      </w:r>
      <w:r>
        <w:rPr>
          <w:rFonts w:eastAsia="Times New Roman"/>
          <w:sz w:val="24"/>
          <w:szCs w:val="24"/>
        </w:rPr>
        <w:t>1139,</w:t>
      </w:r>
      <w:r w:rsidRPr="00DC2F89">
        <w:rPr>
          <w:rFonts w:eastAsia="Times New Roman"/>
          <w:sz w:val="24"/>
          <w:szCs w:val="24"/>
        </w:rPr>
        <w:t xml:space="preserve"> 1140 </w:t>
      </w:r>
      <w:r>
        <w:rPr>
          <w:rFonts w:eastAsia="Times New Roman"/>
          <w:sz w:val="24"/>
          <w:szCs w:val="24"/>
        </w:rPr>
        <w:t xml:space="preserve">(Colo. App. 1985) </w:t>
      </w:r>
      <w:r w:rsidRPr="00DC2F89">
        <w:rPr>
          <w:rFonts w:eastAsia="Times New Roman"/>
          <w:sz w:val="24"/>
          <w:szCs w:val="24"/>
        </w:rPr>
        <w:t>(“</w:t>
      </w:r>
      <w:r w:rsidR="00BA7563">
        <w:rPr>
          <w:rFonts w:eastAsia="Times New Roman"/>
          <w:sz w:val="24"/>
          <w:szCs w:val="24"/>
        </w:rPr>
        <w:t>A</w:t>
      </w:r>
      <w:r w:rsidRPr="00DC2F89">
        <w:rPr>
          <w:rFonts w:eastAsia="Times New Roman"/>
          <w:sz w:val="24"/>
          <w:szCs w:val="24"/>
        </w:rPr>
        <w:t>lthough fiduciary obligations are equitable in nature, the remedies [for breach] are generally at law.”).</w:t>
      </w:r>
    </w:p>
    <w:p w14:paraId="26A3CC7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E8B392"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w:t>
      </w:r>
      <w:r w:rsidRPr="00DC2F89">
        <w:rPr>
          <w:rFonts w:eastAsia="Times New Roman"/>
          <w:sz w:val="24"/>
          <w:szCs w:val="24"/>
        </w:rPr>
        <w:t xml:space="preserve">, 718 P.2d </w:t>
      </w:r>
      <w:r w:rsidR="00DD77BF">
        <w:rPr>
          <w:rFonts w:eastAsia="Times New Roman"/>
          <w:sz w:val="24"/>
          <w:szCs w:val="24"/>
        </w:rPr>
        <w:t xml:space="preserve">at </w:t>
      </w:r>
      <w:r w:rsidRPr="00DC2F89">
        <w:rPr>
          <w:rFonts w:eastAsia="Times New Roman"/>
          <w:sz w:val="24"/>
          <w:szCs w:val="24"/>
        </w:rPr>
        <w:t>5</w:t>
      </w:r>
      <w:r w:rsidR="00AF1706">
        <w:rPr>
          <w:rFonts w:eastAsia="Times New Roman"/>
          <w:sz w:val="24"/>
          <w:szCs w:val="24"/>
        </w:rPr>
        <w:t>14-15</w:t>
      </w:r>
      <w:r w:rsidRPr="00DC2F89">
        <w:rPr>
          <w:rFonts w:eastAsia="Times New Roman"/>
          <w:sz w:val="24"/>
          <w:szCs w:val="24"/>
        </w:rPr>
        <w:t xml:space="preserve">;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00806F39">
        <w:rPr>
          <w:rFonts w:eastAsia="Times New Roman"/>
          <w:sz w:val="24"/>
          <w:szCs w:val="24"/>
        </w:rPr>
        <w:t xml:space="preserve">and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Accident &amp; Injury Med. Specialists, P.C. v. Mintz</w:t>
      </w:r>
      <w:r w:rsidRPr="00DC2F89">
        <w:rPr>
          <w:rFonts w:eastAsia="Times New Roman"/>
          <w:sz w:val="24"/>
          <w:szCs w:val="24"/>
        </w:rPr>
        <w:t xml:space="preserve">, 2012 CO 50, </w:t>
      </w:r>
      <w:r w:rsidR="00AF1706">
        <w:rPr>
          <w:rFonts w:eastAsia="Times New Roman"/>
          <w:sz w:val="24"/>
          <w:szCs w:val="24"/>
        </w:rPr>
        <w:t xml:space="preserve">¶ 21, </w:t>
      </w:r>
      <w:r w:rsidRPr="00DC2F89">
        <w:rPr>
          <w:rFonts w:eastAsia="Times New Roman"/>
          <w:sz w:val="24"/>
          <w:szCs w:val="24"/>
        </w:rPr>
        <w:t xml:space="preserve">279 P.3d 658; </w:t>
      </w:r>
      <w:r w:rsidRPr="00DC2F89">
        <w:rPr>
          <w:rFonts w:eastAsia="Times New Roman"/>
          <w:b/>
          <w:sz w:val="24"/>
          <w:szCs w:val="24"/>
        </w:rPr>
        <w:lastRenderedPageBreak/>
        <w:t>Destefano v. Grabrian</w:t>
      </w:r>
      <w:r w:rsidRPr="00DC2F89">
        <w:rPr>
          <w:rFonts w:eastAsia="Times New Roman"/>
          <w:sz w:val="24"/>
          <w:szCs w:val="24"/>
        </w:rPr>
        <w:t xml:space="preserve">, 763 P.2d 275 (Colo. 1988); </w:t>
      </w:r>
      <w:r w:rsidRPr="00DC2F89">
        <w:rPr>
          <w:rFonts w:eastAsia="Times New Roman"/>
          <w:b/>
          <w:sz w:val="24"/>
          <w:szCs w:val="24"/>
        </w:rPr>
        <w:t>Bithell v. W</w:t>
      </w:r>
      <w:r w:rsidR="00AF1706">
        <w:rPr>
          <w:rFonts w:eastAsia="Times New Roman"/>
          <w:b/>
          <w:sz w:val="24"/>
          <w:szCs w:val="24"/>
        </w:rPr>
        <w:t>.</w:t>
      </w:r>
      <w:r w:rsidRPr="00DC2F89">
        <w:rPr>
          <w:rFonts w:eastAsia="Times New Roman"/>
          <w:b/>
          <w:sz w:val="24"/>
          <w:szCs w:val="24"/>
        </w:rPr>
        <w:t xml:space="preserve"> Care Corp.</w:t>
      </w:r>
      <w:r w:rsidRPr="00DC2F89">
        <w:rPr>
          <w:rFonts w:eastAsia="Times New Roman"/>
          <w:sz w:val="24"/>
          <w:szCs w:val="24"/>
        </w:rPr>
        <w:t>, 762 P.2d 708 (</w:t>
      </w:r>
      <w:r w:rsidR="00E71BCE">
        <w:rPr>
          <w:rFonts w:eastAsia="Times New Roman"/>
          <w:sz w:val="24"/>
          <w:szCs w:val="24"/>
        </w:rPr>
        <w:t>Colo. App.</w:t>
      </w:r>
      <w:r w:rsidR="00AF1706">
        <w:rPr>
          <w:rFonts w:eastAsia="Times New Roman"/>
          <w:sz w:val="24"/>
          <w:szCs w:val="24"/>
        </w:rPr>
        <w:t xml:space="preserve"> </w:t>
      </w:r>
      <w:r w:rsidRPr="00DC2F89">
        <w:rPr>
          <w:rFonts w:eastAsia="Times New Roman"/>
          <w:sz w:val="24"/>
          <w:szCs w:val="24"/>
        </w:rPr>
        <w:t>1988).</w:t>
      </w:r>
    </w:p>
    <w:p w14:paraId="1E3DD1EA" w14:textId="77777777" w:rsidR="00DC2F89" w:rsidRPr="00DC2F89" w:rsidRDefault="00806F39" w:rsidP="00DC2F89">
      <w:pPr>
        <w:spacing w:after="240"/>
        <w:ind w:firstLine="720"/>
        <w:rPr>
          <w:rFonts w:eastAsia="Times New Roman"/>
          <w:sz w:val="24"/>
          <w:szCs w:val="24"/>
        </w:rPr>
      </w:pPr>
      <w:r>
        <w:rPr>
          <w:rFonts w:eastAsia="Times New Roman"/>
          <w:sz w:val="24"/>
          <w:szCs w:val="24"/>
        </w:rPr>
        <w:t>2</w:t>
      </w:r>
      <w:r w:rsidR="00DC2F89" w:rsidRPr="00DC2F89">
        <w:rPr>
          <w:rFonts w:eastAsia="Times New Roman"/>
          <w:sz w:val="24"/>
          <w:szCs w:val="24"/>
        </w:rPr>
        <w:t xml:space="preserve">. Because an action for damages for breach of a duty not to disclose confidential information lies in tort, and is legal rather than equitable, it will support a claim for punitive damages. </w:t>
      </w:r>
      <w:r w:rsidR="00DC2F89" w:rsidRPr="00DC2F89">
        <w:rPr>
          <w:rFonts w:eastAsia="Times New Roman"/>
          <w:b/>
          <w:sz w:val="24"/>
          <w:szCs w:val="24"/>
        </w:rPr>
        <w:t>Rubenstein v. S</w:t>
      </w:r>
      <w:r w:rsidR="00265D86">
        <w:rPr>
          <w:rFonts w:eastAsia="Times New Roman"/>
          <w:b/>
          <w:sz w:val="24"/>
          <w:szCs w:val="24"/>
        </w:rPr>
        <w:t>.</w:t>
      </w:r>
      <w:r w:rsidR="00DC2F89" w:rsidRPr="00DC2F89">
        <w:rPr>
          <w:rFonts w:eastAsia="Times New Roman"/>
          <w:b/>
          <w:sz w:val="24"/>
          <w:szCs w:val="24"/>
        </w:rPr>
        <w:t xml:space="preserve"> Denver Nat’l Bank</w:t>
      </w:r>
      <w:r w:rsidR="00DC2F89" w:rsidRPr="00DC2F89">
        <w:rPr>
          <w:rFonts w:eastAsia="Times New Roman"/>
          <w:sz w:val="24"/>
          <w:szCs w:val="24"/>
        </w:rPr>
        <w:t>, 762 P.2d 755 (</w:t>
      </w:r>
      <w:r w:rsidR="00E71BCE">
        <w:rPr>
          <w:rFonts w:eastAsia="Times New Roman"/>
          <w:sz w:val="24"/>
          <w:szCs w:val="24"/>
        </w:rPr>
        <w:t>Colo. App.</w:t>
      </w:r>
      <w:r w:rsidR="00DC2F89" w:rsidRPr="00DC2F89">
        <w:rPr>
          <w:rFonts w:eastAsia="Times New Roman"/>
          <w:sz w:val="24"/>
          <w:szCs w:val="24"/>
        </w:rPr>
        <w:t xml:space="preserve"> 1988)</w:t>
      </w:r>
      <w:r w:rsidR="00265D86">
        <w:rPr>
          <w:rFonts w:eastAsia="Times New Roman"/>
          <w:sz w:val="24"/>
          <w:szCs w:val="24"/>
        </w:rPr>
        <w:t>;</w:t>
      </w:r>
      <w:r w:rsidR="00DC2F89" w:rsidRPr="00DC2F89">
        <w:rPr>
          <w:rFonts w:eastAsia="Times New Roman"/>
          <w:sz w:val="24"/>
          <w:szCs w:val="24"/>
        </w:rPr>
        <w:t xml:space="preserve"> </w:t>
      </w:r>
      <w:r w:rsidR="00265D86">
        <w:rPr>
          <w:rFonts w:eastAsia="Times New Roman"/>
          <w:i/>
          <w:sz w:val="24"/>
          <w:szCs w:val="24"/>
        </w:rPr>
        <w:t>s</w:t>
      </w:r>
      <w:r w:rsidR="00DC2F89" w:rsidRPr="00DC2F89">
        <w:rPr>
          <w:rFonts w:eastAsia="Times New Roman"/>
          <w:i/>
          <w:sz w:val="24"/>
          <w:szCs w:val="24"/>
        </w:rPr>
        <w:t>ee also</w:t>
      </w:r>
      <w:r w:rsidR="00DC2F89" w:rsidRPr="00DC2F89">
        <w:rPr>
          <w:rFonts w:eastAsia="Times New Roman"/>
          <w:sz w:val="24"/>
          <w:szCs w:val="24"/>
        </w:rPr>
        <w:t xml:space="preserve"> </w:t>
      </w:r>
      <w:r w:rsidR="00DC2F89" w:rsidRPr="00DC2F89">
        <w:rPr>
          <w:rFonts w:eastAsia="Times New Roman"/>
          <w:b/>
          <w:sz w:val="24"/>
          <w:szCs w:val="24"/>
        </w:rPr>
        <w:t>Virdanco, Inc. v. MTS Int’l</w:t>
      </w:r>
      <w:r w:rsidR="00DC2F89" w:rsidRPr="00DC2F89">
        <w:rPr>
          <w:rFonts w:eastAsia="Times New Roman"/>
          <w:sz w:val="24"/>
          <w:szCs w:val="24"/>
        </w:rPr>
        <w:t>, 820 P.2d 352 (</w:t>
      </w:r>
      <w:r w:rsidR="00E71BCE">
        <w:rPr>
          <w:rFonts w:eastAsia="Times New Roman"/>
          <w:sz w:val="24"/>
          <w:szCs w:val="24"/>
        </w:rPr>
        <w:t>Colo. App.</w:t>
      </w:r>
      <w:r w:rsidR="00DC2F89"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14:paraId="44AACACF" w14:textId="77777777" w:rsidR="00DC2F89" w:rsidRPr="00DC2F89" w:rsidRDefault="00806F39" w:rsidP="00DC2F89">
      <w:pPr>
        <w:spacing w:after="240"/>
        <w:ind w:firstLine="720"/>
        <w:rPr>
          <w:rFonts w:eastAsia="Times New Roman"/>
          <w:sz w:val="24"/>
          <w:szCs w:val="24"/>
        </w:rPr>
      </w:pPr>
      <w:r>
        <w:rPr>
          <w:rFonts w:eastAsia="Times New Roman"/>
          <w:sz w:val="24"/>
          <w:szCs w:val="24"/>
        </w:rPr>
        <w:t>3</w:t>
      </w:r>
      <w:r w:rsidR="00DC2F89" w:rsidRPr="00DC2F89">
        <w:rPr>
          <w:rFonts w:eastAsia="Times New Roman"/>
          <w:sz w:val="24"/>
          <w:szCs w:val="24"/>
        </w:rPr>
        <w:t xml:space="preserve">. For a discussion of the elements necessary to establish the tort of aiding and abetting a breach of a fiduciary duty, see </w:t>
      </w:r>
      <w:r w:rsidR="00DC2F89" w:rsidRPr="00DC2F89">
        <w:rPr>
          <w:rFonts w:eastAsia="Times New Roman"/>
          <w:b/>
          <w:sz w:val="24"/>
          <w:szCs w:val="24"/>
        </w:rPr>
        <w:t>Nelson v. Elway</w:t>
      </w:r>
      <w:r w:rsidR="00DC2F89" w:rsidRPr="00DC2F89">
        <w:rPr>
          <w:rFonts w:eastAsia="Times New Roman"/>
          <w:sz w:val="24"/>
          <w:szCs w:val="24"/>
        </w:rPr>
        <w:t>, 971 P.2d 245 (</w:t>
      </w:r>
      <w:r w:rsidR="00E71BCE">
        <w:rPr>
          <w:rFonts w:eastAsia="Times New Roman"/>
          <w:sz w:val="24"/>
          <w:szCs w:val="24"/>
        </w:rPr>
        <w:t>Colo. App.</w:t>
      </w:r>
      <w:r w:rsidR="00DC2F89" w:rsidRPr="00DC2F89">
        <w:rPr>
          <w:rFonts w:eastAsia="Times New Roman"/>
          <w:sz w:val="24"/>
          <w:szCs w:val="24"/>
        </w:rPr>
        <w:t xml:space="preserve"> 1998), and </w:t>
      </w:r>
      <w:r w:rsidR="00DC2F89" w:rsidRPr="00DC2F89">
        <w:rPr>
          <w:rFonts w:eastAsia="Times New Roman"/>
          <w:b/>
          <w:sz w:val="24"/>
          <w:szCs w:val="24"/>
        </w:rPr>
        <w:t>Holmes v. Young</w:t>
      </w:r>
      <w:r w:rsidR="00DC2F89" w:rsidRPr="00DC2F89">
        <w:rPr>
          <w:rFonts w:eastAsia="Times New Roman"/>
          <w:sz w:val="24"/>
          <w:szCs w:val="24"/>
        </w:rPr>
        <w:t>, 885 P.2d 305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1994).</w:t>
      </w:r>
    </w:p>
    <w:p w14:paraId="67334801" w14:textId="3C288D5F" w:rsidR="00DC2F89" w:rsidRPr="00DC2F89" w:rsidRDefault="00806F39" w:rsidP="00DC2F89">
      <w:pPr>
        <w:spacing w:after="240"/>
        <w:ind w:firstLine="720"/>
        <w:rPr>
          <w:rFonts w:eastAsia="Times New Roman"/>
          <w:sz w:val="24"/>
          <w:szCs w:val="24"/>
        </w:rPr>
      </w:pPr>
      <w:r>
        <w:rPr>
          <w:rFonts w:eastAsia="Times New Roman"/>
          <w:sz w:val="24"/>
          <w:szCs w:val="24"/>
        </w:rPr>
        <w:t>4</w:t>
      </w:r>
      <w:r w:rsidR="00DC2F89" w:rsidRPr="00DC2F89">
        <w:rPr>
          <w:rFonts w:eastAsia="Times New Roman"/>
          <w:sz w:val="24"/>
          <w:szCs w:val="24"/>
        </w:rPr>
        <w:t xml:space="preserve">. Where the same operative facts support claims for both legal malpractice and breach of fiduciary duty, the latter claim should be dismissed as duplicative. </w:t>
      </w:r>
      <w:r w:rsidR="00010538" w:rsidRPr="007171CC">
        <w:rPr>
          <w:rFonts w:eastAsia="Times New Roman"/>
          <w:b/>
          <w:bCs/>
          <w:sz w:val="24"/>
          <w:szCs w:val="24"/>
        </w:rPr>
        <w:t>Froid v. Zacheis</w:t>
      </w:r>
      <w:r w:rsidR="00010538">
        <w:rPr>
          <w:rFonts w:eastAsia="Times New Roman"/>
          <w:sz w:val="24"/>
          <w:szCs w:val="24"/>
        </w:rPr>
        <w:t>, 2021 COA 74, ¶ 9 n.2</w:t>
      </w:r>
      <w:r w:rsidR="00BF333D">
        <w:rPr>
          <w:rFonts w:eastAsia="Times New Roman"/>
          <w:sz w:val="24"/>
          <w:szCs w:val="24"/>
        </w:rPr>
        <w:t>, 494 P.3d 673</w:t>
      </w:r>
      <w:r w:rsidR="00010538">
        <w:rPr>
          <w:rFonts w:eastAsia="Times New Roman"/>
          <w:sz w:val="24"/>
          <w:szCs w:val="24"/>
        </w:rPr>
        <w:t xml:space="preserve">; </w:t>
      </w:r>
      <w:r w:rsidR="00010538" w:rsidRPr="007171CC">
        <w:rPr>
          <w:rFonts w:eastAsia="Times New Roman"/>
          <w:b/>
          <w:bCs/>
          <w:sz w:val="24"/>
          <w:szCs w:val="24"/>
        </w:rPr>
        <w:t>Aller v.</w:t>
      </w:r>
      <w:r w:rsidR="00010538">
        <w:rPr>
          <w:rFonts w:eastAsia="Times New Roman"/>
          <w:b/>
          <w:bCs/>
          <w:sz w:val="24"/>
          <w:szCs w:val="24"/>
        </w:rPr>
        <w:t xml:space="preserve"> </w:t>
      </w:r>
      <w:r w:rsidR="00010538" w:rsidRPr="007171CC">
        <w:rPr>
          <w:rFonts w:eastAsia="Times New Roman"/>
          <w:b/>
          <w:bCs/>
          <w:sz w:val="24"/>
          <w:szCs w:val="24"/>
        </w:rPr>
        <w:t xml:space="preserve">Law </w:t>
      </w:r>
      <w:r w:rsidR="00010538">
        <w:rPr>
          <w:rFonts w:eastAsia="Times New Roman"/>
          <w:b/>
          <w:bCs/>
          <w:sz w:val="24"/>
          <w:szCs w:val="24"/>
        </w:rPr>
        <w:t>O</w:t>
      </w:r>
      <w:r w:rsidR="00010538" w:rsidRPr="007171CC">
        <w:rPr>
          <w:rFonts w:eastAsia="Times New Roman"/>
          <w:b/>
          <w:bCs/>
          <w:sz w:val="24"/>
          <w:szCs w:val="24"/>
        </w:rPr>
        <w:t>ff</w:t>
      </w:r>
      <w:r w:rsidR="00010538">
        <w:rPr>
          <w:rFonts w:eastAsia="Times New Roman"/>
          <w:b/>
          <w:bCs/>
          <w:sz w:val="24"/>
          <w:szCs w:val="24"/>
        </w:rPr>
        <w:t>ice</w:t>
      </w:r>
      <w:r w:rsidR="00010538" w:rsidRPr="007171CC">
        <w:rPr>
          <w:rFonts w:eastAsia="Times New Roman"/>
          <w:b/>
          <w:bCs/>
          <w:sz w:val="24"/>
          <w:szCs w:val="24"/>
        </w:rPr>
        <w:t xml:space="preserve"> </w:t>
      </w:r>
      <w:r w:rsidR="00010538">
        <w:rPr>
          <w:rFonts w:eastAsia="Times New Roman"/>
          <w:b/>
          <w:bCs/>
          <w:sz w:val="24"/>
          <w:szCs w:val="24"/>
        </w:rPr>
        <w:t>o</w:t>
      </w:r>
      <w:r w:rsidR="00010538" w:rsidRPr="007171CC">
        <w:rPr>
          <w:rFonts w:eastAsia="Times New Roman"/>
          <w:b/>
          <w:bCs/>
          <w:sz w:val="24"/>
          <w:szCs w:val="24"/>
        </w:rPr>
        <w:t>f Carole C. Schr</w:t>
      </w:r>
      <w:r w:rsidR="00010538">
        <w:rPr>
          <w:rFonts w:eastAsia="Times New Roman"/>
          <w:b/>
          <w:bCs/>
          <w:sz w:val="24"/>
          <w:szCs w:val="24"/>
        </w:rPr>
        <w:t>i</w:t>
      </w:r>
      <w:r w:rsidR="00010538" w:rsidRPr="007171CC">
        <w:rPr>
          <w:rFonts w:eastAsia="Times New Roman"/>
          <w:b/>
          <w:bCs/>
          <w:sz w:val="24"/>
          <w:szCs w:val="24"/>
        </w:rPr>
        <w:t>efer, P.C.</w:t>
      </w:r>
      <w:r w:rsidR="00010538" w:rsidRPr="00397288">
        <w:rPr>
          <w:rFonts w:eastAsia="Times New Roman"/>
          <w:bCs/>
          <w:sz w:val="24"/>
          <w:szCs w:val="24"/>
        </w:rPr>
        <w:t>,</w:t>
      </w:r>
      <w:r w:rsidR="00010538">
        <w:rPr>
          <w:rFonts w:eastAsia="Times New Roman"/>
          <w:sz w:val="24"/>
          <w:szCs w:val="24"/>
        </w:rPr>
        <w:t xml:space="preserve"> 140 P.3d 23 (Colo. App. 2005); </w:t>
      </w:r>
      <w:r w:rsidR="00DC2F89" w:rsidRPr="00DC2F89">
        <w:rPr>
          <w:rFonts w:eastAsia="Times New Roman"/>
          <w:b/>
          <w:sz w:val="24"/>
          <w:szCs w:val="24"/>
        </w:rPr>
        <w:t>Moguls of Aspen, Inc. v. Faegre &amp; Benson</w:t>
      </w:r>
      <w:r w:rsidR="00DC2F89" w:rsidRPr="00DC2F89">
        <w:rPr>
          <w:rFonts w:eastAsia="Times New Roman"/>
          <w:sz w:val="24"/>
          <w:szCs w:val="24"/>
        </w:rPr>
        <w:t>, 956 P.2d 618 (</w:t>
      </w:r>
      <w:r w:rsidR="00E71BCE">
        <w:rPr>
          <w:rFonts w:eastAsia="Times New Roman"/>
          <w:sz w:val="24"/>
          <w:szCs w:val="24"/>
        </w:rPr>
        <w:t>Colo. App.</w:t>
      </w:r>
      <w:r w:rsidR="00DC2F89" w:rsidRPr="00DC2F89">
        <w:rPr>
          <w:rFonts w:eastAsia="Times New Roman"/>
          <w:sz w:val="24"/>
          <w:szCs w:val="24"/>
        </w:rPr>
        <w:t xml:space="preserve"> 1997). On the other hand, where the facts and duties underlying claims for breach of a fiduciary duty and negligence are not the same, it is proper to submit both claims to the jury. </w:t>
      </w:r>
      <w:r w:rsidR="00DC2F89" w:rsidRPr="00DC2F89">
        <w:rPr>
          <w:rFonts w:eastAsia="Times New Roman"/>
          <w:b/>
          <w:sz w:val="24"/>
          <w:szCs w:val="24"/>
        </w:rPr>
        <w:t>Boyd v. Garvert</w:t>
      </w:r>
      <w:r w:rsidR="00DC2F89" w:rsidRPr="00DC2F89">
        <w:rPr>
          <w:rFonts w:eastAsia="Times New Roman"/>
          <w:sz w:val="24"/>
          <w:szCs w:val="24"/>
        </w:rPr>
        <w:t>,</w:t>
      </w:r>
      <w:r w:rsidR="00DC2F89" w:rsidRPr="00DC2F89">
        <w:rPr>
          <w:rFonts w:eastAsia="Times New Roman"/>
          <w:b/>
          <w:sz w:val="24"/>
          <w:szCs w:val="24"/>
        </w:rPr>
        <w:t xml:space="preserve"> </w:t>
      </w:r>
      <w:r w:rsidR="00DC2F89" w:rsidRPr="00DC2F89">
        <w:rPr>
          <w:rFonts w:eastAsia="Times New Roman"/>
          <w:sz w:val="24"/>
          <w:szCs w:val="24"/>
        </w:rPr>
        <w:t>9 P.3d 1161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 xml:space="preserve">2000). Expert testimony is necessary to support causation in a breach of fiduciary case arising out of an attorney-client relationship. </w:t>
      </w:r>
      <w:r w:rsidR="00DC2F89" w:rsidRPr="00DC2F89">
        <w:rPr>
          <w:rFonts w:eastAsia="Times New Roman"/>
          <w:b/>
          <w:sz w:val="24"/>
          <w:szCs w:val="24"/>
        </w:rPr>
        <w:t>Allen v. Martin</w:t>
      </w:r>
      <w:r w:rsidR="00DC2F89" w:rsidRPr="00DC2F89">
        <w:rPr>
          <w:rFonts w:eastAsia="Times New Roman"/>
          <w:sz w:val="24"/>
          <w:szCs w:val="24"/>
        </w:rPr>
        <w:t>, 203 P.3d 546 (</w:t>
      </w:r>
      <w:r w:rsidR="00E71BCE">
        <w:rPr>
          <w:rFonts w:eastAsia="Times New Roman"/>
          <w:sz w:val="24"/>
          <w:szCs w:val="24"/>
        </w:rPr>
        <w:t>Colo. App.</w:t>
      </w:r>
      <w:r w:rsidR="00DC2F89" w:rsidRPr="00DC2F89">
        <w:rPr>
          <w:rFonts w:eastAsia="Times New Roman"/>
          <w:sz w:val="24"/>
          <w:szCs w:val="24"/>
        </w:rPr>
        <w:t xml:space="preserve"> 2008).</w:t>
      </w:r>
    </w:p>
    <w:p w14:paraId="355E4247" w14:textId="77777777" w:rsidR="00DC2F89" w:rsidRPr="00DC2F89" w:rsidRDefault="00806F39" w:rsidP="00DC2F89">
      <w:pPr>
        <w:spacing w:after="240"/>
        <w:ind w:firstLine="720"/>
        <w:rPr>
          <w:rFonts w:eastAsia="Times New Roman"/>
          <w:sz w:val="24"/>
          <w:szCs w:val="24"/>
        </w:rPr>
      </w:pPr>
      <w:r>
        <w:rPr>
          <w:rFonts w:eastAsia="Times New Roman"/>
          <w:sz w:val="24"/>
          <w:szCs w:val="24"/>
        </w:rPr>
        <w:t>5</w:t>
      </w:r>
      <w:r w:rsidR="00DC2F89" w:rsidRPr="00DC2F89">
        <w:rPr>
          <w:rFonts w:eastAsia="Times New Roman"/>
          <w:sz w:val="24"/>
          <w:szCs w:val="24"/>
        </w:rPr>
        <w:t xml:space="preserve">.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00DC2F89" w:rsidRPr="00DC2F89">
        <w:rPr>
          <w:rFonts w:eastAsia="Times New Roman"/>
          <w:i/>
          <w:sz w:val="24"/>
          <w:szCs w:val="24"/>
        </w:rPr>
        <w:t>See</w:t>
      </w:r>
      <w:r w:rsidR="00DC2F89" w:rsidRPr="00DC2F89">
        <w:rPr>
          <w:rFonts w:eastAsia="Times New Roman"/>
          <w:sz w:val="24"/>
          <w:szCs w:val="24"/>
        </w:rPr>
        <w:t xml:space="preserve"> </w:t>
      </w:r>
      <w:r w:rsidR="00DC2F89" w:rsidRPr="00DC2F89">
        <w:rPr>
          <w:rFonts w:eastAsia="Times New Roman"/>
          <w:b/>
          <w:sz w:val="24"/>
          <w:szCs w:val="24"/>
        </w:rPr>
        <w:t>Estate of Heyn</w:t>
      </w:r>
      <w:r w:rsidR="00DC2F89" w:rsidRPr="00DC2F89">
        <w:rPr>
          <w:rFonts w:eastAsia="Times New Roman"/>
          <w:sz w:val="24"/>
          <w:szCs w:val="24"/>
        </w:rPr>
        <w:t>, 47 P.3d 724 (</w:t>
      </w:r>
      <w:r w:rsidR="00E71BCE">
        <w:rPr>
          <w:rFonts w:eastAsia="Times New Roman"/>
          <w:sz w:val="24"/>
          <w:szCs w:val="24"/>
        </w:rPr>
        <w:t>Colo. App.</w:t>
      </w:r>
      <w:r w:rsidR="00DC2F89" w:rsidRPr="00DC2F89">
        <w:rPr>
          <w:rFonts w:eastAsia="Times New Roman"/>
          <w:sz w:val="24"/>
          <w:szCs w:val="24"/>
        </w:rPr>
        <w:t xml:space="preserve"> 2002); </w:t>
      </w:r>
      <w:r w:rsidR="00DC2F89" w:rsidRPr="00DC2F89">
        <w:rPr>
          <w:rFonts w:eastAsia="Times New Roman"/>
          <w:i/>
          <w:sz w:val="24"/>
          <w:szCs w:val="24"/>
        </w:rPr>
        <w:t xml:space="preserve">see also </w:t>
      </w:r>
      <w:r w:rsidR="00DC2F89" w:rsidRPr="00DC2F89">
        <w:rPr>
          <w:rFonts w:eastAsia="Times New Roman"/>
          <w:b/>
          <w:sz w:val="24"/>
          <w:szCs w:val="24"/>
        </w:rPr>
        <w:t>In re Estate of Foiles</w:t>
      </w:r>
      <w:r w:rsidR="00DC2F89" w:rsidRPr="00DC2F89">
        <w:rPr>
          <w:rFonts w:eastAsia="Times New Roman"/>
          <w:sz w:val="24"/>
          <w:szCs w:val="24"/>
        </w:rPr>
        <w:t>, 2014 COA 104, ¶¶ 15, 45</w:t>
      </w:r>
      <w:r w:rsidR="00265D86">
        <w:rPr>
          <w:rFonts w:eastAsia="Times New Roman"/>
          <w:sz w:val="24"/>
          <w:szCs w:val="24"/>
        </w:rPr>
        <w:t>, 338 P.3d 1098</w:t>
      </w:r>
      <w:r w:rsidR="00DC2F89" w:rsidRPr="00DC2F89">
        <w:rPr>
          <w:rFonts w:eastAsia="Times New Roman"/>
          <w:sz w:val="24"/>
          <w:szCs w:val="24"/>
        </w:rPr>
        <w:t xml:space="preserve"> (trial court erred in failing to recognize prima facie case of breach of fiduciary duty where trustee transferred trust property to himself). </w:t>
      </w:r>
    </w:p>
    <w:p w14:paraId="7C21778E" w14:textId="116E4F5D" w:rsidR="00DC2F89" w:rsidRPr="00DC2F89" w:rsidRDefault="00806F39" w:rsidP="00DC2F89">
      <w:pPr>
        <w:spacing w:after="240"/>
        <w:ind w:firstLine="720"/>
        <w:rPr>
          <w:rFonts w:eastAsia="Times New Roman"/>
          <w:sz w:val="24"/>
          <w:szCs w:val="24"/>
        </w:rPr>
      </w:pPr>
      <w:r>
        <w:rPr>
          <w:rFonts w:eastAsia="Times New Roman"/>
          <w:sz w:val="24"/>
          <w:szCs w:val="24"/>
        </w:rPr>
        <w:t>6</w:t>
      </w:r>
      <w:r w:rsidR="00DC2F89" w:rsidRPr="00DC2F89">
        <w:rPr>
          <w:rFonts w:eastAsia="Times New Roman"/>
          <w:sz w:val="24"/>
          <w:szCs w:val="24"/>
        </w:rPr>
        <w:t xml:space="preserve">.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r w:rsidR="00DC2F89" w:rsidRPr="00DC2F89">
        <w:rPr>
          <w:rFonts w:eastAsia="Times New Roman"/>
          <w:b/>
          <w:sz w:val="24"/>
          <w:szCs w:val="24"/>
        </w:rPr>
        <w:t>Estate of Foiles</w:t>
      </w:r>
      <w:r w:rsidR="00DC2F89" w:rsidRPr="00DC2F89">
        <w:rPr>
          <w:rFonts w:eastAsia="Times New Roman"/>
          <w:sz w:val="24"/>
          <w:szCs w:val="24"/>
        </w:rPr>
        <w:t xml:space="preserve">, </w:t>
      </w:r>
      <w:r w:rsidR="00265D86">
        <w:rPr>
          <w:rFonts w:eastAsia="Times New Roman"/>
          <w:sz w:val="24"/>
          <w:szCs w:val="24"/>
        </w:rPr>
        <w:t>¶ 43</w:t>
      </w:r>
      <w:r w:rsidR="000C7A2E">
        <w:rPr>
          <w:rFonts w:eastAsia="Times New Roman"/>
          <w:sz w:val="24"/>
          <w:szCs w:val="24"/>
        </w:rPr>
        <w:t>, 338 P.3d at 1104</w:t>
      </w:r>
      <w:r w:rsidR="00DC2F89" w:rsidRPr="00DC2F89">
        <w:rPr>
          <w:rFonts w:eastAsia="Times New Roman"/>
          <w:sz w:val="24"/>
          <w:szCs w:val="24"/>
        </w:rPr>
        <w:t>.</w:t>
      </w:r>
    </w:p>
    <w:p w14:paraId="2AF473A8" w14:textId="77777777" w:rsidR="00DC2F89" w:rsidRPr="00DC2F89" w:rsidRDefault="00806F39" w:rsidP="00DC2F89">
      <w:pPr>
        <w:spacing w:after="240"/>
        <w:ind w:firstLine="720"/>
        <w:rPr>
          <w:rFonts w:eastAsia="Times New Roman"/>
          <w:sz w:val="24"/>
          <w:szCs w:val="24"/>
        </w:rPr>
      </w:pPr>
      <w:r>
        <w:rPr>
          <w:rFonts w:eastAsia="Times New Roman"/>
          <w:sz w:val="24"/>
          <w:szCs w:val="24"/>
        </w:rPr>
        <w:t>7</w:t>
      </w:r>
      <w:r w:rsidR="00DC2F89" w:rsidRPr="00DC2F89">
        <w:rPr>
          <w:rFonts w:eastAsia="Times New Roman"/>
          <w:sz w:val="24"/>
          <w:szCs w:val="24"/>
        </w:rPr>
        <w:t xml:space="preserve">. Colorado recognizes a claim </w:t>
      </w:r>
      <w:r w:rsidR="00FA53D7">
        <w:rPr>
          <w:rFonts w:eastAsia="Times New Roman"/>
          <w:sz w:val="24"/>
          <w:szCs w:val="24"/>
        </w:rPr>
        <w:t>for</w:t>
      </w:r>
      <w:r w:rsidR="00DC2F89" w:rsidRPr="00DC2F89">
        <w:rPr>
          <w:rFonts w:eastAsia="Times New Roman"/>
          <w:sz w:val="24"/>
          <w:szCs w:val="24"/>
        </w:rPr>
        <w:t xml:space="preserve"> breach of a duty of loyalty arising out of an employer-employee relationship. </w:t>
      </w:r>
      <w:r w:rsidR="00DC2F89" w:rsidRPr="00DC2F89">
        <w:rPr>
          <w:rFonts w:eastAsia="Times New Roman"/>
          <w:b/>
          <w:sz w:val="24"/>
          <w:szCs w:val="24"/>
        </w:rPr>
        <w:t>Jet Courier Serv., Inc. v. Mulei</w:t>
      </w:r>
      <w:r w:rsidR="00DC2F89"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w:t>
      </w:r>
      <w:r w:rsidR="00FA53D7">
        <w:rPr>
          <w:rFonts w:eastAsia="Times New Roman"/>
          <w:sz w:val="24"/>
          <w:szCs w:val="24"/>
        </w:rPr>
        <w:t xml:space="preserve">When the </w:t>
      </w:r>
      <w:r w:rsidR="00FA53D7">
        <w:rPr>
          <w:rFonts w:eastAsia="Times New Roman"/>
          <w:sz w:val="24"/>
          <w:szCs w:val="24"/>
        </w:rPr>
        <w:lastRenderedPageBreak/>
        <w:t xml:space="preserve">circumstances demonstrate that the employee is an agent of the employer, the duty of loyalty applies. </w:t>
      </w:r>
      <w:r w:rsidR="00DC2F89" w:rsidRPr="00DC2F89">
        <w:rPr>
          <w:rFonts w:eastAsia="Times New Roman"/>
          <w:i/>
          <w:sz w:val="24"/>
          <w:szCs w:val="24"/>
        </w:rPr>
        <w:t xml:space="preserve">See </w:t>
      </w:r>
      <w:r w:rsidR="00DC2F89" w:rsidRPr="00DC2F89">
        <w:rPr>
          <w:rFonts w:eastAsia="Times New Roman"/>
          <w:b/>
          <w:sz w:val="24"/>
          <w:szCs w:val="24"/>
        </w:rPr>
        <w:t>Graphic Directions, Inc. v. Bush</w:t>
      </w:r>
      <w:r w:rsidR="00DC2F89" w:rsidRPr="00DC2F89">
        <w:rPr>
          <w:rFonts w:eastAsia="Times New Roman"/>
          <w:sz w:val="24"/>
          <w:szCs w:val="24"/>
        </w:rPr>
        <w:t>, 862 P.2d 1020 (</w:t>
      </w:r>
      <w:r w:rsidR="00E71BCE">
        <w:rPr>
          <w:rFonts w:eastAsia="Times New Roman"/>
          <w:sz w:val="24"/>
          <w:szCs w:val="24"/>
        </w:rPr>
        <w:t>Colo. App.</w:t>
      </w:r>
      <w:r w:rsidR="005575D0">
        <w:rPr>
          <w:rFonts w:eastAsia="Times New Roman"/>
          <w:sz w:val="24"/>
          <w:szCs w:val="24"/>
        </w:rPr>
        <w:t xml:space="preserve"> </w:t>
      </w:r>
      <w:r w:rsidR="00DC2F89" w:rsidRPr="00DC2F89">
        <w:rPr>
          <w:rFonts w:eastAsia="Times New Roman"/>
          <w:sz w:val="24"/>
          <w:szCs w:val="24"/>
        </w:rPr>
        <w:t>1993) (</w:t>
      </w:r>
      <w:r w:rsidR="005575D0">
        <w:rPr>
          <w:rFonts w:eastAsia="Times New Roman"/>
          <w:sz w:val="24"/>
          <w:szCs w:val="24"/>
        </w:rPr>
        <w:t>employee handled technical aspects of client accounts and supervised work of artists</w:t>
      </w:r>
      <w:r w:rsidR="00FA53D7">
        <w:rPr>
          <w:rFonts w:eastAsia="Times New Roman"/>
          <w:sz w:val="24"/>
          <w:szCs w:val="24"/>
        </w:rPr>
        <w:t>, thus demonstrating sufficient authority to create agency relationship and duty of loyalty</w:t>
      </w:r>
      <w:r w:rsidR="001561D5">
        <w:rPr>
          <w:rFonts w:eastAsia="Times New Roman"/>
          <w:sz w:val="24"/>
          <w:szCs w:val="24"/>
        </w:rPr>
        <w:t xml:space="preserve"> to employer</w:t>
      </w:r>
      <w:r w:rsidR="00DC2F89" w:rsidRPr="00DC2F89">
        <w:rPr>
          <w:rFonts w:eastAsia="Times New Roman"/>
          <w:sz w:val="24"/>
          <w:szCs w:val="24"/>
        </w:rPr>
        <w:t xml:space="preserve">); </w:t>
      </w:r>
      <w:r w:rsidR="00B134C5" w:rsidRPr="00B134C5">
        <w:rPr>
          <w:rFonts w:eastAsia="Times New Roman"/>
          <w:i/>
          <w:sz w:val="24"/>
          <w:szCs w:val="24"/>
        </w:rPr>
        <w:t>see also</w:t>
      </w:r>
      <w:r w:rsidR="00B134C5">
        <w:rPr>
          <w:rFonts w:eastAsia="Times New Roman"/>
          <w:sz w:val="24"/>
          <w:szCs w:val="24"/>
        </w:rPr>
        <w:t xml:space="preserve"> </w:t>
      </w:r>
      <w:r w:rsidR="00B134C5" w:rsidRPr="00DC2F89">
        <w:rPr>
          <w:rFonts w:eastAsia="Times New Roman"/>
          <w:b/>
          <w:sz w:val="24"/>
          <w:szCs w:val="24"/>
        </w:rPr>
        <w:t>Lucht’s Concrete Pumping, Inc. v. Horner</w:t>
      </w:r>
      <w:r w:rsidR="00B134C5" w:rsidRPr="00DC2F89">
        <w:rPr>
          <w:rFonts w:eastAsia="Times New Roman"/>
          <w:sz w:val="24"/>
          <w:szCs w:val="24"/>
        </w:rPr>
        <w:t>, 224 P.3d 355 (</w:t>
      </w:r>
      <w:r w:rsidR="00B134C5">
        <w:rPr>
          <w:rFonts w:eastAsia="Times New Roman"/>
          <w:sz w:val="24"/>
          <w:szCs w:val="24"/>
        </w:rPr>
        <w:t>Colo. App.</w:t>
      </w:r>
      <w:r w:rsidR="00B134C5" w:rsidRPr="00DC2F89">
        <w:rPr>
          <w:rFonts w:eastAsia="Times New Roman"/>
          <w:sz w:val="24"/>
          <w:szCs w:val="24"/>
        </w:rPr>
        <w:t xml:space="preserve"> 2009)</w:t>
      </w:r>
      <w:r w:rsidR="00B041F7">
        <w:rPr>
          <w:rFonts w:eastAsia="Times New Roman"/>
          <w:sz w:val="24"/>
          <w:szCs w:val="24"/>
        </w:rPr>
        <w:t xml:space="preserve"> </w:t>
      </w:r>
      <w:r w:rsidR="00B041F7" w:rsidRPr="00DC2F89">
        <w:rPr>
          <w:rFonts w:eastAsia="Times New Roman"/>
          <w:sz w:val="24"/>
          <w:szCs w:val="24"/>
        </w:rPr>
        <w:t>(employee’s authority made him an agent of the employer</w:t>
      </w:r>
      <w:r w:rsidR="00B041F7">
        <w:rPr>
          <w:rFonts w:eastAsia="Times New Roman"/>
          <w:sz w:val="24"/>
          <w:szCs w:val="24"/>
        </w:rPr>
        <w:t xml:space="preserve"> and created</w:t>
      </w:r>
      <w:r w:rsidR="00B041F7" w:rsidRPr="00DC2F89">
        <w:rPr>
          <w:rFonts w:eastAsia="Times New Roman"/>
          <w:sz w:val="24"/>
          <w:szCs w:val="24"/>
        </w:rPr>
        <w:t xml:space="preserve"> a fiduciary relationship)</w:t>
      </w:r>
      <w:r w:rsidR="00B134C5" w:rsidRPr="00DC2F89">
        <w:rPr>
          <w:rFonts w:eastAsia="Times New Roman"/>
          <w:sz w:val="24"/>
          <w:szCs w:val="24"/>
        </w:rPr>
        <w:t xml:space="preserve">, </w:t>
      </w:r>
      <w:r w:rsidR="00B134C5" w:rsidRPr="00DC2F89">
        <w:rPr>
          <w:rFonts w:eastAsia="Times New Roman"/>
          <w:i/>
          <w:sz w:val="24"/>
          <w:szCs w:val="24"/>
        </w:rPr>
        <w:t>rev’d on other grounds</w:t>
      </w:r>
      <w:r w:rsidR="00B134C5" w:rsidRPr="00DC2F89">
        <w:rPr>
          <w:rFonts w:eastAsia="Times New Roman"/>
          <w:sz w:val="24"/>
          <w:szCs w:val="24"/>
        </w:rPr>
        <w:t>, 255 P.3d 1058 (Colo. 2011)</w:t>
      </w:r>
      <w:r w:rsidR="00B041F7">
        <w:rPr>
          <w:rFonts w:eastAsia="Times New Roman"/>
          <w:sz w:val="24"/>
          <w:szCs w:val="24"/>
        </w:rPr>
        <w:t xml:space="preserve">; </w:t>
      </w:r>
      <w:r w:rsidR="00DC2F89" w:rsidRPr="00DC2F89">
        <w:rPr>
          <w:rFonts w:eastAsia="Times New Roman"/>
          <w:b/>
          <w:sz w:val="24"/>
          <w:szCs w:val="24"/>
        </w:rPr>
        <w:t>Koontz v. Rosener</w:t>
      </w:r>
      <w:r w:rsidR="00DC2F89" w:rsidRPr="00DC2F89">
        <w:rPr>
          <w:rFonts w:eastAsia="Times New Roman"/>
          <w:sz w:val="24"/>
          <w:szCs w:val="24"/>
        </w:rPr>
        <w:t>, 787 P.2d 192 (Colo. App. 1989) (</w:t>
      </w:r>
      <w:r w:rsidR="00B134C5">
        <w:rPr>
          <w:rFonts w:eastAsia="Times New Roman"/>
          <w:sz w:val="24"/>
          <w:szCs w:val="24"/>
        </w:rPr>
        <w:t xml:space="preserve">employees breached duty of loyalty </w:t>
      </w:r>
      <w:r w:rsidR="00DC2F89" w:rsidRPr="00DC2F89">
        <w:rPr>
          <w:rFonts w:eastAsia="Times New Roman"/>
          <w:sz w:val="24"/>
          <w:szCs w:val="24"/>
        </w:rPr>
        <w:t xml:space="preserve">by shortlisting </w:t>
      </w:r>
      <w:r w:rsidR="00B134C5">
        <w:rPr>
          <w:rFonts w:eastAsia="Times New Roman"/>
          <w:sz w:val="24"/>
          <w:szCs w:val="24"/>
        </w:rPr>
        <w:t>and</w:t>
      </w:r>
      <w:r w:rsidR="00DC2F89" w:rsidRPr="00DC2F89">
        <w:rPr>
          <w:rFonts w:eastAsia="Times New Roman"/>
          <w:sz w:val="24"/>
          <w:szCs w:val="24"/>
        </w:rPr>
        <w:t xml:space="preserve"> discouraging real estate offerings and soliciting co-workers to </w:t>
      </w:r>
      <w:r w:rsidR="00B134C5">
        <w:rPr>
          <w:rFonts w:eastAsia="Times New Roman"/>
          <w:sz w:val="24"/>
          <w:szCs w:val="24"/>
        </w:rPr>
        <w:t>join their anticipated venture</w:t>
      </w:r>
      <w:r w:rsidR="00DC2F89" w:rsidRPr="00DC2F89">
        <w:rPr>
          <w:rFonts w:eastAsia="Times New Roman"/>
          <w:sz w:val="24"/>
          <w:szCs w:val="24"/>
        </w:rPr>
        <w:t>)</w:t>
      </w:r>
      <w:r w:rsidR="00B041F7">
        <w:rPr>
          <w:rFonts w:eastAsia="Times New Roman"/>
          <w:sz w:val="24"/>
          <w:szCs w:val="24"/>
        </w:rPr>
        <w:t>.</w:t>
      </w:r>
    </w:p>
    <w:p w14:paraId="7F05AB40" w14:textId="77777777" w:rsidR="00DC2F89" w:rsidRPr="00DC2F89" w:rsidRDefault="00806F39" w:rsidP="00DC2F89">
      <w:pPr>
        <w:spacing w:after="240"/>
        <w:ind w:firstLine="720"/>
        <w:rPr>
          <w:rFonts w:eastAsia="Times New Roman"/>
          <w:sz w:val="24"/>
          <w:szCs w:val="24"/>
        </w:rPr>
      </w:pPr>
      <w:r>
        <w:rPr>
          <w:rFonts w:eastAsia="Times New Roman"/>
          <w:sz w:val="24"/>
          <w:szCs w:val="24"/>
        </w:rPr>
        <w:t>8</w:t>
      </w:r>
      <w:r w:rsidR="00DC2F89" w:rsidRPr="00DC2F89">
        <w:rPr>
          <w:rFonts w:eastAsia="Times New Roman"/>
          <w:sz w:val="24"/>
          <w:szCs w:val="24"/>
        </w:rPr>
        <w:t xml:space="preserve">. A fiduciary has the duty to disclose only material information. Therefore, a breach of fiduciary duty by non-disclosure requires that the undisclosed information be material. </w:t>
      </w:r>
      <w:r w:rsidR="00DC2F89" w:rsidRPr="00DC2F89">
        <w:rPr>
          <w:rFonts w:eastAsia="Times New Roman"/>
          <w:b/>
          <w:sz w:val="24"/>
          <w:szCs w:val="24"/>
        </w:rPr>
        <w:t>Moye White LLP v. Beren</w:t>
      </w:r>
      <w:r w:rsidR="00DC2F89" w:rsidRPr="00DC2F89">
        <w:rPr>
          <w:rFonts w:eastAsia="Times New Roman"/>
          <w:sz w:val="24"/>
          <w:szCs w:val="24"/>
        </w:rPr>
        <w:t xml:space="preserve">, 2013 COA 89, </w:t>
      </w:r>
      <w:r w:rsidR="00B041F7">
        <w:rPr>
          <w:rFonts w:eastAsia="Times New Roman"/>
          <w:sz w:val="24"/>
          <w:szCs w:val="24"/>
        </w:rPr>
        <w:t xml:space="preserve">¶¶ 27, 38, </w:t>
      </w:r>
      <w:r w:rsidR="00DC2F89" w:rsidRPr="00DC2F89">
        <w:rPr>
          <w:rFonts w:eastAsia="Times New Roman"/>
          <w:sz w:val="24"/>
          <w:szCs w:val="24"/>
        </w:rPr>
        <w:t xml:space="preserve">320 P.3d 373 (attorney’s </w:t>
      </w:r>
      <w:r w:rsidR="00B041F7">
        <w:rPr>
          <w:rFonts w:eastAsia="Times New Roman"/>
          <w:sz w:val="24"/>
          <w:szCs w:val="24"/>
        </w:rPr>
        <w:t xml:space="preserve">medical and </w:t>
      </w:r>
      <w:r w:rsidR="00DC2F89" w:rsidRPr="00DC2F89">
        <w:rPr>
          <w:rFonts w:eastAsia="Times New Roman"/>
          <w:sz w:val="24"/>
          <w:szCs w:val="24"/>
        </w:rPr>
        <w:t xml:space="preserve">arrest </w:t>
      </w:r>
      <w:r w:rsidR="00B041F7">
        <w:rPr>
          <w:rFonts w:eastAsia="Times New Roman"/>
          <w:sz w:val="24"/>
          <w:szCs w:val="24"/>
        </w:rPr>
        <w:t>history</w:t>
      </w:r>
      <w:r w:rsidR="00DC2F89" w:rsidRPr="00DC2F89">
        <w:rPr>
          <w:rFonts w:eastAsia="Times New Roman"/>
          <w:sz w:val="24"/>
          <w:szCs w:val="24"/>
        </w:rPr>
        <w:t xml:space="preserve"> w</w:t>
      </w:r>
      <w:r w:rsidR="00B041F7">
        <w:rPr>
          <w:rFonts w:eastAsia="Times New Roman"/>
          <w:sz w:val="24"/>
          <w:szCs w:val="24"/>
        </w:rPr>
        <w:t>as</w:t>
      </w:r>
      <w:r w:rsidR="00DC2F89" w:rsidRPr="00DC2F89">
        <w:rPr>
          <w:rFonts w:eastAsia="Times New Roman"/>
          <w:sz w:val="24"/>
          <w:szCs w:val="24"/>
        </w:rPr>
        <w:t xml:space="preserve"> not material because risk of </w:t>
      </w:r>
      <w:r w:rsidR="00433162">
        <w:rPr>
          <w:rFonts w:eastAsia="Times New Roman"/>
          <w:sz w:val="24"/>
          <w:szCs w:val="24"/>
        </w:rPr>
        <w:t>impaired</w:t>
      </w:r>
      <w:r w:rsidR="00DC2F89" w:rsidRPr="00DC2F89">
        <w:rPr>
          <w:rFonts w:eastAsia="Times New Roman"/>
          <w:sz w:val="24"/>
          <w:szCs w:val="24"/>
        </w:rPr>
        <w:t xml:space="preserve"> legal representation was speculative).</w:t>
      </w:r>
    </w:p>
    <w:p w14:paraId="1787B16F" w14:textId="77777777" w:rsidR="00E41870" w:rsidRDefault="00E41870">
      <w:pPr>
        <w:rPr>
          <w:rFonts w:eastAsia="Times New Roman"/>
          <w:sz w:val="24"/>
          <w:szCs w:val="24"/>
        </w:rPr>
      </w:pPr>
      <w:r>
        <w:rPr>
          <w:rFonts w:eastAsia="Times New Roman"/>
          <w:sz w:val="24"/>
          <w:szCs w:val="24"/>
        </w:rPr>
        <w:br w:type="page"/>
      </w:r>
    </w:p>
    <w:p w14:paraId="4BAEBA7A" w14:textId="77777777" w:rsidR="00E41870" w:rsidRPr="009E3DA4" w:rsidRDefault="00E41870" w:rsidP="00E41870">
      <w:pPr>
        <w:spacing w:after="240"/>
        <w:ind w:left="720" w:hanging="720"/>
        <w:rPr>
          <w:rFonts w:eastAsia="Times New Roman"/>
          <w:b/>
          <w:sz w:val="24"/>
          <w:szCs w:val="24"/>
        </w:rPr>
      </w:pPr>
      <w:bookmarkStart w:id="1" w:name="a26_02"/>
      <w:bookmarkEnd w:id="1"/>
      <w:r w:rsidRPr="00E41870">
        <w:rPr>
          <w:rFonts w:eastAsia="Times New Roman"/>
          <w:b/>
          <w:sz w:val="24"/>
          <w:szCs w:val="24"/>
        </w:rPr>
        <w:lastRenderedPageBreak/>
        <w:t xml:space="preserve">26:2 </w:t>
      </w:r>
      <w:r w:rsidRPr="00E41870">
        <w:rPr>
          <w:rFonts w:eastAsia="Times New Roman"/>
          <w:b/>
          <w:sz w:val="24"/>
          <w:szCs w:val="24"/>
        </w:rPr>
        <w:tab/>
        <w:t>FIDUCIARY RELATIONSHIP — DEFINED</w:t>
      </w:r>
    </w:p>
    <w:p w14:paraId="0934BB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14:paraId="47016E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(insert appropriate description, e.g., “attorney,” “partner,” “joint venturer,”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14:paraId="1CF091AE" w14:textId="77777777" w:rsidR="00E41870" w:rsidRDefault="00E41870" w:rsidP="00E41870">
      <w:pPr>
        <w:jc w:val="center"/>
        <w:rPr>
          <w:rFonts w:eastAsia="Times New Roman"/>
          <w:sz w:val="24"/>
          <w:szCs w:val="24"/>
        </w:rPr>
      </w:pPr>
    </w:p>
    <w:p w14:paraId="54118BAA"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027CF3A" w14:textId="58E7D403"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w:t>
      </w:r>
      <w:r w:rsidR="00433162">
        <w:rPr>
          <w:rFonts w:eastAsia="Times New Roman"/>
          <w:sz w:val="24"/>
          <w:szCs w:val="24"/>
        </w:rPr>
        <w:t>require</w:t>
      </w:r>
      <w:r w:rsidRPr="00E41870">
        <w:rPr>
          <w:rFonts w:eastAsia="Times New Roman"/>
          <w:sz w:val="24"/>
          <w:szCs w:val="24"/>
        </w:rPr>
        <w:t xml:space="preserve"> modifi</w:t>
      </w:r>
      <w:r w:rsidR="00433162">
        <w:rPr>
          <w:rFonts w:eastAsia="Times New Roman"/>
          <w:sz w:val="24"/>
          <w:szCs w:val="24"/>
        </w:rPr>
        <w:t>cation</w:t>
      </w:r>
      <w:r w:rsidRPr="00E41870">
        <w:rPr>
          <w:rFonts w:eastAsia="Times New Roman"/>
          <w:sz w:val="24"/>
          <w:szCs w:val="24"/>
        </w:rPr>
        <w:t>.</w:t>
      </w:r>
    </w:p>
    <w:p w14:paraId="5245AF13"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14:paraId="565A3EEC"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F2CC776" w14:textId="0A3B6EB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00806F39" w:rsidRPr="00806F39">
        <w:rPr>
          <w:rFonts w:eastAsia="Times New Roman"/>
          <w:b/>
          <w:sz w:val="24"/>
          <w:szCs w:val="24"/>
        </w:rPr>
        <w:t>Rocky Mountain Exploration, Inc. v. Davis Graham &amp; Stubbs LLP</w:t>
      </w:r>
      <w:r w:rsidR="00806F39">
        <w:rPr>
          <w:rFonts w:eastAsia="Times New Roman"/>
          <w:sz w:val="24"/>
          <w:szCs w:val="24"/>
        </w:rPr>
        <w:t xml:space="preserve">, 2018 CO 54, </w:t>
      </w:r>
      <w:r w:rsidR="00776F3F">
        <w:rPr>
          <w:rFonts w:eastAsia="Times New Roman"/>
          <w:sz w:val="24"/>
          <w:szCs w:val="24"/>
        </w:rPr>
        <w:t>¶ 60</w:t>
      </w:r>
      <w:r w:rsidR="00BB28E0">
        <w:rPr>
          <w:rFonts w:eastAsia="Times New Roman"/>
          <w:sz w:val="24"/>
          <w:szCs w:val="24"/>
        </w:rPr>
        <w:t>, 420 P.3d 223</w:t>
      </w:r>
      <w:r w:rsidRPr="00E41870">
        <w:rPr>
          <w:rFonts w:eastAsia="Times New Roman"/>
          <w:sz w:val="24"/>
          <w:szCs w:val="24"/>
        </w:rPr>
        <w:t xml:space="preserve">; </w:t>
      </w:r>
      <w:r w:rsidR="00CE2A2F" w:rsidRPr="00CE2A2F">
        <w:rPr>
          <w:rFonts w:eastAsia="Times New Roman"/>
          <w:b/>
          <w:sz w:val="24"/>
          <w:szCs w:val="24"/>
        </w:rPr>
        <w:t xml:space="preserve">Accident &amp; Injury </w:t>
      </w:r>
      <w:r w:rsidR="00CE2A2F">
        <w:rPr>
          <w:rFonts w:eastAsia="Times New Roman"/>
          <w:b/>
          <w:sz w:val="24"/>
          <w:szCs w:val="24"/>
        </w:rPr>
        <w:t xml:space="preserve">Medical </w:t>
      </w:r>
      <w:r w:rsidR="00CE2A2F" w:rsidRPr="00CE2A2F">
        <w:rPr>
          <w:rFonts w:eastAsia="Times New Roman"/>
          <w:b/>
          <w:sz w:val="24"/>
          <w:szCs w:val="24"/>
        </w:rPr>
        <w:t>Specialists, P.C. v. Mintz</w:t>
      </w:r>
      <w:r w:rsidR="00CE2A2F">
        <w:rPr>
          <w:rFonts w:eastAsia="Times New Roman"/>
          <w:sz w:val="24"/>
          <w:szCs w:val="24"/>
        </w:rPr>
        <w:t xml:space="preserve">, 2012 CO 50, ¶ 21, 279 P.3d 658; </w:t>
      </w:r>
      <w:r w:rsidR="00776F3F">
        <w:rPr>
          <w:rFonts w:eastAsia="Times New Roman"/>
          <w:sz w:val="24"/>
          <w:szCs w:val="24"/>
        </w:rPr>
        <w:t xml:space="preserve">and </w:t>
      </w:r>
      <w:r w:rsidR="00776F3F" w:rsidRPr="00E41870">
        <w:rPr>
          <w:rFonts w:eastAsia="Times New Roman"/>
          <w:b/>
          <w:sz w:val="24"/>
          <w:szCs w:val="24"/>
        </w:rPr>
        <w:t>Moses v. Diocese of Colo.</w:t>
      </w:r>
      <w:r w:rsidR="00776F3F" w:rsidRPr="00E41870">
        <w:rPr>
          <w:rFonts w:eastAsia="Times New Roman"/>
          <w:sz w:val="24"/>
          <w:szCs w:val="24"/>
        </w:rPr>
        <w:t>, 863 P.2d 310 (Colo. 1993)</w:t>
      </w:r>
      <w:r w:rsidR="00776F3F">
        <w:rPr>
          <w:rFonts w:eastAsia="Times New Roman"/>
          <w:sz w:val="24"/>
          <w:szCs w:val="24"/>
        </w:rPr>
        <w:t xml:space="preserve">. </w:t>
      </w:r>
      <w:r w:rsidR="00776F3F" w:rsidRPr="00776F3F">
        <w:rPr>
          <w:rFonts w:eastAsia="Times New Roman"/>
          <w:i/>
          <w:sz w:val="24"/>
          <w:szCs w:val="24"/>
        </w:rPr>
        <w:t>See also</w:t>
      </w:r>
      <w:r w:rsidR="00776F3F">
        <w:rPr>
          <w:rFonts w:eastAsia="Times New Roman"/>
          <w:sz w:val="24"/>
          <w:szCs w:val="24"/>
        </w:rPr>
        <w:t xml:space="preserve"> </w:t>
      </w:r>
      <w:r w:rsidR="00776F3F" w:rsidRPr="00E41870">
        <w:rPr>
          <w:rFonts w:eastAsia="Times New Roman"/>
          <w:b/>
          <w:sz w:val="24"/>
          <w:szCs w:val="24"/>
        </w:rPr>
        <w:t>Lucas v. Abbott</w:t>
      </w:r>
      <w:r w:rsidR="00776F3F" w:rsidRPr="00E41870">
        <w:rPr>
          <w:rFonts w:eastAsia="Times New Roman"/>
          <w:sz w:val="24"/>
          <w:szCs w:val="24"/>
        </w:rPr>
        <w:t>, 198 Colo. 477, 601 P.2d 1376 (1979) (joint venturers)</w:t>
      </w:r>
      <w:r w:rsidR="00776F3F">
        <w:rPr>
          <w:rFonts w:eastAsia="Times New Roman"/>
          <w:sz w:val="24"/>
          <w:szCs w:val="24"/>
        </w:rPr>
        <w:t xml:space="preserve">;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008C79FC" w:rsidRPr="00E41870">
        <w:rPr>
          <w:rFonts w:eastAsia="Times New Roman"/>
          <w:b/>
          <w:sz w:val="24"/>
          <w:szCs w:val="24"/>
        </w:rPr>
        <w:t>Howard v. Hester</w:t>
      </w:r>
      <w:r w:rsidR="008C79FC" w:rsidRPr="00E41870">
        <w:rPr>
          <w:rFonts w:eastAsia="Times New Roman"/>
          <w:sz w:val="24"/>
          <w:szCs w:val="24"/>
        </w:rPr>
        <w:t xml:space="preserve">, 139 Colo. 255, 338 P.2d 106 (1959) (attorney and real estate agent); </w:t>
      </w:r>
      <w:r w:rsidRPr="00E41870">
        <w:rPr>
          <w:rFonts w:eastAsia="Times New Roman"/>
          <w:b/>
          <w:sz w:val="24"/>
          <w:szCs w:val="24"/>
        </w:rPr>
        <w:t>Midwest Mut</w:t>
      </w:r>
      <w:r w:rsidR="00776F3F">
        <w:rPr>
          <w:rFonts w:eastAsia="Times New Roman"/>
          <w:b/>
          <w:sz w:val="24"/>
          <w:szCs w:val="24"/>
        </w:rPr>
        <w:t>., Inc.</w:t>
      </w:r>
      <w:r w:rsidRPr="00E41870">
        <w:rPr>
          <w:rFonts w:eastAsia="Times New Roman"/>
          <w:b/>
          <w:sz w:val="24"/>
          <w:szCs w:val="24"/>
        </w:rPr>
        <w:t xml:space="preserve"> v. Heald</w:t>
      </w:r>
      <w:r w:rsidRPr="00E41870">
        <w:rPr>
          <w:rFonts w:eastAsia="Times New Roman"/>
          <w:sz w:val="24"/>
          <w:szCs w:val="24"/>
        </w:rPr>
        <w:t xml:space="preserve">, 106 Colo. 552, 108 P.2d 535 (1940) (attorney); </w:t>
      </w:r>
      <w:r w:rsidRPr="00E41870">
        <w:rPr>
          <w:rFonts w:eastAsia="Times New Roman"/>
          <w:b/>
          <w:sz w:val="24"/>
          <w:szCs w:val="24"/>
        </w:rPr>
        <w:t>Hart v. Colo</w:t>
      </w:r>
      <w:r w:rsidR="00402C7C">
        <w:rPr>
          <w:rFonts w:eastAsia="Times New Roman"/>
          <w:b/>
          <w:sz w:val="24"/>
          <w:szCs w:val="24"/>
        </w:rPr>
        <w:t>.</w:t>
      </w:r>
      <w:r w:rsidRPr="00E41870">
        <w:rPr>
          <w:rFonts w:eastAsia="Times New Roman"/>
          <w:b/>
          <w:sz w:val="24"/>
          <w:szCs w:val="24"/>
        </w:rPr>
        <w:t xml:space="preserve"> Real Estate Comm</w:t>
      </w:r>
      <w:r w:rsidR="00402C7C">
        <w:rPr>
          <w:rFonts w:eastAsia="Times New Roman"/>
          <w:b/>
          <w:sz w:val="24"/>
          <w:szCs w:val="24"/>
        </w:rPr>
        <w:t>’</w:t>
      </w:r>
      <w:r w:rsidRPr="00E41870">
        <w:rPr>
          <w:rFonts w:eastAsia="Times New Roman"/>
          <w:b/>
          <w:sz w:val="24"/>
          <w:szCs w:val="24"/>
        </w:rPr>
        <w:t>n</w:t>
      </w:r>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14:paraId="53ECF101" w14:textId="6F05EA2F"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w:t>
      </w:r>
      <w:r w:rsidRPr="00E41870">
        <w:rPr>
          <w:rFonts w:eastAsia="Times New Roman"/>
          <w:sz w:val="24"/>
          <w:szCs w:val="24"/>
        </w:rPr>
        <w:t xml:space="preserve">, 863 P.2d </w:t>
      </w:r>
      <w:r w:rsidR="00776F3F">
        <w:rPr>
          <w:rFonts w:eastAsia="Times New Roman"/>
          <w:sz w:val="24"/>
          <w:szCs w:val="24"/>
        </w:rPr>
        <w:t xml:space="preserve">at </w:t>
      </w:r>
      <w:r w:rsidRPr="00E41870">
        <w:rPr>
          <w:rFonts w:eastAsia="Times New Roman"/>
          <w:sz w:val="24"/>
          <w:szCs w:val="24"/>
        </w:rPr>
        <w:t>3</w:t>
      </w:r>
      <w:r w:rsidR="00776F3F">
        <w:rPr>
          <w:rFonts w:eastAsia="Times New Roman"/>
          <w:sz w:val="24"/>
          <w:szCs w:val="24"/>
        </w:rPr>
        <w:t>2</w:t>
      </w:r>
      <w:r w:rsidRPr="00E41870">
        <w:rPr>
          <w:rFonts w:eastAsia="Times New Roman"/>
          <w:sz w:val="24"/>
          <w:szCs w:val="24"/>
        </w:rPr>
        <w:t>1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14:paraId="43E685DC" w14:textId="78C8D4A5" w:rsidR="00E41870" w:rsidRDefault="00E41870" w:rsidP="00E41870">
      <w:pPr>
        <w:spacing w:after="240"/>
        <w:ind w:firstLine="720"/>
        <w:rPr>
          <w:rFonts w:eastAsia="Times New Roman"/>
          <w:sz w:val="24"/>
          <w:szCs w:val="24"/>
        </w:rPr>
      </w:pPr>
      <w:r w:rsidRPr="00E41870">
        <w:rPr>
          <w:rFonts w:eastAsia="Times New Roman"/>
          <w:sz w:val="24"/>
          <w:szCs w:val="24"/>
        </w:rPr>
        <w:t>3. Fiduciary duties arise only as to matters within the scope of th</w:t>
      </w:r>
      <w:r w:rsidR="009603E5">
        <w:rPr>
          <w:rFonts w:eastAsia="Times New Roman"/>
          <w:sz w:val="24"/>
          <w:szCs w:val="24"/>
        </w:rPr>
        <w:t xml:space="preserve">e fiduciary relationship. </w:t>
      </w:r>
      <w:r w:rsidRPr="00E41870">
        <w:rPr>
          <w:rFonts w:eastAsia="Times New Roman"/>
          <w:i/>
          <w:sz w:val="24"/>
          <w:szCs w:val="24"/>
        </w:rPr>
        <w:t xml:space="preserve">See </w:t>
      </w:r>
      <w:r w:rsidRPr="00E41870">
        <w:rPr>
          <w:rFonts w:eastAsia="Times New Roman"/>
          <w:b/>
          <w:sz w:val="24"/>
          <w:szCs w:val="24"/>
        </w:rPr>
        <w:t>Mintz v. Accident &amp; Injury Med. Specialists, PC</w:t>
      </w:r>
      <w:r w:rsidRPr="00E41870">
        <w:rPr>
          <w:rFonts w:eastAsia="Times New Roman"/>
          <w:sz w:val="24"/>
          <w:szCs w:val="24"/>
        </w:rPr>
        <w:t>, 284 P.3d 62, 68 (Colo. App. 2010)</w:t>
      </w:r>
      <w:r w:rsidR="00402C7C">
        <w:rPr>
          <w:rFonts w:eastAsia="Times New Roman"/>
          <w:sz w:val="24"/>
          <w:szCs w:val="24"/>
        </w:rPr>
        <w:t xml:space="preserve"> </w:t>
      </w:r>
      <w:r w:rsidR="00402C7C" w:rsidRPr="00E41870">
        <w:rPr>
          <w:rFonts w:eastAsia="Times New Roman"/>
          <w:sz w:val="24"/>
          <w:szCs w:val="24"/>
        </w:rPr>
        <w:t xml:space="preserve">(explaining that a “fiduciary relationship exists between two persons when one of them has </w:t>
      </w:r>
      <w:r w:rsidR="00402C7C">
        <w:rPr>
          <w:rFonts w:eastAsia="Times New Roman"/>
          <w:sz w:val="24"/>
          <w:szCs w:val="24"/>
        </w:rPr>
        <w:t xml:space="preserve">undertaken </w:t>
      </w:r>
      <w:r w:rsidR="00402C7C" w:rsidRPr="00E41870">
        <w:rPr>
          <w:rFonts w:eastAsia="Times New Roman"/>
          <w:sz w:val="24"/>
          <w:szCs w:val="24"/>
        </w:rPr>
        <w:t>a duty to act for or to give advice for the benefit of another on matters within the relationship’s scope”)</w:t>
      </w:r>
      <w:r w:rsidRPr="00E41870">
        <w:rPr>
          <w:rFonts w:eastAsia="Times New Roman"/>
          <w:sz w:val="24"/>
          <w:szCs w:val="24"/>
        </w:rPr>
        <w:t xml:space="preserve">, </w:t>
      </w:r>
      <w:r w:rsidRPr="00E41870">
        <w:rPr>
          <w:rFonts w:eastAsia="Times New Roman"/>
          <w:i/>
          <w:sz w:val="24"/>
          <w:szCs w:val="24"/>
        </w:rPr>
        <w:t>aff’d</w:t>
      </w:r>
      <w:r w:rsidRPr="00E41870">
        <w:rPr>
          <w:rFonts w:eastAsia="Times New Roman"/>
          <w:sz w:val="24"/>
          <w:szCs w:val="24"/>
        </w:rPr>
        <w:t>, 2012 CO 50, 279 P.3d 658; s</w:t>
      </w:r>
      <w:r w:rsidRPr="00E41870">
        <w:rPr>
          <w:rFonts w:eastAsia="Times New Roman"/>
          <w:i/>
          <w:sz w:val="24"/>
          <w:szCs w:val="24"/>
        </w:rPr>
        <w:t xml:space="preserve">ee also </w:t>
      </w:r>
      <w:r w:rsidRPr="00E41870">
        <w:rPr>
          <w:rFonts w:eastAsia="Times New Roman"/>
          <w:b/>
          <w:sz w:val="24"/>
          <w:szCs w:val="24"/>
        </w:rPr>
        <w:t>Semler v. Hellerstein</w:t>
      </w:r>
      <w:r w:rsidRPr="00E41870">
        <w:rPr>
          <w:rFonts w:eastAsia="Times New Roman"/>
          <w:sz w:val="24"/>
          <w:szCs w:val="24"/>
        </w:rPr>
        <w:t>, 2016 COA 143, ¶¶ 35-40</w:t>
      </w:r>
      <w:r w:rsidR="000F57B1">
        <w:rPr>
          <w:rFonts w:eastAsia="Times New Roman"/>
          <w:sz w:val="24"/>
          <w:szCs w:val="24"/>
        </w:rPr>
        <w:t>, 428 P.3d 555</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009F041D">
        <w:rPr>
          <w:rFonts w:eastAsia="Times New Roman"/>
          <w:sz w:val="24"/>
          <w:szCs w:val="24"/>
        </w:rPr>
        <w:t xml:space="preserve">, </w:t>
      </w:r>
      <w:r w:rsidR="009F041D" w:rsidRPr="000F57B1">
        <w:rPr>
          <w:rFonts w:eastAsia="Times New Roman"/>
          <w:i/>
          <w:sz w:val="24"/>
          <w:szCs w:val="24"/>
        </w:rPr>
        <w:t xml:space="preserve">rev’d </w:t>
      </w:r>
      <w:r w:rsidR="000F57B1">
        <w:rPr>
          <w:rFonts w:eastAsia="Times New Roman"/>
          <w:i/>
          <w:sz w:val="24"/>
          <w:szCs w:val="24"/>
        </w:rPr>
        <w:t xml:space="preserve">on other grounds </w:t>
      </w:r>
      <w:r w:rsidR="009F041D" w:rsidRPr="000F57B1">
        <w:rPr>
          <w:rFonts w:eastAsia="Times New Roman"/>
          <w:i/>
          <w:sz w:val="24"/>
          <w:szCs w:val="24"/>
        </w:rPr>
        <w:t>sub nom.</w:t>
      </w:r>
      <w:r w:rsidR="009F041D">
        <w:rPr>
          <w:rFonts w:eastAsia="Times New Roman"/>
          <w:sz w:val="24"/>
          <w:szCs w:val="24"/>
        </w:rPr>
        <w:t xml:space="preserve"> </w:t>
      </w:r>
      <w:r w:rsidR="009F041D">
        <w:rPr>
          <w:rFonts w:eastAsia="Times New Roman"/>
          <w:b/>
          <w:sz w:val="24"/>
          <w:szCs w:val="24"/>
        </w:rPr>
        <w:t>Bewley v. Semler</w:t>
      </w:r>
      <w:r w:rsidR="000F57B1">
        <w:rPr>
          <w:rFonts w:eastAsia="Times New Roman"/>
          <w:sz w:val="24"/>
          <w:szCs w:val="24"/>
        </w:rPr>
        <w:t>, 2018 CO 79, 432 P.3d 582</w:t>
      </w:r>
      <w:r w:rsidRPr="00E41870">
        <w:rPr>
          <w:rFonts w:eastAsia="Times New Roman"/>
          <w:sz w:val="24"/>
          <w:szCs w:val="24"/>
        </w:rPr>
        <w:t>.</w:t>
      </w:r>
    </w:p>
    <w:p w14:paraId="02F0456C" w14:textId="282C9378" w:rsidR="00FC1E82" w:rsidRDefault="00F00661" w:rsidP="00E41870">
      <w:pPr>
        <w:spacing w:after="240"/>
        <w:ind w:firstLine="720"/>
        <w:rPr>
          <w:rFonts w:eastAsia="Times New Roman"/>
          <w:sz w:val="24"/>
          <w:szCs w:val="24"/>
        </w:rPr>
      </w:pPr>
      <w:r>
        <w:rPr>
          <w:rFonts w:eastAsia="Times New Roman"/>
          <w:sz w:val="24"/>
          <w:szCs w:val="24"/>
        </w:rPr>
        <w:t xml:space="preserve">4. Parties to a </w:t>
      </w:r>
      <w:r w:rsidR="001D4027">
        <w:rPr>
          <w:rFonts w:eastAsia="Times New Roman"/>
          <w:sz w:val="24"/>
          <w:szCs w:val="24"/>
        </w:rPr>
        <w:t xml:space="preserve">contract may disclaim the existence of a </w:t>
      </w:r>
      <w:r>
        <w:rPr>
          <w:rFonts w:eastAsia="Times New Roman"/>
          <w:sz w:val="24"/>
          <w:szCs w:val="24"/>
        </w:rPr>
        <w:t>joint venture</w:t>
      </w:r>
      <w:r w:rsidR="001D4027">
        <w:rPr>
          <w:rFonts w:eastAsia="Times New Roman"/>
          <w:sz w:val="24"/>
          <w:szCs w:val="24"/>
        </w:rPr>
        <w:t>,</w:t>
      </w:r>
      <w:r>
        <w:rPr>
          <w:rFonts w:eastAsia="Times New Roman"/>
          <w:sz w:val="24"/>
          <w:szCs w:val="24"/>
        </w:rPr>
        <w:t xml:space="preserve"> </w:t>
      </w:r>
      <w:r w:rsidR="001D4027">
        <w:rPr>
          <w:rFonts w:eastAsia="Times New Roman"/>
          <w:sz w:val="24"/>
          <w:szCs w:val="24"/>
        </w:rPr>
        <w:t>there</w:t>
      </w:r>
      <w:r>
        <w:rPr>
          <w:rFonts w:eastAsia="Times New Roman"/>
          <w:sz w:val="24"/>
          <w:szCs w:val="24"/>
        </w:rPr>
        <w:t xml:space="preserve">by </w:t>
      </w:r>
      <w:r w:rsidR="001D4027">
        <w:rPr>
          <w:rFonts w:eastAsia="Times New Roman"/>
          <w:sz w:val="24"/>
          <w:szCs w:val="24"/>
        </w:rPr>
        <w:t xml:space="preserve">disclaiming any </w:t>
      </w:r>
      <w:r>
        <w:rPr>
          <w:rFonts w:eastAsia="Times New Roman"/>
          <w:sz w:val="24"/>
          <w:szCs w:val="24"/>
        </w:rPr>
        <w:t xml:space="preserve">fiduciary </w:t>
      </w:r>
      <w:r w:rsidR="001D4027">
        <w:rPr>
          <w:rFonts w:eastAsia="Times New Roman"/>
          <w:sz w:val="24"/>
          <w:szCs w:val="24"/>
        </w:rPr>
        <w:t>relationship</w:t>
      </w:r>
      <w:r>
        <w:rPr>
          <w:rFonts w:eastAsia="Times New Roman"/>
          <w:sz w:val="24"/>
          <w:szCs w:val="24"/>
        </w:rPr>
        <w:t xml:space="preserve"> that would otherwise </w:t>
      </w:r>
      <w:r w:rsidR="001D4027">
        <w:rPr>
          <w:rFonts w:eastAsia="Times New Roman"/>
          <w:sz w:val="24"/>
          <w:szCs w:val="24"/>
        </w:rPr>
        <w:t>arise from one joint venturer to another</w:t>
      </w:r>
      <w:r>
        <w:rPr>
          <w:rFonts w:eastAsia="Times New Roman"/>
          <w:sz w:val="24"/>
          <w:szCs w:val="24"/>
        </w:rPr>
        <w:t xml:space="preserve">. </w:t>
      </w:r>
      <w:r>
        <w:rPr>
          <w:rFonts w:eastAsia="Times New Roman"/>
          <w:b/>
          <w:sz w:val="24"/>
          <w:szCs w:val="24"/>
        </w:rPr>
        <w:t>Rocky Mountain Expl.</w:t>
      </w:r>
      <w:r>
        <w:rPr>
          <w:rFonts w:eastAsia="Times New Roman"/>
          <w:sz w:val="24"/>
          <w:szCs w:val="24"/>
        </w:rPr>
        <w:t xml:space="preserve">, 2018 CO 54, </w:t>
      </w:r>
      <w:r w:rsidRPr="008F30CF">
        <w:rPr>
          <w:rFonts w:eastAsia="Times New Roman"/>
          <w:sz w:val="24"/>
          <w:szCs w:val="24"/>
        </w:rPr>
        <w:t>¶</w:t>
      </w:r>
      <w:r>
        <w:rPr>
          <w:rFonts w:eastAsia="Times New Roman"/>
          <w:sz w:val="24"/>
          <w:szCs w:val="24"/>
        </w:rPr>
        <w:t xml:space="preserve"> 62, 420 P.3d </w:t>
      </w:r>
      <w:r w:rsidR="00BB28E0">
        <w:rPr>
          <w:rFonts w:eastAsia="Times New Roman"/>
          <w:sz w:val="24"/>
          <w:szCs w:val="24"/>
        </w:rPr>
        <w:t>at</w:t>
      </w:r>
      <w:r>
        <w:rPr>
          <w:rFonts w:eastAsia="Times New Roman"/>
          <w:sz w:val="24"/>
          <w:szCs w:val="24"/>
        </w:rPr>
        <w:t xml:space="preserve"> 235 (“Even when a fiduciary relationship exists, however, the parties may modify—or even disclaim—that relationship.”)</w:t>
      </w:r>
      <w:r w:rsidR="001D4027">
        <w:rPr>
          <w:rFonts w:eastAsia="Times New Roman"/>
          <w:sz w:val="24"/>
          <w:szCs w:val="24"/>
        </w:rPr>
        <w:t>.</w:t>
      </w:r>
    </w:p>
    <w:p w14:paraId="56A3E9D2" w14:textId="7F4B4C34" w:rsidR="00E41870" w:rsidRPr="00E41870" w:rsidRDefault="00F00661" w:rsidP="00E41870">
      <w:pPr>
        <w:spacing w:after="240"/>
        <w:ind w:firstLine="720"/>
        <w:rPr>
          <w:rFonts w:eastAsia="Times New Roman"/>
          <w:sz w:val="24"/>
          <w:szCs w:val="24"/>
        </w:rPr>
      </w:pPr>
      <w:r>
        <w:rPr>
          <w:rFonts w:eastAsia="Times New Roman"/>
          <w:sz w:val="24"/>
          <w:szCs w:val="24"/>
        </w:rPr>
        <w:t>5</w:t>
      </w:r>
      <w:r w:rsidR="00E41870" w:rsidRPr="00E41870">
        <w:rPr>
          <w:rFonts w:eastAsia="Times New Roman"/>
          <w:sz w:val="24"/>
          <w:szCs w:val="24"/>
        </w:rPr>
        <w:t xml:space="preserve">. For a definition of a “fiduciary,” see </w:t>
      </w:r>
      <w:r w:rsidR="00E41870" w:rsidRPr="00E41870">
        <w:rPr>
          <w:rFonts w:eastAsia="Times New Roman"/>
          <w:b/>
          <w:sz w:val="24"/>
          <w:szCs w:val="24"/>
        </w:rPr>
        <w:t>Taylor v. Taylor</w:t>
      </w:r>
      <w:r w:rsidR="00E41870" w:rsidRPr="00E41870">
        <w:rPr>
          <w:rFonts w:eastAsia="Times New Roman"/>
          <w:sz w:val="24"/>
          <w:szCs w:val="24"/>
        </w:rPr>
        <w:t xml:space="preserve">, 2016 COA 100, ¶ 13 n.1, 381 P.3d 428, 431 (“A fiduciary is required to act with good faith and loyalty, unaffected by personal motives.”); and </w:t>
      </w:r>
      <w:r w:rsidR="00E41870" w:rsidRPr="00E41870">
        <w:rPr>
          <w:rFonts w:eastAsia="Times New Roman"/>
          <w:b/>
          <w:sz w:val="24"/>
          <w:szCs w:val="24"/>
        </w:rPr>
        <w:t>Tepley v. Public Employees Retirement Ass’n</w:t>
      </w:r>
      <w:r w:rsidR="00E41870" w:rsidRPr="00E41870">
        <w:rPr>
          <w:rFonts w:eastAsia="Times New Roman"/>
          <w:sz w:val="24"/>
          <w:szCs w:val="24"/>
        </w:rPr>
        <w:t>, 955 P.2d 573 (</w:t>
      </w:r>
      <w:r w:rsidR="00E71BCE">
        <w:rPr>
          <w:rFonts w:eastAsia="Times New Roman"/>
          <w:sz w:val="24"/>
          <w:szCs w:val="24"/>
        </w:rPr>
        <w:t>Colo. App.</w:t>
      </w:r>
      <w:r w:rsidR="00E41870" w:rsidRPr="00E41870">
        <w:rPr>
          <w:rFonts w:eastAsia="Times New Roman"/>
          <w:sz w:val="24"/>
          <w:szCs w:val="24"/>
        </w:rPr>
        <w:t xml:space="preserve"> 1997) (fiduciary is a person having a duty, created by his undertaking, to act primarily for the benefit of another in matters connected with the undertaking). </w:t>
      </w:r>
      <w:r w:rsidR="00E41870" w:rsidRPr="00E41870">
        <w:rPr>
          <w:rFonts w:eastAsia="Times New Roman"/>
          <w:i/>
          <w:sz w:val="24"/>
          <w:szCs w:val="24"/>
        </w:rPr>
        <w:t xml:space="preserve">See also </w:t>
      </w:r>
      <w:r w:rsidR="00E41870" w:rsidRPr="00E41870">
        <w:rPr>
          <w:rFonts w:eastAsia="Times New Roman"/>
          <w:b/>
          <w:sz w:val="24"/>
          <w:szCs w:val="24"/>
        </w:rPr>
        <w:t>Application for Water Rights of Town of Minturn</w:t>
      </w:r>
      <w:r w:rsidR="00E41870"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00E41870" w:rsidRPr="00E41870">
        <w:rPr>
          <w:rFonts w:eastAsia="Times New Roman"/>
          <w:smallCaps/>
          <w:sz w:val="24"/>
          <w:szCs w:val="24"/>
        </w:rPr>
        <w:t>A. Wakemen Scott, et al., Scott and Ascher on Trusts</w:t>
      </w:r>
      <w:r w:rsidR="00E41870" w:rsidRPr="00E41870">
        <w:rPr>
          <w:rFonts w:eastAsia="Times New Roman"/>
          <w:sz w:val="24"/>
          <w:szCs w:val="24"/>
        </w:rPr>
        <w:t xml:space="preserve"> §</w:t>
      </w:r>
      <w:r w:rsidR="003E7402">
        <w:rPr>
          <w:rFonts w:eastAsia="Times New Roman"/>
          <w:sz w:val="24"/>
          <w:szCs w:val="24"/>
        </w:rPr>
        <w:t>§</w:t>
      </w:r>
      <w:r w:rsidR="00E41870" w:rsidRPr="00E41870">
        <w:rPr>
          <w:rFonts w:eastAsia="Times New Roman"/>
          <w:sz w:val="24"/>
          <w:szCs w:val="24"/>
        </w:rPr>
        <w:t xml:space="preserve"> 2.1.5, at 37 </w:t>
      </w:r>
      <w:r w:rsidR="003E7402">
        <w:rPr>
          <w:rFonts w:eastAsia="Times New Roman"/>
          <w:sz w:val="24"/>
          <w:szCs w:val="24"/>
        </w:rPr>
        <w:t xml:space="preserve">&amp; 2.1.6, at 38 </w:t>
      </w:r>
      <w:r w:rsidR="00E41870" w:rsidRPr="00E41870">
        <w:rPr>
          <w:rFonts w:eastAsia="Times New Roman"/>
          <w:sz w:val="24"/>
          <w:szCs w:val="24"/>
        </w:rPr>
        <w:t xml:space="preserve">(5th ed. 2006))). A “fiduciary” may also be defined by statute. </w:t>
      </w:r>
      <w:r w:rsidR="00E41870" w:rsidRPr="00E41870">
        <w:rPr>
          <w:rFonts w:eastAsia="Times New Roman"/>
          <w:i/>
          <w:sz w:val="24"/>
          <w:szCs w:val="24"/>
        </w:rPr>
        <w:t>See, e.g.</w:t>
      </w:r>
      <w:r w:rsidR="00E41870" w:rsidRPr="00E41870">
        <w:rPr>
          <w:rFonts w:eastAsia="Times New Roman"/>
          <w:sz w:val="24"/>
          <w:szCs w:val="24"/>
        </w:rPr>
        <w:t>, § 15-1-103(2), C.R.S.</w:t>
      </w:r>
      <w:r w:rsidR="003E7402">
        <w:rPr>
          <w:rFonts w:eastAsia="Times New Roman"/>
          <w:sz w:val="24"/>
          <w:szCs w:val="24"/>
        </w:rPr>
        <w:t xml:space="preserve"> (</w:t>
      </w:r>
      <w:r w:rsidR="00E41870" w:rsidRPr="00E41870">
        <w:rPr>
          <w:rFonts w:eastAsia="Times New Roman"/>
          <w:sz w:val="24"/>
          <w:szCs w:val="24"/>
        </w:rPr>
        <w:t xml:space="preserve">defining “fiduciary” under the Uniform Fiduciaries </w:t>
      </w:r>
      <w:r w:rsidR="003E7402">
        <w:rPr>
          <w:rFonts w:eastAsia="Times New Roman"/>
          <w:sz w:val="24"/>
          <w:szCs w:val="24"/>
        </w:rPr>
        <w:t>L</w:t>
      </w:r>
      <w:r w:rsidR="00E41870" w:rsidRPr="00E41870">
        <w:rPr>
          <w:rFonts w:eastAsia="Times New Roman"/>
          <w:sz w:val="24"/>
          <w:szCs w:val="24"/>
        </w:rPr>
        <w:t>aw</w:t>
      </w:r>
      <w:r w:rsidR="003E7402">
        <w:rPr>
          <w:rFonts w:eastAsia="Times New Roman"/>
          <w:sz w:val="24"/>
          <w:szCs w:val="24"/>
        </w:rPr>
        <w:t>)</w:t>
      </w:r>
      <w:r w:rsidR="00E41870" w:rsidRPr="00E41870">
        <w:rPr>
          <w:rFonts w:eastAsia="Times New Roman"/>
          <w:sz w:val="24"/>
          <w:szCs w:val="24"/>
        </w:rPr>
        <w:t>.</w:t>
      </w:r>
    </w:p>
    <w:p w14:paraId="694DEFDC" w14:textId="185674A1" w:rsidR="00E41870" w:rsidRPr="00E41870" w:rsidRDefault="00F00661" w:rsidP="00E41870">
      <w:pPr>
        <w:spacing w:after="240"/>
        <w:ind w:firstLine="720"/>
        <w:rPr>
          <w:rFonts w:eastAsia="Times New Roman"/>
          <w:sz w:val="24"/>
          <w:szCs w:val="24"/>
        </w:rPr>
      </w:pPr>
      <w:r>
        <w:rPr>
          <w:rFonts w:eastAsia="Times New Roman"/>
          <w:sz w:val="24"/>
          <w:szCs w:val="24"/>
        </w:rPr>
        <w:t>6</w:t>
      </w:r>
      <w:r w:rsidR="00E41870" w:rsidRPr="00E41870">
        <w:rPr>
          <w:rFonts w:eastAsia="Times New Roman"/>
          <w:sz w:val="24"/>
          <w:szCs w:val="24"/>
        </w:rPr>
        <w:t xml:space="preserve">. In </w:t>
      </w:r>
      <w:r w:rsidR="00334106">
        <w:rPr>
          <w:rFonts w:eastAsia="Times New Roman"/>
          <w:sz w:val="24"/>
          <w:szCs w:val="24"/>
        </w:rPr>
        <w:t xml:space="preserve">the principal-agent context, it is the agent who owes a fiduciary duty to the principal; a principal owes some duties to the agent but they are not fiduciary. </w:t>
      </w:r>
      <w:r w:rsidR="00E41870" w:rsidRPr="00E41870">
        <w:rPr>
          <w:rFonts w:eastAsia="Times New Roman"/>
          <w:b/>
          <w:sz w:val="24"/>
          <w:szCs w:val="24"/>
        </w:rPr>
        <w:t>MDM Grp</w:t>
      </w:r>
      <w:r w:rsidR="003E7402">
        <w:rPr>
          <w:rFonts w:eastAsia="Times New Roman"/>
          <w:b/>
          <w:sz w:val="24"/>
          <w:szCs w:val="24"/>
        </w:rPr>
        <w:t>.</w:t>
      </w:r>
      <w:r w:rsidR="00E41870" w:rsidRPr="00E41870">
        <w:rPr>
          <w:rFonts w:eastAsia="Times New Roman"/>
          <w:b/>
          <w:sz w:val="24"/>
          <w:szCs w:val="24"/>
        </w:rPr>
        <w:t xml:space="preserve"> Assocs., Inc. v. CX Reinsurance Co.</w:t>
      </w:r>
      <w:r w:rsidR="00E41870" w:rsidRPr="00E41870">
        <w:rPr>
          <w:rFonts w:eastAsia="Times New Roman"/>
          <w:sz w:val="24"/>
          <w:szCs w:val="24"/>
        </w:rPr>
        <w:t>,</w:t>
      </w:r>
      <w:r w:rsidR="00E41870" w:rsidRPr="00E41870">
        <w:rPr>
          <w:rFonts w:eastAsia="Times New Roman"/>
          <w:b/>
          <w:sz w:val="24"/>
          <w:szCs w:val="24"/>
        </w:rPr>
        <w:t xml:space="preserve"> </w:t>
      </w:r>
      <w:r w:rsidR="00E41870" w:rsidRPr="00E41870">
        <w:rPr>
          <w:rFonts w:eastAsia="Times New Roman"/>
          <w:sz w:val="24"/>
          <w:szCs w:val="24"/>
        </w:rPr>
        <w:t>165 P.3d 882 (</w:t>
      </w:r>
      <w:r w:rsidR="00E71BCE">
        <w:rPr>
          <w:rFonts w:eastAsia="Times New Roman"/>
          <w:sz w:val="24"/>
          <w:szCs w:val="24"/>
        </w:rPr>
        <w:t>Colo. App.</w:t>
      </w:r>
      <w:r w:rsidR="003E7402">
        <w:rPr>
          <w:rFonts w:eastAsia="Times New Roman"/>
          <w:sz w:val="24"/>
          <w:szCs w:val="24"/>
        </w:rPr>
        <w:t xml:space="preserve"> </w:t>
      </w:r>
      <w:r w:rsidR="00E41870" w:rsidRPr="00E41870">
        <w:rPr>
          <w:rFonts w:eastAsia="Times New Roman"/>
          <w:sz w:val="24"/>
          <w:szCs w:val="24"/>
        </w:rPr>
        <w:t xml:space="preserve">2007). </w:t>
      </w:r>
    </w:p>
    <w:p w14:paraId="6DF7C235" w14:textId="302696CE" w:rsidR="00E41870" w:rsidRPr="00E41870" w:rsidRDefault="00F00661" w:rsidP="00E41870">
      <w:pPr>
        <w:spacing w:after="240"/>
        <w:ind w:firstLine="720"/>
        <w:rPr>
          <w:rFonts w:eastAsia="Times New Roman"/>
          <w:sz w:val="24"/>
          <w:szCs w:val="24"/>
        </w:rPr>
      </w:pPr>
      <w:r>
        <w:rPr>
          <w:rFonts w:eastAsia="Times New Roman"/>
          <w:sz w:val="24"/>
          <w:szCs w:val="24"/>
        </w:rPr>
        <w:t>7</w:t>
      </w:r>
      <w:r w:rsidR="00E41870" w:rsidRPr="00E41870">
        <w:rPr>
          <w:rFonts w:eastAsia="Times New Roman"/>
          <w:sz w:val="24"/>
          <w:szCs w:val="24"/>
        </w:rPr>
        <w:t>. Corporate agents may in some circumstances have a fiduciary relationship with third parties.</w:t>
      </w:r>
      <w:r w:rsidR="00E41870" w:rsidRPr="00E41870">
        <w:rPr>
          <w:rFonts w:eastAsia="Times New Roman"/>
          <w:b/>
          <w:sz w:val="24"/>
          <w:szCs w:val="24"/>
        </w:rPr>
        <w:t xml:space="preserve"> </w:t>
      </w:r>
      <w:r w:rsidR="00E41870" w:rsidRPr="00E41870">
        <w:rPr>
          <w:rFonts w:eastAsia="Times New Roman"/>
          <w:i/>
          <w:sz w:val="24"/>
          <w:szCs w:val="24"/>
        </w:rPr>
        <w:t>See</w:t>
      </w:r>
      <w:r w:rsidR="00E41870" w:rsidRPr="00E41870">
        <w:rPr>
          <w:rFonts w:eastAsia="Times New Roman"/>
          <w:b/>
          <w:sz w:val="24"/>
          <w:szCs w:val="24"/>
        </w:rPr>
        <w:t xml:space="preserve"> Alexander v. Anstine</w:t>
      </w:r>
      <w:r w:rsidR="00E41870" w:rsidRPr="00E41870">
        <w:rPr>
          <w:rFonts w:eastAsia="Times New Roman"/>
          <w:sz w:val="24"/>
          <w:szCs w:val="24"/>
        </w:rPr>
        <w:t xml:space="preserve">, 152 P.3d 497 (Colo. 2007) (directors and officers of insolvent corporation have limited fiduciary duty not to favor their own interests over those of creditors). </w:t>
      </w:r>
      <w:r w:rsidR="00E41870" w:rsidRPr="00E41870">
        <w:rPr>
          <w:rFonts w:eastAsia="Times New Roman"/>
          <w:i/>
          <w:sz w:val="24"/>
          <w:szCs w:val="24"/>
        </w:rPr>
        <w:t xml:space="preserve">But see </w:t>
      </w:r>
      <w:r w:rsidR="00E41870" w:rsidRPr="00E41870">
        <w:rPr>
          <w:rFonts w:eastAsia="Times New Roman"/>
          <w:b/>
          <w:sz w:val="24"/>
          <w:szCs w:val="24"/>
        </w:rPr>
        <w:t>Weinstein v. Colborne Foodbotics, LLC</w:t>
      </w:r>
      <w:r w:rsidR="00E41870" w:rsidRPr="00E41870">
        <w:rPr>
          <w:rFonts w:eastAsia="Times New Roman"/>
          <w:sz w:val="24"/>
          <w:szCs w:val="24"/>
        </w:rPr>
        <w:t xml:space="preserve">, 2013 CO 33, </w:t>
      </w:r>
      <w:r w:rsidR="001561D5">
        <w:rPr>
          <w:rFonts w:eastAsia="Times New Roman"/>
          <w:sz w:val="24"/>
          <w:szCs w:val="24"/>
        </w:rPr>
        <w:t xml:space="preserve">¶ 23, </w:t>
      </w:r>
      <w:r w:rsidR="00E41870" w:rsidRPr="00E41870">
        <w:rPr>
          <w:rFonts w:eastAsia="Times New Roman"/>
          <w:sz w:val="24"/>
          <w:szCs w:val="24"/>
        </w:rPr>
        <w:t xml:space="preserve">302 P.3d 263 (holding that a creditor of an insolvent LLC could not assert a claim for breach of fiduciary duty against </w:t>
      </w:r>
      <w:r w:rsidR="001561D5">
        <w:rPr>
          <w:rFonts w:eastAsia="Times New Roman"/>
          <w:sz w:val="24"/>
          <w:szCs w:val="24"/>
        </w:rPr>
        <w:t xml:space="preserve">the LLC’s </w:t>
      </w:r>
      <w:r w:rsidR="00E41870" w:rsidRPr="00E41870">
        <w:rPr>
          <w:rFonts w:eastAsia="Times New Roman"/>
          <w:sz w:val="24"/>
          <w:szCs w:val="24"/>
        </w:rPr>
        <w:t>managers because the LLC Act expressly provides that managers are not liable for debts of the LLC and extends no fiduciary duty to creditors).</w:t>
      </w:r>
    </w:p>
    <w:p w14:paraId="087E7017" w14:textId="340C5289"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w:t>
      </w:r>
      <w:r w:rsidR="001561D5">
        <w:rPr>
          <w:rFonts w:eastAsia="Times New Roman"/>
          <w:sz w:val="24"/>
          <w:szCs w:val="24"/>
        </w:rPr>
        <w:t>analyzing</w:t>
      </w:r>
      <w:r w:rsidRPr="00E41870">
        <w:rPr>
          <w:rFonts w:eastAsia="Times New Roman"/>
          <w:sz w:val="24"/>
          <w:szCs w:val="24"/>
        </w:rPr>
        <w:t xml:space="preserve"> the existence of a fiduciary relationship, see </w:t>
      </w:r>
      <w:r w:rsidRPr="00E41870">
        <w:rPr>
          <w:rFonts w:eastAsia="Times New Roman"/>
          <w:b/>
          <w:sz w:val="24"/>
          <w:szCs w:val="24"/>
        </w:rPr>
        <w:t>Baker v. Wood, Ris &amp; Hames, P.C.</w:t>
      </w:r>
      <w:r w:rsidRPr="00E41870">
        <w:rPr>
          <w:rFonts w:eastAsia="Times New Roman"/>
          <w:sz w:val="24"/>
          <w:szCs w:val="24"/>
        </w:rPr>
        <w:t>, 2016 CO 5, ¶¶ 20-35, 364 P.3d 872, 879 (reiterating that Colorado follows a rule of “strict privity”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r w:rsidRPr="00E41870">
        <w:rPr>
          <w:rFonts w:eastAsia="Times New Roman"/>
          <w:b/>
          <w:sz w:val="24"/>
          <w:szCs w:val="24"/>
        </w:rPr>
        <w:t>Mintz</w:t>
      </w:r>
      <w:r w:rsidRPr="00E41870">
        <w:rPr>
          <w:rFonts w:eastAsia="Times New Roman"/>
          <w:sz w:val="24"/>
          <w:szCs w:val="24"/>
        </w:rPr>
        <w:t>, ¶ 19</w:t>
      </w:r>
      <w:r w:rsidR="000C7A2E">
        <w:rPr>
          <w:rFonts w:eastAsia="Times New Roman"/>
          <w:sz w:val="24"/>
          <w:szCs w:val="24"/>
        </w:rPr>
        <w:t>, 279 P.3d at 662</w:t>
      </w:r>
      <w:r w:rsidRPr="00E41870">
        <w:rPr>
          <w:rFonts w:eastAsia="Times New Roman"/>
          <w:sz w:val="24"/>
          <w:szCs w:val="24"/>
        </w:rPr>
        <w:t xml:space="preserve"> (attorney did not owe fiduciary duties to third party medical providers who were owed money by attorney’s clients out of insurance settlement proceeds placed into attorney’s COLTAF account); </w:t>
      </w:r>
      <w:r w:rsidRPr="00E41870">
        <w:rPr>
          <w:rFonts w:eastAsia="Times New Roman"/>
          <w:b/>
          <w:sz w:val="24"/>
          <w:szCs w:val="24"/>
        </w:rPr>
        <w:t>Brodeur v. American Home Assurance Co.</w:t>
      </w:r>
      <w:r w:rsidRPr="00E41870">
        <w:rPr>
          <w:rFonts w:eastAsia="Times New Roman"/>
          <w:sz w:val="24"/>
          <w:szCs w:val="24"/>
        </w:rPr>
        <w:t xml:space="preserve">, 169 P.3d 139 (Colo. 2007) (workers’ compensation insurer owes no fiduciary duty to insured); </w:t>
      </w:r>
      <w:r w:rsidRPr="00E41870">
        <w:rPr>
          <w:rFonts w:eastAsia="Times New Roman"/>
          <w:b/>
          <w:sz w:val="24"/>
          <w:szCs w:val="24"/>
        </w:rPr>
        <w:t>Destefano v. Grabrian</w:t>
      </w:r>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r w:rsidRPr="00E41870">
        <w:rPr>
          <w:rFonts w:eastAsia="Times New Roman"/>
          <w:b/>
          <w:sz w:val="24"/>
          <w:szCs w:val="24"/>
        </w:rPr>
        <w:t>Semler</w:t>
      </w:r>
      <w:r w:rsidRPr="00E41870">
        <w:rPr>
          <w:rFonts w:eastAsia="Times New Roman"/>
          <w:sz w:val="24"/>
          <w:szCs w:val="24"/>
        </w:rPr>
        <w:t>, ¶¶ 35-40</w:t>
      </w:r>
      <w:r w:rsidR="000C7A2E">
        <w:rPr>
          <w:rFonts w:eastAsia="Times New Roman"/>
          <w:sz w:val="24"/>
          <w:szCs w:val="24"/>
        </w:rPr>
        <w:t>, 428 P.3d at 563-64</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w:t>
      </w:r>
      <w:r w:rsidR="000C7A2E">
        <w:rPr>
          <w:rFonts w:eastAsia="Times New Roman"/>
          <w:sz w:val="24"/>
          <w:szCs w:val="24"/>
        </w:rPr>
        <w:t>, 488 P.3d 53</w:t>
      </w:r>
      <w:r w:rsidRPr="00E41870">
        <w:rPr>
          <w:rFonts w:eastAsia="Times New Roman"/>
          <w:sz w:val="24"/>
          <w:szCs w:val="24"/>
        </w:rPr>
        <w:t xml:space="preserve"> (holding that the public trust statute, § 24-18-103, C.R.S., is not merely hortatory, but sets forth a specific standard of conduct by imposing a fiduciary duty on public officials)</w:t>
      </w:r>
      <w:r w:rsidR="00E57F5F">
        <w:rPr>
          <w:rFonts w:eastAsia="Times New Roman"/>
          <w:sz w:val="24"/>
          <w:szCs w:val="24"/>
        </w:rPr>
        <w:t xml:space="preserve">, </w:t>
      </w:r>
      <w:r w:rsidR="00E57F5F" w:rsidRPr="00E57F5F">
        <w:rPr>
          <w:rFonts w:eastAsia="Times New Roman"/>
          <w:i/>
          <w:sz w:val="24"/>
          <w:szCs w:val="24"/>
        </w:rPr>
        <w:t>aff’d</w:t>
      </w:r>
      <w:r w:rsidR="00E57F5F">
        <w:rPr>
          <w:rFonts w:eastAsia="Times New Roman"/>
          <w:i/>
          <w:sz w:val="24"/>
          <w:szCs w:val="24"/>
        </w:rPr>
        <w:t xml:space="preserve"> sub nom.</w:t>
      </w:r>
      <w:r w:rsidR="00E57F5F">
        <w:rPr>
          <w:rFonts w:eastAsia="Times New Roman"/>
          <w:sz w:val="24"/>
          <w:szCs w:val="24"/>
        </w:rPr>
        <w:t xml:space="preserve"> </w:t>
      </w:r>
      <w:r w:rsidR="00E57F5F" w:rsidRPr="00E57F5F">
        <w:rPr>
          <w:rFonts w:eastAsia="Times New Roman"/>
          <w:b/>
          <w:sz w:val="24"/>
          <w:szCs w:val="24"/>
        </w:rPr>
        <w:t>Gessler v. Smith</w:t>
      </w:r>
      <w:r w:rsidR="009603E5">
        <w:rPr>
          <w:rFonts w:eastAsia="Times New Roman"/>
          <w:sz w:val="24"/>
          <w:szCs w:val="24"/>
        </w:rPr>
        <w:t xml:space="preserve">, </w:t>
      </w:r>
      <w:r w:rsidR="00E57F5F">
        <w:rPr>
          <w:rFonts w:eastAsia="Times New Roman"/>
          <w:sz w:val="24"/>
          <w:szCs w:val="24"/>
        </w:rPr>
        <w:t>2018 CO 48</w:t>
      </w:r>
      <w:r w:rsidR="00F8277D">
        <w:rPr>
          <w:rFonts w:eastAsia="Times New Roman"/>
          <w:sz w:val="24"/>
          <w:szCs w:val="24"/>
        </w:rPr>
        <w:t>, 419 P.3d 964</w:t>
      </w:r>
      <w:r w:rsidRPr="00E41870">
        <w:rPr>
          <w:rFonts w:eastAsia="Times New Roman"/>
          <w:sz w:val="24"/>
          <w:szCs w:val="24"/>
        </w:rPr>
        <w:t xml:space="preserve">; </w:t>
      </w:r>
      <w:r w:rsidRPr="00E41870">
        <w:rPr>
          <w:rFonts w:eastAsia="Times New Roman"/>
          <w:b/>
          <w:sz w:val="24"/>
          <w:szCs w:val="24"/>
        </w:rPr>
        <w:t>LaFond v. Sweeney</w:t>
      </w:r>
      <w:r w:rsidRPr="00E41870">
        <w:rPr>
          <w:rFonts w:eastAsia="Times New Roman"/>
          <w:sz w:val="24"/>
          <w:szCs w:val="24"/>
        </w:rPr>
        <w:t xml:space="preserve">, 2012 COA 27, </w:t>
      </w:r>
      <w:r w:rsidR="00E57F5F">
        <w:rPr>
          <w:rFonts w:eastAsia="Times New Roman"/>
          <w:sz w:val="24"/>
          <w:szCs w:val="24"/>
        </w:rPr>
        <w:t xml:space="preserve">¶¶ 38-42, </w:t>
      </w:r>
      <w:r w:rsidRPr="00E41870">
        <w:rPr>
          <w:rFonts w:eastAsia="Times New Roman"/>
          <w:sz w:val="24"/>
          <w:szCs w:val="24"/>
        </w:rPr>
        <w:t xml:space="preserve">345 P.3d 932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r w:rsidRPr="00E41870">
        <w:rPr>
          <w:rFonts w:eastAsia="Times New Roman"/>
          <w:i/>
          <w:sz w:val="24"/>
          <w:szCs w:val="24"/>
        </w:rPr>
        <w:t>rev’d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Premier Farm Credit, PCA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r w:rsidRPr="00E41870">
        <w:rPr>
          <w:rFonts w:eastAsia="Times New Roman"/>
          <w:b/>
          <w:sz w:val="24"/>
          <w:szCs w:val="24"/>
        </w:rPr>
        <w:t>Equitex, Inc. v. Ungar</w:t>
      </w:r>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Turkey Creek, LLC v. Rosania</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r w:rsidRPr="00E41870">
        <w:rPr>
          <w:rFonts w:eastAsia="Times New Roman"/>
          <w:b/>
          <w:sz w:val="24"/>
          <w:szCs w:val="24"/>
        </w:rPr>
        <w:t>Vikell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(investment advisor owes fiduciary duty to customers); </w:t>
      </w:r>
      <w:r w:rsidRPr="00E41870">
        <w:rPr>
          <w:rFonts w:eastAsia="Times New Roman"/>
          <w:b/>
          <w:sz w:val="24"/>
          <w:szCs w:val="24"/>
        </w:rPr>
        <w:t>Emenyonu v. State Farm Fire &amp; Casualty Co.</w:t>
      </w:r>
      <w:r w:rsidRPr="00E41870">
        <w:rPr>
          <w:rFonts w:eastAsia="Times New Roman"/>
          <w:sz w:val="24"/>
          <w:szCs w:val="24"/>
        </w:rPr>
        <w:t xml:space="preserve">, 885 P.2d 320 (Colo. App. 1994) (contractual relationship between insurer and its insured does not give rise to fiduciary relationship with respect to first-party disputes); </w:t>
      </w:r>
      <w:r w:rsidRPr="00E41870">
        <w:rPr>
          <w:rFonts w:eastAsia="Times New Roman"/>
          <w:b/>
          <w:sz w:val="24"/>
          <w:szCs w:val="24"/>
        </w:rPr>
        <w:t>Wells Fargo Realty Advisors Funding, Inc. v. Uioli,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Jarnagin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57F5F">
        <w:rPr>
          <w:rFonts w:eastAsia="Times New Roman"/>
          <w:b/>
          <w:sz w:val="24"/>
          <w:szCs w:val="24"/>
        </w:rPr>
        <w:t>Graphic Directions, Inc.</w:t>
      </w:r>
      <w:r w:rsidRPr="00E57F5F">
        <w:rPr>
          <w:rFonts w:eastAsia="Times New Roman"/>
          <w:sz w:val="24"/>
          <w:szCs w:val="24"/>
        </w:rPr>
        <w:t>,</w:t>
      </w:r>
      <w:r w:rsidRPr="00E57F5F">
        <w:rPr>
          <w:rFonts w:eastAsia="Times New Roman"/>
          <w:b/>
          <w:sz w:val="24"/>
          <w:szCs w:val="24"/>
        </w:rPr>
        <w:t xml:space="preserve"> </w:t>
      </w:r>
      <w:r w:rsidRPr="00E57F5F">
        <w:rPr>
          <w:rFonts w:eastAsia="Times New Roman"/>
          <w:sz w:val="24"/>
          <w:szCs w:val="24"/>
        </w:rPr>
        <w:t xml:space="preserve">862 P.2d </w:t>
      </w:r>
      <w:r w:rsidR="00E57F5F">
        <w:rPr>
          <w:rFonts w:eastAsia="Times New Roman"/>
          <w:sz w:val="24"/>
          <w:szCs w:val="24"/>
        </w:rPr>
        <w:t xml:space="preserve">at </w:t>
      </w:r>
      <w:r w:rsidRPr="00E57F5F">
        <w:rPr>
          <w:rFonts w:eastAsia="Times New Roman"/>
          <w:sz w:val="24"/>
          <w:szCs w:val="24"/>
        </w:rPr>
        <w:t>102</w:t>
      </w:r>
      <w:r w:rsidR="00E57F5F">
        <w:rPr>
          <w:rFonts w:eastAsia="Times New Roman"/>
          <w:sz w:val="24"/>
          <w:szCs w:val="24"/>
        </w:rPr>
        <w:t>3</w:t>
      </w:r>
      <w:r w:rsidRPr="00E41870">
        <w:rPr>
          <w:rFonts w:eastAsia="Times New Roman"/>
          <w:sz w:val="24"/>
          <w:szCs w:val="24"/>
        </w:rPr>
        <w:t xml:space="preserve">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First National Bank v. Theos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Dolton v. Capitol Federal Savings &amp; Loan Ass’n</w:t>
      </w:r>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w:t>
      </w:r>
      <w:r w:rsidRPr="00020613">
        <w:rPr>
          <w:rFonts w:eastAsia="Times New Roman"/>
          <w:b/>
          <w:sz w:val="24"/>
          <w:szCs w:val="24"/>
        </w:rPr>
        <w:t>lexander Co. v. Packard</w:t>
      </w:r>
      <w:r w:rsidRPr="00020613">
        <w:rPr>
          <w:rFonts w:eastAsia="Times New Roman"/>
          <w:sz w:val="24"/>
          <w:szCs w:val="24"/>
        </w:rPr>
        <w:t>, 754 P.2d 780 (Colo. App. 1988)</w:t>
      </w:r>
      <w:r w:rsidRPr="00E41870">
        <w:rPr>
          <w:rFonts w:eastAsia="Times New Roman"/>
          <w:sz w:val="24"/>
          <w:szCs w:val="24"/>
        </w:rPr>
        <w:t xml:space="preserve">; </w:t>
      </w:r>
      <w:r w:rsidRPr="00E41870">
        <w:rPr>
          <w:rFonts w:eastAsia="Times New Roman"/>
          <w:b/>
          <w:sz w:val="24"/>
          <w:szCs w:val="24"/>
        </w:rPr>
        <w:t>Meyer v. Schwartz</w:t>
      </w:r>
      <w:r w:rsidRPr="00E41870">
        <w:rPr>
          <w:rFonts w:eastAsia="Times New Roman"/>
          <w:sz w:val="24"/>
          <w:szCs w:val="24"/>
        </w:rPr>
        <w:t>, 638 P.2d 821 (Colo. App. 1981).</w:t>
      </w:r>
    </w:p>
    <w:p w14:paraId="759ECAF7" w14:textId="77777777" w:rsidR="00E41870" w:rsidRDefault="00E41870">
      <w:pPr>
        <w:rPr>
          <w:rFonts w:eastAsia="Times New Roman"/>
          <w:sz w:val="24"/>
          <w:szCs w:val="24"/>
        </w:rPr>
      </w:pPr>
      <w:r>
        <w:rPr>
          <w:rFonts w:eastAsia="Times New Roman"/>
          <w:sz w:val="24"/>
          <w:szCs w:val="24"/>
        </w:rPr>
        <w:br w:type="page"/>
      </w:r>
    </w:p>
    <w:p w14:paraId="67DD50CD" w14:textId="77777777" w:rsidR="00E41870" w:rsidRPr="009E3DA4" w:rsidRDefault="00E41870" w:rsidP="00E41870">
      <w:pPr>
        <w:spacing w:after="240"/>
        <w:ind w:left="720" w:hanging="720"/>
        <w:rPr>
          <w:rFonts w:eastAsia="Times New Roman"/>
          <w:b/>
          <w:sz w:val="24"/>
          <w:szCs w:val="24"/>
        </w:rPr>
      </w:pPr>
      <w:bookmarkStart w:id="2" w:name="a26_03"/>
      <w:bookmarkEnd w:id="2"/>
      <w:r w:rsidRPr="00E41870">
        <w:rPr>
          <w:rFonts w:eastAsia="Times New Roman"/>
          <w:b/>
          <w:sz w:val="24"/>
          <w:szCs w:val="24"/>
        </w:rPr>
        <w:t xml:space="preserve">26:3 </w:t>
      </w:r>
      <w:r w:rsidRPr="00E41870">
        <w:rPr>
          <w:rFonts w:eastAsia="Times New Roman"/>
          <w:b/>
          <w:sz w:val="24"/>
          <w:szCs w:val="24"/>
        </w:rPr>
        <w:tab/>
        <w:t>FIDUCIARY RELATIONSHIP ARISING OUT OF A CONFIDENTIAL RELATIONSHIP</w:t>
      </w:r>
    </w:p>
    <w:p w14:paraId="3071B80B"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on (his) (her) (its) claim of breach of a fiduciary duty arising from a confidential relationship, you must find that all the following have been proved by a preponderance of the evidence:</w:t>
      </w:r>
    </w:p>
    <w:p w14:paraId="15AE433C"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14:paraId="595601F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14:paraId="5396C1F7"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14:paraId="599BFB05"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14:paraId="4FF9C3EF"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14:paraId="3BDE8ED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14:paraId="641B11A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14:paraId="7D81AA1B" w14:textId="07547AB0"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w:t>
      </w:r>
      <w:r w:rsidR="000532E3">
        <w:rPr>
          <w:rFonts w:eastAsia="Times New Roman"/>
          <w:b/>
          <w:sz w:val="24"/>
          <w:szCs w:val="24"/>
        </w:rPr>
        <w:t>r</w:t>
      </w:r>
      <w:r w:rsidRPr="00E41870">
        <w:rPr>
          <w:rFonts w:eastAsia="Times New Roman"/>
          <w:b/>
          <w:sz w:val="24"/>
          <w:szCs w:val="24"/>
        </w:rPr>
        <w:t xml:space="preserve"> more of the affirmative defenses have) been proved by a preponderance of the evidence, then your verdict must be for the defendant.</w:t>
      </w:r>
    </w:p>
    <w:p w14:paraId="7267B79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14:paraId="0FFBA16F" w14:textId="77777777" w:rsidR="00E41870" w:rsidRDefault="00E41870" w:rsidP="00E41870">
      <w:pPr>
        <w:jc w:val="center"/>
        <w:rPr>
          <w:rFonts w:eastAsia="Times New Roman"/>
          <w:sz w:val="24"/>
          <w:szCs w:val="24"/>
        </w:rPr>
      </w:pPr>
    </w:p>
    <w:p w14:paraId="436CD6FF"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180CCE7"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14:paraId="054192B6" w14:textId="706BEDD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w:t>
      </w:r>
      <w:r w:rsidR="00020613">
        <w:rPr>
          <w:rFonts w:eastAsia="Times New Roman"/>
          <w:sz w:val="24"/>
          <w:szCs w:val="24"/>
        </w:rPr>
        <w:t xml:space="preserve">applicable </w:t>
      </w:r>
      <w:r w:rsidRPr="00E41870">
        <w:rPr>
          <w:rFonts w:eastAsia="Times New Roman"/>
          <w:sz w:val="24"/>
          <w:szCs w:val="24"/>
        </w:rPr>
        <w:t xml:space="preserve">alternate phrases. </w:t>
      </w:r>
    </w:p>
    <w:p w14:paraId="3FA60CF6" w14:textId="7A3AEB06"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be used. Also, Instruction 26:2 should be used, rather than this instruction, when the claimed fiduciary duty is based on a relationship that is recognized, as a matter of law, as being a fiduciary relationship, such as exists between agent and principal, partners, joint venturers, </w:t>
      </w:r>
      <w:r w:rsidR="00020613">
        <w:rPr>
          <w:rFonts w:eastAsia="Times New Roman"/>
          <w:sz w:val="24"/>
          <w:szCs w:val="24"/>
        </w:rPr>
        <w:t xml:space="preserve">or </w:t>
      </w:r>
      <w:r w:rsidRPr="00E41870">
        <w:rPr>
          <w:rFonts w:eastAsia="Times New Roman"/>
          <w:sz w:val="24"/>
          <w:szCs w:val="24"/>
        </w:rPr>
        <w:t xml:space="preserve">attorney and client. </w:t>
      </w:r>
      <w:r w:rsidRPr="00EE51DF">
        <w:rPr>
          <w:rFonts w:eastAsia="Times New Roman"/>
          <w:i/>
          <w:sz w:val="24"/>
          <w:szCs w:val="24"/>
        </w:rPr>
        <w:t>See</w:t>
      </w:r>
      <w:r w:rsidRPr="00E41870">
        <w:rPr>
          <w:rFonts w:eastAsia="Times New Roman"/>
          <w:sz w:val="24"/>
          <w:szCs w:val="24"/>
        </w:rPr>
        <w:t xml:space="preserve"> Chapter 7 of these instructions.</w:t>
      </w:r>
    </w:p>
    <w:p w14:paraId="604BFFB9"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14:paraId="5E9E4B8D"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79C536E9" w14:textId="76E70430"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w:t>
      </w:r>
      <w:r w:rsidR="005626B2">
        <w:rPr>
          <w:rFonts w:eastAsia="Times New Roman"/>
          <w:b/>
          <w:sz w:val="24"/>
          <w:szCs w:val="24"/>
        </w:rPr>
        <w:t>iona</w:t>
      </w:r>
      <w:r w:rsidRPr="00E41870">
        <w:rPr>
          <w:rFonts w:eastAsia="Times New Roman"/>
          <w:b/>
          <w:sz w:val="24"/>
          <w:szCs w:val="24"/>
        </w:rPr>
        <w:t>l Bank v. Theos</w:t>
      </w:r>
      <w:r w:rsidRPr="00E41870">
        <w:rPr>
          <w:rFonts w:eastAsia="Times New Roman"/>
          <w:sz w:val="24"/>
          <w:szCs w:val="24"/>
        </w:rPr>
        <w:t>, 794 P.2d 1055 (Colo. App. 1990)</w:t>
      </w:r>
      <w:r w:rsidR="005626B2">
        <w:rPr>
          <w:rFonts w:eastAsia="Times New Roman"/>
          <w:sz w:val="24"/>
          <w:szCs w:val="24"/>
        </w:rPr>
        <w:t>.</w:t>
      </w:r>
      <w:r w:rsidRPr="00E41870">
        <w:rPr>
          <w:rFonts w:eastAsia="Times New Roman"/>
          <w:sz w:val="24"/>
          <w:szCs w:val="24"/>
        </w:rPr>
        <w:t xml:space="preserve"> </w:t>
      </w:r>
      <w:r w:rsidR="005626B2">
        <w:rPr>
          <w:rFonts w:eastAsia="Times New Roman"/>
          <w:i/>
          <w:sz w:val="24"/>
          <w:szCs w:val="24"/>
        </w:rPr>
        <w:t>S</w:t>
      </w:r>
      <w:r w:rsidRPr="00E41870">
        <w:rPr>
          <w:rFonts w:eastAsia="Times New Roman"/>
          <w:i/>
          <w:sz w:val="24"/>
          <w:szCs w:val="24"/>
        </w:rPr>
        <w:t>ee also</w:t>
      </w:r>
      <w:r w:rsidRPr="00E41870">
        <w:rPr>
          <w:rFonts w:eastAsia="Times New Roman"/>
          <w:sz w:val="24"/>
          <w:szCs w:val="24"/>
        </w:rPr>
        <w:t xml:space="preserve"> </w:t>
      </w:r>
      <w:r w:rsidRPr="00E41870">
        <w:rPr>
          <w:rFonts w:eastAsia="Times New Roman"/>
          <w:b/>
          <w:sz w:val="24"/>
          <w:szCs w:val="24"/>
        </w:rPr>
        <w:t>Jarnagin v. Busby, Inc.</w:t>
      </w:r>
      <w:r w:rsidRPr="00E41870">
        <w:rPr>
          <w:rFonts w:eastAsia="Times New Roman"/>
          <w:sz w:val="24"/>
          <w:szCs w:val="24"/>
        </w:rPr>
        <w:t>, 867 P.2d 63 (Colo. App. 1993).</w:t>
      </w:r>
    </w:p>
    <w:p w14:paraId="1DD88EEB" w14:textId="23ED8F57"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w:t>
      </w:r>
      <w:r w:rsidR="005626B2">
        <w:rPr>
          <w:rFonts w:eastAsia="Times New Roman"/>
          <w:b/>
          <w:sz w:val="24"/>
          <w:szCs w:val="24"/>
        </w:rPr>
        <w:t>.</w:t>
      </w:r>
      <w:r w:rsidRPr="00E41870">
        <w:rPr>
          <w:rFonts w:eastAsia="Times New Roman"/>
          <w:b/>
          <w:sz w:val="24"/>
          <w:szCs w:val="24"/>
        </w:rPr>
        <w:t xml:space="preserve"> Denver Nat’l Bank</w:t>
      </w:r>
      <w:r w:rsidRPr="00E41870">
        <w:rPr>
          <w:rFonts w:eastAsia="Times New Roman"/>
          <w:sz w:val="24"/>
          <w:szCs w:val="24"/>
        </w:rPr>
        <w:t xml:space="preserve">, 762 P.2d 755 (Colo. App. 1988); </w:t>
      </w:r>
      <w:r w:rsidRPr="00E41870">
        <w:rPr>
          <w:rFonts w:eastAsia="Times New Roman"/>
          <w:b/>
          <w:sz w:val="24"/>
          <w:szCs w:val="24"/>
        </w:rPr>
        <w:t>Dolton v. Capitol Fed. Sav. &amp; Loan Ass’n</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642 P.2d 21 (Colo. App. 1981).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Theos</w:t>
      </w:r>
      <w:r w:rsidRPr="00E41870">
        <w:rPr>
          <w:rFonts w:eastAsia="Times New Roman"/>
          <w:sz w:val="24"/>
          <w:szCs w:val="24"/>
        </w:rPr>
        <w:t xml:space="preserve">, 794 P.2d </w:t>
      </w:r>
      <w:r w:rsidR="005626B2">
        <w:rPr>
          <w:rFonts w:eastAsia="Times New Roman"/>
          <w:sz w:val="24"/>
          <w:szCs w:val="24"/>
        </w:rPr>
        <w:t xml:space="preserve">at </w:t>
      </w:r>
      <w:r w:rsidRPr="00E41870">
        <w:rPr>
          <w:rFonts w:eastAsia="Times New Roman"/>
          <w:sz w:val="24"/>
          <w:szCs w:val="24"/>
        </w:rPr>
        <w:t>10</w:t>
      </w:r>
      <w:r w:rsidR="005626B2">
        <w:rPr>
          <w:rFonts w:eastAsia="Times New Roman"/>
          <w:sz w:val="24"/>
          <w:szCs w:val="24"/>
        </w:rPr>
        <w:t>61</w:t>
      </w:r>
      <w:r w:rsidRPr="00E41870">
        <w:rPr>
          <w:rFonts w:eastAsia="Times New Roman"/>
          <w:sz w:val="24"/>
          <w:szCs w:val="24"/>
        </w:rPr>
        <w:t xml:space="preserve">.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w:t>
      </w:r>
      <w:r w:rsidR="005626B2">
        <w:rPr>
          <w:rFonts w:eastAsia="Times New Roman"/>
          <w:sz w:val="24"/>
          <w:szCs w:val="24"/>
        </w:rPr>
        <w:t xml:space="preserve">at </w:t>
      </w:r>
      <w:r w:rsidRPr="00E41870">
        <w:rPr>
          <w:rFonts w:eastAsia="Times New Roman"/>
          <w:sz w:val="24"/>
          <w:szCs w:val="24"/>
        </w:rPr>
        <w:t>53</w:t>
      </w:r>
      <w:r w:rsidR="005626B2">
        <w:rPr>
          <w:rFonts w:eastAsia="Times New Roman"/>
          <w:sz w:val="24"/>
          <w:szCs w:val="24"/>
        </w:rPr>
        <w:t>3</w:t>
      </w:r>
      <w:r w:rsidRPr="00E41870">
        <w:rPr>
          <w:rFonts w:eastAsia="Times New Roman"/>
          <w:sz w:val="24"/>
          <w:szCs w:val="24"/>
        </w:rPr>
        <w:t xml:space="preserve">; </w:t>
      </w:r>
      <w:r w:rsidRPr="00E41870">
        <w:rPr>
          <w:rFonts w:eastAsia="Times New Roman"/>
          <w:b/>
          <w:sz w:val="24"/>
          <w:szCs w:val="24"/>
        </w:rPr>
        <w:t>Todd Holding Co. v. Super Valu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Smith v. TCI Commc’ns,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14:paraId="17EF9408" w14:textId="6F3509CB"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 xml:space="preserve">see also </w:t>
      </w:r>
      <w:r w:rsidRPr="00E41870">
        <w:rPr>
          <w:rFonts w:eastAsia="Times New Roman"/>
          <w:b/>
          <w:sz w:val="24"/>
          <w:szCs w:val="24"/>
        </w:rPr>
        <w:t>In the Interest of Delluomo v. Cedarblade</w:t>
      </w:r>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718 P.2d 508 (Colo. 1986).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w:t>
      </w:r>
      <w:r w:rsidRPr="00E41870">
        <w:rPr>
          <w:rFonts w:eastAsia="Times New Roman"/>
          <w:sz w:val="24"/>
          <w:szCs w:val="24"/>
        </w:rPr>
        <w:t xml:space="preserve">, 642 P.2d </w:t>
      </w:r>
      <w:r w:rsidR="006E0FB3">
        <w:rPr>
          <w:rFonts w:eastAsia="Times New Roman"/>
          <w:sz w:val="24"/>
          <w:szCs w:val="24"/>
        </w:rPr>
        <w:t xml:space="preserve">at </w:t>
      </w:r>
      <w:r w:rsidRPr="00E41870">
        <w:rPr>
          <w:rFonts w:eastAsia="Times New Roman"/>
          <w:sz w:val="24"/>
          <w:szCs w:val="24"/>
        </w:rPr>
        <w:t>2</w:t>
      </w:r>
      <w:r w:rsidR="006E0FB3">
        <w:rPr>
          <w:rFonts w:eastAsia="Times New Roman"/>
          <w:sz w:val="24"/>
          <w:szCs w:val="24"/>
        </w:rPr>
        <w:t>3</w:t>
      </w:r>
      <w:r w:rsidRPr="00E41870">
        <w:rPr>
          <w:rFonts w:eastAsia="Times New Roman"/>
          <w:sz w:val="24"/>
          <w:szCs w:val="24"/>
        </w:rPr>
        <w:t xml:space="preserve">.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r>
        <w:rPr>
          <w:rFonts w:eastAsia="Times New Roman"/>
          <w:sz w:val="24"/>
          <w:szCs w:val="24"/>
        </w:rPr>
        <w:t xml:space="preserve">863 P.2d </w:t>
      </w:r>
      <w:r w:rsidR="006E0FB3">
        <w:rPr>
          <w:rFonts w:eastAsia="Times New Roman"/>
          <w:sz w:val="24"/>
          <w:szCs w:val="24"/>
        </w:rPr>
        <w:t xml:space="preserve">at </w:t>
      </w:r>
      <w:r>
        <w:rPr>
          <w:rFonts w:eastAsia="Times New Roman"/>
          <w:sz w:val="24"/>
          <w:szCs w:val="24"/>
        </w:rPr>
        <w:t>3</w:t>
      </w:r>
      <w:r w:rsidR="006E0FB3">
        <w:rPr>
          <w:rFonts w:eastAsia="Times New Roman"/>
          <w:sz w:val="24"/>
          <w:szCs w:val="24"/>
        </w:rPr>
        <w:t>22</w:t>
      </w:r>
      <w:r>
        <w:rPr>
          <w:rFonts w:eastAsia="Times New Roman"/>
          <w:sz w:val="24"/>
          <w:szCs w:val="24"/>
        </w:rPr>
        <w:t>.</w:t>
      </w:r>
    </w:p>
    <w:p w14:paraId="5D0EB565" w14:textId="77777777" w:rsidR="00E41870" w:rsidRDefault="00E41870">
      <w:pPr>
        <w:rPr>
          <w:rFonts w:eastAsia="Times New Roman"/>
          <w:sz w:val="24"/>
          <w:szCs w:val="24"/>
        </w:rPr>
      </w:pPr>
      <w:r>
        <w:rPr>
          <w:rFonts w:eastAsia="Times New Roman"/>
          <w:sz w:val="24"/>
          <w:szCs w:val="24"/>
        </w:rPr>
        <w:br w:type="page"/>
      </w:r>
    </w:p>
    <w:p w14:paraId="1851D044" w14:textId="77777777" w:rsidR="00E41870" w:rsidRPr="009E3DA4" w:rsidRDefault="00E41870" w:rsidP="00E41870">
      <w:pPr>
        <w:spacing w:after="240"/>
        <w:ind w:left="720" w:hanging="720"/>
        <w:rPr>
          <w:rFonts w:eastAsia="Times New Roman"/>
          <w:b/>
          <w:sz w:val="24"/>
          <w:szCs w:val="24"/>
        </w:rPr>
      </w:pPr>
      <w:bookmarkStart w:id="3" w:name="a26_04"/>
      <w:bookmarkEnd w:id="3"/>
      <w:r w:rsidRPr="00E41870">
        <w:rPr>
          <w:rFonts w:eastAsia="Times New Roman"/>
          <w:b/>
          <w:sz w:val="24"/>
          <w:szCs w:val="24"/>
        </w:rPr>
        <w:t xml:space="preserve">26:4 </w:t>
      </w:r>
      <w:r w:rsidRPr="00E41870">
        <w:rPr>
          <w:rFonts w:eastAsia="Times New Roman"/>
          <w:b/>
          <w:sz w:val="24"/>
          <w:szCs w:val="24"/>
        </w:rPr>
        <w:tab/>
        <w:t>CONFIDENTIAL RELATIONSHIP — DEFINED</w:t>
      </w:r>
    </w:p>
    <w:p w14:paraId="15AF7BC0"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14:paraId="082B2D53" w14:textId="77777777" w:rsidR="00E41870" w:rsidRDefault="00E41870" w:rsidP="00E41870">
      <w:pPr>
        <w:jc w:val="center"/>
        <w:rPr>
          <w:rFonts w:eastAsia="Times New Roman"/>
          <w:sz w:val="24"/>
          <w:szCs w:val="24"/>
        </w:rPr>
      </w:pPr>
    </w:p>
    <w:p w14:paraId="7B7681F2"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0C6414FB"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14:paraId="7685A298" w14:textId="70133DF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r w:rsidRPr="00E41870">
        <w:rPr>
          <w:rFonts w:eastAsia="Times New Roman"/>
          <w:b/>
          <w:sz w:val="24"/>
          <w:szCs w:val="24"/>
        </w:rPr>
        <w:t>First Nat’l Bank v. Theos</w:t>
      </w:r>
      <w:r w:rsidRPr="00E41870">
        <w:rPr>
          <w:rFonts w:eastAsia="Times New Roman"/>
          <w:sz w:val="24"/>
          <w:szCs w:val="24"/>
        </w:rPr>
        <w:t>, 794 P.2d 1055 (</w:t>
      </w:r>
      <w:r w:rsidR="00E71BCE">
        <w:rPr>
          <w:rFonts w:eastAsia="Times New Roman"/>
          <w:sz w:val="24"/>
          <w:szCs w:val="24"/>
        </w:rPr>
        <w:t>Colo. App.</w:t>
      </w:r>
      <w:r w:rsidR="006E0FB3">
        <w:rPr>
          <w:rFonts w:eastAsia="Times New Roman"/>
          <w:sz w:val="24"/>
          <w:szCs w:val="24"/>
        </w:rPr>
        <w:t xml:space="preserve"> </w:t>
      </w:r>
      <w:r w:rsidRPr="00E41870">
        <w:rPr>
          <w:rFonts w:eastAsia="Times New Roman"/>
          <w:sz w:val="24"/>
          <w:szCs w:val="24"/>
        </w:rPr>
        <w:t xml:space="preserve">1990). Accordingly, this instruction should be given with Instruction 26:3. </w:t>
      </w:r>
    </w:p>
    <w:p w14:paraId="7FBB9102"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9B6FA3A" w14:textId="38922C88"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r w:rsidRPr="00E71646">
        <w:rPr>
          <w:rFonts w:eastAsia="Times New Roman"/>
          <w:b/>
          <w:sz w:val="24"/>
          <w:szCs w:val="24"/>
        </w:rPr>
        <w:t>Jarnagin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w:t>
      </w:r>
      <w:r w:rsidR="006E0FB3">
        <w:rPr>
          <w:rFonts w:eastAsia="Times New Roman"/>
          <w:sz w:val="24"/>
          <w:szCs w:val="24"/>
        </w:rPr>
        <w:t>.</w:t>
      </w:r>
      <w:r w:rsidRPr="00E71646">
        <w:rPr>
          <w:rFonts w:eastAsia="Times New Roman"/>
          <w:sz w:val="24"/>
          <w:szCs w:val="24"/>
        </w:rPr>
        <w:t xml:space="preserve"> </w:t>
      </w:r>
      <w:r w:rsidR="006E0FB3">
        <w:rPr>
          <w:rFonts w:eastAsia="Times New Roman"/>
          <w:i/>
          <w:sz w:val="24"/>
          <w:szCs w:val="24"/>
        </w:rPr>
        <w:t>S</w:t>
      </w:r>
      <w:r w:rsidRPr="00E71646">
        <w:rPr>
          <w:rFonts w:eastAsia="Times New Roman"/>
          <w:i/>
          <w:sz w:val="24"/>
          <w:szCs w:val="24"/>
        </w:rPr>
        <w:t xml:space="preserve">ee also </w:t>
      </w:r>
      <w:r w:rsidRPr="00E71646">
        <w:rPr>
          <w:rFonts w:eastAsia="Times New Roman"/>
          <w:b/>
          <w:sz w:val="24"/>
          <w:szCs w:val="24"/>
        </w:rPr>
        <w:t>Turkey Creek, LLC v. Rosania</w:t>
      </w:r>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r w:rsidRPr="00E71646">
        <w:rPr>
          <w:rFonts w:eastAsia="Times New Roman"/>
          <w:b/>
          <w:sz w:val="24"/>
          <w:szCs w:val="24"/>
        </w:rPr>
        <w:t>Vikell Inv</w:t>
      </w:r>
      <w:r w:rsidR="006E0FB3">
        <w:rPr>
          <w:rFonts w:eastAsia="Times New Roman"/>
          <w:b/>
          <w:sz w:val="24"/>
          <w:szCs w:val="24"/>
        </w:rPr>
        <w:t>’</w:t>
      </w:r>
      <w:r w:rsidRPr="00E71646">
        <w:rPr>
          <w:rFonts w:eastAsia="Times New Roman"/>
          <w:b/>
          <w:sz w:val="24"/>
          <w:szCs w:val="24"/>
        </w:rPr>
        <w:t>rs Pac</w:t>
      </w:r>
      <w:r w:rsidR="00EB5935">
        <w:rPr>
          <w:rFonts w:eastAsia="Times New Roman"/>
          <w:b/>
          <w:sz w:val="24"/>
          <w:szCs w:val="24"/>
        </w:rPr>
        <w:t>.</w:t>
      </w:r>
      <w:r w:rsidRPr="00E71646">
        <w:rPr>
          <w:rFonts w:eastAsia="Times New Roman"/>
          <w:b/>
          <w:sz w:val="24"/>
          <w:szCs w:val="24"/>
        </w:rPr>
        <w:t>,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Dolton v. Capital Fed. Sav. &amp; Loan Ass’n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United Fire &amp; Cas</w:t>
      </w:r>
      <w:r w:rsidR="00EB5935">
        <w:rPr>
          <w:rFonts w:eastAsia="Times New Roman"/>
          <w:b/>
          <w:sz w:val="24"/>
          <w:szCs w:val="24"/>
        </w:rPr>
        <w:t>.</w:t>
      </w:r>
      <w:r w:rsidRPr="00E71646">
        <w:rPr>
          <w:rFonts w:eastAsia="Times New Roman"/>
          <w:b/>
          <w:sz w:val="24"/>
          <w:szCs w:val="24"/>
        </w:rPr>
        <w:t xml:space="preserve"> Co. v. Nissan Motor Corp.</w:t>
      </w:r>
      <w:r w:rsidRPr="00E71646">
        <w:rPr>
          <w:rFonts w:eastAsia="Times New Roman"/>
          <w:sz w:val="24"/>
          <w:szCs w:val="24"/>
        </w:rPr>
        <w:t xml:space="preserve">, 164 Colo. 42, </w:t>
      </w:r>
      <w:r w:rsidR="00EB5935">
        <w:rPr>
          <w:rFonts w:eastAsia="Times New Roman"/>
          <w:sz w:val="24"/>
          <w:szCs w:val="24"/>
        </w:rPr>
        <w:t xml:space="preserve">44, </w:t>
      </w:r>
      <w:r w:rsidRPr="00E71646">
        <w:rPr>
          <w:rFonts w:eastAsia="Times New Roman"/>
          <w:sz w:val="24"/>
          <w:szCs w:val="24"/>
        </w:rPr>
        <w:t>433 P.2d 769</w:t>
      </w:r>
      <w:r w:rsidR="00EB5935">
        <w:rPr>
          <w:rFonts w:eastAsia="Times New Roman"/>
          <w:sz w:val="24"/>
          <w:szCs w:val="24"/>
        </w:rPr>
        <w:t>, 771</w:t>
      </w:r>
      <w:r w:rsidRPr="00E71646">
        <w:rPr>
          <w:rFonts w:eastAsia="Times New Roman"/>
          <w:sz w:val="24"/>
          <w:szCs w:val="24"/>
        </w:rPr>
        <w:t xml:space="preserve"> (1967) (concluding that no fiduciary relationship existed between plaintiff and defendant in the absence of any showing of a relationship “which might have impelled or induced </w:t>
      </w:r>
      <w:r w:rsidR="00EB5935">
        <w:rPr>
          <w:rFonts w:eastAsia="Times New Roman"/>
          <w:sz w:val="24"/>
          <w:szCs w:val="24"/>
        </w:rPr>
        <w:t>[</w:t>
      </w:r>
      <w:r w:rsidRPr="00E71646">
        <w:rPr>
          <w:rFonts w:eastAsia="Times New Roman"/>
          <w:sz w:val="24"/>
          <w:szCs w:val="24"/>
        </w:rPr>
        <w:t>plaintiff</w:t>
      </w:r>
      <w:r w:rsidR="00EB5935">
        <w:rPr>
          <w:rFonts w:eastAsia="Times New Roman"/>
          <w:sz w:val="24"/>
          <w:szCs w:val="24"/>
        </w:rPr>
        <w:t>]</w:t>
      </w:r>
      <w:r w:rsidRPr="00E71646">
        <w:rPr>
          <w:rFonts w:eastAsia="Times New Roman"/>
          <w:sz w:val="24"/>
          <w:szCs w:val="24"/>
        </w:rPr>
        <w:t xml:space="preserve"> to relax the care and vigilance it would and should have ordinarily exercised in dealing with a stranger”). </w:t>
      </w:r>
    </w:p>
    <w:p w14:paraId="5BAA70B0" w14:textId="760160A4"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006E0FB3">
        <w:rPr>
          <w:rFonts w:eastAsia="Times New Roman"/>
          <w:sz w:val="24"/>
          <w:szCs w:val="24"/>
        </w:rPr>
        <w:t>A</w:t>
      </w:r>
      <w:r w:rsidRPr="00E71646">
        <w:rPr>
          <w:rFonts w:eastAsia="Times New Roman"/>
          <w:sz w:val="24"/>
          <w:szCs w:val="24"/>
        </w:rPr>
        <w:t xml:space="preserve"> confidential relationship may also arise if: (1) one party has taken steps to induce another to believe that it can safely rely on the first party’s judgment or advice; or (2) one person has gained the confidence of the other and purports to act or advise with the other’s interest in mind</w:t>
      </w:r>
      <w:r w:rsidR="006E0FB3">
        <w:rPr>
          <w:rFonts w:eastAsia="Times New Roman"/>
          <w:sz w:val="24"/>
          <w:szCs w:val="24"/>
        </w:rPr>
        <w:t xml:space="preserve">. </w:t>
      </w:r>
      <w:r w:rsidR="006E0FB3" w:rsidRPr="00E71646">
        <w:rPr>
          <w:rFonts w:eastAsia="Times New Roman"/>
          <w:b/>
          <w:sz w:val="24"/>
          <w:szCs w:val="24"/>
        </w:rPr>
        <w:t>Theos</w:t>
      </w:r>
      <w:r w:rsidR="006E0FB3" w:rsidRPr="00E71646">
        <w:rPr>
          <w:rFonts w:eastAsia="Times New Roman"/>
          <w:sz w:val="24"/>
          <w:szCs w:val="24"/>
        </w:rPr>
        <w:t xml:space="preserve">, 794 P.2d </w:t>
      </w:r>
      <w:r w:rsidR="006E0FB3">
        <w:rPr>
          <w:rFonts w:eastAsia="Times New Roman"/>
          <w:sz w:val="24"/>
          <w:szCs w:val="24"/>
        </w:rPr>
        <w:t xml:space="preserve">at </w:t>
      </w:r>
      <w:r w:rsidR="006E0FB3" w:rsidRPr="00E71646">
        <w:rPr>
          <w:rFonts w:eastAsia="Times New Roman"/>
          <w:sz w:val="24"/>
          <w:szCs w:val="24"/>
        </w:rPr>
        <w:t>10</w:t>
      </w:r>
      <w:r w:rsidR="006E0FB3">
        <w:rPr>
          <w:rFonts w:eastAsia="Times New Roman"/>
          <w:sz w:val="24"/>
          <w:szCs w:val="24"/>
        </w:rPr>
        <w:t>61 (</w:t>
      </w:r>
      <w:r w:rsidR="006E0FB3" w:rsidRPr="00E71646">
        <w:rPr>
          <w:rFonts w:eastAsia="Times New Roman"/>
          <w:sz w:val="24"/>
          <w:szCs w:val="24"/>
        </w:rPr>
        <w:t xml:space="preserve">citing </w:t>
      </w:r>
      <w:r w:rsidR="006E0FB3" w:rsidRPr="00E71646">
        <w:rPr>
          <w:rFonts w:eastAsia="Times New Roman"/>
          <w:iCs/>
          <w:smallCaps/>
          <w:sz w:val="24"/>
          <w:szCs w:val="24"/>
        </w:rPr>
        <w:t>Restatement (Second) of Contracts</w:t>
      </w:r>
      <w:r w:rsidR="006E0FB3" w:rsidRPr="00E71646">
        <w:rPr>
          <w:rFonts w:eastAsia="Times New Roman"/>
          <w:i/>
          <w:iCs/>
          <w:sz w:val="24"/>
          <w:szCs w:val="24"/>
        </w:rPr>
        <w:t xml:space="preserve"> </w:t>
      </w:r>
      <w:r w:rsidR="006E0FB3" w:rsidRPr="00E71646">
        <w:rPr>
          <w:rFonts w:eastAsia="Times New Roman"/>
          <w:sz w:val="24"/>
          <w:szCs w:val="24"/>
        </w:rPr>
        <w:t>§ 161d cmt</w:t>
      </w:r>
      <w:r w:rsidR="006E0FB3">
        <w:rPr>
          <w:rFonts w:eastAsia="Times New Roman"/>
          <w:sz w:val="24"/>
          <w:szCs w:val="24"/>
        </w:rPr>
        <w:t xml:space="preserve">. f (1982); </w:t>
      </w:r>
      <w:r w:rsidR="006E0FB3" w:rsidRPr="00E71646">
        <w:rPr>
          <w:rFonts w:eastAsia="Times New Roman"/>
          <w:iCs/>
          <w:smallCaps/>
          <w:sz w:val="24"/>
          <w:szCs w:val="24"/>
        </w:rPr>
        <w:t>Restatement (Second) of Trusts</w:t>
      </w:r>
      <w:r w:rsidR="006E0FB3" w:rsidRPr="00E71646">
        <w:rPr>
          <w:rFonts w:eastAsia="Times New Roman"/>
          <w:sz w:val="24"/>
          <w:szCs w:val="24"/>
        </w:rPr>
        <w:t xml:space="preserve"> § 2 cmt</w:t>
      </w:r>
      <w:r w:rsidR="006E0FB3">
        <w:rPr>
          <w:rFonts w:eastAsia="Times New Roman"/>
          <w:sz w:val="24"/>
          <w:szCs w:val="24"/>
        </w:rPr>
        <w:t>.</w:t>
      </w:r>
      <w:r w:rsidR="006E0FB3" w:rsidRPr="00E71646">
        <w:rPr>
          <w:rFonts w:eastAsia="Times New Roman"/>
          <w:sz w:val="24"/>
          <w:szCs w:val="24"/>
        </w:rPr>
        <w:t xml:space="preserve"> b (1959)</w:t>
      </w:r>
      <w:r w:rsidR="006E0FB3">
        <w:rPr>
          <w:rFonts w:eastAsia="Times New Roman"/>
          <w:sz w:val="24"/>
          <w:szCs w:val="24"/>
        </w:rPr>
        <w:t>)</w:t>
      </w:r>
      <w:r w:rsidRPr="00E71646">
        <w:rPr>
          <w:rFonts w:eastAsia="Times New Roman"/>
          <w:sz w:val="24"/>
          <w:szCs w:val="24"/>
        </w:rPr>
        <w:t xml:space="preserve">;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7</w:t>
      </w:r>
      <w:r w:rsidR="006E0FB3">
        <w:rPr>
          <w:rFonts w:eastAsia="Times New Roman"/>
          <w:sz w:val="24"/>
          <w:szCs w:val="24"/>
        </w:rPr>
        <w:t>0</w:t>
      </w:r>
      <w:r w:rsidRPr="00E71646">
        <w:rPr>
          <w:rFonts w:eastAsia="Times New Roman"/>
          <w:sz w:val="24"/>
          <w:szCs w:val="24"/>
        </w:rPr>
        <w:t xml:space="preserve"> P.</w:t>
      </w:r>
      <w:r w:rsidR="006E0FB3">
        <w:rPr>
          <w:rFonts w:eastAsia="Times New Roman"/>
          <w:sz w:val="24"/>
          <w:szCs w:val="24"/>
        </w:rPr>
        <w:t>3</w:t>
      </w:r>
      <w:r w:rsidRPr="00E71646">
        <w:rPr>
          <w:rFonts w:eastAsia="Times New Roman"/>
          <w:sz w:val="24"/>
          <w:szCs w:val="24"/>
        </w:rPr>
        <w:t xml:space="preserve">d </w:t>
      </w:r>
      <w:r w:rsidR="006E0FB3">
        <w:rPr>
          <w:rFonts w:eastAsia="Times New Roman"/>
          <w:sz w:val="24"/>
          <w:szCs w:val="24"/>
        </w:rPr>
        <w:t>579</w:t>
      </w:r>
      <w:r w:rsidRPr="00E71646">
        <w:rPr>
          <w:rFonts w:eastAsia="Times New Roman"/>
          <w:sz w:val="24"/>
          <w:szCs w:val="24"/>
        </w:rPr>
        <w:t xml:space="preserve"> (</w:t>
      </w:r>
      <w:r w:rsidR="006E0FB3">
        <w:rPr>
          <w:rFonts w:eastAsia="Times New Roman"/>
          <w:sz w:val="24"/>
          <w:szCs w:val="24"/>
        </w:rPr>
        <w:t>Colo. App. 2003</w:t>
      </w:r>
      <w:r w:rsidRPr="00E71646">
        <w:rPr>
          <w:rFonts w:eastAsia="Times New Roman"/>
          <w:sz w:val="24"/>
          <w:szCs w:val="24"/>
        </w:rPr>
        <w:t xml:space="preserve">) (following </w:t>
      </w:r>
      <w:r w:rsidRPr="00827ADB">
        <w:rPr>
          <w:rFonts w:eastAsia="Times New Roman"/>
          <w:b/>
          <w:sz w:val="24"/>
          <w:szCs w:val="24"/>
        </w:rPr>
        <w:t>Theos</w:t>
      </w:r>
      <w:r w:rsidRPr="00E71646">
        <w:rPr>
          <w:rFonts w:eastAsia="Times New Roman"/>
          <w:sz w:val="24"/>
          <w:szCs w:val="24"/>
        </w:rPr>
        <w:t xml:space="preserve">). </w:t>
      </w:r>
    </w:p>
    <w:p w14:paraId="34B2062D" w14:textId="6E9DC78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w:t>
      </w:r>
      <w:r w:rsidRPr="00E71646">
        <w:rPr>
          <w:rFonts w:eastAsia="Times New Roman"/>
          <w:sz w:val="24"/>
          <w:szCs w:val="24"/>
        </w:rPr>
        <w:t xml:space="preserve">, 800 P.2d </w:t>
      </w:r>
      <w:r w:rsidR="00EB5935">
        <w:rPr>
          <w:rFonts w:eastAsia="Times New Roman"/>
          <w:sz w:val="24"/>
          <w:szCs w:val="24"/>
        </w:rPr>
        <w:t xml:space="preserve">at </w:t>
      </w:r>
      <w:r w:rsidRPr="00E71646">
        <w:rPr>
          <w:rFonts w:eastAsia="Times New Roman"/>
          <w:sz w:val="24"/>
          <w:szCs w:val="24"/>
        </w:rPr>
        <w:t>135</w:t>
      </w:r>
      <w:r w:rsidR="00EB5935">
        <w:rPr>
          <w:rFonts w:eastAsia="Times New Roman"/>
          <w:sz w:val="24"/>
          <w:szCs w:val="24"/>
        </w:rPr>
        <w:t>5</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w:t>
      </w:r>
      <w:r w:rsidR="00EB5935">
        <w:rPr>
          <w:rFonts w:eastAsia="Times New Roman"/>
          <w:sz w:val="24"/>
          <w:szCs w:val="24"/>
        </w:rPr>
        <w:t>9</w:t>
      </w:r>
      <w:r w:rsidRPr="00E71646">
        <w:rPr>
          <w:rFonts w:eastAsia="Times New Roman"/>
          <w:sz w:val="24"/>
          <w:szCs w:val="24"/>
        </w:rPr>
        <w:t xml:space="preserve"> P.3d 1134 (Colo. 2008) (discussing the nature of a confidential relationship in the context of a claim for unjust enrichment and stating that a confidential relationship may serve as an indication of fiduciary status).</w:t>
      </w:r>
    </w:p>
    <w:p w14:paraId="2CA3B7F4" w14:textId="77777777" w:rsidR="00E71646" w:rsidRDefault="00E71646">
      <w:pPr>
        <w:rPr>
          <w:rFonts w:eastAsia="Times New Roman"/>
          <w:sz w:val="24"/>
          <w:szCs w:val="24"/>
        </w:rPr>
      </w:pPr>
      <w:r>
        <w:rPr>
          <w:rFonts w:eastAsia="Times New Roman"/>
          <w:sz w:val="24"/>
          <w:szCs w:val="24"/>
        </w:rPr>
        <w:br w:type="page"/>
      </w:r>
    </w:p>
    <w:p w14:paraId="1FD4C9AF" w14:textId="77777777" w:rsidR="00E71646" w:rsidRPr="009E3DA4" w:rsidRDefault="00E71646" w:rsidP="00E71646">
      <w:pPr>
        <w:spacing w:after="240"/>
        <w:ind w:left="720" w:hanging="720"/>
        <w:rPr>
          <w:rFonts w:eastAsia="Times New Roman"/>
          <w:b/>
          <w:sz w:val="24"/>
          <w:szCs w:val="24"/>
        </w:rPr>
      </w:pPr>
      <w:bookmarkStart w:id="4" w:name="a26_05"/>
      <w:bookmarkEnd w:id="4"/>
      <w:r w:rsidRPr="00E71646">
        <w:rPr>
          <w:rFonts w:eastAsia="Times New Roman"/>
          <w:b/>
          <w:sz w:val="24"/>
          <w:szCs w:val="24"/>
        </w:rPr>
        <w:t xml:space="preserve">26:5 </w:t>
      </w:r>
      <w:r w:rsidRPr="00E71646">
        <w:rPr>
          <w:rFonts w:eastAsia="Times New Roman"/>
          <w:b/>
          <w:sz w:val="24"/>
          <w:szCs w:val="24"/>
        </w:rPr>
        <w:tab/>
        <w:t>ACTUAL DAMAGES</w:t>
      </w:r>
    </w:p>
    <w:p w14:paraId="414A015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14:paraId="4F22140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14:paraId="696693C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14:paraId="1F400739"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14:paraId="7661C59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14:paraId="1FE5E7F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14:paraId="52005B2C"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14:paraId="72B69786" w14:textId="31202E44"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(d. Any [loss] [damage] which plaintiff has had as a result of a third person making a claim against </w:t>
      </w:r>
      <w:r w:rsidR="00EB5935">
        <w:rPr>
          <w:rFonts w:eastAsia="Times New Roman"/>
          <w:b/>
          <w:sz w:val="24"/>
          <w:szCs w:val="24"/>
        </w:rPr>
        <w:t>[</w:t>
      </w:r>
      <w:r w:rsidRPr="00E71646">
        <w:rPr>
          <w:rFonts w:eastAsia="Times New Roman"/>
          <w:b/>
          <w:sz w:val="24"/>
          <w:szCs w:val="24"/>
        </w:rPr>
        <w:t>him</w:t>
      </w:r>
      <w:r w:rsidR="00EB5935">
        <w:rPr>
          <w:rFonts w:eastAsia="Times New Roman"/>
          <w:b/>
          <w:sz w:val="24"/>
          <w:szCs w:val="24"/>
        </w:rPr>
        <w:t>]</w:t>
      </w:r>
      <w:r w:rsidRPr="00E71646">
        <w:rPr>
          <w:rFonts w:eastAsia="Times New Roman"/>
          <w:b/>
          <w:sz w:val="24"/>
          <w:szCs w:val="24"/>
        </w:rPr>
        <w:t xml:space="preserve"> </w:t>
      </w:r>
      <w:r w:rsidR="00EB5935">
        <w:rPr>
          <w:rFonts w:eastAsia="Times New Roman"/>
          <w:b/>
          <w:sz w:val="24"/>
          <w:szCs w:val="24"/>
        </w:rPr>
        <w:t>[</w:t>
      </w:r>
      <w:r w:rsidRPr="00E71646">
        <w:rPr>
          <w:rFonts w:eastAsia="Times New Roman"/>
          <w:b/>
          <w:sz w:val="24"/>
          <w:szCs w:val="24"/>
        </w:rPr>
        <w:t>her</w:t>
      </w:r>
      <w:r w:rsidR="00EB5935">
        <w:rPr>
          <w:rFonts w:eastAsia="Times New Roman"/>
          <w:b/>
          <w:sz w:val="24"/>
          <w:szCs w:val="24"/>
        </w:rPr>
        <w:t>]</w:t>
      </w:r>
      <w:r w:rsidRPr="00E71646">
        <w:rPr>
          <w:rFonts w:eastAsia="Times New Roman"/>
          <w:b/>
          <w:sz w:val="24"/>
          <w:szCs w:val="24"/>
        </w:rPr>
        <w:t xml:space="preserve"> because of the breach of fiduciary duty); and</w:t>
      </w:r>
    </w:p>
    <w:p w14:paraId="61DFE92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
    <w:p w14:paraId="65FFCE7C" w14:textId="77777777" w:rsidR="00E71646" w:rsidRDefault="00E71646" w:rsidP="00E71646">
      <w:pPr>
        <w:jc w:val="center"/>
        <w:rPr>
          <w:rFonts w:eastAsia="Times New Roman"/>
          <w:sz w:val="24"/>
          <w:szCs w:val="24"/>
        </w:rPr>
      </w:pPr>
    </w:p>
    <w:p w14:paraId="21A16508" w14:textId="77777777"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14:paraId="47ADB2A8" w14:textId="3A9BBED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w:t>
      </w:r>
      <w:r w:rsidR="00EB5935">
        <w:rPr>
          <w:rFonts w:eastAsia="Times New Roman"/>
          <w:sz w:val="24"/>
          <w:szCs w:val="24"/>
        </w:rPr>
        <w:t>sought</w:t>
      </w:r>
      <w:r w:rsidRPr="00E71646">
        <w:rPr>
          <w:rFonts w:eastAsia="Times New Roman"/>
          <w:sz w:val="24"/>
          <w:szCs w:val="24"/>
        </w:rPr>
        <w:t xml:space="preserve"> should not be stated in this instruction or in the statement of the case. </w:t>
      </w:r>
      <w:r w:rsidRPr="00E71646">
        <w:rPr>
          <w:rFonts w:eastAsia="Times New Roman"/>
          <w:b/>
          <w:sz w:val="24"/>
          <w:szCs w:val="24"/>
        </w:rPr>
        <w:t>Rodrigue v. Hausman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
    <w:p w14:paraId="6DABAD32"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in conjunction with Instruction 26:1.</w:t>
      </w:r>
    </w:p>
    <w:p w14:paraId="6E205305"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14:paraId="691DCA65" w14:textId="77777777"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14:paraId="7CE2434A" w14:textId="25A0FF32" w:rsidR="00E71646" w:rsidRPr="00E71646" w:rsidRDefault="00E71646" w:rsidP="00460071">
      <w:pPr>
        <w:spacing w:after="240"/>
        <w:ind w:firstLine="720"/>
        <w:rPr>
          <w:rFonts w:eastAsia="Times New Roman"/>
          <w:sz w:val="24"/>
          <w:szCs w:val="24"/>
        </w:rPr>
      </w:pPr>
      <w:r w:rsidRPr="00E71646">
        <w:rPr>
          <w:rFonts w:eastAsia="Times New Roman"/>
          <w:sz w:val="24"/>
          <w:szCs w:val="24"/>
        </w:rPr>
        <w:t xml:space="preserve">1. This instruction </w:t>
      </w:r>
      <w:r w:rsidR="00C93313">
        <w:rPr>
          <w:rFonts w:eastAsia="Times New Roman"/>
          <w:sz w:val="24"/>
          <w:szCs w:val="24"/>
        </w:rPr>
        <w:t>is</w:t>
      </w:r>
      <w:r w:rsidRPr="00E71646">
        <w:rPr>
          <w:rFonts w:eastAsia="Times New Roman"/>
          <w:sz w:val="24"/>
          <w:szCs w:val="24"/>
        </w:rPr>
        <w:t xml:space="preserve"> supported by </w:t>
      </w:r>
      <w:r w:rsidR="00C93313" w:rsidRPr="00E71646">
        <w:rPr>
          <w:rFonts w:eastAsia="Times New Roman"/>
          <w:b/>
          <w:sz w:val="24"/>
          <w:szCs w:val="24"/>
        </w:rPr>
        <w:t>Buder v. Sartore</w:t>
      </w:r>
      <w:r w:rsidR="00C93313" w:rsidRPr="00E71646">
        <w:rPr>
          <w:rFonts w:eastAsia="Times New Roman"/>
          <w:sz w:val="24"/>
          <w:szCs w:val="24"/>
        </w:rPr>
        <w:t>, 774 P.2d 1383 (Colo. 1989) (subparagraphs a, b, and c)</w:t>
      </w:r>
      <w:r w:rsidR="00C93313">
        <w:rPr>
          <w:rFonts w:eastAsia="Times New Roman"/>
          <w:sz w:val="24"/>
          <w:szCs w:val="24"/>
        </w:rPr>
        <w:t xml:space="preserve">; </w:t>
      </w:r>
      <w:r w:rsidR="00C93313" w:rsidRPr="00E71646">
        <w:rPr>
          <w:rFonts w:eastAsia="Times New Roman"/>
          <w:b/>
          <w:sz w:val="24"/>
          <w:szCs w:val="24"/>
        </w:rPr>
        <w:t>Rupert v. Clayton Brokerage Co.</w:t>
      </w:r>
      <w:r w:rsidR="00C93313" w:rsidRPr="00E71646">
        <w:rPr>
          <w:rFonts w:eastAsia="Times New Roman"/>
          <w:sz w:val="24"/>
          <w:szCs w:val="24"/>
        </w:rPr>
        <w:t>, 737 P.2d 1106 (Colo. 1987)</w:t>
      </w:r>
      <w:r w:rsidR="00B27F5C">
        <w:rPr>
          <w:rFonts w:eastAsia="Times New Roman"/>
          <w:sz w:val="24"/>
          <w:szCs w:val="24"/>
        </w:rPr>
        <w:t xml:space="preserve"> (subparagraph b); </w:t>
      </w:r>
      <w:r w:rsidR="00C93313" w:rsidRPr="00E71646">
        <w:rPr>
          <w:rFonts w:eastAsia="Times New Roman"/>
          <w:b/>
          <w:sz w:val="24"/>
          <w:szCs w:val="24"/>
        </w:rPr>
        <w:t>Elijah v. Fender</w:t>
      </w:r>
      <w:r w:rsidR="00C93313" w:rsidRPr="00E71646">
        <w:rPr>
          <w:rFonts w:eastAsia="Times New Roman"/>
          <w:sz w:val="24"/>
          <w:szCs w:val="24"/>
        </w:rPr>
        <w:t>, 674 P.2d 946 (Colo. 1984)</w:t>
      </w:r>
      <w:r w:rsidR="00C93313">
        <w:rPr>
          <w:rFonts w:eastAsia="Times New Roman"/>
          <w:sz w:val="24"/>
          <w:szCs w:val="24"/>
        </w:rPr>
        <w:t xml:space="preserve"> (subparagraph</w:t>
      </w:r>
      <w:r w:rsidR="00BD51DC">
        <w:rPr>
          <w:rFonts w:eastAsia="Times New Roman"/>
          <w:sz w:val="24"/>
          <w:szCs w:val="24"/>
        </w:rPr>
        <w:t>s</w:t>
      </w:r>
      <w:r w:rsidR="00C93313">
        <w:rPr>
          <w:rFonts w:eastAsia="Times New Roman"/>
          <w:sz w:val="24"/>
          <w:szCs w:val="24"/>
        </w:rPr>
        <w:t xml:space="preserve"> </w:t>
      </w:r>
      <w:r w:rsidR="00BD51DC">
        <w:rPr>
          <w:rFonts w:eastAsia="Times New Roman"/>
          <w:sz w:val="24"/>
          <w:szCs w:val="24"/>
        </w:rPr>
        <w:t xml:space="preserve">b and </w:t>
      </w:r>
      <w:r w:rsidR="00C93313">
        <w:rPr>
          <w:rFonts w:eastAsia="Times New Roman"/>
          <w:sz w:val="24"/>
          <w:szCs w:val="24"/>
        </w:rPr>
        <w:t xml:space="preserve">d);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Murphy v. Central Bank &amp; 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Commercial Union Ins</w:t>
      </w:r>
      <w:r w:rsidR="00D64B6D">
        <w:rPr>
          <w:rFonts w:eastAsia="Times New Roman"/>
          <w:b/>
          <w:sz w:val="24"/>
          <w:szCs w:val="24"/>
        </w:rPr>
        <w:t>urance</w:t>
      </w:r>
      <w:r w:rsidRPr="00E71646">
        <w:rPr>
          <w:rFonts w:eastAsia="Times New Roman"/>
          <w:b/>
          <w:sz w:val="24"/>
          <w:szCs w:val="24"/>
        </w:rPr>
        <w:t xml:space="preserve">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w:t>
      </w:r>
      <w:r w:rsidR="00D64B6D">
        <w:rPr>
          <w:rFonts w:eastAsia="Times New Roman"/>
          <w:sz w:val="24"/>
          <w:szCs w:val="24"/>
        </w:rPr>
        <w:t xml:space="preserve"> (subparagraph d)</w:t>
      </w:r>
      <w:r w:rsidRPr="00E71646">
        <w:rPr>
          <w:rFonts w:eastAsia="Times New Roman"/>
          <w:sz w:val="24"/>
          <w:szCs w:val="24"/>
        </w:rPr>
        <w:t xml:space="preserve">,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r w:rsidR="00D64B6D">
        <w:rPr>
          <w:rFonts w:eastAsia="Times New Roman"/>
          <w:sz w:val="24"/>
          <w:szCs w:val="24"/>
        </w:rPr>
        <w:t>;</w:t>
      </w:r>
      <w:r w:rsidRPr="00E71646">
        <w:rPr>
          <w:rFonts w:eastAsia="Times New Roman"/>
          <w:sz w:val="24"/>
          <w:szCs w:val="24"/>
        </w:rPr>
        <w:t xml:space="preserv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00401A31" w:rsidRPr="00E71646">
        <w:rPr>
          <w:rFonts w:eastAsia="Times New Roman"/>
          <w:b/>
          <w:sz w:val="24"/>
          <w:szCs w:val="24"/>
        </w:rPr>
        <w:t>Lestoque v. M. R. Mansfield Realty, Inc.</w:t>
      </w:r>
      <w:r w:rsidR="00401A31" w:rsidRPr="00E71646">
        <w:rPr>
          <w:rFonts w:eastAsia="Times New Roman"/>
          <w:sz w:val="24"/>
          <w:szCs w:val="24"/>
        </w:rPr>
        <w:t xml:space="preserve">, 36 </w:t>
      </w:r>
      <w:r w:rsidR="00401A31">
        <w:rPr>
          <w:rFonts w:eastAsia="Times New Roman"/>
          <w:sz w:val="24"/>
          <w:szCs w:val="24"/>
        </w:rPr>
        <w:t>Colo. App.</w:t>
      </w:r>
      <w:r w:rsidR="00401A31" w:rsidRPr="00E71646">
        <w:rPr>
          <w:rFonts w:eastAsia="Times New Roman"/>
          <w:sz w:val="24"/>
          <w:szCs w:val="24"/>
        </w:rPr>
        <w:t xml:space="preserve"> 32, 536 P.2d 1146 (1975); </w:t>
      </w:r>
      <w:r w:rsidR="00401A31">
        <w:rPr>
          <w:rFonts w:eastAsia="Times New Roman"/>
          <w:sz w:val="24"/>
          <w:szCs w:val="24"/>
        </w:rPr>
        <w:t xml:space="preserve">and </w:t>
      </w:r>
      <w:r w:rsidRPr="00E71646">
        <w:rPr>
          <w:rFonts w:eastAsia="Times New Roman"/>
          <w:smallCaps/>
          <w:sz w:val="24"/>
          <w:szCs w:val="24"/>
        </w:rPr>
        <w:t>Restatement (Second) of Agency</w:t>
      </w:r>
      <w:r w:rsidRPr="00E71646">
        <w:rPr>
          <w:rFonts w:eastAsia="Times New Roman"/>
          <w:sz w:val="24"/>
          <w:szCs w:val="24"/>
        </w:rPr>
        <w:t xml:space="preserve"> § 401 (1958).</w:t>
      </w:r>
      <w:r w:rsidR="00401A31">
        <w:rPr>
          <w:rFonts w:eastAsia="Times New Roman"/>
          <w:sz w:val="24"/>
          <w:szCs w:val="24"/>
        </w:rPr>
        <w:t xml:space="preserve"> </w:t>
      </w:r>
      <w:r w:rsidR="00401A31" w:rsidRPr="00401A31">
        <w:rPr>
          <w:rFonts w:eastAsia="Times New Roman"/>
          <w:i/>
          <w:sz w:val="24"/>
          <w:szCs w:val="24"/>
        </w:rPr>
        <w:t>See also</w:t>
      </w:r>
      <w:r w:rsidR="00B27F5C" w:rsidRPr="00B27F5C">
        <w:rPr>
          <w:rFonts w:eastAsia="Times New Roman"/>
          <w:b/>
          <w:sz w:val="24"/>
          <w:szCs w:val="24"/>
        </w:rPr>
        <w:t xml:space="preserve"> </w:t>
      </w:r>
      <w:r w:rsidR="00B27F5C" w:rsidRPr="00E71646">
        <w:rPr>
          <w:rFonts w:eastAsia="Times New Roman"/>
          <w:b/>
          <w:sz w:val="24"/>
          <w:szCs w:val="24"/>
        </w:rPr>
        <w:t>Paine, Webber, Jackson &amp; Curtis, Inc. v. Adams</w:t>
      </w:r>
      <w:r w:rsidR="00B27F5C" w:rsidRPr="00E71646">
        <w:rPr>
          <w:rFonts w:eastAsia="Times New Roman"/>
          <w:sz w:val="24"/>
          <w:szCs w:val="24"/>
        </w:rPr>
        <w:t>, 718 P.2d 508</w:t>
      </w:r>
      <w:r w:rsidR="00B27F5C">
        <w:rPr>
          <w:rFonts w:eastAsia="Times New Roman"/>
          <w:sz w:val="24"/>
          <w:szCs w:val="24"/>
        </w:rPr>
        <w:t xml:space="preserve"> (Colo. 1986)</w:t>
      </w:r>
      <w:r w:rsidRPr="00E71646">
        <w:rPr>
          <w:rFonts w:eastAsia="Times New Roman"/>
          <w:sz w:val="24"/>
          <w:szCs w:val="24"/>
        </w:rPr>
        <w:t xml:space="preserve">; </w:t>
      </w:r>
      <w:r w:rsidRPr="00E71646">
        <w:rPr>
          <w:rFonts w:eastAsia="Times New Roman"/>
          <w:b/>
          <w:sz w:val="24"/>
          <w:szCs w:val="24"/>
        </w:rPr>
        <w:t>Life Care Ctrs</w:t>
      </w:r>
      <w:r w:rsidR="006E0424">
        <w:rPr>
          <w:rFonts w:eastAsia="Times New Roman"/>
          <w:b/>
          <w:sz w:val="24"/>
          <w:szCs w:val="24"/>
        </w:rPr>
        <w:t>.</w:t>
      </w:r>
      <w:r w:rsidRPr="00E71646">
        <w:rPr>
          <w:rFonts w:eastAsia="Times New Roman"/>
          <w:b/>
          <w:sz w:val="24"/>
          <w:szCs w:val="24"/>
        </w:rPr>
        <w:t xml:space="preserve"> of Am</w:t>
      </w:r>
      <w:r w:rsidR="006E0424">
        <w:rPr>
          <w:rFonts w:eastAsia="Times New Roman"/>
          <w:b/>
          <w:sz w:val="24"/>
          <w:szCs w:val="24"/>
        </w:rPr>
        <w:t>.</w:t>
      </w:r>
      <w:r w:rsidRPr="00E71646">
        <w:rPr>
          <w:rFonts w:eastAsia="Times New Roman"/>
          <w:b/>
          <w:sz w:val="24"/>
          <w:szCs w:val="24"/>
        </w:rPr>
        <w:t>, Inc. v. E</w:t>
      </w:r>
      <w:r w:rsidR="006E0424">
        <w:rPr>
          <w:rFonts w:eastAsia="Times New Roman"/>
          <w:b/>
          <w:sz w:val="24"/>
          <w:szCs w:val="24"/>
        </w:rPr>
        <w:t>.</w:t>
      </w:r>
      <w:r w:rsidRPr="00E71646">
        <w:rPr>
          <w:rFonts w:eastAsia="Times New Roman"/>
          <w:b/>
          <w:sz w:val="24"/>
          <w:szCs w:val="24"/>
        </w:rPr>
        <w:t xml:space="preserve"> Hampden Assocs</w:t>
      </w:r>
      <w:r w:rsidR="006E0424">
        <w:rPr>
          <w:rFonts w:eastAsia="Times New Roman"/>
          <w:b/>
          <w:sz w:val="24"/>
          <w:szCs w:val="24"/>
        </w:rPr>
        <w:t>.</w:t>
      </w:r>
      <w:r w:rsidRPr="00E71646">
        <w:rPr>
          <w:rFonts w:eastAsia="Times New Roman"/>
          <w:b/>
          <w:sz w:val="24"/>
          <w:szCs w:val="24"/>
        </w:rPr>
        <w:t xml:space="preserve"> Ltd</w:t>
      </w:r>
      <w:r w:rsidR="006E0424">
        <w:rPr>
          <w:rFonts w:eastAsia="Times New Roman"/>
          <w:b/>
          <w:sz w:val="24"/>
          <w:szCs w:val="24"/>
        </w:rPr>
        <w:t>.</w:t>
      </w:r>
      <w:r w:rsidRPr="00E71646">
        <w:rPr>
          <w:rFonts w:eastAsia="Times New Roman"/>
          <w:b/>
          <w:sz w:val="24"/>
          <w:szCs w:val="24"/>
        </w:rPr>
        <w:t xml:space="preserve"> P</w:t>
      </w:r>
      <w:r w:rsidR="006E0424">
        <w:rPr>
          <w:rFonts w:eastAsia="Times New Roman"/>
          <w:b/>
          <w:sz w:val="24"/>
          <w:szCs w:val="24"/>
        </w:rPr>
        <w:t>’</w:t>
      </w:r>
      <w:r w:rsidRPr="00E71646">
        <w:rPr>
          <w:rFonts w:eastAsia="Times New Roman"/>
          <w:b/>
          <w:sz w:val="24"/>
          <w:szCs w:val="24"/>
        </w:rPr>
        <w:t>ship</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1995)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006E0424">
        <w:rPr>
          <w:rFonts w:eastAsia="Times New Roman"/>
          <w:sz w:val="24"/>
          <w:szCs w:val="24"/>
        </w:rPr>
        <w:t xml:space="preserve"> </w:t>
      </w:r>
      <w:r w:rsidRPr="00E71646">
        <w:rPr>
          <w:rFonts w:eastAsia="Times New Roman"/>
          <w:sz w:val="24"/>
          <w:szCs w:val="24"/>
        </w:rPr>
        <w:t>1993) (evidence insufficient to sustain award of damages for lost profits).</w:t>
      </w:r>
    </w:p>
    <w:p w14:paraId="0F3C567C" w14:textId="55E859FB" w:rsidR="00E71646" w:rsidRPr="00E71646" w:rsidRDefault="008244DF" w:rsidP="00E71646">
      <w:pPr>
        <w:spacing w:after="240"/>
        <w:ind w:firstLine="720"/>
        <w:rPr>
          <w:rFonts w:eastAsia="Times New Roman"/>
          <w:sz w:val="24"/>
          <w:szCs w:val="24"/>
        </w:rPr>
      </w:pPr>
      <w:r>
        <w:rPr>
          <w:rFonts w:eastAsia="Times New Roman"/>
          <w:sz w:val="24"/>
          <w:szCs w:val="24"/>
        </w:rPr>
        <w:t>2</w:t>
      </w:r>
      <w:r w:rsidR="00E71646" w:rsidRPr="00E71646">
        <w:rPr>
          <w:rFonts w:eastAsia="Times New Roman"/>
          <w:sz w:val="24"/>
          <w:szCs w:val="24"/>
        </w:rPr>
        <w:t xml:space="preserve">. For other cases discussing damages for breach of a fiduciary duty, see </w:t>
      </w:r>
      <w:r w:rsidR="00E71646" w:rsidRPr="00E71646">
        <w:rPr>
          <w:rFonts w:eastAsia="Times New Roman"/>
          <w:b/>
          <w:sz w:val="24"/>
          <w:szCs w:val="24"/>
        </w:rPr>
        <w:t>Genova v. Longs Peak Emergency Physicians, P.C.</w:t>
      </w:r>
      <w:r w:rsidR="00E71646" w:rsidRPr="00E71646">
        <w:rPr>
          <w:rFonts w:eastAsia="Times New Roman"/>
          <w:sz w:val="24"/>
          <w:szCs w:val="24"/>
        </w:rPr>
        <w:t>, 72 P.3d 454 (</w:t>
      </w:r>
      <w:r w:rsidR="00E71BCE">
        <w:rPr>
          <w:rFonts w:eastAsia="Times New Roman"/>
          <w:sz w:val="24"/>
          <w:szCs w:val="24"/>
        </w:rPr>
        <w:t>Colo. App.</w:t>
      </w:r>
      <w:r w:rsidR="00E71646"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00E71646" w:rsidRPr="00E71646">
        <w:rPr>
          <w:rFonts w:eastAsia="Times New Roman"/>
          <w:b/>
          <w:sz w:val="24"/>
          <w:szCs w:val="24"/>
        </w:rPr>
        <w:t>T-A-L-L, Inc. v. Moore &amp; Co.</w:t>
      </w:r>
      <w:r w:rsidR="00E71646" w:rsidRPr="00E71646">
        <w:rPr>
          <w:rFonts w:eastAsia="Times New Roman"/>
          <w:sz w:val="24"/>
          <w:szCs w:val="24"/>
        </w:rPr>
        <w:t>,</w:t>
      </w:r>
      <w:r w:rsidR="00E71646" w:rsidRPr="00E71646">
        <w:rPr>
          <w:rFonts w:eastAsia="Times New Roman"/>
          <w:b/>
          <w:sz w:val="24"/>
          <w:szCs w:val="24"/>
        </w:rPr>
        <w:t xml:space="preserve"> </w:t>
      </w:r>
      <w:r w:rsidR="00E71646" w:rsidRPr="00E71646">
        <w:rPr>
          <w:rFonts w:eastAsia="Times New Roman"/>
          <w:sz w:val="24"/>
          <w:szCs w:val="24"/>
        </w:rPr>
        <w:t>765 P.2d 1039 (</w:t>
      </w:r>
      <w:r w:rsidR="00E71BCE">
        <w:rPr>
          <w:rFonts w:eastAsia="Times New Roman"/>
          <w:sz w:val="24"/>
          <w:szCs w:val="24"/>
        </w:rPr>
        <w:t>Colo. App.</w:t>
      </w:r>
      <w:r w:rsidR="00E71646" w:rsidRPr="00E71646">
        <w:rPr>
          <w:rFonts w:eastAsia="Times New Roman"/>
          <w:sz w:val="24"/>
          <w:szCs w:val="24"/>
        </w:rPr>
        <w:t xml:space="preserve"> 1988)</w:t>
      </w:r>
      <w:r w:rsidR="008D1BC7">
        <w:rPr>
          <w:rFonts w:eastAsia="Times New Roman"/>
          <w:sz w:val="24"/>
          <w:szCs w:val="24"/>
        </w:rPr>
        <w:t xml:space="preserve"> </w:t>
      </w:r>
      <w:r w:rsidR="008D1BC7" w:rsidRPr="00E71646">
        <w:rPr>
          <w:rFonts w:eastAsia="Times New Roman"/>
          <w:sz w:val="24"/>
          <w:szCs w:val="24"/>
        </w:rPr>
        <w:t>(seller entitled to return, on theory of unjust enrichment, of commission paid real estate broker who had breached duty of loyalty)</w:t>
      </w:r>
      <w:r w:rsidR="00E71646" w:rsidRPr="00E71646">
        <w:rPr>
          <w:rFonts w:eastAsia="Times New Roman"/>
          <w:sz w:val="24"/>
          <w:szCs w:val="24"/>
        </w:rPr>
        <w:t xml:space="preserve">, </w:t>
      </w:r>
      <w:r w:rsidR="00E71646" w:rsidRPr="00E71646">
        <w:rPr>
          <w:rFonts w:eastAsia="Times New Roman"/>
          <w:i/>
          <w:sz w:val="24"/>
          <w:szCs w:val="24"/>
        </w:rPr>
        <w:t>aff’d in part</w:t>
      </w:r>
      <w:r w:rsidR="008D1BC7">
        <w:rPr>
          <w:rFonts w:eastAsia="Times New Roman"/>
          <w:i/>
          <w:sz w:val="24"/>
          <w:szCs w:val="24"/>
        </w:rPr>
        <w:t>,</w:t>
      </w:r>
      <w:r w:rsidR="00583F4A">
        <w:rPr>
          <w:rFonts w:eastAsia="Times New Roman"/>
          <w:i/>
          <w:sz w:val="24"/>
          <w:szCs w:val="24"/>
        </w:rPr>
        <w:t xml:space="preserve"> </w:t>
      </w:r>
      <w:r w:rsidR="00E71646" w:rsidRPr="00E71646">
        <w:rPr>
          <w:rFonts w:eastAsia="Times New Roman"/>
          <w:i/>
          <w:sz w:val="24"/>
          <w:szCs w:val="24"/>
        </w:rPr>
        <w:t>rev’d in part on other grounds</w:t>
      </w:r>
      <w:r w:rsidR="00E71646" w:rsidRPr="00E71646">
        <w:rPr>
          <w:rFonts w:eastAsia="Times New Roman"/>
          <w:sz w:val="24"/>
          <w:szCs w:val="24"/>
        </w:rPr>
        <w:t xml:space="preserve">, 792 P.2d 794 (Colo. 1990); </w:t>
      </w:r>
      <w:r w:rsidR="00E71646" w:rsidRPr="00E71646">
        <w:rPr>
          <w:rFonts w:eastAsia="Times New Roman"/>
          <w:b/>
          <w:sz w:val="24"/>
          <w:szCs w:val="24"/>
        </w:rPr>
        <w:t>Collie v. Becknell</w:t>
      </w:r>
      <w:r w:rsidR="00E71646" w:rsidRPr="00E71646">
        <w:rPr>
          <w:rFonts w:eastAsia="Times New Roman"/>
          <w:sz w:val="24"/>
          <w:szCs w:val="24"/>
        </w:rPr>
        <w:t>, 762 P.2d 727 (</w:t>
      </w:r>
      <w:r w:rsidR="00E71BCE">
        <w:rPr>
          <w:rFonts w:eastAsia="Times New Roman"/>
          <w:sz w:val="24"/>
          <w:szCs w:val="24"/>
        </w:rPr>
        <w:t>Colo. App.</w:t>
      </w:r>
      <w:r w:rsidR="00E71646" w:rsidRPr="00E71646">
        <w:rPr>
          <w:rFonts w:eastAsia="Times New Roman"/>
          <w:sz w:val="24"/>
          <w:szCs w:val="24"/>
        </w:rPr>
        <w:t xml:space="preserve"> 1988).</w:t>
      </w:r>
    </w:p>
    <w:p w14:paraId="18CE9C68" w14:textId="7BD0FABC" w:rsidR="00E71646" w:rsidRPr="00E71646" w:rsidRDefault="008244DF" w:rsidP="00E71646">
      <w:pPr>
        <w:spacing w:after="240"/>
        <w:ind w:firstLine="720"/>
        <w:rPr>
          <w:rFonts w:eastAsia="Times New Roman"/>
          <w:sz w:val="24"/>
          <w:szCs w:val="24"/>
        </w:rPr>
      </w:pPr>
      <w:r>
        <w:rPr>
          <w:rFonts w:eastAsia="Times New Roman"/>
          <w:sz w:val="24"/>
          <w:szCs w:val="24"/>
        </w:rPr>
        <w:t>3</w:t>
      </w:r>
      <w:r w:rsidR="00E71646" w:rsidRPr="00E71646">
        <w:rPr>
          <w:rFonts w:eastAsia="Times New Roman"/>
          <w:sz w:val="24"/>
          <w:szCs w:val="24"/>
        </w:rPr>
        <w:t xml:space="preserve">. When otherwise appropriate to the evidence in the case, punitive damages may also be recoverable in a case based on a claim for relief for breach of a fiduciary duty. </w:t>
      </w:r>
      <w:r w:rsidR="00E71646" w:rsidRPr="00E71646">
        <w:rPr>
          <w:rFonts w:eastAsia="Times New Roman"/>
          <w:b/>
          <w:sz w:val="24"/>
          <w:szCs w:val="24"/>
        </w:rPr>
        <w:t>Mahoney Mktg. Corp. v. Sentry Builders</w:t>
      </w:r>
      <w:r w:rsidR="00E71646" w:rsidRPr="00E71646">
        <w:rPr>
          <w:rFonts w:eastAsia="Times New Roman"/>
          <w:sz w:val="24"/>
          <w:szCs w:val="24"/>
        </w:rPr>
        <w:t>, 697 P.2d 1139 (</w:t>
      </w:r>
      <w:r w:rsidR="00E71BCE">
        <w:rPr>
          <w:rFonts w:eastAsia="Times New Roman"/>
          <w:sz w:val="24"/>
          <w:szCs w:val="24"/>
        </w:rPr>
        <w:t>Colo. App.</w:t>
      </w:r>
      <w:r w:rsidR="00E71646" w:rsidRPr="00E71646">
        <w:rPr>
          <w:rFonts w:eastAsia="Times New Roman"/>
          <w:sz w:val="24"/>
          <w:szCs w:val="24"/>
        </w:rPr>
        <w:t xml:space="preserve"> 1985); </w:t>
      </w:r>
      <w:r w:rsidR="00E71646" w:rsidRPr="00E71646">
        <w:rPr>
          <w:rFonts w:eastAsia="Times New Roman"/>
          <w:b/>
          <w:sz w:val="24"/>
          <w:szCs w:val="24"/>
        </w:rPr>
        <w:t>White v. Brock</w:t>
      </w:r>
      <w:r w:rsidR="00E71646" w:rsidRPr="00E71646">
        <w:rPr>
          <w:rFonts w:eastAsia="Times New Roman"/>
          <w:sz w:val="24"/>
          <w:szCs w:val="24"/>
        </w:rPr>
        <w:t xml:space="preserve">, 41 </w:t>
      </w:r>
      <w:r w:rsidR="00E71BCE">
        <w:rPr>
          <w:rFonts w:eastAsia="Times New Roman"/>
          <w:sz w:val="24"/>
          <w:szCs w:val="24"/>
        </w:rPr>
        <w:t>Colo. App.</w:t>
      </w:r>
      <w:r w:rsidR="00E71646" w:rsidRPr="00E71646">
        <w:rPr>
          <w:rFonts w:eastAsia="Times New Roman"/>
          <w:sz w:val="24"/>
          <w:szCs w:val="24"/>
        </w:rPr>
        <w:t xml:space="preserve"> 156, 584 P.2d 1224 (1978). </w:t>
      </w:r>
      <w:r w:rsidR="00E71646" w:rsidRPr="00E71646">
        <w:rPr>
          <w:rFonts w:eastAsia="Times New Roman"/>
          <w:i/>
          <w:sz w:val="24"/>
          <w:szCs w:val="24"/>
        </w:rPr>
        <w:t xml:space="preserve">But see </w:t>
      </w:r>
      <w:r w:rsidR="00E71646" w:rsidRPr="00E71646">
        <w:rPr>
          <w:rFonts w:eastAsia="Times New Roman"/>
          <w:b/>
          <w:sz w:val="24"/>
          <w:szCs w:val="24"/>
        </w:rPr>
        <w:t>Kaitz v. Dist</w:t>
      </w:r>
      <w:r w:rsidR="00674DF1">
        <w:rPr>
          <w:rFonts w:eastAsia="Times New Roman"/>
          <w:b/>
          <w:sz w:val="24"/>
          <w:szCs w:val="24"/>
        </w:rPr>
        <w:t>.</w:t>
      </w:r>
      <w:r w:rsidR="00E71646" w:rsidRPr="00E71646">
        <w:rPr>
          <w:rFonts w:eastAsia="Times New Roman"/>
          <w:b/>
          <w:sz w:val="24"/>
          <w:szCs w:val="24"/>
        </w:rPr>
        <w:t xml:space="preserve"> Court</w:t>
      </w:r>
      <w:r w:rsidR="00E71646" w:rsidRPr="00E71646">
        <w:rPr>
          <w:rFonts w:eastAsia="Times New Roman"/>
          <w:sz w:val="24"/>
          <w:szCs w:val="24"/>
        </w:rPr>
        <w:t>, 650 P.2d 553 (Colo. 1982) (punitive damages not recoverable when plaintiff’s claim is equitable rather than legal).</w:t>
      </w:r>
    </w:p>
    <w:p w14:paraId="4952EE97" w14:textId="185631B9" w:rsidR="00E71646" w:rsidRPr="00E71646" w:rsidRDefault="008244DF" w:rsidP="00E71646">
      <w:pPr>
        <w:spacing w:after="240"/>
        <w:ind w:firstLine="720"/>
        <w:rPr>
          <w:rFonts w:eastAsia="Times New Roman"/>
          <w:sz w:val="24"/>
          <w:szCs w:val="24"/>
        </w:rPr>
      </w:pPr>
      <w:r>
        <w:rPr>
          <w:rFonts w:eastAsia="Times New Roman"/>
          <w:sz w:val="24"/>
          <w:szCs w:val="24"/>
        </w:rPr>
        <w:t>4</w:t>
      </w:r>
      <w:r w:rsidR="00E71646" w:rsidRPr="00E71646">
        <w:rPr>
          <w:rFonts w:eastAsia="Times New Roman"/>
          <w:sz w:val="24"/>
          <w:szCs w:val="24"/>
        </w:rPr>
        <w:t xml:space="preserve">. Attorney fees may be recovered as an exception to the “American Rule” only in breach of trust actions or breach of fiduciary duty actions that are closely analogous to breach of trust actions. </w:t>
      </w:r>
      <w:r w:rsidR="00E71646" w:rsidRPr="00E71646">
        <w:rPr>
          <w:rFonts w:eastAsia="Times New Roman"/>
          <w:i/>
          <w:sz w:val="24"/>
          <w:szCs w:val="24"/>
        </w:rPr>
        <w:t xml:space="preserve">See </w:t>
      </w:r>
      <w:r w:rsidR="00E71646" w:rsidRPr="00E71646">
        <w:rPr>
          <w:rFonts w:eastAsia="Times New Roman"/>
          <w:b/>
          <w:sz w:val="24"/>
          <w:szCs w:val="24"/>
        </w:rPr>
        <w:t>Interest of Delluomo v. Cedarblade</w:t>
      </w:r>
      <w:r w:rsidR="00E71646" w:rsidRPr="00E71646">
        <w:rPr>
          <w:rFonts w:eastAsia="Times New Roman"/>
          <w:sz w:val="24"/>
          <w:szCs w:val="24"/>
        </w:rPr>
        <w:t xml:space="preserve">, 2014 COA 43, </w:t>
      </w:r>
      <w:r w:rsidR="00674DF1">
        <w:rPr>
          <w:rFonts w:eastAsia="Times New Roman"/>
          <w:sz w:val="24"/>
          <w:szCs w:val="24"/>
        </w:rPr>
        <w:t xml:space="preserve">¶ 9, </w:t>
      </w:r>
      <w:r w:rsidR="00E71646" w:rsidRPr="00E71646">
        <w:rPr>
          <w:rFonts w:eastAsia="Times New Roman"/>
          <w:sz w:val="24"/>
          <w:szCs w:val="24"/>
        </w:rPr>
        <w:t xml:space="preserve">328 P.3d 291; </w:t>
      </w:r>
      <w:r w:rsidR="00E71646" w:rsidRPr="00E71646">
        <w:rPr>
          <w:rFonts w:eastAsia="Times New Roman"/>
          <w:i/>
          <w:sz w:val="24"/>
          <w:szCs w:val="24"/>
        </w:rPr>
        <w:t xml:space="preserve">see also </w:t>
      </w:r>
      <w:r w:rsidR="00E71646" w:rsidRPr="00E71646">
        <w:rPr>
          <w:rFonts w:eastAsia="Times New Roman"/>
          <w:b/>
          <w:sz w:val="24"/>
          <w:szCs w:val="24"/>
        </w:rPr>
        <w:t>Taylor v. Taylor</w:t>
      </w:r>
      <w:r w:rsidR="00E71646" w:rsidRPr="00E71646">
        <w:rPr>
          <w:rFonts w:eastAsia="Times New Roman"/>
          <w:sz w:val="24"/>
          <w:szCs w:val="24"/>
        </w:rPr>
        <w:t>, 2016 COA 100, ¶¶ 32-35</w:t>
      </w:r>
      <w:r w:rsidR="00460071">
        <w:rPr>
          <w:rFonts w:eastAsia="Times New Roman"/>
          <w:sz w:val="24"/>
          <w:szCs w:val="24"/>
        </w:rPr>
        <w:t>, 381 P.3d 428</w:t>
      </w:r>
      <w:r w:rsidR="00E71646" w:rsidRPr="00E71646">
        <w:rPr>
          <w:rFonts w:eastAsia="Times New Roman"/>
          <w:sz w:val="24"/>
          <w:szCs w:val="24"/>
        </w:rPr>
        <w:t xml:space="preserve"> (holding that an award of attorney fees to settlor’s children against trustee was proper under breach of trust exception to American Rule in accordance with </w:t>
      </w:r>
      <w:r w:rsidR="00E71646" w:rsidRPr="00E71646">
        <w:rPr>
          <w:rFonts w:eastAsia="Times New Roman"/>
          <w:b/>
          <w:sz w:val="24"/>
          <w:szCs w:val="24"/>
        </w:rPr>
        <w:t>Delluomo</w:t>
      </w:r>
      <w:r w:rsidR="00E71646"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00E71646" w:rsidRPr="00E71646">
        <w:rPr>
          <w:rFonts w:eastAsia="Times New Roman"/>
          <w:sz w:val="24"/>
          <w:szCs w:val="24"/>
        </w:rPr>
        <w:tab/>
      </w:r>
    </w:p>
    <w:p w14:paraId="0D97E229" w14:textId="3DBE473F" w:rsidR="00E71646" w:rsidRPr="00E71646" w:rsidRDefault="008244DF" w:rsidP="00E71646">
      <w:pPr>
        <w:spacing w:after="240"/>
        <w:ind w:firstLine="720"/>
        <w:rPr>
          <w:rFonts w:eastAsia="Times New Roman"/>
          <w:sz w:val="24"/>
          <w:szCs w:val="24"/>
        </w:rPr>
      </w:pPr>
      <w:r>
        <w:rPr>
          <w:rFonts w:eastAsia="Times New Roman"/>
          <w:sz w:val="24"/>
          <w:szCs w:val="24"/>
        </w:rPr>
        <w:t>5</w:t>
      </w:r>
      <w:r w:rsidR="00E71646" w:rsidRPr="00E71646">
        <w:rPr>
          <w:rFonts w:eastAsia="Times New Roman"/>
          <w:sz w:val="24"/>
          <w:szCs w:val="24"/>
        </w:rPr>
        <w:t xml:space="preserve">. Comparative negligence is not available as a defense to an intentional tort claim. </w:t>
      </w:r>
      <w:r w:rsidR="00E71646" w:rsidRPr="00E71646">
        <w:rPr>
          <w:rFonts w:eastAsia="Times New Roman"/>
          <w:b/>
          <w:sz w:val="24"/>
          <w:szCs w:val="24"/>
        </w:rPr>
        <w:t>Carman v. Heber</w:t>
      </w:r>
      <w:r w:rsidR="00E71646" w:rsidRPr="00E71646">
        <w:rPr>
          <w:rFonts w:eastAsia="Times New Roman"/>
          <w:sz w:val="24"/>
          <w:szCs w:val="24"/>
        </w:rPr>
        <w:t xml:space="preserve">, 43 </w:t>
      </w:r>
      <w:r w:rsidR="00E71BCE">
        <w:rPr>
          <w:rFonts w:eastAsia="Times New Roman"/>
          <w:sz w:val="24"/>
          <w:szCs w:val="24"/>
        </w:rPr>
        <w:t>Colo. App.</w:t>
      </w:r>
      <w:r w:rsidR="00E71646" w:rsidRPr="00E71646">
        <w:rPr>
          <w:rFonts w:eastAsia="Times New Roman"/>
          <w:sz w:val="24"/>
          <w:szCs w:val="24"/>
        </w:rPr>
        <w:t xml:space="preserve"> 5, 601 P.2d 646 (1979). </w:t>
      </w:r>
      <w:r w:rsidR="00E71646" w:rsidRPr="00E71646">
        <w:rPr>
          <w:rFonts w:eastAsia="Times New Roman"/>
          <w:i/>
          <w:sz w:val="24"/>
          <w:szCs w:val="24"/>
        </w:rPr>
        <w:t xml:space="preserve">See also </w:t>
      </w:r>
      <w:r w:rsidR="00E71646" w:rsidRPr="00E71646">
        <w:rPr>
          <w:rFonts w:eastAsia="Times New Roman"/>
          <w:b/>
          <w:sz w:val="24"/>
          <w:szCs w:val="24"/>
        </w:rPr>
        <w:t>Winkler v. Rocky Mountain Conference of the United Methodist Church</w:t>
      </w:r>
      <w:r w:rsidR="00E71646" w:rsidRPr="00E71646">
        <w:rPr>
          <w:rFonts w:eastAsia="Times New Roman"/>
          <w:sz w:val="24"/>
          <w:szCs w:val="24"/>
        </w:rPr>
        <w:t>, 923 P.2d 152 (</w:t>
      </w:r>
      <w:r w:rsidR="00E71BCE">
        <w:rPr>
          <w:rFonts w:eastAsia="Times New Roman"/>
          <w:sz w:val="24"/>
          <w:szCs w:val="24"/>
        </w:rPr>
        <w:t>Colo. App.</w:t>
      </w:r>
      <w:r w:rsidR="00E71646"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00E71646" w:rsidRPr="00E71646">
        <w:rPr>
          <w:rFonts w:eastAsia="Times New Roman"/>
          <w:b/>
          <w:sz w:val="24"/>
          <w:szCs w:val="24"/>
        </w:rPr>
        <w:t>Van Schaack v. Van Schaack Holdings, Ltd.</w:t>
      </w:r>
      <w:r w:rsidR="00E71646" w:rsidRPr="00E71646">
        <w:rPr>
          <w:rFonts w:eastAsia="Times New Roman"/>
          <w:sz w:val="24"/>
          <w:szCs w:val="24"/>
        </w:rPr>
        <w:t>, 856 P.2d 15 (</w:t>
      </w:r>
      <w:r w:rsidR="00E71BCE">
        <w:rPr>
          <w:rFonts w:eastAsia="Times New Roman"/>
          <w:sz w:val="24"/>
          <w:szCs w:val="24"/>
        </w:rPr>
        <w:t>Colo. App.</w:t>
      </w:r>
      <w:r w:rsidR="00E71646" w:rsidRPr="00E71646">
        <w:rPr>
          <w:rFonts w:eastAsia="Times New Roman"/>
          <w:sz w:val="24"/>
          <w:szCs w:val="24"/>
        </w:rPr>
        <w:t xml:space="preserve"> 1992) (trial court did not err in refusing to instruct the jury on comparative negligence in conjunction with plaintiff’s breach of fiduciary duty claim because plaintiff’s actions could not have affected the jury’s determination as to whether defendants had breached their fiduciary duty to her as a shareholder).</w:t>
      </w:r>
      <w:r w:rsidR="00E71646" w:rsidRPr="00E71646">
        <w:rPr>
          <w:rFonts w:eastAsia="Times New Roman"/>
          <w:b/>
          <w:sz w:val="24"/>
          <w:szCs w:val="24"/>
        </w:rPr>
        <w:t xml:space="preserve"> </w:t>
      </w:r>
    </w:p>
    <w:p w14:paraId="16CC076E" w14:textId="36EF155C" w:rsidR="00E71646" w:rsidRPr="00E71646" w:rsidRDefault="008244DF" w:rsidP="00E71646">
      <w:pPr>
        <w:spacing w:after="240"/>
        <w:ind w:firstLine="720"/>
        <w:rPr>
          <w:rFonts w:eastAsia="Times New Roman"/>
          <w:sz w:val="24"/>
          <w:szCs w:val="24"/>
        </w:rPr>
      </w:pPr>
      <w:r>
        <w:rPr>
          <w:rFonts w:eastAsia="Times New Roman"/>
          <w:sz w:val="24"/>
          <w:szCs w:val="24"/>
        </w:rPr>
        <w:t>6</w:t>
      </w:r>
      <w:r w:rsidR="00E71646" w:rsidRPr="00E71646">
        <w:rPr>
          <w:rFonts w:eastAsia="Times New Roman"/>
          <w:sz w:val="24"/>
          <w:szCs w:val="24"/>
        </w:rPr>
        <w:t xml:space="preserve">. When a fiduciary duty arises from a contract, the economic loss rule applies, such that a breach of a fiduciary duty cannot serve as the basis of a tort claim seeking additional compensation for an alleged failure to perform a contractual obligation. </w:t>
      </w:r>
      <w:r w:rsidR="00E71646" w:rsidRPr="00E71646">
        <w:rPr>
          <w:rFonts w:eastAsia="Times New Roman"/>
          <w:b/>
          <w:sz w:val="24"/>
          <w:szCs w:val="24"/>
        </w:rPr>
        <w:t>Casey v. Colo</w:t>
      </w:r>
      <w:r w:rsidR="00674DF1">
        <w:rPr>
          <w:rFonts w:eastAsia="Times New Roman"/>
          <w:b/>
          <w:sz w:val="24"/>
          <w:szCs w:val="24"/>
        </w:rPr>
        <w:t>.</w:t>
      </w:r>
      <w:r w:rsidR="00E71646" w:rsidRPr="00E71646">
        <w:rPr>
          <w:rFonts w:eastAsia="Times New Roman"/>
          <w:b/>
          <w:sz w:val="24"/>
          <w:szCs w:val="24"/>
        </w:rPr>
        <w:t xml:space="preserve"> Higher Educ. Ins. Benefits All</w:t>
      </w:r>
      <w:r w:rsidR="00674DF1">
        <w:rPr>
          <w:rFonts w:eastAsia="Times New Roman"/>
          <w:b/>
          <w:sz w:val="24"/>
          <w:szCs w:val="24"/>
        </w:rPr>
        <w:t>.</w:t>
      </w:r>
      <w:r w:rsidR="00E71646" w:rsidRPr="00E71646">
        <w:rPr>
          <w:rFonts w:eastAsia="Times New Roman"/>
          <w:b/>
          <w:sz w:val="24"/>
          <w:szCs w:val="24"/>
        </w:rPr>
        <w:t xml:space="preserve"> Tr</w:t>
      </w:r>
      <w:r w:rsidR="00674DF1">
        <w:rPr>
          <w:rFonts w:eastAsia="Times New Roman"/>
          <w:b/>
          <w:sz w:val="24"/>
          <w:szCs w:val="24"/>
        </w:rPr>
        <w:t>.</w:t>
      </w:r>
      <w:r w:rsidR="00E71646" w:rsidRPr="00E71646">
        <w:rPr>
          <w:rFonts w:eastAsia="Times New Roman"/>
          <w:sz w:val="24"/>
          <w:szCs w:val="24"/>
        </w:rPr>
        <w:t>, 2012 COA 134,</w:t>
      </w:r>
      <w:r w:rsidR="00855DB9">
        <w:rPr>
          <w:rFonts w:eastAsia="Times New Roman"/>
          <w:sz w:val="24"/>
          <w:szCs w:val="24"/>
        </w:rPr>
        <w:t xml:space="preserve"> ¶ 30, 310 P.3d 196</w:t>
      </w:r>
      <w:r w:rsidR="00E71646" w:rsidRPr="00E71646">
        <w:rPr>
          <w:rFonts w:eastAsia="Times New Roman"/>
          <w:sz w:val="24"/>
          <w:szCs w:val="24"/>
        </w:rPr>
        <w:t xml:space="preserve">; </w:t>
      </w:r>
      <w:r w:rsidR="00E71646" w:rsidRPr="00E71646">
        <w:rPr>
          <w:rFonts w:eastAsia="Times New Roman"/>
          <w:b/>
          <w:sz w:val="24"/>
          <w:szCs w:val="24"/>
        </w:rPr>
        <w:t>A Good Time Rental, LLC v. First Am. Title Agency, Inc.</w:t>
      </w:r>
      <w:r w:rsidR="00E71646" w:rsidRPr="00E71646">
        <w:rPr>
          <w:rFonts w:eastAsia="Times New Roman"/>
          <w:sz w:val="24"/>
          <w:szCs w:val="24"/>
        </w:rPr>
        <w:t>, 259 P.3d 534 (</w:t>
      </w:r>
      <w:r w:rsidR="00E71BCE">
        <w:rPr>
          <w:rFonts w:eastAsia="Times New Roman"/>
          <w:sz w:val="24"/>
          <w:szCs w:val="24"/>
        </w:rPr>
        <w:t>Colo. App.</w:t>
      </w:r>
      <w:r w:rsidR="00E71646" w:rsidRPr="00E71646">
        <w:rPr>
          <w:rFonts w:eastAsia="Times New Roman"/>
          <w:sz w:val="24"/>
          <w:szCs w:val="24"/>
        </w:rPr>
        <w:t xml:space="preserve"> 2011).</w:t>
      </w:r>
    </w:p>
    <w:p w14:paraId="2C45B3D8" w14:textId="68F288B2" w:rsidR="00E41870" w:rsidRPr="00EC29A6" w:rsidRDefault="008244DF" w:rsidP="00370240">
      <w:pPr>
        <w:spacing w:after="240"/>
        <w:ind w:firstLine="720"/>
        <w:rPr>
          <w:rFonts w:eastAsia="Times New Roman"/>
          <w:sz w:val="24"/>
          <w:szCs w:val="24"/>
        </w:rPr>
      </w:pPr>
      <w:r>
        <w:rPr>
          <w:rFonts w:eastAsia="Times New Roman"/>
          <w:sz w:val="24"/>
          <w:szCs w:val="24"/>
        </w:rPr>
        <w:t>7</w:t>
      </w:r>
      <w:r w:rsidR="00E71646" w:rsidRPr="00E71646">
        <w:rPr>
          <w:rFonts w:eastAsia="Times New Roman"/>
          <w:sz w:val="24"/>
          <w:szCs w:val="24"/>
        </w:rPr>
        <w:t xml:space="preserve">.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r w:rsidR="00E71646" w:rsidRPr="00E71646">
        <w:rPr>
          <w:rFonts w:eastAsia="Times New Roman"/>
          <w:b/>
          <w:sz w:val="24"/>
          <w:szCs w:val="24"/>
        </w:rPr>
        <w:t>Koontz v. Rosener</w:t>
      </w:r>
      <w:r w:rsidR="00E71646" w:rsidRPr="00E71646">
        <w:rPr>
          <w:rFonts w:eastAsia="Times New Roman"/>
          <w:sz w:val="24"/>
          <w:szCs w:val="24"/>
        </w:rPr>
        <w:t>, 787 P.2d 192 (</w:t>
      </w:r>
      <w:r w:rsidR="00E71BCE">
        <w:rPr>
          <w:rFonts w:eastAsia="Times New Roman"/>
          <w:sz w:val="24"/>
          <w:szCs w:val="24"/>
        </w:rPr>
        <w:t>Colo. App.</w:t>
      </w:r>
      <w:r w:rsidR="00E71646" w:rsidRPr="00E71646">
        <w:rPr>
          <w:rFonts w:eastAsia="Times New Roman"/>
          <w:sz w:val="24"/>
          <w:szCs w:val="24"/>
        </w:rPr>
        <w:t xml:space="preserve"> 1989).</w:t>
      </w:r>
    </w:p>
    <w:sectPr w:rsidR="00E41870"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A28C" w14:textId="77777777" w:rsidR="00B07C5D" w:rsidRDefault="00B07C5D" w:rsidP="0054263B">
      <w:r>
        <w:separator/>
      </w:r>
    </w:p>
    <w:p w14:paraId="294C97FF" w14:textId="77777777" w:rsidR="00B07C5D" w:rsidRDefault="00B07C5D"/>
  </w:endnote>
  <w:endnote w:type="continuationSeparator" w:id="0">
    <w:p w14:paraId="3139898C" w14:textId="77777777" w:rsidR="00B07C5D" w:rsidRDefault="00B07C5D" w:rsidP="0054263B">
      <w:r>
        <w:continuationSeparator/>
      </w:r>
    </w:p>
    <w:p w14:paraId="075E8FD0" w14:textId="77777777" w:rsidR="00B07C5D" w:rsidRDefault="00B07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7145569" w14:textId="77777777" w:rsidR="00460071" w:rsidRDefault="00460071">
        <w:pPr>
          <w:pStyle w:val="Footer"/>
          <w:jc w:val="center"/>
        </w:pPr>
        <w:r>
          <w:fldChar w:fldCharType="begin"/>
        </w:r>
        <w:r>
          <w:instrText xml:space="preserve"> PAGE   \* MERGEFORMAT </w:instrText>
        </w:r>
        <w:r>
          <w:fldChar w:fldCharType="separate"/>
        </w:r>
        <w:r w:rsidR="00C1697F">
          <w:rPr>
            <w:noProof/>
          </w:rPr>
          <w:t>4</w:t>
        </w:r>
        <w:r>
          <w:rPr>
            <w:noProof/>
          </w:rPr>
          <w:fldChar w:fldCharType="end"/>
        </w:r>
      </w:p>
    </w:sdtContent>
  </w:sdt>
  <w:p w14:paraId="421D70D7" w14:textId="77777777" w:rsidR="00460071" w:rsidRDefault="00460071">
    <w:pPr>
      <w:pStyle w:val="Footer"/>
    </w:pPr>
  </w:p>
  <w:p w14:paraId="7E7EBDD2" w14:textId="77777777" w:rsidR="00460071" w:rsidRDefault="00460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21F0" w14:textId="77777777" w:rsidR="00B07C5D" w:rsidRDefault="00B07C5D" w:rsidP="0054263B">
      <w:r>
        <w:separator/>
      </w:r>
    </w:p>
    <w:p w14:paraId="6352C6AF" w14:textId="77777777" w:rsidR="00B07C5D" w:rsidRDefault="00B07C5D"/>
  </w:footnote>
  <w:footnote w:type="continuationSeparator" w:id="0">
    <w:p w14:paraId="1737F216" w14:textId="77777777" w:rsidR="00B07C5D" w:rsidRDefault="00B07C5D" w:rsidP="0054263B">
      <w:r>
        <w:continuationSeparator/>
      </w:r>
    </w:p>
    <w:p w14:paraId="584F05F1" w14:textId="77777777" w:rsidR="00B07C5D" w:rsidRDefault="00B07C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4435768">
    <w:abstractNumId w:val="0"/>
  </w:num>
  <w:num w:numId="2" w16cid:durableId="36995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10538"/>
    <w:rsid w:val="00020613"/>
    <w:rsid w:val="00020CF1"/>
    <w:rsid w:val="000224AF"/>
    <w:rsid w:val="00037111"/>
    <w:rsid w:val="000532E3"/>
    <w:rsid w:val="0006367C"/>
    <w:rsid w:val="00074558"/>
    <w:rsid w:val="000824C8"/>
    <w:rsid w:val="00085495"/>
    <w:rsid w:val="000921F1"/>
    <w:rsid w:val="0009462F"/>
    <w:rsid w:val="000962C8"/>
    <w:rsid w:val="000A040F"/>
    <w:rsid w:val="000B1B7A"/>
    <w:rsid w:val="000C204E"/>
    <w:rsid w:val="000C4A14"/>
    <w:rsid w:val="000C503A"/>
    <w:rsid w:val="000C6F97"/>
    <w:rsid w:val="000C7A2E"/>
    <w:rsid w:val="000D4856"/>
    <w:rsid w:val="000F205C"/>
    <w:rsid w:val="000F57B1"/>
    <w:rsid w:val="001007E7"/>
    <w:rsid w:val="00101A07"/>
    <w:rsid w:val="00107079"/>
    <w:rsid w:val="00111652"/>
    <w:rsid w:val="001117D9"/>
    <w:rsid w:val="00112C8E"/>
    <w:rsid w:val="00112FF9"/>
    <w:rsid w:val="001134B3"/>
    <w:rsid w:val="00116A3D"/>
    <w:rsid w:val="00125209"/>
    <w:rsid w:val="00126B7A"/>
    <w:rsid w:val="001300D4"/>
    <w:rsid w:val="001303C5"/>
    <w:rsid w:val="00143A15"/>
    <w:rsid w:val="00144917"/>
    <w:rsid w:val="001561D5"/>
    <w:rsid w:val="001608FF"/>
    <w:rsid w:val="001671A9"/>
    <w:rsid w:val="00171705"/>
    <w:rsid w:val="00172674"/>
    <w:rsid w:val="00174BB5"/>
    <w:rsid w:val="0018302F"/>
    <w:rsid w:val="0018388B"/>
    <w:rsid w:val="00184D62"/>
    <w:rsid w:val="001903CB"/>
    <w:rsid w:val="001913B1"/>
    <w:rsid w:val="00191498"/>
    <w:rsid w:val="00191C86"/>
    <w:rsid w:val="00195972"/>
    <w:rsid w:val="0019684F"/>
    <w:rsid w:val="001A2648"/>
    <w:rsid w:val="001A688B"/>
    <w:rsid w:val="001C0DF5"/>
    <w:rsid w:val="001C3753"/>
    <w:rsid w:val="001D31A6"/>
    <w:rsid w:val="001D4027"/>
    <w:rsid w:val="001D5BE2"/>
    <w:rsid w:val="001E0F3B"/>
    <w:rsid w:val="001E1DB5"/>
    <w:rsid w:val="001F0193"/>
    <w:rsid w:val="00200BA5"/>
    <w:rsid w:val="00202B81"/>
    <w:rsid w:val="00204ADA"/>
    <w:rsid w:val="002065D8"/>
    <w:rsid w:val="0021368F"/>
    <w:rsid w:val="0021730E"/>
    <w:rsid w:val="00217435"/>
    <w:rsid w:val="0022134E"/>
    <w:rsid w:val="00223286"/>
    <w:rsid w:val="00223985"/>
    <w:rsid w:val="00226E36"/>
    <w:rsid w:val="00227D3A"/>
    <w:rsid w:val="00231BC4"/>
    <w:rsid w:val="00232C53"/>
    <w:rsid w:val="0024003A"/>
    <w:rsid w:val="0024062B"/>
    <w:rsid w:val="0024597C"/>
    <w:rsid w:val="00254258"/>
    <w:rsid w:val="002547C3"/>
    <w:rsid w:val="002654B4"/>
    <w:rsid w:val="00265D86"/>
    <w:rsid w:val="00267805"/>
    <w:rsid w:val="00273777"/>
    <w:rsid w:val="0027486C"/>
    <w:rsid w:val="0028301A"/>
    <w:rsid w:val="00290935"/>
    <w:rsid w:val="00293941"/>
    <w:rsid w:val="00293F7E"/>
    <w:rsid w:val="00295B39"/>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4106"/>
    <w:rsid w:val="00335934"/>
    <w:rsid w:val="00336CE4"/>
    <w:rsid w:val="00345533"/>
    <w:rsid w:val="00352111"/>
    <w:rsid w:val="00352433"/>
    <w:rsid w:val="00352696"/>
    <w:rsid w:val="00353044"/>
    <w:rsid w:val="00353A1E"/>
    <w:rsid w:val="003613FE"/>
    <w:rsid w:val="00370240"/>
    <w:rsid w:val="00382177"/>
    <w:rsid w:val="003837B6"/>
    <w:rsid w:val="00392F02"/>
    <w:rsid w:val="003937B8"/>
    <w:rsid w:val="00397288"/>
    <w:rsid w:val="003A2F1C"/>
    <w:rsid w:val="003A5A75"/>
    <w:rsid w:val="003B5ABE"/>
    <w:rsid w:val="003D027F"/>
    <w:rsid w:val="003D1B54"/>
    <w:rsid w:val="003D370E"/>
    <w:rsid w:val="003D4518"/>
    <w:rsid w:val="003E472A"/>
    <w:rsid w:val="003E5B38"/>
    <w:rsid w:val="003E7402"/>
    <w:rsid w:val="003F108C"/>
    <w:rsid w:val="003F6E89"/>
    <w:rsid w:val="00401A31"/>
    <w:rsid w:val="00402C7C"/>
    <w:rsid w:val="00407AAB"/>
    <w:rsid w:val="004324EA"/>
    <w:rsid w:val="00433162"/>
    <w:rsid w:val="00434371"/>
    <w:rsid w:val="004425AA"/>
    <w:rsid w:val="00456038"/>
    <w:rsid w:val="00456B2B"/>
    <w:rsid w:val="00460071"/>
    <w:rsid w:val="00466A57"/>
    <w:rsid w:val="00467B80"/>
    <w:rsid w:val="0047120C"/>
    <w:rsid w:val="00471618"/>
    <w:rsid w:val="0047374D"/>
    <w:rsid w:val="00473B65"/>
    <w:rsid w:val="00474B1B"/>
    <w:rsid w:val="0048541F"/>
    <w:rsid w:val="00485635"/>
    <w:rsid w:val="0049313F"/>
    <w:rsid w:val="00496096"/>
    <w:rsid w:val="004A1210"/>
    <w:rsid w:val="004A32E6"/>
    <w:rsid w:val="004B4969"/>
    <w:rsid w:val="004B753E"/>
    <w:rsid w:val="004C1A04"/>
    <w:rsid w:val="004C62F9"/>
    <w:rsid w:val="004C723A"/>
    <w:rsid w:val="004C73F5"/>
    <w:rsid w:val="004D2C99"/>
    <w:rsid w:val="004D57DB"/>
    <w:rsid w:val="004E0408"/>
    <w:rsid w:val="004E7EF1"/>
    <w:rsid w:val="004F003D"/>
    <w:rsid w:val="00502D97"/>
    <w:rsid w:val="005065E6"/>
    <w:rsid w:val="0051385E"/>
    <w:rsid w:val="00514DC0"/>
    <w:rsid w:val="00516447"/>
    <w:rsid w:val="0052537F"/>
    <w:rsid w:val="00527A18"/>
    <w:rsid w:val="00531F87"/>
    <w:rsid w:val="0053544D"/>
    <w:rsid w:val="0054263B"/>
    <w:rsid w:val="00547D97"/>
    <w:rsid w:val="00550AFD"/>
    <w:rsid w:val="005575D0"/>
    <w:rsid w:val="00557FCC"/>
    <w:rsid w:val="005626B2"/>
    <w:rsid w:val="005648EF"/>
    <w:rsid w:val="00564FCD"/>
    <w:rsid w:val="00576EAD"/>
    <w:rsid w:val="0057771F"/>
    <w:rsid w:val="00583F4A"/>
    <w:rsid w:val="00596900"/>
    <w:rsid w:val="005A22A6"/>
    <w:rsid w:val="005A3C3D"/>
    <w:rsid w:val="005B27FE"/>
    <w:rsid w:val="005B3A78"/>
    <w:rsid w:val="005C56C9"/>
    <w:rsid w:val="005C5CCB"/>
    <w:rsid w:val="005D1AD3"/>
    <w:rsid w:val="005D3156"/>
    <w:rsid w:val="005E712D"/>
    <w:rsid w:val="005F1017"/>
    <w:rsid w:val="005F19FD"/>
    <w:rsid w:val="005F5A94"/>
    <w:rsid w:val="00604F03"/>
    <w:rsid w:val="006050B3"/>
    <w:rsid w:val="006053F6"/>
    <w:rsid w:val="0062126B"/>
    <w:rsid w:val="006272FE"/>
    <w:rsid w:val="00631BFF"/>
    <w:rsid w:val="00642649"/>
    <w:rsid w:val="00647CC5"/>
    <w:rsid w:val="00651A64"/>
    <w:rsid w:val="0066100E"/>
    <w:rsid w:val="00661D05"/>
    <w:rsid w:val="00674DF1"/>
    <w:rsid w:val="00675252"/>
    <w:rsid w:val="00675BD1"/>
    <w:rsid w:val="00682B93"/>
    <w:rsid w:val="0068336D"/>
    <w:rsid w:val="00683FA1"/>
    <w:rsid w:val="00685E76"/>
    <w:rsid w:val="00687304"/>
    <w:rsid w:val="00697DF2"/>
    <w:rsid w:val="006A0C6E"/>
    <w:rsid w:val="006A47FD"/>
    <w:rsid w:val="006A5E1B"/>
    <w:rsid w:val="006A74B6"/>
    <w:rsid w:val="006A7F32"/>
    <w:rsid w:val="006B2457"/>
    <w:rsid w:val="006B26D7"/>
    <w:rsid w:val="006B27DF"/>
    <w:rsid w:val="006B6CF1"/>
    <w:rsid w:val="006D00EC"/>
    <w:rsid w:val="006D531A"/>
    <w:rsid w:val="006D5A11"/>
    <w:rsid w:val="006E0424"/>
    <w:rsid w:val="006E0D06"/>
    <w:rsid w:val="006E0FB3"/>
    <w:rsid w:val="006E3575"/>
    <w:rsid w:val="006E62F0"/>
    <w:rsid w:val="006F2964"/>
    <w:rsid w:val="006F7581"/>
    <w:rsid w:val="006F7DC0"/>
    <w:rsid w:val="00702B5A"/>
    <w:rsid w:val="0070752A"/>
    <w:rsid w:val="007119D8"/>
    <w:rsid w:val="0071225B"/>
    <w:rsid w:val="00712E33"/>
    <w:rsid w:val="00713866"/>
    <w:rsid w:val="007216DA"/>
    <w:rsid w:val="00724230"/>
    <w:rsid w:val="00726E21"/>
    <w:rsid w:val="007340B5"/>
    <w:rsid w:val="00734FF0"/>
    <w:rsid w:val="00742DFC"/>
    <w:rsid w:val="0074300C"/>
    <w:rsid w:val="007532AB"/>
    <w:rsid w:val="00766F81"/>
    <w:rsid w:val="00770FFC"/>
    <w:rsid w:val="00776F3F"/>
    <w:rsid w:val="00787065"/>
    <w:rsid w:val="00792028"/>
    <w:rsid w:val="007A1E8C"/>
    <w:rsid w:val="007A2BD1"/>
    <w:rsid w:val="007A3A0E"/>
    <w:rsid w:val="007A56C2"/>
    <w:rsid w:val="007A612E"/>
    <w:rsid w:val="007B1633"/>
    <w:rsid w:val="007C42D5"/>
    <w:rsid w:val="007C4B23"/>
    <w:rsid w:val="007C65DD"/>
    <w:rsid w:val="007D168F"/>
    <w:rsid w:val="007D198E"/>
    <w:rsid w:val="007D2BCE"/>
    <w:rsid w:val="007D39CC"/>
    <w:rsid w:val="007E1675"/>
    <w:rsid w:val="007F40A8"/>
    <w:rsid w:val="007F4AB1"/>
    <w:rsid w:val="007F7129"/>
    <w:rsid w:val="00801691"/>
    <w:rsid w:val="00806282"/>
    <w:rsid w:val="00806F39"/>
    <w:rsid w:val="00813A6B"/>
    <w:rsid w:val="0082168C"/>
    <w:rsid w:val="008244DF"/>
    <w:rsid w:val="00827ADB"/>
    <w:rsid w:val="0083254A"/>
    <w:rsid w:val="0083264A"/>
    <w:rsid w:val="00832DB4"/>
    <w:rsid w:val="0083763B"/>
    <w:rsid w:val="00837F81"/>
    <w:rsid w:val="00845F81"/>
    <w:rsid w:val="00850A48"/>
    <w:rsid w:val="00853ECF"/>
    <w:rsid w:val="008551ED"/>
    <w:rsid w:val="008557E1"/>
    <w:rsid w:val="00855DB9"/>
    <w:rsid w:val="008641A3"/>
    <w:rsid w:val="0086735A"/>
    <w:rsid w:val="008703EF"/>
    <w:rsid w:val="00875064"/>
    <w:rsid w:val="008812A8"/>
    <w:rsid w:val="00881431"/>
    <w:rsid w:val="008859AF"/>
    <w:rsid w:val="00895065"/>
    <w:rsid w:val="008A0D33"/>
    <w:rsid w:val="008A1099"/>
    <w:rsid w:val="008A475A"/>
    <w:rsid w:val="008A6339"/>
    <w:rsid w:val="008A637B"/>
    <w:rsid w:val="008B1617"/>
    <w:rsid w:val="008B5859"/>
    <w:rsid w:val="008B7480"/>
    <w:rsid w:val="008C1739"/>
    <w:rsid w:val="008C79FC"/>
    <w:rsid w:val="008D1BC7"/>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0E50"/>
    <w:rsid w:val="00950692"/>
    <w:rsid w:val="00952BBB"/>
    <w:rsid w:val="0095709A"/>
    <w:rsid w:val="009603E5"/>
    <w:rsid w:val="009611F0"/>
    <w:rsid w:val="009725D8"/>
    <w:rsid w:val="00973884"/>
    <w:rsid w:val="0098626C"/>
    <w:rsid w:val="009902F2"/>
    <w:rsid w:val="009904A6"/>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041D"/>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3D51"/>
    <w:rsid w:val="00AC78F7"/>
    <w:rsid w:val="00AD4B56"/>
    <w:rsid w:val="00AD61CD"/>
    <w:rsid w:val="00AF1706"/>
    <w:rsid w:val="00AF40E1"/>
    <w:rsid w:val="00AF7D47"/>
    <w:rsid w:val="00B0264D"/>
    <w:rsid w:val="00B041F7"/>
    <w:rsid w:val="00B07C5D"/>
    <w:rsid w:val="00B120C8"/>
    <w:rsid w:val="00B134C5"/>
    <w:rsid w:val="00B27F5C"/>
    <w:rsid w:val="00B328BA"/>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9C4"/>
    <w:rsid w:val="00BA7563"/>
    <w:rsid w:val="00BB28E0"/>
    <w:rsid w:val="00BB344E"/>
    <w:rsid w:val="00BB436B"/>
    <w:rsid w:val="00BC49BF"/>
    <w:rsid w:val="00BC60AE"/>
    <w:rsid w:val="00BC65EF"/>
    <w:rsid w:val="00BC789A"/>
    <w:rsid w:val="00BD51DC"/>
    <w:rsid w:val="00BE2B09"/>
    <w:rsid w:val="00BE654D"/>
    <w:rsid w:val="00BE6634"/>
    <w:rsid w:val="00BF333D"/>
    <w:rsid w:val="00BF5DF3"/>
    <w:rsid w:val="00C161A1"/>
    <w:rsid w:val="00C1697F"/>
    <w:rsid w:val="00C21D93"/>
    <w:rsid w:val="00C225C9"/>
    <w:rsid w:val="00C26751"/>
    <w:rsid w:val="00C40968"/>
    <w:rsid w:val="00C473A2"/>
    <w:rsid w:val="00C60E95"/>
    <w:rsid w:val="00C610EC"/>
    <w:rsid w:val="00C724B6"/>
    <w:rsid w:val="00C84E71"/>
    <w:rsid w:val="00C87463"/>
    <w:rsid w:val="00C8797B"/>
    <w:rsid w:val="00C901D7"/>
    <w:rsid w:val="00C93313"/>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2A2F"/>
    <w:rsid w:val="00CE593D"/>
    <w:rsid w:val="00CF07F1"/>
    <w:rsid w:val="00CF76E9"/>
    <w:rsid w:val="00CF79FC"/>
    <w:rsid w:val="00D00330"/>
    <w:rsid w:val="00D0050C"/>
    <w:rsid w:val="00D014AE"/>
    <w:rsid w:val="00D04DAC"/>
    <w:rsid w:val="00D05926"/>
    <w:rsid w:val="00D06D8D"/>
    <w:rsid w:val="00D16901"/>
    <w:rsid w:val="00D23BD0"/>
    <w:rsid w:val="00D333AA"/>
    <w:rsid w:val="00D347CA"/>
    <w:rsid w:val="00D51E80"/>
    <w:rsid w:val="00D53848"/>
    <w:rsid w:val="00D53AC5"/>
    <w:rsid w:val="00D54276"/>
    <w:rsid w:val="00D5484F"/>
    <w:rsid w:val="00D64B6D"/>
    <w:rsid w:val="00D66858"/>
    <w:rsid w:val="00D72662"/>
    <w:rsid w:val="00D767EB"/>
    <w:rsid w:val="00D77CFE"/>
    <w:rsid w:val="00D8125F"/>
    <w:rsid w:val="00D90E67"/>
    <w:rsid w:val="00D9448D"/>
    <w:rsid w:val="00DA1796"/>
    <w:rsid w:val="00DA2814"/>
    <w:rsid w:val="00DB2C90"/>
    <w:rsid w:val="00DC0393"/>
    <w:rsid w:val="00DC2F89"/>
    <w:rsid w:val="00DC63A9"/>
    <w:rsid w:val="00DC66A6"/>
    <w:rsid w:val="00DC7533"/>
    <w:rsid w:val="00DD77BF"/>
    <w:rsid w:val="00DE2930"/>
    <w:rsid w:val="00DF2CB7"/>
    <w:rsid w:val="00DF3BF1"/>
    <w:rsid w:val="00DF7595"/>
    <w:rsid w:val="00E007F8"/>
    <w:rsid w:val="00E04221"/>
    <w:rsid w:val="00E0552C"/>
    <w:rsid w:val="00E058BA"/>
    <w:rsid w:val="00E111AA"/>
    <w:rsid w:val="00E172C8"/>
    <w:rsid w:val="00E21120"/>
    <w:rsid w:val="00E24E10"/>
    <w:rsid w:val="00E2724A"/>
    <w:rsid w:val="00E30D4B"/>
    <w:rsid w:val="00E372EA"/>
    <w:rsid w:val="00E41870"/>
    <w:rsid w:val="00E50187"/>
    <w:rsid w:val="00E55147"/>
    <w:rsid w:val="00E551EB"/>
    <w:rsid w:val="00E57F5F"/>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5935"/>
    <w:rsid w:val="00EB6247"/>
    <w:rsid w:val="00EC16F4"/>
    <w:rsid w:val="00EC17E3"/>
    <w:rsid w:val="00EC29A6"/>
    <w:rsid w:val="00EC3919"/>
    <w:rsid w:val="00EC7C98"/>
    <w:rsid w:val="00ED32E8"/>
    <w:rsid w:val="00ED5E52"/>
    <w:rsid w:val="00ED7176"/>
    <w:rsid w:val="00ED75EA"/>
    <w:rsid w:val="00EE26F9"/>
    <w:rsid w:val="00EE51DF"/>
    <w:rsid w:val="00EF4043"/>
    <w:rsid w:val="00F00661"/>
    <w:rsid w:val="00F022D4"/>
    <w:rsid w:val="00F062A4"/>
    <w:rsid w:val="00F32AA4"/>
    <w:rsid w:val="00F573CF"/>
    <w:rsid w:val="00F57A2B"/>
    <w:rsid w:val="00F60050"/>
    <w:rsid w:val="00F64213"/>
    <w:rsid w:val="00F658E5"/>
    <w:rsid w:val="00F764F4"/>
    <w:rsid w:val="00F82676"/>
    <w:rsid w:val="00F8277D"/>
    <w:rsid w:val="00F86F49"/>
    <w:rsid w:val="00F9124B"/>
    <w:rsid w:val="00F94DD6"/>
    <w:rsid w:val="00FA333E"/>
    <w:rsid w:val="00FA53D7"/>
    <w:rsid w:val="00FA7B76"/>
    <w:rsid w:val="00FC1E82"/>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803"/>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0C7A2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ACCC-6FA5-4207-B58E-3E51C41B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2023-03-07T17:27:00Z</dcterms:created>
  <dcterms:modified xsi:type="dcterms:W3CDTF">2023-03-07T17:27:00Z</dcterms:modified>
</cp:coreProperties>
</file>