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293" w14:textId="6C20D74B" w:rsidR="00CA41CC" w:rsidRPr="00914128" w:rsidRDefault="0068336D" w:rsidP="00914128">
      <w:pPr>
        <w:pStyle w:val="Heading1"/>
      </w:pPr>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000000" w:rsidP="00914128">
      <w:pPr>
        <w:pStyle w:val="ToC"/>
      </w:pPr>
      <w:hyperlink w:anchor="IntroNote" w:history="1">
        <w:r w:rsidR="004768A3" w:rsidRPr="005F68C9">
          <w:rPr>
            <w:rStyle w:val="Hyperlink"/>
          </w:rPr>
          <w:t>Introductory Note</w:t>
        </w:r>
      </w:hyperlink>
    </w:p>
    <w:p w14:paraId="54AD5562" w14:textId="77777777" w:rsidR="00EC7C98" w:rsidRDefault="00000000" w:rsidP="00914128">
      <w:pPr>
        <w:pStyle w:val="ToC"/>
      </w:pPr>
      <w:hyperlink w:anchor="a29_01" w:history="1">
        <w:r w:rsidR="005F68C9" w:rsidRPr="005F68C9">
          <w:rPr>
            <w:rStyle w:val="Hyperlink"/>
          </w:rPr>
          <w:t>29:1</w:t>
        </w:r>
      </w:hyperlink>
      <w:r w:rsidR="005F68C9" w:rsidRPr="005F68C9">
        <w:t xml:space="preserve"> </w:t>
      </w:r>
      <w:r w:rsidR="005F68C9" w:rsidRPr="005F68C9">
        <w:tab/>
        <w:t xml:space="preserve">Elements </w:t>
      </w:r>
      <w:r w:rsidR="004D44C8">
        <w:t>o</w:t>
      </w:r>
      <w:r w:rsidR="005F68C9" w:rsidRPr="005F68C9">
        <w:t>f Liability</w:t>
      </w:r>
    </w:p>
    <w:p w14:paraId="18B169D8" w14:textId="77777777" w:rsidR="005F68C9" w:rsidRDefault="00000000" w:rsidP="00914128">
      <w:pPr>
        <w:pStyle w:val="ToC"/>
      </w:pPr>
      <w:hyperlink w:anchor="a29_02" w:history="1">
        <w:r w:rsidR="005F68C9" w:rsidRPr="005F68C9">
          <w:rPr>
            <w:rStyle w:val="Hyperlink"/>
          </w:rPr>
          <w:t>29:2</w:t>
        </w:r>
      </w:hyperlink>
      <w:r w:rsidR="005F68C9" w:rsidRPr="005F68C9">
        <w:t xml:space="preserve"> </w:t>
      </w:r>
      <w:r w:rsidR="005F68C9" w:rsidRPr="005F68C9">
        <w:tab/>
        <w:t>Deceptive Trade Practices — Defined</w:t>
      </w:r>
    </w:p>
    <w:p w14:paraId="693643C1" w14:textId="77777777" w:rsidR="005F68C9" w:rsidRDefault="00000000" w:rsidP="00914128">
      <w:pPr>
        <w:pStyle w:val="ToC"/>
      </w:pPr>
      <w:hyperlink w:anchor="a29_03" w:history="1">
        <w:r w:rsidR="005F68C9" w:rsidRPr="005F68C9">
          <w:rPr>
            <w:rStyle w:val="Hyperlink"/>
          </w:rPr>
          <w:t>29:3</w:t>
        </w:r>
      </w:hyperlink>
      <w:r w:rsidR="005F68C9" w:rsidRPr="005F68C9">
        <w:t xml:space="preserve"> </w:t>
      </w:r>
      <w:r w:rsidR="005F68C9" w:rsidRPr="005F68C9">
        <w:tab/>
        <w:t>False Representation/Misrepresentation — Defined</w:t>
      </w:r>
    </w:p>
    <w:p w14:paraId="61D23D78" w14:textId="77777777" w:rsidR="005F68C9" w:rsidRDefault="00000000" w:rsidP="00914128">
      <w:pPr>
        <w:pStyle w:val="ToC"/>
      </w:pPr>
      <w:hyperlink w:anchor="a29_04" w:history="1">
        <w:r w:rsidR="005F68C9" w:rsidRPr="005F68C9">
          <w:rPr>
            <w:rStyle w:val="Hyperlink"/>
          </w:rPr>
          <w:t>29:4</w:t>
        </w:r>
      </w:hyperlink>
      <w:r w:rsidR="005F68C9" w:rsidRPr="005F68C9">
        <w:t xml:space="preserve"> </w:t>
      </w:r>
      <w:r w:rsidR="005F68C9" w:rsidRPr="005F68C9">
        <w:tab/>
        <w:t xml:space="preserve">Significant Impact </w:t>
      </w:r>
      <w:r w:rsidR="004D44C8">
        <w:t>o</w:t>
      </w:r>
      <w:r w:rsidR="005F68C9" w:rsidRPr="005F68C9">
        <w:t xml:space="preserve">n </w:t>
      </w:r>
      <w:r w:rsidR="004D44C8">
        <w:t>t</w:t>
      </w:r>
      <w:r w:rsidR="005F68C9" w:rsidRPr="005F68C9">
        <w:t>he Public — Defined</w:t>
      </w:r>
    </w:p>
    <w:p w14:paraId="598D162F" w14:textId="77777777" w:rsidR="005F68C9" w:rsidRDefault="00000000" w:rsidP="00914128">
      <w:pPr>
        <w:pStyle w:val="ToC"/>
      </w:pPr>
      <w:hyperlink w:anchor="a29_05" w:history="1">
        <w:r w:rsidR="005F68C9" w:rsidRPr="005F68C9">
          <w:rPr>
            <w:rStyle w:val="Hyperlink"/>
          </w:rPr>
          <w:t>29:5</w:t>
        </w:r>
      </w:hyperlink>
      <w:r w:rsidR="005F68C9" w:rsidRPr="005F68C9">
        <w:t xml:space="preserve"> </w:t>
      </w:r>
      <w:r w:rsidR="005F68C9" w:rsidRPr="005F68C9">
        <w:tab/>
        <w:t>Actual Damages</w:t>
      </w:r>
    </w:p>
    <w:p w14:paraId="1498F101" w14:textId="77777777" w:rsidR="005F68C9" w:rsidRDefault="00000000" w:rsidP="00914128">
      <w:pPr>
        <w:pStyle w:val="ToC"/>
      </w:pPr>
      <w:hyperlink w:anchor="a29_06" w:history="1">
        <w:r w:rsidR="005F68C9" w:rsidRPr="005F68C9">
          <w:rPr>
            <w:rStyle w:val="Hyperlink"/>
          </w:rPr>
          <w:t>29:6</w:t>
        </w:r>
      </w:hyperlink>
      <w:r w:rsidR="005F68C9" w:rsidRPr="005F68C9">
        <w:t xml:space="preserve"> </w:t>
      </w:r>
      <w:r w:rsidR="005F68C9"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0" w:name="a28_01"/>
      <w:bookmarkStart w:id="1" w:name="IntroNote"/>
      <w:bookmarkEnd w:id="0"/>
      <w:bookmarkEnd w:id="1"/>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xml:space="preserve">, 177 Colo. 97, 493 P.2d 660 (1972). The CCPA differs from the UDTA in that the legislature granted a private right of action to individual consumers to recover damages for violation of the Act. </w:t>
      </w:r>
      <w:r w:rsidRPr="004768A3">
        <w:rPr>
          <w:rFonts w:eastAsia="Times New Roman"/>
          <w:b/>
          <w:sz w:val="24"/>
          <w:szCs w:val="24"/>
        </w:rPr>
        <w:t>Hall v. Walter</w:t>
      </w:r>
      <w:r w:rsidRPr="004768A3">
        <w:rPr>
          <w:rFonts w:eastAsia="Times New Roman"/>
          <w:sz w:val="24"/>
          <w:szCs w:val="24"/>
        </w:rPr>
        <w:t>, 969 P.2d 224 (Colo. 1998).</w:t>
      </w:r>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 6-1-107 to -112, -114, C.R.S.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863 P.2d 967 (Colo. 1993). Civil penalties and restitution amounts unverifiable by statute or other fixed standard may not be imposed without an evidentiary hearing followed by Rule 52 findings of fact and conclusions of law. </w:t>
      </w:r>
      <w:r w:rsidRPr="004768A3">
        <w:rPr>
          <w:rFonts w:eastAsia="Times New Roman"/>
          <w:b/>
          <w:sz w:val="24"/>
          <w:szCs w:val="24"/>
        </w:rPr>
        <w:t>People v. Wunder</w:t>
      </w:r>
      <w:r w:rsidRPr="004768A3">
        <w:rPr>
          <w:rFonts w:eastAsia="Times New Roman"/>
          <w:sz w:val="24"/>
          <w:szCs w:val="24"/>
        </w:rPr>
        <w:t xml:space="preserve">, 2016 COA 46, ¶¶ 29-47, 371 P.3d 785 (a public enforcement action).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6F4FD70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342 P.3d 506.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 21-28</w:t>
      </w:r>
      <w:r w:rsidR="008415CE">
        <w:rPr>
          <w:rFonts w:eastAsia="Times New Roman"/>
          <w:sz w:val="24"/>
          <w:szCs w:val="24"/>
        </w:rPr>
        <w:t>, 371 P.3d at 790</w:t>
      </w:r>
      <w:r w:rsidRPr="004768A3">
        <w:rPr>
          <w:rFonts w:eastAsia="Times New Roman"/>
          <w:sz w:val="24"/>
          <w:szCs w:val="24"/>
        </w:rPr>
        <w:t xml:space="preserve">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r w:rsidRPr="004768A3">
        <w:rPr>
          <w:rFonts w:eastAsia="Times New Roman"/>
          <w:b/>
          <w:sz w:val="24"/>
          <w:szCs w:val="24"/>
        </w:rPr>
        <w:t>Crowe v. Tull</w:t>
      </w:r>
      <w:r w:rsidRPr="004768A3">
        <w:rPr>
          <w:rFonts w:eastAsia="Times New Roman"/>
          <w:sz w:val="24"/>
          <w:szCs w:val="24"/>
        </w:rPr>
        <w:t>, 126 P.3d 196, 202 (Colo. 2006).</w:t>
      </w:r>
    </w:p>
    <w:p w14:paraId="4703FE25" w14:textId="1B7B3B3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00763095">
        <w:rPr>
          <w:rFonts w:eastAsia="Times New Roman"/>
          <w:sz w:val="24"/>
          <w:szCs w:val="24"/>
        </w:rPr>
        <w:t xml:space="preserve">, 38 P.3d </w:t>
      </w:r>
      <w:r w:rsidRPr="004768A3">
        <w:rPr>
          <w:rFonts w:eastAsia="Times New Roman"/>
          <w:sz w:val="24"/>
          <w:szCs w:val="24"/>
        </w:rPr>
        <w:t xml:space="preserve">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5518F196"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As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w:t>
      </w:r>
      <w:r w:rsidR="001B0F63">
        <w:rPr>
          <w:rFonts w:eastAsia="Times New Roman"/>
          <w:sz w:val="24"/>
          <w:szCs w:val="24"/>
        </w:rPr>
        <w:t>-</w:t>
      </w:r>
      <w:r w:rsidRPr="004768A3">
        <w:rPr>
          <w:rFonts w:eastAsia="Times New Roman"/>
          <w:sz w:val="24"/>
          <w:szCs w:val="24"/>
        </w:rPr>
        <w:t xml:space="preserve">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r w:rsidRPr="004768A3">
        <w:rPr>
          <w:rFonts w:eastAsia="Times New Roman"/>
          <w:b/>
          <w:sz w:val="24"/>
          <w:szCs w:val="24"/>
        </w:rPr>
        <w:t>Triple Crown at Observatory Vill. Assoc., Inc.</w:t>
      </w:r>
      <w:r w:rsidRPr="004768A3">
        <w:rPr>
          <w:rFonts w:eastAsia="Times New Roman"/>
          <w:sz w:val="24"/>
          <w:szCs w:val="24"/>
        </w:rPr>
        <w:t>, 2013 COA 150M, ¶¶ 42-45, 328 P.3d 275.</w:t>
      </w:r>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6F3195C4"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00AE258C">
        <w:rPr>
          <w:rFonts w:eastAsia="Times New Roman"/>
          <w:sz w:val="24"/>
          <w:szCs w:val="24"/>
        </w:rPr>
        <w:t xml:space="preserve">422 P.3d 617,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2" w:name="a29_01"/>
      <w:bookmarkEnd w:id="2"/>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State">
        <w:smartTag w:uri="urn:schemas-microsoft-com:office:smarttags" w:element="place">
          <w:r w:rsidRPr="00B43CC8">
            <w:rPr>
              <w:rFonts w:eastAsia="Times New Roman"/>
              <w:b/>
              <w:sz w:val="24"/>
              <w:szCs w:val="24"/>
            </w:rPr>
            <w:t>Colorado</w:t>
          </w:r>
        </w:smartTag>
      </w:smartTag>
      <w:r w:rsidRPr="00B43CC8">
        <w:rPr>
          <w:rFonts w:eastAsia="Times New Roman"/>
          <w:b/>
          <w:sz w:val="24"/>
          <w:szCs w:val="24"/>
        </w:rPr>
        <w:t xml:space="preserve"> Consumer Protection Act,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4. The plaintiff (was an actual or potential consumer of the defendant’s [goods] [services] or [property)] (or) (was injured in the course of [his] [her] [its]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place">
        <w:smartTag w:uri="urn:schemas-microsoft-com:office:smarttags" w:element="Stat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3" w:name="a29_02"/>
      <w:bookmarkEnd w:id="3"/>
      <w:r w:rsidRPr="00BD182E">
        <w:rPr>
          <w:rFonts w:eastAsia="Times New Roman"/>
          <w:b/>
          <w:sz w:val="24"/>
          <w:szCs w:val="24"/>
        </w:rPr>
        <w:t xml:space="preserve">29:2 </w:t>
      </w:r>
      <w:r w:rsidRPr="00BD182E">
        <w:rPr>
          <w:rFonts w:eastAsia="Times New Roman"/>
          <w:b/>
          <w:sz w:val="24"/>
          <w:szCs w:val="24"/>
        </w:rPr>
        <w:tab/>
        <w:t>DECEPTIVE TRADE PRACTICES — DEFINED</w:t>
      </w:r>
    </w:p>
    <w:p w14:paraId="2BCB37C7"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defendant engages in a deceptive trade practice if, in the course of (his) (her) (its)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4" w:name="a29_03"/>
      <w:bookmarkEnd w:id="4"/>
      <w:r w:rsidRPr="00BD182E">
        <w:rPr>
          <w:rFonts w:eastAsia="Times New Roman"/>
          <w:b/>
          <w:sz w:val="24"/>
          <w:szCs w:val="24"/>
        </w:rPr>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5" w:name="a29_04"/>
      <w:bookmarkEnd w:id="5"/>
      <w:r w:rsidRPr="00BD182E">
        <w:rPr>
          <w:rFonts w:eastAsia="Times New Roman"/>
          <w:b/>
          <w:sz w:val="24"/>
          <w:szCs w:val="24"/>
        </w:rPr>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56D4B43C"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91 P.3d 393 (Colo. App. 2003) (noting that plaintiff was “a sophisticated businessman” in a general 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 43-44</w:t>
      </w:r>
      <w:r w:rsidR="008415CE">
        <w:rPr>
          <w:rFonts w:eastAsia="Times New Roman"/>
          <w:sz w:val="24"/>
          <w:szCs w:val="24"/>
        </w:rPr>
        <w:t>, 383 P.3d at 28</w:t>
      </w:r>
      <w:r w:rsidRPr="00BD182E">
        <w:rPr>
          <w:rFonts w:eastAsia="Times New Roman"/>
          <w:sz w:val="24"/>
          <w:szCs w:val="24"/>
        </w:rPr>
        <w:t xml:space="preserve"> (a private contract dispute between sophisticated business entities does not state a CCPA claim).</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5C3D535A" w:rsidR="00BD182E" w:rsidRDefault="00BD182E" w:rsidP="004E50D4">
      <w:pPr>
        <w:shd w:val="clear" w:color="auto" w:fill="FFFFFF"/>
        <w:ind w:firstLine="720"/>
        <w:rPr>
          <w:rFonts w:eastAsia="Times New Roman"/>
          <w:sz w:val="24"/>
          <w:szCs w:val="24"/>
        </w:rPr>
      </w:pPr>
      <w:r w:rsidRPr="00BD182E">
        <w:rPr>
          <w:rFonts w:eastAsia="Times New Roman"/>
          <w:sz w:val="24"/>
          <w:szCs w:val="24"/>
        </w:rPr>
        <w:t xml:space="preserve">3. The “public impact” element was held satisfied in </w:t>
      </w:r>
      <w:r w:rsidR="004E50D4" w:rsidRPr="00CB65C8">
        <w:rPr>
          <w:rFonts w:eastAsia="Times New Roman"/>
          <w:b/>
          <w:color w:val="000000"/>
          <w:sz w:val="24"/>
          <w:szCs w:val="24"/>
        </w:rPr>
        <w:t>Shekarchian v. Maxx Auto Recovery, Inc.</w:t>
      </w:r>
      <w:r w:rsidR="004E50D4" w:rsidRPr="004E50D4">
        <w:rPr>
          <w:rFonts w:eastAsia="Times New Roman"/>
          <w:color w:val="000000"/>
          <w:sz w:val="24"/>
          <w:szCs w:val="24"/>
        </w:rPr>
        <w:t>, 2019 COA 60, ¶ 56</w:t>
      </w:r>
      <w:r w:rsidR="005D4314">
        <w:rPr>
          <w:rFonts w:eastAsia="Times New Roman"/>
          <w:color w:val="000000"/>
          <w:sz w:val="24"/>
          <w:szCs w:val="24"/>
        </w:rPr>
        <w:t>, 487 P.3d 1026</w:t>
      </w:r>
      <w:r w:rsidR="00DB325C">
        <w:rPr>
          <w:rFonts w:eastAsia="Times New Roman"/>
          <w:color w:val="000000"/>
          <w:sz w:val="24"/>
          <w:szCs w:val="24"/>
        </w:rPr>
        <w:t xml:space="preserve"> (towing company’s practice of requiring vehicle owners to sign a form release containing a false statement before inspecting the impounded vehicle at the request of a third-party lender)</w:t>
      </w:r>
      <w:r w:rsidR="004E50D4">
        <w:rPr>
          <w:rFonts w:eastAsia="Times New Roman"/>
          <w:color w:val="000000"/>
          <w:sz w:val="24"/>
          <w:szCs w:val="24"/>
        </w:rPr>
        <w:t xml:space="preserve">; and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22CCA01A" w14:textId="77777777" w:rsidR="004E50D4" w:rsidRPr="00BD182E" w:rsidRDefault="004E50D4" w:rsidP="004E50D4">
      <w:pPr>
        <w:shd w:val="clear" w:color="auto" w:fill="FFFFFF"/>
        <w:ind w:firstLine="720"/>
        <w:rPr>
          <w:rFonts w:eastAsia="Times New Roman"/>
          <w:sz w:val="24"/>
          <w:szCs w:val="24"/>
        </w:rPr>
      </w:pPr>
    </w:p>
    <w:p w14:paraId="48E0A9F5" w14:textId="39133BA3" w:rsidR="00BD182E" w:rsidRPr="00BD182E" w:rsidRDefault="00BD182E" w:rsidP="004E50D4">
      <w:pPr>
        <w:shd w:val="clear" w:color="auto" w:fill="FFFFFF"/>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004E50D4" w:rsidRPr="00CB65C8">
        <w:rPr>
          <w:rFonts w:eastAsia="Times New Roman"/>
          <w:b/>
          <w:color w:val="000000"/>
          <w:sz w:val="24"/>
          <w:szCs w:val="24"/>
        </w:rPr>
        <w:t>State ex rel. Weiser v. Castle Law Gr</w:t>
      </w:r>
      <w:r w:rsidR="00B271FA" w:rsidRPr="00CB65C8">
        <w:rPr>
          <w:rFonts w:eastAsia="Times New Roman"/>
          <w:b/>
          <w:color w:val="000000"/>
          <w:sz w:val="24"/>
          <w:szCs w:val="24"/>
        </w:rPr>
        <w:t>ou</w:t>
      </w:r>
      <w:r w:rsidR="004E50D4" w:rsidRPr="00CB65C8">
        <w:rPr>
          <w:rFonts w:eastAsia="Times New Roman"/>
          <w:b/>
          <w:color w:val="000000"/>
          <w:sz w:val="24"/>
          <w:szCs w:val="24"/>
        </w:rPr>
        <w:t>p, LLC</w:t>
      </w:r>
      <w:r w:rsidR="004E50D4" w:rsidRPr="004E50D4">
        <w:rPr>
          <w:rFonts w:eastAsia="Times New Roman"/>
          <w:color w:val="000000"/>
          <w:sz w:val="24"/>
          <w:szCs w:val="24"/>
        </w:rPr>
        <w:t>, 2019 COA 49, ¶ 116</w:t>
      </w:r>
      <w:r w:rsidR="00C4351F">
        <w:rPr>
          <w:rFonts w:eastAsia="Times New Roman"/>
          <w:color w:val="000000"/>
          <w:sz w:val="24"/>
          <w:szCs w:val="24"/>
        </w:rPr>
        <w:t>, 457 P.3d 699</w:t>
      </w:r>
      <w:r w:rsidR="005D4314">
        <w:rPr>
          <w:rFonts w:eastAsia="Times New Roman"/>
          <w:color w:val="000000"/>
          <w:sz w:val="24"/>
          <w:szCs w:val="24"/>
        </w:rPr>
        <w:t>, 457 P.3d 699</w:t>
      </w:r>
      <w:r w:rsidR="00B271FA">
        <w:rPr>
          <w:rFonts w:eastAsia="Times New Roman"/>
          <w:color w:val="000000"/>
          <w:sz w:val="24"/>
          <w:szCs w:val="24"/>
        </w:rPr>
        <w:t xml:space="preserve"> (law firm’s failure to disclose to two of its clients that its principals had ownership interest in one of its vendors did not significantly impact actual or potential consumers of its services)</w:t>
      </w:r>
      <w:r w:rsidR="004E50D4">
        <w:rPr>
          <w:rFonts w:eastAsia="Times New Roman"/>
          <w:color w:val="000000"/>
          <w:sz w:val="24"/>
          <w:szCs w:val="24"/>
        </w:rPr>
        <w:t xml:space="preserve">; </w:t>
      </w:r>
      <w:r w:rsidRPr="00BD182E">
        <w:rPr>
          <w:rFonts w:eastAsia="Times New Roman"/>
          <w:b/>
          <w:sz w:val="24"/>
          <w:szCs w:val="24"/>
        </w:rPr>
        <w:t>Hildebrand v. New Vista Homes II, LLC</w:t>
      </w:r>
      <w:r w:rsidRPr="00BD182E">
        <w:rPr>
          <w:rFonts w:eastAsia="Times New Roman"/>
          <w:sz w:val="24"/>
          <w:szCs w:val="24"/>
        </w:rPr>
        <w:t xml:space="preserve">, 252 P.3d 1159 (Colo. App. 2010) (reversing CCPA judgment for owners who bought a home in a 38-residence development where proof of direct impact of the builder-vendor’s misrepresentations was confined to plaintiffs, and the record contained no 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w:t>
      </w:r>
      <w:r w:rsidR="008415CE">
        <w:rPr>
          <w:rFonts w:eastAsia="Times New Roman"/>
          <w:sz w:val="24"/>
          <w:szCs w:val="24"/>
        </w:rPr>
        <w:t>i</w:t>
      </w:r>
      <w:r w:rsidRPr="00BD182E">
        <w:rPr>
          <w:rFonts w:eastAsia="Times New Roman"/>
          <w:sz w:val="24"/>
          <w:szCs w:val="24"/>
        </w:rPr>
        <w:t xml:space="preserve">nternet posting seeking possible franchise purchasers was widely available, where only 68 packets of information were actually sent out to persons responding to posting, nothing in posting was untrue, and posting was not an offer to 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91 P.3d at 399 (evidence that defendant’s deception involved 223 other consumers did not satisfy public impact element because number affected was only 1% of all consumers of 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6" w:name="a29_05"/>
      <w:bookmarkEnd w:id="6"/>
      <w:r w:rsidRPr="005F68C9">
        <w:rPr>
          <w:rFonts w:eastAsia="Times New Roman"/>
          <w:b/>
          <w:sz w:val="24"/>
          <w:szCs w:val="24"/>
        </w:rPr>
        <w:t xml:space="preserve">29:5 </w:t>
      </w:r>
      <w:r w:rsidRPr="005F68C9">
        <w:rPr>
          <w:rFonts w:eastAsia="Times New Roman"/>
          <w:b/>
          <w:sz w:val="24"/>
          <w:szCs w:val="24"/>
        </w:rPr>
        <w:tab/>
        <w:t>ACTUAL DAMAGES</w:t>
      </w:r>
    </w:p>
    <w:p w14:paraId="2B131AB6"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No instruction provided.</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6F85C369"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w:t>
      </w:r>
      <w:r w:rsidR="00016CA9">
        <w:rPr>
          <w:rFonts w:eastAsia="Times New Roman"/>
          <w:sz w:val="24"/>
          <w:szCs w:val="24"/>
        </w:rPr>
        <w:t xml:space="preserve">in </w:t>
      </w:r>
      <w:r w:rsidRPr="005F68C9">
        <w:rPr>
          <w:rFonts w:eastAsia="Times New Roman"/>
          <w:sz w:val="24"/>
          <w:szCs w:val="24"/>
        </w:rPr>
        <w:t xml:space="preserve">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awarding civil penalties and restitution in amounts unverifiable by statute or other fixed standard and remanding with directions to hold an evidentiary hearing with C.R.C.P. 52 findings of fact and conclusions of law supporting monetary awards). </w:t>
      </w: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7" w:name="a29_06"/>
      <w:bookmarkEnd w:id="7"/>
      <w:r w:rsidRPr="005F68C9">
        <w:rPr>
          <w:rFonts w:eastAsia="Times New Roman"/>
          <w:b/>
          <w:sz w:val="24"/>
          <w:szCs w:val="24"/>
        </w:rPr>
        <w:t xml:space="preserve">29:6 </w:t>
      </w:r>
      <w:r w:rsidRPr="005F68C9">
        <w:rPr>
          <w:rFonts w:eastAsia="Times New Roman"/>
          <w:b/>
          <w:sz w:val="24"/>
          <w:szCs w:val="24"/>
        </w:rPr>
        <w:tab/>
        <w:t>TREBLE DAMAGES</w:t>
      </w:r>
    </w:p>
    <w:p w14:paraId="270AE42E"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If you find in favor of plaintiff and award (him) (her) (it) actual damages on (his) (her) (its)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No </w:t>
      </w:r>
      <w:smartTag w:uri="urn:schemas-microsoft-com:office:smarttags" w:element="State">
        <w:smartTag w:uri="urn:schemas-microsoft-com:office:smarttags" w:element="plac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81A" w14:textId="77777777" w:rsidR="00632CD7" w:rsidRDefault="00632CD7" w:rsidP="0054263B">
      <w:r>
        <w:separator/>
      </w:r>
    </w:p>
    <w:p w14:paraId="1183075E" w14:textId="77777777" w:rsidR="00632CD7" w:rsidRDefault="00632CD7"/>
  </w:endnote>
  <w:endnote w:type="continuationSeparator" w:id="0">
    <w:p w14:paraId="251A14C5" w14:textId="77777777" w:rsidR="00632CD7" w:rsidRDefault="00632CD7" w:rsidP="0054263B">
      <w:r>
        <w:continuationSeparator/>
      </w:r>
    </w:p>
    <w:p w14:paraId="749B91A5" w14:textId="77777777" w:rsidR="00632CD7" w:rsidRDefault="0063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512475">
          <w:rPr>
            <w:noProof/>
          </w:rPr>
          <w:t>16</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5ECA" w14:textId="77777777" w:rsidR="00632CD7" w:rsidRDefault="00632CD7" w:rsidP="0054263B">
      <w:r>
        <w:separator/>
      </w:r>
    </w:p>
    <w:p w14:paraId="496F1019" w14:textId="77777777" w:rsidR="00632CD7" w:rsidRDefault="00632CD7"/>
  </w:footnote>
  <w:footnote w:type="continuationSeparator" w:id="0">
    <w:p w14:paraId="7DD0CE26" w14:textId="77777777" w:rsidR="00632CD7" w:rsidRDefault="00632CD7" w:rsidP="0054263B">
      <w:r>
        <w:continuationSeparator/>
      </w:r>
    </w:p>
    <w:p w14:paraId="4E817640" w14:textId="77777777" w:rsidR="00632CD7" w:rsidRDefault="00632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8675653">
    <w:abstractNumId w:val="0"/>
  </w:num>
  <w:num w:numId="2" w16cid:durableId="196086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6CA9"/>
    <w:rsid w:val="00020CF1"/>
    <w:rsid w:val="0003150A"/>
    <w:rsid w:val="00037111"/>
    <w:rsid w:val="00041323"/>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18C8"/>
    <w:rsid w:val="000D4856"/>
    <w:rsid w:val="000F205C"/>
    <w:rsid w:val="000F24CC"/>
    <w:rsid w:val="000F763B"/>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112"/>
    <w:rsid w:val="001903CB"/>
    <w:rsid w:val="001913B1"/>
    <w:rsid w:val="00191498"/>
    <w:rsid w:val="00191C86"/>
    <w:rsid w:val="00195972"/>
    <w:rsid w:val="001A2648"/>
    <w:rsid w:val="001A688B"/>
    <w:rsid w:val="001B0F63"/>
    <w:rsid w:val="001D31A6"/>
    <w:rsid w:val="001D3C7C"/>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57C82"/>
    <w:rsid w:val="00260F67"/>
    <w:rsid w:val="002654B4"/>
    <w:rsid w:val="00267805"/>
    <w:rsid w:val="00273777"/>
    <w:rsid w:val="0027486C"/>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3563"/>
    <w:rsid w:val="00314052"/>
    <w:rsid w:val="00316D33"/>
    <w:rsid w:val="00320613"/>
    <w:rsid w:val="0032367C"/>
    <w:rsid w:val="003247EA"/>
    <w:rsid w:val="003259EE"/>
    <w:rsid w:val="00333886"/>
    <w:rsid w:val="00335934"/>
    <w:rsid w:val="00336CE4"/>
    <w:rsid w:val="00345533"/>
    <w:rsid w:val="00352111"/>
    <w:rsid w:val="00352433"/>
    <w:rsid w:val="00352696"/>
    <w:rsid w:val="00353044"/>
    <w:rsid w:val="00354221"/>
    <w:rsid w:val="00361234"/>
    <w:rsid w:val="003613FE"/>
    <w:rsid w:val="00370240"/>
    <w:rsid w:val="00375595"/>
    <w:rsid w:val="00382177"/>
    <w:rsid w:val="003837B6"/>
    <w:rsid w:val="00392F02"/>
    <w:rsid w:val="003937B8"/>
    <w:rsid w:val="00397418"/>
    <w:rsid w:val="003A2F1C"/>
    <w:rsid w:val="003A5A75"/>
    <w:rsid w:val="003B5ABE"/>
    <w:rsid w:val="003D027F"/>
    <w:rsid w:val="003D1B54"/>
    <w:rsid w:val="003D370E"/>
    <w:rsid w:val="003E472A"/>
    <w:rsid w:val="003E5B38"/>
    <w:rsid w:val="003F108C"/>
    <w:rsid w:val="003F6E89"/>
    <w:rsid w:val="003F7237"/>
    <w:rsid w:val="00407AAB"/>
    <w:rsid w:val="00412F47"/>
    <w:rsid w:val="00434371"/>
    <w:rsid w:val="004425AA"/>
    <w:rsid w:val="00456038"/>
    <w:rsid w:val="00456B2B"/>
    <w:rsid w:val="00467B80"/>
    <w:rsid w:val="0047120C"/>
    <w:rsid w:val="00471618"/>
    <w:rsid w:val="0047374D"/>
    <w:rsid w:val="00473B65"/>
    <w:rsid w:val="00474B1B"/>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50D4"/>
    <w:rsid w:val="004E7EF1"/>
    <w:rsid w:val="004F003D"/>
    <w:rsid w:val="00502D97"/>
    <w:rsid w:val="005065E6"/>
    <w:rsid w:val="00512475"/>
    <w:rsid w:val="00512C04"/>
    <w:rsid w:val="0051385E"/>
    <w:rsid w:val="00516447"/>
    <w:rsid w:val="0052537F"/>
    <w:rsid w:val="00527A18"/>
    <w:rsid w:val="00531F87"/>
    <w:rsid w:val="0053544D"/>
    <w:rsid w:val="0054263B"/>
    <w:rsid w:val="00547D97"/>
    <w:rsid w:val="00550AFD"/>
    <w:rsid w:val="005517EC"/>
    <w:rsid w:val="00557FCC"/>
    <w:rsid w:val="005648EF"/>
    <w:rsid w:val="00574D5B"/>
    <w:rsid w:val="0057771F"/>
    <w:rsid w:val="00580DAB"/>
    <w:rsid w:val="00590DCC"/>
    <w:rsid w:val="00596F05"/>
    <w:rsid w:val="005A22A6"/>
    <w:rsid w:val="005A6E78"/>
    <w:rsid w:val="005B27FE"/>
    <w:rsid w:val="005B3A78"/>
    <w:rsid w:val="005C56C9"/>
    <w:rsid w:val="005C5CCB"/>
    <w:rsid w:val="005D0DD7"/>
    <w:rsid w:val="005D1AD3"/>
    <w:rsid w:val="005D3156"/>
    <w:rsid w:val="005D4314"/>
    <w:rsid w:val="005E712D"/>
    <w:rsid w:val="005F1017"/>
    <w:rsid w:val="005F19FD"/>
    <w:rsid w:val="005F5A94"/>
    <w:rsid w:val="005F68C9"/>
    <w:rsid w:val="00604F03"/>
    <w:rsid w:val="006053F6"/>
    <w:rsid w:val="006073F4"/>
    <w:rsid w:val="00625BF7"/>
    <w:rsid w:val="006272FE"/>
    <w:rsid w:val="006309DE"/>
    <w:rsid w:val="00631BFF"/>
    <w:rsid w:val="00632C7C"/>
    <w:rsid w:val="00632CD7"/>
    <w:rsid w:val="00642649"/>
    <w:rsid w:val="00647CC5"/>
    <w:rsid w:val="00651A64"/>
    <w:rsid w:val="0065395F"/>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2D51"/>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52"/>
    <w:rsid w:val="007340B5"/>
    <w:rsid w:val="007532AB"/>
    <w:rsid w:val="00763095"/>
    <w:rsid w:val="00766F81"/>
    <w:rsid w:val="00770FFC"/>
    <w:rsid w:val="00787065"/>
    <w:rsid w:val="00792028"/>
    <w:rsid w:val="007952B2"/>
    <w:rsid w:val="007A3A0E"/>
    <w:rsid w:val="007A4C03"/>
    <w:rsid w:val="007A56C2"/>
    <w:rsid w:val="007A612E"/>
    <w:rsid w:val="007B1633"/>
    <w:rsid w:val="007C42D5"/>
    <w:rsid w:val="007C4B12"/>
    <w:rsid w:val="007C4B23"/>
    <w:rsid w:val="007D168F"/>
    <w:rsid w:val="007D198E"/>
    <w:rsid w:val="007D2BCE"/>
    <w:rsid w:val="007D39CC"/>
    <w:rsid w:val="007E1675"/>
    <w:rsid w:val="007F40A8"/>
    <w:rsid w:val="007F7129"/>
    <w:rsid w:val="00801691"/>
    <w:rsid w:val="00806282"/>
    <w:rsid w:val="00813A6B"/>
    <w:rsid w:val="0082168C"/>
    <w:rsid w:val="00821BC1"/>
    <w:rsid w:val="0083254A"/>
    <w:rsid w:val="0083264A"/>
    <w:rsid w:val="00832DB4"/>
    <w:rsid w:val="00834584"/>
    <w:rsid w:val="0083763B"/>
    <w:rsid w:val="00837F81"/>
    <w:rsid w:val="008415CE"/>
    <w:rsid w:val="00845F81"/>
    <w:rsid w:val="00850A48"/>
    <w:rsid w:val="008531AB"/>
    <w:rsid w:val="00853ECF"/>
    <w:rsid w:val="008557E1"/>
    <w:rsid w:val="00863B38"/>
    <w:rsid w:val="0086735A"/>
    <w:rsid w:val="008703EF"/>
    <w:rsid w:val="00875064"/>
    <w:rsid w:val="00876ED9"/>
    <w:rsid w:val="008812A8"/>
    <w:rsid w:val="00881431"/>
    <w:rsid w:val="008859AF"/>
    <w:rsid w:val="0088674B"/>
    <w:rsid w:val="00895065"/>
    <w:rsid w:val="008A1099"/>
    <w:rsid w:val="008A475A"/>
    <w:rsid w:val="008A6339"/>
    <w:rsid w:val="008A637B"/>
    <w:rsid w:val="008B1617"/>
    <w:rsid w:val="008B49E2"/>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03C9"/>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4A3B"/>
    <w:rsid w:val="00AB71A7"/>
    <w:rsid w:val="00AC78F7"/>
    <w:rsid w:val="00AD4B56"/>
    <w:rsid w:val="00AD61CD"/>
    <w:rsid w:val="00AE258C"/>
    <w:rsid w:val="00AF40E1"/>
    <w:rsid w:val="00AF7D47"/>
    <w:rsid w:val="00B0264D"/>
    <w:rsid w:val="00B13A13"/>
    <w:rsid w:val="00B271FA"/>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E2B09"/>
    <w:rsid w:val="00BE654D"/>
    <w:rsid w:val="00BE6634"/>
    <w:rsid w:val="00BF5DF3"/>
    <w:rsid w:val="00C161A1"/>
    <w:rsid w:val="00C21D93"/>
    <w:rsid w:val="00C225C9"/>
    <w:rsid w:val="00C24CF7"/>
    <w:rsid w:val="00C26751"/>
    <w:rsid w:val="00C40968"/>
    <w:rsid w:val="00C4351F"/>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B65C8"/>
    <w:rsid w:val="00CC0502"/>
    <w:rsid w:val="00CC1AC8"/>
    <w:rsid w:val="00CC512B"/>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18BB"/>
    <w:rsid w:val="00DB2C90"/>
    <w:rsid w:val="00DB325C"/>
    <w:rsid w:val="00DB5333"/>
    <w:rsid w:val="00DB5962"/>
    <w:rsid w:val="00DC0393"/>
    <w:rsid w:val="00DC2F89"/>
    <w:rsid w:val="00DC63A9"/>
    <w:rsid w:val="00DC66A6"/>
    <w:rsid w:val="00DC7533"/>
    <w:rsid w:val="00DD344A"/>
    <w:rsid w:val="00DE2930"/>
    <w:rsid w:val="00DF2CB7"/>
    <w:rsid w:val="00DF3BF1"/>
    <w:rsid w:val="00DF7595"/>
    <w:rsid w:val="00E007F8"/>
    <w:rsid w:val="00E01DE0"/>
    <w:rsid w:val="00E0552C"/>
    <w:rsid w:val="00E058BA"/>
    <w:rsid w:val="00E111AA"/>
    <w:rsid w:val="00E172C8"/>
    <w:rsid w:val="00E21120"/>
    <w:rsid w:val="00E24E10"/>
    <w:rsid w:val="00E2724A"/>
    <w:rsid w:val="00E30D4B"/>
    <w:rsid w:val="00E311E5"/>
    <w:rsid w:val="00E31A03"/>
    <w:rsid w:val="00E372EA"/>
    <w:rsid w:val="00E37E56"/>
    <w:rsid w:val="00E41870"/>
    <w:rsid w:val="00E50187"/>
    <w:rsid w:val="00E55147"/>
    <w:rsid w:val="00E551EB"/>
    <w:rsid w:val="00E57E3C"/>
    <w:rsid w:val="00E6455F"/>
    <w:rsid w:val="00E662F3"/>
    <w:rsid w:val="00E67638"/>
    <w:rsid w:val="00E70C9B"/>
    <w:rsid w:val="00E71646"/>
    <w:rsid w:val="00E71BCE"/>
    <w:rsid w:val="00E72FF1"/>
    <w:rsid w:val="00E7526A"/>
    <w:rsid w:val="00E87248"/>
    <w:rsid w:val="00E87C31"/>
    <w:rsid w:val="00E87FFB"/>
    <w:rsid w:val="00E92B4F"/>
    <w:rsid w:val="00E93068"/>
    <w:rsid w:val="00E970B9"/>
    <w:rsid w:val="00EA097A"/>
    <w:rsid w:val="00EB113C"/>
    <w:rsid w:val="00EB5133"/>
    <w:rsid w:val="00EB6247"/>
    <w:rsid w:val="00EC16F4"/>
    <w:rsid w:val="00EC17E3"/>
    <w:rsid w:val="00EC29A6"/>
    <w:rsid w:val="00EC3919"/>
    <w:rsid w:val="00EC7C98"/>
    <w:rsid w:val="00ED32E8"/>
    <w:rsid w:val="00ED4CF8"/>
    <w:rsid w:val="00ED5E52"/>
    <w:rsid w:val="00ED7176"/>
    <w:rsid w:val="00ED75EA"/>
    <w:rsid w:val="00EE08AC"/>
    <w:rsid w:val="00EE26F9"/>
    <w:rsid w:val="00EE57DE"/>
    <w:rsid w:val="00EF1D18"/>
    <w:rsid w:val="00EF4043"/>
    <w:rsid w:val="00EF6460"/>
    <w:rsid w:val="00F022D4"/>
    <w:rsid w:val="00F062A4"/>
    <w:rsid w:val="00F32AA4"/>
    <w:rsid w:val="00F573CF"/>
    <w:rsid w:val="00F57A2B"/>
    <w:rsid w:val="00F60050"/>
    <w:rsid w:val="00F658E5"/>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3F09"/>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6F2EEB4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8415C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4549711">
      <w:bodyDiv w:val="1"/>
      <w:marLeft w:val="0"/>
      <w:marRight w:val="0"/>
      <w:marTop w:val="0"/>
      <w:marBottom w:val="0"/>
      <w:divBdr>
        <w:top w:val="none" w:sz="0" w:space="0" w:color="auto"/>
        <w:left w:val="none" w:sz="0" w:space="0" w:color="auto"/>
        <w:bottom w:val="none" w:sz="0" w:space="0" w:color="auto"/>
        <w:right w:val="none" w:sz="0" w:space="0" w:color="auto"/>
      </w:divBdr>
      <w:divsChild>
        <w:div w:id="2140997975">
          <w:marLeft w:val="0"/>
          <w:marRight w:val="0"/>
          <w:marTop w:val="0"/>
          <w:marBottom w:val="0"/>
          <w:divBdr>
            <w:top w:val="none" w:sz="0" w:space="0" w:color="auto"/>
            <w:left w:val="none" w:sz="0" w:space="0" w:color="auto"/>
            <w:bottom w:val="none" w:sz="0" w:space="0" w:color="auto"/>
            <w:right w:val="none" w:sz="0" w:space="0" w:color="auto"/>
          </w:divBdr>
          <w:divsChild>
            <w:div w:id="515272238">
              <w:marLeft w:val="0"/>
              <w:marRight w:val="0"/>
              <w:marTop w:val="0"/>
              <w:marBottom w:val="0"/>
              <w:divBdr>
                <w:top w:val="none" w:sz="0" w:space="0" w:color="auto"/>
                <w:left w:val="none" w:sz="0" w:space="0" w:color="auto"/>
                <w:bottom w:val="none" w:sz="0" w:space="0" w:color="auto"/>
                <w:right w:val="none" w:sz="0" w:space="0" w:color="auto"/>
              </w:divBdr>
              <w:divsChild>
                <w:div w:id="19626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60043789">
      <w:bodyDiv w:val="1"/>
      <w:marLeft w:val="0"/>
      <w:marRight w:val="0"/>
      <w:marTop w:val="0"/>
      <w:marBottom w:val="0"/>
      <w:divBdr>
        <w:top w:val="none" w:sz="0" w:space="0" w:color="auto"/>
        <w:left w:val="none" w:sz="0" w:space="0" w:color="auto"/>
        <w:bottom w:val="none" w:sz="0" w:space="0" w:color="auto"/>
        <w:right w:val="none" w:sz="0" w:space="0" w:color="auto"/>
      </w:divBdr>
      <w:divsChild>
        <w:div w:id="1302462790">
          <w:marLeft w:val="0"/>
          <w:marRight w:val="0"/>
          <w:marTop w:val="0"/>
          <w:marBottom w:val="0"/>
          <w:divBdr>
            <w:top w:val="none" w:sz="0" w:space="0" w:color="auto"/>
            <w:left w:val="none" w:sz="0" w:space="0" w:color="auto"/>
            <w:bottom w:val="none" w:sz="0" w:space="0" w:color="auto"/>
            <w:right w:val="none" w:sz="0" w:space="0" w:color="auto"/>
          </w:divBdr>
          <w:divsChild>
            <w:div w:id="2133355493">
              <w:marLeft w:val="0"/>
              <w:marRight w:val="0"/>
              <w:marTop w:val="0"/>
              <w:marBottom w:val="0"/>
              <w:divBdr>
                <w:top w:val="none" w:sz="0" w:space="0" w:color="auto"/>
                <w:left w:val="none" w:sz="0" w:space="0" w:color="auto"/>
                <w:bottom w:val="none" w:sz="0" w:space="0" w:color="auto"/>
                <w:right w:val="none" w:sz="0" w:space="0" w:color="auto"/>
              </w:divBdr>
              <w:divsChild>
                <w:div w:id="1870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1980175">
      <w:bodyDiv w:val="1"/>
      <w:marLeft w:val="0"/>
      <w:marRight w:val="0"/>
      <w:marTop w:val="0"/>
      <w:marBottom w:val="0"/>
      <w:divBdr>
        <w:top w:val="none" w:sz="0" w:space="0" w:color="auto"/>
        <w:left w:val="none" w:sz="0" w:space="0" w:color="auto"/>
        <w:bottom w:val="none" w:sz="0" w:space="0" w:color="auto"/>
        <w:right w:val="none" w:sz="0" w:space="0" w:color="auto"/>
      </w:divBdr>
      <w:divsChild>
        <w:div w:id="1406876803">
          <w:marLeft w:val="0"/>
          <w:marRight w:val="0"/>
          <w:marTop w:val="0"/>
          <w:marBottom w:val="0"/>
          <w:divBdr>
            <w:top w:val="none" w:sz="0" w:space="0" w:color="auto"/>
            <w:left w:val="none" w:sz="0" w:space="0" w:color="auto"/>
            <w:bottom w:val="none" w:sz="0" w:space="0" w:color="auto"/>
            <w:right w:val="none" w:sz="0" w:space="0" w:color="auto"/>
          </w:divBdr>
          <w:divsChild>
            <w:div w:id="1980258082">
              <w:marLeft w:val="0"/>
              <w:marRight w:val="0"/>
              <w:marTop w:val="0"/>
              <w:marBottom w:val="0"/>
              <w:divBdr>
                <w:top w:val="none" w:sz="0" w:space="0" w:color="auto"/>
                <w:left w:val="none" w:sz="0" w:space="0" w:color="auto"/>
                <w:bottom w:val="none" w:sz="0" w:space="0" w:color="auto"/>
                <w:right w:val="none" w:sz="0" w:space="0" w:color="auto"/>
              </w:divBdr>
              <w:divsChild>
                <w:div w:id="635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2023-03-07T17:30:00Z</dcterms:created>
  <dcterms:modified xsi:type="dcterms:W3CDTF">2023-03-07T17:30:00Z</dcterms:modified>
</cp:coreProperties>
</file>