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47EBF" w14:textId="71046FE0" w:rsidR="00CA41CC" w:rsidRPr="00914128" w:rsidRDefault="007A3A0E" w:rsidP="00914128">
      <w:pPr>
        <w:pStyle w:val="Heading1"/>
      </w:pPr>
      <w:bookmarkStart w:id="0" w:name="_GoBack"/>
      <w:bookmarkEnd w:id="0"/>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3563DF" w:rsidP="00914128">
      <w:pPr>
        <w:pStyle w:val="ToC"/>
      </w:pPr>
      <w:hyperlink w:anchor="a5_1" w:history="1">
        <w:r w:rsidR="00CC6103" w:rsidRPr="00CC6103">
          <w:rPr>
            <w:rStyle w:val="Hyperlink"/>
          </w:rPr>
          <w:t>5:1</w:t>
        </w:r>
      </w:hyperlink>
      <w:r w:rsidR="00CC6103" w:rsidRPr="00CC6103">
        <w:t xml:space="preserve"> </w:t>
      </w:r>
      <w:r w:rsidR="00CC6103" w:rsidRPr="00CC6103">
        <w:tab/>
        <w:t xml:space="preserve">Damages Not </w:t>
      </w:r>
      <w:r w:rsidR="00CC6103">
        <w:t>t</w:t>
      </w:r>
      <w:r w:rsidR="00CC6103" w:rsidRPr="00CC6103">
        <w:t>o Be Inferred</w:t>
      </w:r>
    </w:p>
    <w:p w14:paraId="4452B906" w14:textId="77777777" w:rsidR="00CC6103" w:rsidRDefault="003563DF" w:rsidP="00914128">
      <w:pPr>
        <w:pStyle w:val="ToC"/>
      </w:pPr>
      <w:hyperlink w:anchor="a5_2" w:history="1">
        <w:r w:rsidR="00CC6103" w:rsidRPr="00CC6103">
          <w:rPr>
            <w:rStyle w:val="Hyperlink"/>
          </w:rPr>
          <w:t>5:2</w:t>
        </w:r>
      </w:hyperlink>
      <w:r w:rsidR="00CC6103" w:rsidRPr="00CC6103">
        <w:t xml:space="preserve"> </w:t>
      </w:r>
      <w:r w:rsidR="00CC6103" w:rsidRPr="00CC6103">
        <w:tab/>
        <w:t xml:space="preserve">Affirmative Defense — Failure </w:t>
      </w:r>
      <w:r w:rsidR="00CC6103">
        <w:t>t</w:t>
      </w:r>
      <w:r w:rsidR="00CC6103" w:rsidRPr="00CC6103">
        <w:t>o Mitigate</w:t>
      </w:r>
    </w:p>
    <w:p w14:paraId="3491020F" w14:textId="77777777" w:rsidR="00CC6103" w:rsidRDefault="003563DF" w:rsidP="00914128">
      <w:pPr>
        <w:pStyle w:val="ToC"/>
      </w:pPr>
      <w:hyperlink w:anchor="a5_3" w:history="1">
        <w:r w:rsidR="00CC6103" w:rsidRPr="00CC6103">
          <w:rPr>
            <w:rStyle w:val="Hyperlink"/>
          </w:rPr>
          <w:t>5:3</w:t>
        </w:r>
      </w:hyperlink>
      <w:r w:rsidR="00CC6103" w:rsidRPr="00CC6103">
        <w:t xml:space="preserve"> </w:t>
      </w:r>
      <w:r w:rsidR="00CC6103" w:rsidRPr="00CC6103">
        <w:tab/>
        <w:t xml:space="preserve">Affirmative Defense — Nonuse </w:t>
      </w:r>
      <w:r w:rsidR="00CC6103">
        <w:t>o</w:t>
      </w:r>
      <w:r w:rsidR="00CC6103" w:rsidRPr="00CC6103">
        <w:t>f Safety Belt</w:t>
      </w:r>
    </w:p>
    <w:p w14:paraId="3A08BBFC" w14:textId="77777777" w:rsidR="00CC6103" w:rsidRDefault="003563DF" w:rsidP="00914128">
      <w:pPr>
        <w:pStyle w:val="ToC"/>
      </w:pPr>
      <w:hyperlink w:anchor="a5_4" w:history="1">
        <w:r w:rsidR="00CC6103" w:rsidRPr="00CC6103">
          <w:rPr>
            <w:rStyle w:val="Hyperlink"/>
          </w:rPr>
          <w:t>5:4</w:t>
        </w:r>
      </w:hyperlink>
      <w:r w:rsidR="00CC6103" w:rsidRPr="00CC6103">
        <w:t xml:space="preserve"> </w:t>
      </w:r>
      <w:r w:rsidR="00CC6103" w:rsidRPr="00CC6103">
        <w:tab/>
        <w:t xml:space="preserve">Exemplary </w:t>
      </w:r>
      <w:r w:rsidR="00CC6103">
        <w:t>o</w:t>
      </w:r>
      <w:r w:rsidR="00CC6103" w:rsidRPr="00CC6103">
        <w:t>r Punitive Damages</w:t>
      </w:r>
    </w:p>
    <w:p w14:paraId="7C2097C6" w14:textId="77777777" w:rsidR="00CC6103" w:rsidRDefault="003563DF" w:rsidP="00914128">
      <w:pPr>
        <w:pStyle w:val="ToC"/>
      </w:pPr>
      <w:hyperlink w:anchor="a5_5" w:history="1">
        <w:r w:rsidR="00CC6103" w:rsidRPr="00CC6103">
          <w:rPr>
            <w:rStyle w:val="Hyperlink"/>
          </w:rPr>
          <w:t>5:5</w:t>
        </w:r>
      </w:hyperlink>
      <w:r w:rsidR="00CC6103" w:rsidRPr="00CC6103">
        <w:t xml:space="preserve"> </w:t>
      </w:r>
      <w:r w:rsidR="00CC6103" w:rsidRPr="00CC6103">
        <w:tab/>
        <w:t>Determining Life Expectancy — Mortality Table</w:t>
      </w:r>
    </w:p>
    <w:p w14:paraId="096B6FFC" w14:textId="77777777" w:rsidR="00CC6103" w:rsidRDefault="003563DF" w:rsidP="00914128">
      <w:pPr>
        <w:pStyle w:val="ToC"/>
      </w:pPr>
      <w:hyperlink w:anchor="a5_6" w:history="1">
        <w:r w:rsidR="00CC6103" w:rsidRPr="00CC6103">
          <w:rPr>
            <w:rStyle w:val="Hyperlink"/>
          </w:rPr>
          <w:t>5:6</w:t>
        </w:r>
      </w:hyperlink>
      <w:r w:rsidR="00CC6103" w:rsidRPr="00CC6103">
        <w:t xml:space="preserve"> </w:t>
      </w:r>
      <w:r w:rsidR="00CC6103" w:rsidRPr="00CC6103">
        <w:tab/>
      </w:r>
      <w:proofErr w:type="gramStart"/>
      <w:r w:rsidR="00CC6103" w:rsidRPr="00CC6103">
        <w:t>Uncertainty</w:t>
      </w:r>
      <w:proofErr w:type="gramEnd"/>
      <w:r w:rsidR="00CC6103" w:rsidRPr="00CC6103">
        <w:t xml:space="preserve"> </w:t>
      </w:r>
      <w:r w:rsidR="00CC6103">
        <w:t>a</w:t>
      </w:r>
      <w:r w:rsidR="00CC6103" w:rsidRPr="00CC6103">
        <w:t xml:space="preserve">s </w:t>
      </w:r>
      <w:r w:rsidR="00CC6103">
        <w:t>t</w:t>
      </w:r>
      <w:r w:rsidR="00CC6103" w:rsidRPr="00CC6103">
        <w:t xml:space="preserve">o Amount </w:t>
      </w:r>
      <w:r w:rsidR="00CC6103">
        <w:t>o</w:t>
      </w:r>
      <w:r w:rsidR="00CC6103" w:rsidRPr="00CC6103">
        <w:t>f Damages</w:t>
      </w:r>
    </w:p>
    <w:p w14:paraId="79B3BD22" w14:textId="77777777" w:rsidR="00CC6103" w:rsidRDefault="003563DF" w:rsidP="00914128">
      <w:pPr>
        <w:pStyle w:val="ToC"/>
      </w:pPr>
      <w:hyperlink w:anchor="a5_7" w:history="1">
        <w:r w:rsidR="00CC6103" w:rsidRPr="00CC6103">
          <w:rPr>
            <w:rStyle w:val="Hyperlink"/>
          </w:rPr>
          <w:t>5:7</w:t>
        </w:r>
      </w:hyperlink>
      <w:r w:rsidR="00CC6103" w:rsidRPr="00CC6103">
        <w:t xml:space="preserve"> </w:t>
      </w:r>
      <w:r w:rsidR="00CC6103" w:rsidRPr="00CC6103">
        <w:tab/>
        <w:t xml:space="preserve">Damages </w:t>
      </w:r>
      <w:r w:rsidR="00CC6103">
        <w:t>f</w:t>
      </w:r>
      <w:r w:rsidR="00CC6103" w:rsidRPr="00CC6103">
        <w:t xml:space="preserve">or Wrong </w:t>
      </w:r>
      <w:r w:rsidR="00CC6103">
        <w:t>o</w:t>
      </w:r>
      <w:r w:rsidR="00CC6103"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1" w:name="a5_1"/>
      <w:bookmarkEnd w:id="1"/>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91711B">
        <w:rPr>
          <w:rFonts w:eastAsia="Times New Roman"/>
          <w:i/>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77777777" w:rsidR="00506631" w:rsidRPr="009E3DA4" w:rsidRDefault="00506631" w:rsidP="00506631">
      <w:pPr>
        <w:spacing w:after="240"/>
        <w:ind w:left="720" w:hanging="720"/>
        <w:rPr>
          <w:rFonts w:eastAsia="Times New Roman"/>
          <w:b/>
          <w:sz w:val="24"/>
          <w:szCs w:val="24"/>
        </w:rPr>
      </w:pPr>
      <w:bookmarkStart w:id="2" w:name="a5_2"/>
      <w:bookmarkEnd w:id="2"/>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has proved (his) (her) (its) affirmative defense of plaintiff’s failure to mitigate or minimize damages. The plaintiff has the duty to take reasonable steps under the circumstances to mitigate or minimize (his) (her) (its) damages. Damages, if any, caused by plaintiff’s failure to take such reasonable steps cannot be awarded to the plaintiff.</w:t>
      </w:r>
    </w:p>
    <w:p w14:paraId="4AF81F0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(he) (she) (it)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C.R.C.P.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rev’d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r w:rsidRPr="00506631">
        <w:rPr>
          <w:rFonts w:eastAsia="Times New Roman"/>
          <w:b/>
          <w:sz w:val="24"/>
          <w:szCs w:val="24"/>
        </w:rPr>
        <w:t>Hedgecock v. Stewart Title Guar. Co.</w:t>
      </w:r>
      <w:r w:rsidRPr="00506631">
        <w:rPr>
          <w:rFonts w:eastAsia="Times New Roman"/>
          <w:sz w:val="24"/>
          <w:szCs w:val="24"/>
        </w:rPr>
        <w:t xml:space="preserve">, 676 P.2d 1208 (Colo. App. 1983); </w:t>
      </w:r>
      <w:r w:rsidRPr="00506631">
        <w:rPr>
          <w:rFonts w:eastAsia="Times New Roman"/>
          <w:b/>
          <w:sz w:val="24"/>
          <w:szCs w:val="24"/>
        </w:rPr>
        <w:t>Billings v. Boercker</w:t>
      </w:r>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xml:space="preserve">, 2018 CO 56, ¶ 16;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Ballow v. PHICO Insurance Co.</w:t>
      </w:r>
      <w:r w:rsidRPr="00506631">
        <w:rPr>
          <w:rFonts w:eastAsia="Times New Roman"/>
          <w:sz w:val="24"/>
          <w:szCs w:val="24"/>
        </w:rPr>
        <w:t xml:space="preserve">, 878 P.2d 672 (Colo. 1994) (breach of contract to provide medical malpractice insurance, false representation and bad faith breach of insurance contract); </w:t>
      </w:r>
      <w:r w:rsidRPr="00506631">
        <w:rPr>
          <w:rFonts w:eastAsia="Times New Roman"/>
          <w:b/>
          <w:sz w:val="24"/>
          <w:szCs w:val="24"/>
        </w:rPr>
        <w:t>Intermill v. Heumesser</w:t>
      </w:r>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r w:rsidRPr="00506631">
        <w:rPr>
          <w:rFonts w:eastAsia="Times New Roman"/>
          <w:b/>
          <w:sz w:val="24"/>
          <w:szCs w:val="24"/>
        </w:rPr>
        <w:t>Saxonia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r w:rsidRPr="00506631">
        <w:rPr>
          <w:rFonts w:eastAsia="Times New Roman"/>
          <w:b/>
          <w:sz w:val="24"/>
          <w:szCs w:val="24"/>
        </w:rPr>
        <w:t>Pomeranz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aff’d in part, rev’d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refusal to consent to </w:t>
      </w:r>
      <w:r w:rsidRPr="00506631">
        <w:rPr>
          <w:rFonts w:eastAsia="Times New Roman"/>
          <w:sz w:val="24"/>
          <w:szCs w:val="24"/>
        </w:rPr>
        <w:lastRenderedPageBreak/>
        <w:t xml:space="preserve">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Lascano v. Vowell</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r w:rsidRPr="00506631">
        <w:rPr>
          <w:rFonts w:eastAsia="Times New Roman"/>
          <w:b/>
          <w:sz w:val="24"/>
          <w:szCs w:val="24"/>
        </w:rPr>
        <w:t>Westec Constr. Mgmt. Co. v. Postle</w:t>
      </w:r>
      <w:r w:rsidRPr="00506631">
        <w:rPr>
          <w:rFonts w:eastAsia="Times New Roman"/>
          <w:sz w:val="24"/>
          <w:szCs w:val="24"/>
        </w:rPr>
        <w:t xml:space="preserve">, 68 P.3d 529 (Colo. App. 2002). Thus, for example, one is not required “to submit to surgery which involves substantial hazards or which offers only a possibility of cure.” </w:t>
      </w:r>
      <w:r w:rsidRPr="00506631">
        <w:rPr>
          <w:rFonts w:eastAsia="Times New Roman"/>
          <w:b/>
          <w:sz w:val="24"/>
          <w:szCs w:val="24"/>
        </w:rPr>
        <w:t>Hildyard v. W. Fasteners, Inc.</w:t>
      </w:r>
      <w:r w:rsidRPr="00506631">
        <w:rPr>
          <w:rFonts w:eastAsia="Times New Roman"/>
          <w:sz w:val="24"/>
          <w:szCs w:val="24"/>
        </w:rPr>
        <w:t xml:space="preserve">, 33 Colo. App. 396, 404, 522 P.2d 596, 600 (1974). </w:t>
      </w:r>
    </w:p>
    <w:p w14:paraId="213BB25D" w14:textId="77777777"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2018 CO 56, ¶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350 cmt.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xml:space="preserve">. “[E]vidence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Dare v. Sobule</w:t>
      </w:r>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r w:rsidR="00506631" w:rsidRPr="00506631">
        <w:rPr>
          <w:rFonts w:eastAsia="Times New Roman"/>
          <w:b/>
          <w:sz w:val="24"/>
          <w:szCs w:val="24"/>
        </w:rPr>
        <w:t>Gundersons, Inc. v. Tull</w:t>
      </w:r>
      <w:r w:rsidR="00506631" w:rsidRPr="00506631">
        <w:rPr>
          <w:rFonts w:eastAsia="Times New Roman"/>
          <w:sz w:val="24"/>
          <w:szCs w:val="24"/>
        </w:rPr>
        <w:t xml:space="preserve">, 678 P.2d 1061 (Colo. App. 1983), </w:t>
      </w:r>
      <w:r w:rsidR="00506631" w:rsidRPr="00506631">
        <w:rPr>
          <w:rFonts w:eastAsia="Times New Roman"/>
          <w:i/>
          <w:sz w:val="24"/>
          <w:szCs w:val="24"/>
        </w:rPr>
        <w:t>aff’d in part, rev’d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tortfeasor’s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Stone v. Satriana</w:t>
      </w:r>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Pappas–Alstad P’ship</w:t>
      </w:r>
      <w:r w:rsidR="00506631" w:rsidRPr="00506631">
        <w:rPr>
          <w:rFonts w:eastAsia="Times New Roman"/>
          <w:sz w:val="24"/>
          <w:szCs w:val="24"/>
        </w:rPr>
        <w:t xml:space="preserve">, 2015 COA 104, ¶ 30, 370 P.3d 261 (citing </w:t>
      </w:r>
      <w:r w:rsidR="00506631" w:rsidRPr="00506631">
        <w:rPr>
          <w:rFonts w:eastAsia="Times New Roman"/>
          <w:b/>
          <w:sz w:val="24"/>
          <w:szCs w:val="24"/>
        </w:rPr>
        <w:t>Schneiker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Banning v. Prester</w:t>
      </w:r>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3" w:name="a5_3"/>
      <w:bookmarkEnd w:id="3"/>
      <w:r w:rsidRPr="005B122D">
        <w:rPr>
          <w:rFonts w:eastAsia="Times New Roman"/>
          <w:b/>
          <w:sz w:val="24"/>
          <w:szCs w:val="24"/>
        </w:rPr>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Section 42-4-237(2), C.R.S., requires that “[u]nless exempted pursuant to subsection (3) of this section, every driver of and every front seat passenger in a motor vehicle and every driver of and every passenger in an autocycle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Miller v. Solaglas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4" w:name="a5_4"/>
      <w:bookmarkEnd w:id="4"/>
      <w:r w:rsidRPr="00864C8B">
        <w:rPr>
          <w:rFonts w:eastAsia="Times New Roman"/>
          <w:b/>
          <w:sz w:val="24"/>
          <w:szCs w:val="24"/>
        </w:rPr>
        <w:t xml:space="preserve">5:4 </w:t>
      </w:r>
      <w:r w:rsidRPr="00864C8B">
        <w:rPr>
          <w:rFonts w:eastAsia="Times New Roman"/>
          <w:b/>
          <w:sz w:val="24"/>
          <w:szCs w:val="24"/>
        </w:rPr>
        <w:tab/>
        <w:t>EXEMPLARY OR PUNITIVE DAMAGES</w:t>
      </w:r>
    </w:p>
    <w:p w14:paraId="375C9966"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(his) (her) (its)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Pacific Mutual Life Insurance Co. v. Haslip</w:t>
      </w:r>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early decisions imposed relatively mild strictures on instructions to the factfinder, suggesting that they only need “enlighte[n] the jury as to the punitive damages’ nature and purpose, identif[y] the damages as punishment for civil wrongdoing of the kind involved, and explai[n] that their imposition was not compulsory.” </w:t>
      </w:r>
      <w:r w:rsidRPr="00452874">
        <w:rPr>
          <w:rFonts w:eastAsia="Times New Roman"/>
          <w:b/>
          <w:sz w:val="24"/>
          <w:szCs w:val="24"/>
        </w:rPr>
        <w:t>Haslip</w:t>
      </w:r>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91711B">
        <w:rPr>
          <w:rFonts w:eastAsia="Times New Roman"/>
          <w:i/>
          <w:sz w:val="24"/>
          <w:szCs w:val="24"/>
        </w:rPr>
        <w:t xml:space="preserve">, </w:t>
      </w:r>
      <w:r w:rsidRPr="00522AFB">
        <w:rPr>
          <w:rFonts w:eastAsia="Times New Roman"/>
          <w:i/>
          <w:sz w:val="24"/>
          <w:szCs w:val="24"/>
        </w:rPr>
        <w:t>e.g</w:t>
      </w:r>
      <w:r w:rsidRPr="0091711B">
        <w:rPr>
          <w:rFonts w:eastAsia="Times New Roman"/>
          <w:i/>
          <w:sz w:val="24"/>
          <w:szCs w:val="24"/>
        </w:rPr>
        <w:t>.</w:t>
      </w:r>
      <w:r w:rsidRPr="00452874">
        <w:rPr>
          <w:rFonts w:eastAsia="Times New Roman"/>
          <w:sz w:val="24"/>
          <w:szCs w:val="24"/>
        </w:rPr>
        <w:t xml:space="preserve">,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r w:rsidRPr="00452874">
        <w:rPr>
          <w:rFonts w:eastAsia="Times New Roman"/>
          <w:i/>
          <w:sz w:val="24"/>
          <w:szCs w:val="24"/>
        </w:rPr>
        <w:t xml:space="preserve">rev’d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r w:rsidRPr="00452874">
        <w:rPr>
          <w:rFonts w:eastAsia="Times New Roman"/>
          <w:b/>
          <w:sz w:val="24"/>
          <w:szCs w:val="24"/>
        </w:rPr>
        <w:t>Bonidy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Sky Fun 1, Inc. v. Schuttloffel</w:t>
      </w:r>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Blood v. Qwest Servs.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86E5AF0" w:rsidR="00452874" w:rsidRPr="00452874" w:rsidRDefault="00452874" w:rsidP="00452874">
      <w:pPr>
        <w:spacing w:after="240"/>
        <w:ind w:firstLine="720"/>
        <w:rPr>
          <w:rFonts w:eastAsia="Times New Roman"/>
          <w:sz w:val="24"/>
          <w:szCs w:val="24"/>
        </w:rPr>
      </w:pPr>
      <w:r w:rsidRPr="00452874">
        <w:rPr>
          <w:rFonts w:eastAsia="Times New Roman"/>
          <w:sz w:val="24"/>
          <w:szCs w:val="24"/>
        </w:rPr>
        <w:t>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U.S.C. § 14503(</w:t>
      </w:r>
      <w:r w:rsidR="00A769CC">
        <w:rPr>
          <w:rFonts w:eastAsia="Times New Roman"/>
          <w:sz w:val="24"/>
          <w:szCs w:val="24"/>
        </w:rPr>
        <w:t>f</w:t>
      </w:r>
      <w:r w:rsidRPr="00452874">
        <w:rPr>
          <w:rFonts w:eastAsia="Times New Roman"/>
          <w:sz w:val="24"/>
          <w:szCs w:val="24"/>
        </w:rPr>
        <w:t>)(1) (201</w:t>
      </w:r>
      <w:r w:rsidR="00A769CC">
        <w:rPr>
          <w:rFonts w:eastAsia="Times New Roman"/>
          <w:sz w:val="24"/>
          <w:szCs w:val="24"/>
        </w:rPr>
        <w:t>8</w:t>
      </w:r>
      <w:r w:rsidRPr="00452874">
        <w:rPr>
          <w:rFonts w:eastAsia="Times New Roman"/>
          <w:sz w:val="24"/>
          <w:szCs w:val="24"/>
        </w:rPr>
        <w:t xml:space="preserve">). For the applicable limitations, see 42 U.S.C. §§ 14503(f).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U.S.C. § 14501 to -505 (201</w:t>
      </w:r>
      <w:r w:rsidR="00A769CC">
        <w:rPr>
          <w:rFonts w:eastAsia="Times New Roman"/>
          <w:sz w:val="24"/>
          <w:szCs w:val="24"/>
        </w:rPr>
        <w:t>8</w:t>
      </w:r>
      <w:r w:rsidRPr="00452874">
        <w:rPr>
          <w:rFonts w:eastAsia="Times New Roman"/>
          <w:sz w:val="24"/>
          <w:szCs w:val="24"/>
        </w:rPr>
        <w:t>).</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xml:space="preserve">, 916 P.2d 566, 580 (Colo. App. 1995) (“[w]illful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Eurpac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Miller v. Solaglas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2004); </w:t>
      </w:r>
      <w:r w:rsidRPr="00452874">
        <w:rPr>
          <w:rFonts w:eastAsia="Times New Roman"/>
          <w:b/>
          <w:sz w:val="24"/>
          <w:szCs w:val="24"/>
        </w:rPr>
        <w:t>Razi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Ajay Sports, Inc. v. Casazza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Eurpac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r w:rsidRPr="00452874">
        <w:rPr>
          <w:rFonts w:eastAsia="Times New Roman"/>
          <w:b/>
          <w:sz w:val="24"/>
          <w:szCs w:val="24"/>
        </w:rPr>
        <w:t>Ballow v. PHICO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r w:rsidRPr="00452874">
        <w:rPr>
          <w:rFonts w:eastAsia="Times New Roman"/>
          <w:b/>
          <w:sz w:val="24"/>
          <w:szCs w:val="24"/>
        </w:rPr>
        <w:t>Messler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Qwest Servs.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r w:rsidRPr="00452874">
        <w:rPr>
          <w:rFonts w:eastAsia="Times New Roman"/>
          <w:b/>
          <w:sz w:val="24"/>
          <w:szCs w:val="24"/>
        </w:rPr>
        <w:t>Bonidy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r w:rsidRPr="00452874">
        <w:rPr>
          <w:rFonts w:eastAsia="Times New Roman"/>
          <w:b/>
          <w:sz w:val="24"/>
          <w:szCs w:val="24"/>
        </w:rPr>
        <w:t>Alhilo v. Kliem,</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r w:rsidRPr="00452874">
        <w:rPr>
          <w:rFonts w:eastAsia="Times New Roman"/>
          <w:b/>
          <w:sz w:val="24"/>
          <w:szCs w:val="24"/>
        </w:rPr>
        <w:t>Ballow</w:t>
      </w:r>
      <w:r w:rsidRPr="00452874">
        <w:rPr>
          <w:rFonts w:eastAsia="Times New Roman"/>
          <w:sz w:val="24"/>
          <w:szCs w:val="24"/>
        </w:rPr>
        <w:t xml:space="preserve">, 878 P.2d at 682; </w:t>
      </w:r>
      <w:r w:rsidRPr="00452874">
        <w:rPr>
          <w:rFonts w:eastAsia="Times New Roman"/>
          <w:b/>
          <w:sz w:val="24"/>
          <w:szCs w:val="24"/>
        </w:rPr>
        <w:t>Mortg. Fin., Inc. v. Podleski</w:t>
      </w:r>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Wells Fargo Realty Advisors Funding, Inc. v. Uioli,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r w:rsidRPr="00452874">
        <w:rPr>
          <w:rFonts w:eastAsia="Times New Roman"/>
          <w:b/>
          <w:sz w:val="24"/>
          <w:szCs w:val="24"/>
        </w:rPr>
        <w:t>Surdyka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r w:rsidRPr="00452874">
        <w:rPr>
          <w:rFonts w:eastAsia="Times New Roman"/>
          <w:b/>
          <w:sz w:val="24"/>
          <w:szCs w:val="24"/>
        </w:rPr>
        <w:t>Kaitz v. Dist. Court</w:t>
      </w:r>
      <w:r w:rsidRPr="00452874">
        <w:rPr>
          <w:rFonts w:eastAsia="Times New Roman"/>
          <w:sz w:val="24"/>
          <w:szCs w:val="24"/>
        </w:rPr>
        <w:t xml:space="preserve">, 650 P.2d 553 (Colo. 1982); </w:t>
      </w:r>
      <w:r w:rsidRPr="00452874">
        <w:rPr>
          <w:rFonts w:eastAsia="Times New Roman"/>
          <w:b/>
          <w:sz w:val="24"/>
          <w:szCs w:val="24"/>
        </w:rPr>
        <w:t>Double Oak Constr., L.L.C. v. Cornerstone Dev. Int’l, L.L.C.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Morris v. Askeland Enters., Inc.</w:t>
      </w:r>
      <w:r w:rsidRPr="00452874">
        <w:rPr>
          <w:rFonts w:eastAsia="Times New Roman"/>
          <w:sz w:val="24"/>
          <w:szCs w:val="24"/>
        </w:rPr>
        <w:t xml:space="preserve">, 17 P.3d 830 (Colo. App. 2000) (punitive damages not recoverable on a fraudulent conveyance claim under sections 38-8-101 to -112, C.R.S.); </w:t>
      </w:r>
      <w:r w:rsidRPr="00452874">
        <w:rPr>
          <w:rFonts w:eastAsia="Times New Roman"/>
          <w:b/>
          <w:sz w:val="24"/>
          <w:szCs w:val="24"/>
        </w:rPr>
        <w:t>Defeyter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r w:rsidRPr="00452874">
        <w:rPr>
          <w:rFonts w:eastAsia="Times New Roman"/>
          <w:b/>
          <w:sz w:val="24"/>
          <w:szCs w:val="24"/>
        </w:rPr>
        <w:t>Virdanco,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Estate of Burron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r w:rsidRPr="00452874">
        <w:rPr>
          <w:rFonts w:eastAsia="Times New Roman"/>
          <w:b/>
          <w:sz w:val="24"/>
          <w:szCs w:val="24"/>
        </w:rPr>
        <w:t>Borquez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rev’d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r w:rsidRPr="00452874">
        <w:rPr>
          <w:rFonts w:eastAsia="Times New Roman"/>
          <w:b/>
          <w:sz w:val="24"/>
          <w:szCs w:val="24"/>
        </w:rPr>
        <w:t>Lexton-Ancira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Becker &amp; Tenenbaum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Concord Realty Co. v. Cont’l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Tenenbaum</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Governmental Immunity</w:t>
      </w:r>
    </w:p>
    <w:p w14:paraId="2DE2FB79" w14:textId="3403F2CB"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Subryan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r w:rsidR="004B6778">
        <w:rPr>
          <w:rFonts w:eastAsia="Times New Roman"/>
          <w:sz w:val="24"/>
          <w:szCs w:val="24"/>
        </w:rPr>
        <w:t xml:space="preserve"> </w:t>
      </w:r>
      <w:r w:rsidR="00BA750F">
        <w:rPr>
          <w:rFonts w:eastAsia="Times New Roman"/>
          <w:sz w:val="24"/>
          <w:szCs w:val="24"/>
        </w:rPr>
        <w:t xml:space="preserve">In an action for injuries resulting from the operation of a correctional facility or jail, </w:t>
      </w:r>
      <w:r w:rsidR="00BA750F">
        <w:rPr>
          <w:sz w:val="24"/>
          <w:szCs w:val="24"/>
        </w:rPr>
        <w:t xml:space="preserve">because public employees are not immune from liability pursuant to section 24-10-106(1), C.R.S., </w:t>
      </w:r>
      <w:r w:rsidR="00BA750F">
        <w:rPr>
          <w:rFonts w:eastAsia="Times New Roman"/>
          <w:sz w:val="24"/>
          <w:szCs w:val="24"/>
        </w:rPr>
        <w:t>the</w:t>
      </w:r>
      <w:r w:rsidR="004B6778" w:rsidRPr="004B6778">
        <w:rPr>
          <w:sz w:val="24"/>
          <w:szCs w:val="24"/>
        </w:rPr>
        <w:t xml:space="preserve"> question </w:t>
      </w:r>
      <w:r w:rsidR="0086380E">
        <w:rPr>
          <w:sz w:val="24"/>
          <w:szCs w:val="24"/>
        </w:rPr>
        <w:t xml:space="preserve">of </w:t>
      </w:r>
      <w:r w:rsidR="004B6778" w:rsidRPr="004B6778">
        <w:rPr>
          <w:sz w:val="24"/>
          <w:szCs w:val="24"/>
        </w:rPr>
        <w:t>whether a</w:t>
      </w:r>
      <w:r w:rsidR="00BA750F">
        <w:rPr>
          <w:sz w:val="24"/>
          <w:szCs w:val="24"/>
        </w:rPr>
        <w:t>n</w:t>
      </w:r>
      <w:r w:rsidR="004B6778" w:rsidRPr="004B6778">
        <w:rPr>
          <w:sz w:val="24"/>
          <w:szCs w:val="24"/>
        </w:rPr>
        <w:t xml:space="preserve"> employee’s conduct was willful and wanton </w:t>
      </w:r>
      <w:r w:rsidR="00BA750F">
        <w:rPr>
          <w:sz w:val="24"/>
          <w:szCs w:val="24"/>
        </w:rPr>
        <w:t>for purposes of punitive damages is not</w:t>
      </w:r>
      <w:r w:rsidR="004B6778" w:rsidRPr="004B6778">
        <w:rPr>
          <w:sz w:val="24"/>
          <w:szCs w:val="24"/>
        </w:rPr>
        <w:t xml:space="preserve"> for the district court to determine before trial via Rule 12(b)(1) and a </w:t>
      </w:r>
      <w:r w:rsidR="004B6778" w:rsidRPr="004B6778">
        <w:rPr>
          <w:b/>
          <w:sz w:val="24"/>
          <w:szCs w:val="24"/>
        </w:rPr>
        <w:t>Trinity</w:t>
      </w:r>
      <w:r w:rsidR="004B6778" w:rsidRPr="004B6778">
        <w:rPr>
          <w:i/>
          <w:sz w:val="24"/>
          <w:szCs w:val="24"/>
        </w:rPr>
        <w:t xml:space="preserve"> </w:t>
      </w:r>
      <w:r w:rsidR="004B6778" w:rsidRPr="004B6778">
        <w:rPr>
          <w:sz w:val="24"/>
          <w:szCs w:val="24"/>
        </w:rPr>
        <w:t>hearing</w:t>
      </w:r>
      <w:r w:rsidR="00BA750F">
        <w:rPr>
          <w:sz w:val="24"/>
          <w:szCs w:val="24"/>
        </w:rPr>
        <w:t xml:space="preserve">. </w:t>
      </w:r>
      <w:r w:rsidR="004B6778" w:rsidRPr="004B6778">
        <w:rPr>
          <w:b/>
          <w:sz w:val="24"/>
          <w:szCs w:val="24"/>
        </w:rPr>
        <w:t>Hernandez v. City &amp; Cty. of Denver</w:t>
      </w:r>
      <w:r w:rsidR="004B6778" w:rsidRPr="008A149A">
        <w:rPr>
          <w:sz w:val="24"/>
          <w:szCs w:val="24"/>
        </w:rPr>
        <w:t xml:space="preserve">, </w:t>
      </w:r>
      <w:r w:rsidR="004B6778" w:rsidRPr="004B6778">
        <w:rPr>
          <w:sz w:val="24"/>
          <w:szCs w:val="24"/>
        </w:rPr>
        <w:t>2018 COA 151, ¶¶ 26, 30</w:t>
      </w:r>
      <w:r w:rsidR="004B6778">
        <w:rPr>
          <w:sz w:val="24"/>
          <w:szCs w:val="24"/>
        </w:rPr>
        <w:t>, 439 P.3d 57</w:t>
      </w:r>
      <w:r w:rsidR="004B6778" w:rsidRPr="004B6778">
        <w:rPr>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Fitzgerald v. Edelen</w:t>
      </w:r>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819 P.2d 1088 (Colo. App. 1991) (where there was no evidence that tortfeasor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38. The one-year statute of limitations set out in section 13-80-103(1)(d), C.R.S., applicable to “[a]ll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Kirk v. Denver Publ’g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1EDF2D3D"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respondeat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Ferrer v. Okbamicael</w:t>
      </w:r>
      <w:r w:rsidRPr="00452874">
        <w:rPr>
          <w:rFonts w:eastAsia="Times New Roman"/>
          <w:sz w:val="24"/>
          <w:szCs w:val="24"/>
        </w:rPr>
        <w:t>, 2017 CO 14M, ¶ 45, 390 P.3d 836</w:t>
      </w:r>
      <w:r w:rsidR="00026100">
        <w:rPr>
          <w:rFonts w:eastAsia="Times New Roman"/>
          <w:sz w:val="24"/>
          <w:szCs w:val="24"/>
        </w:rPr>
        <w:t xml:space="preserve"> </w:t>
      </w:r>
      <w:r w:rsidR="00026100">
        <w:rPr>
          <w:rFonts w:eastAsia="Times New Roman"/>
          <w:iCs/>
          <w:sz w:val="24"/>
          <w:szCs w:val="24"/>
        </w:rPr>
        <w:t>(subsequently abrogated by section 13-21-111.5(1.5), C.R.S., effective for cases filed on or after September 7, 2021)</w:t>
      </w:r>
      <w:r w:rsidRPr="00452874">
        <w:rPr>
          <w:rFonts w:eastAsia="Times New Roman"/>
          <w:sz w:val="24"/>
          <w:szCs w:val="24"/>
        </w:rPr>
        <w:t>.</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5" w:name="a5_5"/>
      <w:bookmarkEnd w:id="5"/>
      <w:r w:rsidRPr="00301CFB">
        <w:rPr>
          <w:rFonts w:eastAsia="Times New Roman"/>
          <w:b/>
          <w:sz w:val="24"/>
          <w:szCs w:val="24"/>
        </w:rPr>
        <w:t xml:space="preserve">5:5 </w:t>
      </w:r>
      <w:r w:rsidRPr="00301CFB">
        <w:rPr>
          <w:rFonts w:eastAsia="Times New Roman"/>
          <w:b/>
          <w:sz w:val="24"/>
          <w:szCs w:val="24"/>
        </w:rPr>
        <w:tab/>
        <w:t>DETERMINING LIFE EXPECTANCY — MORTALITY TABLE</w:t>
      </w:r>
    </w:p>
    <w:p w14:paraId="317F262C" w14:textId="77777777" w:rsidR="00301CFB" w:rsidRPr="00301CFB" w:rsidRDefault="00301CFB" w:rsidP="00301CFB">
      <w:pPr>
        <w:spacing w:after="240"/>
        <w:ind w:firstLine="720"/>
        <w:rPr>
          <w:rFonts w:eastAsia="Times New Roman"/>
          <w:b/>
          <w:sz w:val="24"/>
          <w:szCs w:val="24"/>
        </w:rPr>
      </w:pPr>
      <w:r w:rsidRPr="00301CFB">
        <w:rPr>
          <w:rFonts w:eastAsia="Times New Roman"/>
          <w:b/>
          <w:sz w:val="24"/>
          <w:szCs w:val="24"/>
        </w:rPr>
        <w:t xml:space="preserve">At the beginning of this trial, plaintiff, </w:t>
      </w:r>
      <w:r w:rsidRPr="00301CFB">
        <w:rPr>
          <w:rFonts w:eastAsia="Times New Roman"/>
          <w:i/>
          <w:sz w:val="24"/>
          <w:szCs w:val="24"/>
        </w:rPr>
        <w:t>(name)</w:t>
      </w:r>
      <w:r w:rsidRPr="00301CFB">
        <w:rPr>
          <w:rFonts w:eastAsia="Times New Roman"/>
          <w:b/>
          <w:sz w:val="24"/>
          <w:szCs w:val="24"/>
        </w:rPr>
        <w:t xml:space="preserve">, had a life expectancy of </w:t>
      </w:r>
      <w:r w:rsidRPr="00301CFB">
        <w:rPr>
          <w:rFonts w:eastAsia="Times New Roman"/>
          <w:i/>
          <w:sz w:val="24"/>
          <w:szCs w:val="24"/>
        </w:rPr>
        <w:t>(insert appropriate number of years)</w:t>
      </w:r>
      <w:r w:rsidRPr="00301CFB">
        <w:rPr>
          <w:rFonts w:eastAsia="Times New Roman"/>
          <w:b/>
          <w:sz w:val="24"/>
          <w:szCs w:val="24"/>
        </w:rPr>
        <w:t xml:space="preserve"> years. This expectancy is taken from the United States census bureau mortality table.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3BB87F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1. This instruction assumes the age of the party seeking to use this instruction is not in dispute. If the party’s age is disputed, this instruction must be appropriately modified.</w:t>
      </w:r>
    </w:p>
    <w:p w14:paraId="1C5B22C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 xml:space="preserve">2. This instruction should not be given unless there is sufficient evidence that the plaintiff’s injuries will be permanent. </w:t>
      </w:r>
      <w:r w:rsidRPr="00301CFB">
        <w:rPr>
          <w:rFonts w:eastAsia="Times New Roman"/>
          <w:i/>
          <w:sz w:val="24"/>
          <w:szCs w:val="24"/>
        </w:rPr>
        <w:t>See</w:t>
      </w:r>
      <w:r w:rsidRPr="00301CFB">
        <w:rPr>
          <w:rFonts w:eastAsia="Times New Roman"/>
          <w:sz w:val="24"/>
          <w:szCs w:val="24"/>
        </w:rPr>
        <w:t xml:space="preserve"> </w:t>
      </w:r>
      <w:r w:rsidRPr="00301CFB">
        <w:rPr>
          <w:rFonts w:eastAsia="Times New Roman"/>
          <w:b/>
          <w:sz w:val="24"/>
          <w:szCs w:val="24"/>
        </w:rPr>
        <w:t>Alcon v. Spicer</w:t>
      </w:r>
      <w:r w:rsidRPr="00301CFB">
        <w:rPr>
          <w:rFonts w:eastAsia="Times New Roman"/>
          <w:sz w:val="24"/>
          <w:szCs w:val="24"/>
        </w:rPr>
        <w:t xml:space="preserve">, 113 P.3d 735 (Colo. 2005); </w:t>
      </w:r>
      <w:r w:rsidRPr="00301CFB">
        <w:rPr>
          <w:rFonts w:eastAsia="Times New Roman"/>
          <w:b/>
          <w:sz w:val="24"/>
          <w:szCs w:val="24"/>
        </w:rPr>
        <w:t>Rio Grande S. R.R. v. Nichols</w:t>
      </w:r>
      <w:r w:rsidRPr="00301CFB">
        <w:rPr>
          <w:rFonts w:eastAsia="Times New Roman"/>
          <w:sz w:val="24"/>
          <w:szCs w:val="24"/>
        </w:rPr>
        <w:t>, 52 Colo. 300, 123 P. 318 (1912).</w:t>
      </w:r>
    </w:p>
    <w:p w14:paraId="6F515021"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3.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1D7BF229"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4. The use of the most recent United States census bureau mortality table is mandated by section 13-25-102, C.R.S.</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7777777" w:rsidR="005B122D" w:rsidRDefault="00301CFB" w:rsidP="00506631">
      <w:pPr>
        <w:spacing w:after="240"/>
        <w:ind w:firstLine="720"/>
        <w:rPr>
          <w:rFonts w:eastAsia="Times New Roman"/>
          <w:sz w:val="24"/>
          <w:szCs w:val="24"/>
        </w:rPr>
      </w:pPr>
      <w:r w:rsidRPr="00301CFB">
        <w:rPr>
          <w:rFonts w:eastAsia="Times New Roman"/>
          <w:sz w:val="24"/>
          <w:szCs w:val="24"/>
        </w:rPr>
        <w:t>This instruction is</w:t>
      </w:r>
      <w:r w:rsidR="00840F42">
        <w:rPr>
          <w:rFonts w:eastAsia="Times New Roman"/>
          <w:sz w:val="24"/>
          <w:szCs w:val="24"/>
        </w:rPr>
        <w:t xml:space="preserve"> supported by section 13-25-102</w:t>
      </w:r>
      <w:r w:rsidRPr="00301CFB">
        <w:rPr>
          <w:rFonts w:eastAsia="Times New Roman"/>
          <w:sz w:val="24"/>
          <w:szCs w:val="24"/>
        </w:rPr>
        <w:t xml:space="preserve"> and the cases cited in the Notes on Use. </w:t>
      </w:r>
      <w:r w:rsidRPr="00301CFB">
        <w:rPr>
          <w:rFonts w:eastAsia="Times New Roman"/>
          <w:i/>
          <w:sz w:val="24"/>
          <w:szCs w:val="24"/>
        </w:rPr>
        <w:t>See also</w:t>
      </w:r>
      <w:r w:rsidRPr="00301CFB">
        <w:rPr>
          <w:rFonts w:eastAsia="Times New Roman"/>
          <w:sz w:val="24"/>
          <w:szCs w:val="24"/>
        </w:rPr>
        <w:t xml:space="preserve"> </w:t>
      </w:r>
      <w:r w:rsidRPr="00301CFB">
        <w:rPr>
          <w:rFonts w:eastAsia="Times New Roman"/>
          <w:b/>
          <w:sz w:val="24"/>
          <w:szCs w:val="24"/>
        </w:rPr>
        <w:t>Colo. Fuel &amp; Iron Corp. v. Indus. Comm’n</w:t>
      </w:r>
      <w:r w:rsidRPr="00301CFB">
        <w:rPr>
          <w:rFonts w:eastAsia="Times New Roman"/>
          <w:sz w:val="24"/>
          <w:szCs w:val="24"/>
        </w:rPr>
        <w:t xml:space="preserve">, 148 Colo. 557, 367 P.2d 597 (1961); </w:t>
      </w:r>
      <w:r w:rsidRPr="00301CFB">
        <w:rPr>
          <w:rFonts w:eastAsia="Times New Roman"/>
          <w:b/>
          <w:sz w:val="24"/>
          <w:szCs w:val="24"/>
        </w:rPr>
        <w:t>City of Ft. Collins v. Smith</w:t>
      </w:r>
      <w:r w:rsidRPr="00301CFB">
        <w:rPr>
          <w:rFonts w:eastAsia="Times New Roman"/>
          <w:sz w:val="24"/>
          <w:szCs w:val="24"/>
        </w:rPr>
        <w:t>, 84 Colo. 511, 272 P. 6 (1928).</w:t>
      </w: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6" w:name="a5_6"/>
      <w:bookmarkEnd w:id="6"/>
      <w:r w:rsidRPr="00BC758C">
        <w:rPr>
          <w:rFonts w:eastAsia="Times New Roman"/>
          <w:b/>
          <w:sz w:val="24"/>
          <w:szCs w:val="24"/>
        </w:rPr>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Co.</w:t>
      </w:r>
      <w:r w:rsidRPr="00BC758C">
        <w:rPr>
          <w:rFonts w:eastAsia="Times New Roman"/>
          <w:sz w:val="24"/>
          <w:szCs w:val="24"/>
        </w:rPr>
        <w:t xml:space="preserve">, 150 Colo. 281, 372 P.2d 443 (1962). When there is such evidence, the proper test for then determining the sufficiency of the evidence for calculating the amount of such damages is “whether there is a reasonable basis in the evidence from which the finders of fact may compute damages.” </w:t>
      </w:r>
      <w:r w:rsidRPr="00BC758C">
        <w:rPr>
          <w:rFonts w:eastAsia="Times New Roman"/>
          <w:b/>
          <w:sz w:val="24"/>
          <w:szCs w:val="24"/>
        </w:rPr>
        <w:t>Accutool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r w:rsidRPr="00E14212">
        <w:rPr>
          <w:rFonts w:eastAsia="Times New Roman"/>
          <w:b/>
          <w:sz w:val="24"/>
          <w:szCs w:val="24"/>
        </w:rPr>
        <w:t>Vanderbeek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Riggs v. McMurtry</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r w:rsidRPr="00E14212">
        <w:rPr>
          <w:rFonts w:eastAsia="Times New Roman"/>
          <w:b/>
          <w:bCs/>
          <w:sz w:val="24"/>
          <w:szCs w:val="24"/>
        </w:rPr>
        <w:t>Schuessler v. Wolter</w:t>
      </w:r>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r w:rsidRPr="00E14212">
        <w:rPr>
          <w:rFonts w:eastAsia="Times New Roman"/>
          <w:b/>
          <w:bCs/>
          <w:sz w:val="24"/>
          <w:szCs w:val="24"/>
        </w:rPr>
        <w:t>Sterenbuch v. Goss</w:t>
      </w:r>
      <w:r w:rsidRPr="00E14212">
        <w:rPr>
          <w:rFonts w:eastAsia="Times New Roman"/>
          <w:sz w:val="24"/>
          <w:szCs w:val="24"/>
        </w:rPr>
        <w:t xml:space="preserve">, 266 P.3d 428 (Colo. App. 2011); </w:t>
      </w:r>
      <w:r w:rsidRPr="00E14212">
        <w:rPr>
          <w:rFonts w:eastAsia="Times New Roman"/>
          <w:b/>
          <w:sz w:val="24"/>
          <w:szCs w:val="24"/>
        </w:rPr>
        <w:t>Margenau v. Bowlin</w:t>
      </w:r>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r w:rsidRPr="00E14212">
        <w:rPr>
          <w:rFonts w:eastAsia="Times New Roman"/>
          <w:b/>
          <w:sz w:val="24"/>
          <w:szCs w:val="24"/>
        </w:rPr>
        <w:t>Brittis v. Freemon</w:t>
      </w:r>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7" w:name="a5_7"/>
      <w:bookmarkEnd w:id="7"/>
      <w:r w:rsidRPr="00E14212">
        <w:rPr>
          <w:rFonts w:eastAsia="Times New Roman"/>
          <w:b/>
          <w:sz w:val="24"/>
          <w:szCs w:val="24"/>
        </w:rPr>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segregable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in conjunction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segregable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r w:rsidRPr="00E14212">
        <w:rPr>
          <w:rFonts w:eastAsia="Times New Roman"/>
          <w:b/>
          <w:bCs/>
          <w:sz w:val="24"/>
          <w:szCs w:val="24"/>
        </w:rPr>
        <w:t>Brochner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F6DD2" w14:textId="77777777" w:rsidR="003563DF" w:rsidRDefault="003563DF" w:rsidP="0054263B">
      <w:r>
        <w:separator/>
      </w:r>
    </w:p>
    <w:p w14:paraId="0444EB0F" w14:textId="77777777" w:rsidR="003563DF" w:rsidRDefault="003563DF"/>
  </w:endnote>
  <w:endnote w:type="continuationSeparator" w:id="0">
    <w:p w14:paraId="35E11CE5" w14:textId="77777777" w:rsidR="003563DF" w:rsidRDefault="003563DF" w:rsidP="0054263B">
      <w:r>
        <w:continuationSeparator/>
      </w:r>
    </w:p>
    <w:p w14:paraId="181E4B0B" w14:textId="77777777" w:rsidR="003563DF" w:rsidRDefault="00356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B22238">
          <w:rPr>
            <w:noProof/>
          </w:rPr>
          <w:t>5</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F67B5" w14:textId="77777777" w:rsidR="003563DF" w:rsidRDefault="003563DF" w:rsidP="0054263B">
      <w:r>
        <w:separator/>
      </w:r>
    </w:p>
    <w:p w14:paraId="2E7A4D4B" w14:textId="77777777" w:rsidR="003563DF" w:rsidRDefault="003563DF"/>
  </w:footnote>
  <w:footnote w:type="continuationSeparator" w:id="0">
    <w:p w14:paraId="3E0F1C39" w14:textId="77777777" w:rsidR="003563DF" w:rsidRDefault="003563DF" w:rsidP="0054263B">
      <w:r>
        <w:continuationSeparator/>
      </w:r>
    </w:p>
    <w:p w14:paraId="64BA8382" w14:textId="77777777" w:rsidR="003563DF" w:rsidRDefault="003563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26100"/>
    <w:rsid w:val="00037111"/>
    <w:rsid w:val="00052C46"/>
    <w:rsid w:val="00085495"/>
    <w:rsid w:val="000921F1"/>
    <w:rsid w:val="00093931"/>
    <w:rsid w:val="000C0F3E"/>
    <w:rsid w:val="000C6F97"/>
    <w:rsid w:val="001117D9"/>
    <w:rsid w:val="001146FE"/>
    <w:rsid w:val="001305D1"/>
    <w:rsid w:val="00172674"/>
    <w:rsid w:val="00182044"/>
    <w:rsid w:val="001903CB"/>
    <w:rsid w:val="001913B1"/>
    <w:rsid w:val="00191498"/>
    <w:rsid w:val="001A2648"/>
    <w:rsid w:val="001C5769"/>
    <w:rsid w:val="001E55E8"/>
    <w:rsid w:val="00200BA5"/>
    <w:rsid w:val="002065D8"/>
    <w:rsid w:val="0021368F"/>
    <w:rsid w:val="0022134E"/>
    <w:rsid w:val="00223286"/>
    <w:rsid w:val="00235B34"/>
    <w:rsid w:val="002A23B0"/>
    <w:rsid w:val="002E0970"/>
    <w:rsid w:val="00301CFB"/>
    <w:rsid w:val="003247EA"/>
    <w:rsid w:val="00336CE4"/>
    <w:rsid w:val="00352111"/>
    <w:rsid w:val="003563DF"/>
    <w:rsid w:val="003613FE"/>
    <w:rsid w:val="00376A34"/>
    <w:rsid w:val="003937B8"/>
    <w:rsid w:val="003B32F5"/>
    <w:rsid w:val="003F108C"/>
    <w:rsid w:val="004255C6"/>
    <w:rsid w:val="004425AA"/>
    <w:rsid w:val="00452874"/>
    <w:rsid w:val="00456038"/>
    <w:rsid w:val="00467B80"/>
    <w:rsid w:val="00471618"/>
    <w:rsid w:val="004B6778"/>
    <w:rsid w:val="004C62F9"/>
    <w:rsid w:val="004D60E5"/>
    <w:rsid w:val="004E7EF1"/>
    <w:rsid w:val="00506631"/>
    <w:rsid w:val="00511CB9"/>
    <w:rsid w:val="00522AFB"/>
    <w:rsid w:val="00531E26"/>
    <w:rsid w:val="00531F87"/>
    <w:rsid w:val="0053688F"/>
    <w:rsid w:val="0054263B"/>
    <w:rsid w:val="00557FCC"/>
    <w:rsid w:val="0058333E"/>
    <w:rsid w:val="005917DB"/>
    <w:rsid w:val="005B122D"/>
    <w:rsid w:val="005B3A78"/>
    <w:rsid w:val="005B41A9"/>
    <w:rsid w:val="005C5B4C"/>
    <w:rsid w:val="005D1DD8"/>
    <w:rsid w:val="005D3156"/>
    <w:rsid w:val="005F208B"/>
    <w:rsid w:val="006272FE"/>
    <w:rsid w:val="00645519"/>
    <w:rsid w:val="00661D05"/>
    <w:rsid w:val="00672A3E"/>
    <w:rsid w:val="00675252"/>
    <w:rsid w:val="00692206"/>
    <w:rsid w:val="006969ED"/>
    <w:rsid w:val="006A74B6"/>
    <w:rsid w:val="006D170C"/>
    <w:rsid w:val="006E0D06"/>
    <w:rsid w:val="006E3575"/>
    <w:rsid w:val="006E62F0"/>
    <w:rsid w:val="0070752A"/>
    <w:rsid w:val="007119D8"/>
    <w:rsid w:val="00731E25"/>
    <w:rsid w:val="007532AB"/>
    <w:rsid w:val="00755E9A"/>
    <w:rsid w:val="00771A76"/>
    <w:rsid w:val="007A3A0E"/>
    <w:rsid w:val="007A612E"/>
    <w:rsid w:val="007D2BCE"/>
    <w:rsid w:val="007D6198"/>
    <w:rsid w:val="007E1675"/>
    <w:rsid w:val="007F7129"/>
    <w:rsid w:val="00801691"/>
    <w:rsid w:val="008066E2"/>
    <w:rsid w:val="0082168C"/>
    <w:rsid w:val="0083264A"/>
    <w:rsid w:val="00832DB4"/>
    <w:rsid w:val="00837F81"/>
    <w:rsid w:val="00840F42"/>
    <w:rsid w:val="008446B7"/>
    <w:rsid w:val="00845F81"/>
    <w:rsid w:val="00850A48"/>
    <w:rsid w:val="00853ECF"/>
    <w:rsid w:val="0086380E"/>
    <w:rsid w:val="00864C8B"/>
    <w:rsid w:val="00875064"/>
    <w:rsid w:val="008A149A"/>
    <w:rsid w:val="008B1617"/>
    <w:rsid w:val="008C05F9"/>
    <w:rsid w:val="008D78F2"/>
    <w:rsid w:val="008E41F1"/>
    <w:rsid w:val="008F4C42"/>
    <w:rsid w:val="00902A25"/>
    <w:rsid w:val="00914128"/>
    <w:rsid w:val="0091711B"/>
    <w:rsid w:val="00935DA8"/>
    <w:rsid w:val="0095709A"/>
    <w:rsid w:val="009902F2"/>
    <w:rsid w:val="009A6C2E"/>
    <w:rsid w:val="009B6746"/>
    <w:rsid w:val="009D3104"/>
    <w:rsid w:val="009E20C7"/>
    <w:rsid w:val="009E3DA4"/>
    <w:rsid w:val="009F47F0"/>
    <w:rsid w:val="00A35384"/>
    <w:rsid w:val="00A36457"/>
    <w:rsid w:val="00A400B9"/>
    <w:rsid w:val="00A73AE6"/>
    <w:rsid w:val="00A769CC"/>
    <w:rsid w:val="00A80C10"/>
    <w:rsid w:val="00AA25F3"/>
    <w:rsid w:val="00AA6D6E"/>
    <w:rsid w:val="00AB011A"/>
    <w:rsid w:val="00AB6188"/>
    <w:rsid w:val="00B0264D"/>
    <w:rsid w:val="00B06831"/>
    <w:rsid w:val="00B22238"/>
    <w:rsid w:val="00B37722"/>
    <w:rsid w:val="00B567C1"/>
    <w:rsid w:val="00B579DF"/>
    <w:rsid w:val="00B6275E"/>
    <w:rsid w:val="00B70D68"/>
    <w:rsid w:val="00B72D6B"/>
    <w:rsid w:val="00B937E4"/>
    <w:rsid w:val="00BA750F"/>
    <w:rsid w:val="00BC49BF"/>
    <w:rsid w:val="00BC758C"/>
    <w:rsid w:val="00BE2B09"/>
    <w:rsid w:val="00BE654D"/>
    <w:rsid w:val="00BF6B6D"/>
    <w:rsid w:val="00C30D59"/>
    <w:rsid w:val="00C40968"/>
    <w:rsid w:val="00C473A2"/>
    <w:rsid w:val="00C60E95"/>
    <w:rsid w:val="00C64E76"/>
    <w:rsid w:val="00C77642"/>
    <w:rsid w:val="00C84E71"/>
    <w:rsid w:val="00C8797B"/>
    <w:rsid w:val="00CA3036"/>
    <w:rsid w:val="00CA41CC"/>
    <w:rsid w:val="00CC0502"/>
    <w:rsid w:val="00CC1AC8"/>
    <w:rsid w:val="00CC6103"/>
    <w:rsid w:val="00CC6A95"/>
    <w:rsid w:val="00CC7E17"/>
    <w:rsid w:val="00CD08C9"/>
    <w:rsid w:val="00CD4A7D"/>
    <w:rsid w:val="00CD4B6C"/>
    <w:rsid w:val="00CE593D"/>
    <w:rsid w:val="00D05926"/>
    <w:rsid w:val="00D06D8D"/>
    <w:rsid w:val="00D121AA"/>
    <w:rsid w:val="00D333AA"/>
    <w:rsid w:val="00D40E5F"/>
    <w:rsid w:val="00D8688D"/>
    <w:rsid w:val="00D97DD0"/>
    <w:rsid w:val="00DB2C90"/>
    <w:rsid w:val="00DC63A9"/>
    <w:rsid w:val="00DC66A6"/>
    <w:rsid w:val="00DD6C4A"/>
    <w:rsid w:val="00DE2930"/>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488A"/>
    <w:rsid w:val="00EF4E84"/>
    <w:rsid w:val="00F17B86"/>
    <w:rsid w:val="00F32AA4"/>
    <w:rsid w:val="00F764F4"/>
    <w:rsid w:val="00FA7B76"/>
    <w:rsid w:val="00FC38E0"/>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B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7498</Words>
  <Characters>42740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2022-01-12T16:44:00Z</dcterms:created>
  <dcterms:modified xsi:type="dcterms:W3CDTF">2022-01-12T16:44:00Z</dcterms:modified>
</cp:coreProperties>
</file>