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87421" w14:textId="50B6F7DA" w:rsidR="00CA41CC" w:rsidRPr="00914128" w:rsidRDefault="0068336D" w:rsidP="00914128">
      <w:pPr>
        <w:pStyle w:val="Heading1"/>
      </w:pPr>
      <w:bookmarkStart w:id="0" w:name="_GoBack"/>
      <w:bookmarkEnd w:id="0"/>
      <w:r>
        <w:t xml:space="preserve">CHAPTER </w:t>
      </w:r>
      <w:r w:rsidR="00EB6247">
        <w:t>24</w:t>
      </w:r>
    </w:p>
    <w:p w14:paraId="738BF06D" w14:textId="77777777" w:rsidR="00EC7C98" w:rsidRPr="00914128" w:rsidRDefault="001E1DB5" w:rsidP="00914128">
      <w:pPr>
        <w:pStyle w:val="Heading1"/>
      </w:pPr>
      <w:r w:rsidRPr="001E1DB5">
        <w:t>INTENTIONAL INTERFERENCE WITH</w:t>
      </w:r>
      <w:r>
        <w:t xml:space="preserve"> </w:t>
      </w:r>
      <w:r w:rsidRPr="001E1DB5">
        <w:t>CONTRACTUAL OBLIGATIONS</w:t>
      </w:r>
    </w:p>
    <w:p w14:paraId="5A9368A7" w14:textId="77777777" w:rsidR="00EC7C98" w:rsidRDefault="00E24F9F" w:rsidP="00914128">
      <w:pPr>
        <w:pStyle w:val="ToC"/>
      </w:pPr>
      <w:hyperlink w:anchor="a24_01" w:history="1">
        <w:r w:rsidR="00CD23A0" w:rsidRPr="00CD23A0">
          <w:rPr>
            <w:rStyle w:val="Hyperlink"/>
          </w:rPr>
          <w:t>24:1</w:t>
        </w:r>
      </w:hyperlink>
      <w:r w:rsidR="00CD23A0" w:rsidRPr="00CD23A0">
        <w:t xml:space="preserve"> </w:t>
      </w:r>
      <w:r w:rsidR="00CD23A0" w:rsidRPr="00CD23A0">
        <w:tab/>
        <w:t xml:space="preserve">Elements </w:t>
      </w:r>
      <w:r w:rsidR="00CD23A0">
        <w:t>o</w:t>
      </w:r>
      <w:r w:rsidR="00CD23A0" w:rsidRPr="00CD23A0">
        <w:t>f Liability</w:t>
      </w:r>
    </w:p>
    <w:p w14:paraId="6422AD9A" w14:textId="77777777" w:rsidR="00CD23A0" w:rsidRDefault="00E24F9F" w:rsidP="00914128">
      <w:pPr>
        <w:pStyle w:val="ToC"/>
      </w:pPr>
      <w:hyperlink w:anchor="a24_02" w:history="1">
        <w:r w:rsidR="00CD23A0" w:rsidRPr="00CD23A0">
          <w:rPr>
            <w:rStyle w:val="Hyperlink"/>
          </w:rPr>
          <w:t>24:2</w:t>
        </w:r>
      </w:hyperlink>
      <w:r w:rsidR="00CD23A0" w:rsidRPr="00CD23A0">
        <w:t xml:space="preserve"> </w:t>
      </w:r>
      <w:r w:rsidR="00CD23A0" w:rsidRPr="00CD23A0">
        <w:tab/>
        <w:t>Intentional Conduct — Defined</w:t>
      </w:r>
    </w:p>
    <w:p w14:paraId="216ACC1B" w14:textId="77777777" w:rsidR="00CD23A0" w:rsidRDefault="00E24F9F" w:rsidP="00914128">
      <w:pPr>
        <w:pStyle w:val="ToC"/>
      </w:pPr>
      <w:hyperlink w:anchor="a24_03" w:history="1">
        <w:r w:rsidR="00CD23A0" w:rsidRPr="00CD23A0">
          <w:rPr>
            <w:rStyle w:val="Hyperlink"/>
          </w:rPr>
          <w:t>24:3</w:t>
        </w:r>
      </w:hyperlink>
      <w:r w:rsidR="00CD23A0" w:rsidRPr="00CD23A0">
        <w:t xml:space="preserve"> </w:t>
      </w:r>
      <w:r w:rsidR="00CD23A0" w:rsidRPr="00CD23A0">
        <w:tab/>
        <w:t>Improper — Defined</w:t>
      </w:r>
    </w:p>
    <w:p w14:paraId="1924F583" w14:textId="77777777" w:rsidR="00CD23A0" w:rsidRDefault="00E24F9F" w:rsidP="00914128">
      <w:pPr>
        <w:pStyle w:val="ToC"/>
      </w:pPr>
      <w:hyperlink w:anchor="a24_04" w:history="1">
        <w:r w:rsidR="00CD23A0" w:rsidRPr="00CD23A0">
          <w:rPr>
            <w:rStyle w:val="Hyperlink"/>
          </w:rPr>
          <w:t>24:4</w:t>
        </w:r>
      </w:hyperlink>
      <w:r w:rsidR="00CD23A0" w:rsidRPr="00CD23A0">
        <w:t xml:space="preserve"> </w:t>
      </w:r>
      <w:r w:rsidR="00CD23A0" w:rsidRPr="00CD23A0">
        <w:tab/>
        <w:t>Interference — Defined</w:t>
      </w:r>
    </w:p>
    <w:p w14:paraId="39EB63EE" w14:textId="77777777" w:rsidR="00CD23A0" w:rsidRDefault="00E24F9F" w:rsidP="00914128">
      <w:pPr>
        <w:pStyle w:val="ToC"/>
      </w:pPr>
      <w:hyperlink w:anchor="a24_05" w:history="1">
        <w:r w:rsidR="00CD23A0" w:rsidRPr="00CD23A0">
          <w:rPr>
            <w:rStyle w:val="Hyperlink"/>
          </w:rPr>
          <w:t>24:5</w:t>
        </w:r>
      </w:hyperlink>
      <w:r w:rsidR="00CD23A0" w:rsidRPr="00CD23A0">
        <w:t xml:space="preserve"> </w:t>
      </w:r>
      <w:r w:rsidR="00CD23A0" w:rsidRPr="00CD23A0">
        <w:tab/>
        <w:t xml:space="preserve">Contracts Terminable </w:t>
      </w:r>
      <w:r w:rsidR="00CD23A0">
        <w:t>a</w:t>
      </w:r>
      <w:r w:rsidR="00CD23A0" w:rsidRPr="00CD23A0">
        <w:t xml:space="preserve">t Will </w:t>
      </w:r>
      <w:r w:rsidR="00CD23A0">
        <w:t>o</w:t>
      </w:r>
      <w:r w:rsidR="00CD23A0" w:rsidRPr="00CD23A0">
        <w:t>r Voidable</w:t>
      </w:r>
    </w:p>
    <w:p w14:paraId="166563ED" w14:textId="77777777" w:rsidR="00CD23A0" w:rsidRDefault="00E24F9F" w:rsidP="00914128">
      <w:pPr>
        <w:pStyle w:val="ToC"/>
      </w:pPr>
      <w:hyperlink w:anchor="a24_06" w:history="1">
        <w:r w:rsidR="00CD23A0" w:rsidRPr="00CD23A0">
          <w:rPr>
            <w:rStyle w:val="Hyperlink"/>
          </w:rPr>
          <w:t>24:6</w:t>
        </w:r>
      </w:hyperlink>
      <w:r w:rsidR="00CD23A0" w:rsidRPr="00CD23A0">
        <w:t xml:space="preserve"> </w:t>
      </w:r>
      <w:r w:rsidR="00CD23A0" w:rsidRPr="00CD23A0">
        <w:tab/>
        <w:t>Affirmative Defense — Privilege — When Existent — When Lost</w:t>
      </w:r>
    </w:p>
    <w:p w14:paraId="4AB732FE" w14:textId="77777777" w:rsidR="00CD23A0" w:rsidRDefault="00E24F9F" w:rsidP="00914128">
      <w:pPr>
        <w:pStyle w:val="ToC"/>
      </w:pPr>
      <w:hyperlink w:anchor="a24_07" w:history="1">
        <w:r w:rsidR="00AB607E" w:rsidRPr="00AB607E">
          <w:rPr>
            <w:rStyle w:val="Hyperlink"/>
          </w:rPr>
          <w:t>24:7</w:t>
        </w:r>
      </w:hyperlink>
      <w:r w:rsidR="00CD23A0" w:rsidRPr="00CD23A0">
        <w:tab/>
        <w:t xml:space="preserve">Actual </w:t>
      </w:r>
      <w:r w:rsidR="004C1A04">
        <w:t>o</w:t>
      </w:r>
      <w:r w:rsidR="00CD23A0" w:rsidRPr="00CD23A0">
        <w:t>r Nominal Damages</w:t>
      </w:r>
    </w:p>
    <w:p w14:paraId="712C2771" w14:textId="77777777" w:rsidR="00352111" w:rsidRPr="00352111" w:rsidRDefault="00352111">
      <w:pPr>
        <w:rPr>
          <w:rFonts w:eastAsia="Times New Roman"/>
          <w:sz w:val="24"/>
          <w:szCs w:val="24"/>
        </w:rPr>
      </w:pPr>
      <w:r w:rsidRPr="00352111">
        <w:rPr>
          <w:rFonts w:eastAsia="Times New Roman"/>
          <w:sz w:val="24"/>
          <w:szCs w:val="24"/>
        </w:rPr>
        <w:br w:type="page"/>
      </w:r>
    </w:p>
    <w:p w14:paraId="45F20CD7" w14:textId="77777777" w:rsidR="009E3DA4" w:rsidRPr="009E3DA4" w:rsidRDefault="001E1DB5" w:rsidP="00CC0502">
      <w:pPr>
        <w:spacing w:after="240"/>
        <w:ind w:left="720" w:hanging="720"/>
        <w:rPr>
          <w:rFonts w:eastAsia="Times New Roman"/>
          <w:b/>
          <w:sz w:val="24"/>
          <w:szCs w:val="24"/>
        </w:rPr>
      </w:pPr>
      <w:bookmarkStart w:id="1" w:name="a24_01"/>
      <w:bookmarkEnd w:id="1"/>
      <w:r w:rsidRPr="001E1DB5">
        <w:rPr>
          <w:rFonts w:eastAsia="Times New Roman"/>
          <w:b/>
          <w:sz w:val="24"/>
          <w:szCs w:val="24"/>
        </w:rPr>
        <w:lastRenderedPageBreak/>
        <w:t xml:space="preserve">24:1 </w:t>
      </w:r>
      <w:r w:rsidRPr="001E1DB5">
        <w:rPr>
          <w:rFonts w:eastAsia="Times New Roman"/>
          <w:b/>
          <w:sz w:val="24"/>
          <w:szCs w:val="24"/>
        </w:rPr>
        <w:tab/>
        <w:t>ELEMENTS OF LIABILITY</w:t>
      </w:r>
    </w:p>
    <w:p w14:paraId="71E3786F"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For the plaintiff, </w:t>
      </w:r>
      <w:r w:rsidRPr="001E1DB5">
        <w:rPr>
          <w:rFonts w:eastAsia="Times New Roman"/>
          <w:i/>
          <w:sz w:val="24"/>
          <w:szCs w:val="24"/>
        </w:rPr>
        <w:t>(name)</w:t>
      </w:r>
      <w:r w:rsidRPr="001E1DB5">
        <w:rPr>
          <w:rFonts w:eastAsia="Times New Roman"/>
          <w:b/>
          <w:sz w:val="24"/>
          <w:szCs w:val="24"/>
        </w:rPr>
        <w:t xml:space="preserve">, to recover from the defendant, </w:t>
      </w:r>
      <w:r w:rsidRPr="001E1DB5">
        <w:rPr>
          <w:rFonts w:eastAsia="Times New Roman"/>
          <w:i/>
          <w:sz w:val="24"/>
          <w:szCs w:val="24"/>
        </w:rPr>
        <w:t>(name)</w:t>
      </w:r>
      <w:r w:rsidRPr="001E1DB5">
        <w:rPr>
          <w:rFonts w:eastAsia="Times New Roman"/>
          <w:b/>
          <w:sz w:val="24"/>
          <w:szCs w:val="24"/>
        </w:rPr>
        <w:t>, on (his) (her) claim of intentional interference with contract, you must find that all of the following have been proved by a preponderance of the evidence:</w:t>
      </w:r>
    </w:p>
    <w:p w14:paraId="3E901C7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1. The plaintiff had a contract with </w:t>
      </w:r>
      <w:r w:rsidRPr="001E1DB5">
        <w:rPr>
          <w:rFonts w:eastAsia="Times New Roman"/>
          <w:i/>
          <w:sz w:val="24"/>
          <w:szCs w:val="24"/>
        </w:rPr>
        <w:t>(name of third person)</w:t>
      </w:r>
      <w:r w:rsidRPr="001E1DB5">
        <w:rPr>
          <w:rFonts w:eastAsia="Times New Roman"/>
          <w:b/>
          <w:sz w:val="24"/>
          <w:szCs w:val="24"/>
        </w:rPr>
        <w:t xml:space="preserve"> in which </w:t>
      </w:r>
      <w:r w:rsidRPr="001E1DB5">
        <w:rPr>
          <w:rFonts w:eastAsia="Times New Roman"/>
          <w:i/>
          <w:sz w:val="24"/>
          <w:szCs w:val="24"/>
        </w:rPr>
        <w:t>(name of third person)</w:t>
      </w:r>
      <w:r w:rsidRPr="001E1DB5">
        <w:rPr>
          <w:rFonts w:eastAsia="Times New Roman"/>
          <w:b/>
          <w:sz w:val="24"/>
          <w:szCs w:val="24"/>
        </w:rPr>
        <w:t xml:space="preserve"> agreed to </w:t>
      </w:r>
      <w:r w:rsidRPr="001E1DB5">
        <w:rPr>
          <w:rFonts w:eastAsia="Times New Roman"/>
          <w:i/>
          <w:sz w:val="24"/>
          <w:szCs w:val="24"/>
        </w:rPr>
        <w:t>(describe the substance of the promise the defendant allegedly interfered with)</w:t>
      </w:r>
      <w:r w:rsidRPr="001E1DB5">
        <w:rPr>
          <w:rFonts w:eastAsia="Times New Roman"/>
          <w:b/>
          <w:sz w:val="24"/>
          <w:szCs w:val="24"/>
        </w:rPr>
        <w:t>;</w:t>
      </w:r>
    </w:p>
    <w:p w14:paraId="39A172BA"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2. The defendant knew or reasonably should have known of the contract;</w:t>
      </w:r>
    </w:p>
    <w:p w14:paraId="01BB0D76"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3. The defendant by words or conduct, or both, intentionally (caused </w:t>
      </w:r>
      <w:r w:rsidRPr="001E1DB5">
        <w:rPr>
          <w:rFonts w:eastAsia="Times New Roman"/>
          <w:i/>
          <w:sz w:val="24"/>
          <w:szCs w:val="24"/>
        </w:rPr>
        <w:t>[name of third person]</w:t>
      </w:r>
      <w:r w:rsidRPr="001E1DB5">
        <w:rPr>
          <w:rFonts w:eastAsia="Times New Roman"/>
          <w:b/>
          <w:sz w:val="24"/>
          <w:szCs w:val="24"/>
        </w:rPr>
        <w:t xml:space="preserve"> [not to perform] [to terminate] [his] [her] contract with the plaintiff) (or) (interfered with </w:t>
      </w:r>
      <w:r w:rsidRPr="001E1DB5">
        <w:rPr>
          <w:rFonts w:eastAsia="Times New Roman"/>
          <w:i/>
          <w:sz w:val="24"/>
          <w:szCs w:val="24"/>
        </w:rPr>
        <w:t>[name of third person]</w:t>
      </w:r>
      <w:r w:rsidRPr="001E1DB5">
        <w:rPr>
          <w:rFonts w:eastAsia="Times New Roman"/>
          <w:b/>
          <w:sz w:val="24"/>
          <w:szCs w:val="24"/>
        </w:rPr>
        <w:t xml:space="preserve">’s performance of the contract, thereby causing </w:t>
      </w:r>
      <w:r w:rsidRPr="001E1DB5">
        <w:rPr>
          <w:rFonts w:eastAsia="Times New Roman"/>
          <w:i/>
          <w:sz w:val="24"/>
          <w:szCs w:val="24"/>
        </w:rPr>
        <w:t>[name of third person]</w:t>
      </w:r>
      <w:r w:rsidRPr="001E1DB5">
        <w:rPr>
          <w:rFonts w:eastAsia="Times New Roman"/>
          <w:b/>
          <w:sz w:val="24"/>
          <w:szCs w:val="24"/>
        </w:rPr>
        <w:t xml:space="preserve"> [not to perform] [to terminate] the contract with the plaintiff);</w:t>
      </w:r>
    </w:p>
    <w:p w14:paraId="00000AB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4. The defendant’s interference with the contract was improper; and</w:t>
      </w:r>
    </w:p>
    <w:p w14:paraId="1CA7AD5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5. The defendant’s interference with the contract caused the plaintiff (damages) (losses).</w:t>
      </w:r>
    </w:p>
    <w:p w14:paraId="67B2403C"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If you find any one or more of these </w:t>
      </w:r>
      <w:r w:rsidRPr="001E1DB5">
        <w:rPr>
          <w:rFonts w:eastAsia="Times New Roman"/>
          <w:i/>
          <w:sz w:val="24"/>
          <w:szCs w:val="24"/>
        </w:rPr>
        <w:t xml:space="preserve">(number) </w:t>
      </w:r>
      <w:r w:rsidRPr="001E1DB5">
        <w:rPr>
          <w:rFonts w:eastAsia="Times New Roman"/>
          <w:b/>
          <w:sz w:val="24"/>
          <w:szCs w:val="24"/>
        </w:rPr>
        <w:t>statements has not been proved, then your verdict must be for the defendant.</w:t>
      </w:r>
    </w:p>
    <w:p w14:paraId="3C57386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1E1DB5">
        <w:rPr>
          <w:rFonts w:eastAsia="Times New Roman"/>
          <w:i/>
          <w:sz w:val="24"/>
          <w:szCs w:val="24"/>
        </w:rPr>
        <w:t>[insert any affirmative defense that would be a complete defense to the plaintiff’s claim]</w:t>
      </w:r>
      <w:r w:rsidRPr="001E1DB5">
        <w:rPr>
          <w:rFonts w:eastAsia="Times New Roman"/>
          <w:b/>
          <w:sz w:val="24"/>
          <w:szCs w:val="24"/>
        </w:rPr>
        <w:t>).</w:t>
      </w:r>
    </w:p>
    <w:p w14:paraId="791C315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99DD9F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(In determining whether the affirmative defense of privilege </w:t>
      </w:r>
      <w:r w:rsidRPr="001E1DB5">
        <w:rPr>
          <w:rFonts w:eastAsia="Times New Roman"/>
          <w:i/>
          <w:sz w:val="24"/>
          <w:szCs w:val="24"/>
        </w:rPr>
        <w:t>[describe privilege]</w:t>
      </w:r>
      <w:r w:rsidRPr="001E1DB5">
        <w:rPr>
          <w:rFonts w:eastAsia="Times New Roman"/>
          <w:b/>
          <w:sz w:val="24"/>
          <w:szCs w:val="24"/>
        </w:rPr>
        <w:t xml:space="preserve"> has been proved, you must also determine whether the plaintiff proved by a preponderance of the evidence that the defendant abused that privilege as explained in Instruction No. </w:t>
      </w:r>
      <w:r w:rsidRPr="001E1DB5">
        <w:rPr>
          <w:rFonts w:eastAsia="Times New Roman"/>
          <w:i/>
          <w:sz w:val="24"/>
          <w:szCs w:val="24"/>
        </w:rPr>
        <w:t>[insert instruction number that corresponds to 24:6]</w:t>
      </w:r>
      <w:r w:rsidRPr="001E1DB5">
        <w:rPr>
          <w:rFonts w:eastAsia="Times New Roman"/>
          <w:b/>
          <w:sz w:val="24"/>
          <w:szCs w:val="24"/>
        </w:rPr>
        <w:t>.)</w:t>
      </w:r>
    </w:p>
    <w:p w14:paraId="47BF4F8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However, if you find that (this affirmative defense has not) (none of these affirmative defenses have) been proved, then your verdict must be for the plaintiff.</w:t>
      </w:r>
    </w:p>
    <w:p w14:paraId="115A47AF" w14:textId="77777777" w:rsidR="00832DB4" w:rsidRDefault="00832DB4" w:rsidP="0054263B">
      <w:pPr>
        <w:jc w:val="center"/>
        <w:rPr>
          <w:rFonts w:eastAsia="Times New Roman"/>
          <w:sz w:val="24"/>
          <w:szCs w:val="24"/>
        </w:rPr>
      </w:pPr>
    </w:p>
    <w:p w14:paraId="4F7CB80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EAD9C6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1. Use whichever parenthesized or bracketed portions are appropriate.</w:t>
      </w:r>
    </w:p>
    <w:p w14:paraId="6555A81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221DFB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3. Omit any numbered paragraph, the facts of which are not disputed.</w:t>
      </w:r>
    </w:p>
    <w:p w14:paraId="7356AC2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Other appropriate instructions defining the terms used in this instruction, for example, “contract,” “intentional conduct” (Instruction 24:2), “improper” (Instruction 24:3), must also be given with this instruction, in particular an appropriate instruction or instructions relating to causation (Instructions 9:18-9:21). An instruction relating to constructive notice of the contract may also be used in connection with paragraph 2 of the instruction. </w:t>
      </w:r>
      <w:r w:rsidRPr="001E1DB5">
        <w:rPr>
          <w:rFonts w:eastAsia="Times New Roman"/>
          <w:i/>
          <w:sz w:val="24"/>
          <w:szCs w:val="24"/>
        </w:rPr>
        <w:t>See</w:t>
      </w:r>
      <w:r w:rsidRPr="001E1DB5">
        <w:rPr>
          <w:rFonts w:eastAsia="Times New Roman"/>
          <w:sz w:val="24"/>
          <w:szCs w:val="24"/>
        </w:rPr>
        <w:t xml:space="preserve"> Instruction 3:7.</w:t>
      </w:r>
    </w:p>
    <w:p w14:paraId="5F184E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5. Where there is evidence that the third person has partially performed, the phrase in numbered paragraph 3, “not to perform,” if used, should be changed to read “not to perform fully.”</w:t>
      </w:r>
    </w:p>
    <w:p w14:paraId="4298E1C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Though mitigation of damages is an affirmative defense, </w:t>
      </w:r>
      <w:r w:rsidRPr="001E1DB5">
        <w:rPr>
          <w:rFonts w:eastAsia="Times New Roman"/>
          <w:i/>
          <w:sz w:val="24"/>
          <w:szCs w:val="24"/>
        </w:rPr>
        <w:t>see</w:t>
      </w:r>
      <w:r w:rsidRPr="001E1DB5">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E1B00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CF72965"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 This instruction is supported by </w:t>
      </w:r>
      <w:r w:rsidRPr="001E1DB5">
        <w:rPr>
          <w:rFonts w:eastAsia="Times New Roman"/>
          <w:b/>
          <w:sz w:val="24"/>
          <w:szCs w:val="24"/>
        </w:rPr>
        <w:t>Warne v. Hall</w:t>
      </w:r>
      <w:r w:rsidRPr="001E1DB5">
        <w:rPr>
          <w:rFonts w:eastAsia="Times New Roman"/>
          <w:sz w:val="24"/>
          <w:szCs w:val="24"/>
        </w:rPr>
        <w:t xml:space="preserve">, 2016 CO 50, ¶ 25, 373 P.3d 588 (referencing with approval the </w:t>
      </w:r>
      <w:r w:rsidRPr="001E1DB5">
        <w:rPr>
          <w:rFonts w:eastAsia="Times New Roman"/>
          <w:smallCaps/>
          <w:sz w:val="24"/>
          <w:szCs w:val="24"/>
        </w:rPr>
        <w:t>Restatement (Second) of Torts</w:t>
      </w:r>
      <w:r w:rsidRPr="001E1DB5">
        <w:rPr>
          <w:rFonts w:eastAsia="Times New Roman"/>
          <w:sz w:val="24"/>
          <w:szCs w:val="24"/>
        </w:rPr>
        <w:t xml:space="preserve"> § 767 (1965)); </w:t>
      </w:r>
      <w:r w:rsidRPr="001E1DB5">
        <w:rPr>
          <w:rFonts w:eastAsia="Times New Roman"/>
          <w:b/>
          <w:sz w:val="24"/>
          <w:szCs w:val="24"/>
        </w:rPr>
        <w:t xml:space="preserve">Radiology Professional Corp. v. Trinidad Area Health Ass’n, </w:t>
      </w:r>
      <w:r w:rsidRPr="001E1DB5">
        <w:rPr>
          <w:rFonts w:eastAsia="Times New Roman"/>
          <w:sz w:val="24"/>
          <w:szCs w:val="24"/>
        </w:rPr>
        <w:t xml:space="preserve">195 Colo. 253, 577 P.2d 748 (1978) (no liability where third party did not in fact breach the contract); </w:t>
      </w:r>
      <w:r w:rsidRPr="001E1DB5">
        <w:rPr>
          <w:rFonts w:eastAsia="Times New Roman"/>
          <w:b/>
          <w:sz w:val="24"/>
          <w:szCs w:val="24"/>
        </w:rPr>
        <w:t>Watson v. Settlemeyer</w:t>
      </w:r>
      <w:r w:rsidRPr="001E1DB5">
        <w:rPr>
          <w:rFonts w:eastAsia="Times New Roman"/>
          <w:sz w:val="24"/>
          <w:szCs w:val="24"/>
        </w:rPr>
        <w:t xml:space="preserve">, 150 Colo. 326, 372 P.2d 453 (1962); </w:t>
      </w:r>
      <w:r w:rsidRPr="001E1DB5">
        <w:rPr>
          <w:rFonts w:eastAsia="Times New Roman"/>
          <w:b/>
          <w:sz w:val="24"/>
          <w:szCs w:val="24"/>
        </w:rPr>
        <w:t>Credit Investment &amp; Loan Co. v. Guaranty Bank &amp; Trust Co.</w:t>
      </w:r>
      <w:r w:rsidRPr="001E1DB5">
        <w:rPr>
          <w:rFonts w:eastAsia="Times New Roman"/>
          <w:sz w:val="24"/>
          <w:szCs w:val="24"/>
        </w:rPr>
        <w:t xml:space="preserve">, 143 Colo. 393, 353 P.2d 1098 (1960); </w:t>
      </w:r>
      <w:r w:rsidRPr="001E1DB5">
        <w:rPr>
          <w:rFonts w:eastAsia="Times New Roman"/>
          <w:b/>
          <w:sz w:val="24"/>
          <w:szCs w:val="24"/>
        </w:rPr>
        <w:t>Comtrol, Inc. v. Mountain States Telephone &amp; Telegraph Co.</w:t>
      </w:r>
      <w:r w:rsidRPr="001E1DB5">
        <w:rPr>
          <w:rFonts w:eastAsia="Times New Roman"/>
          <w:sz w:val="24"/>
          <w:szCs w:val="24"/>
        </w:rPr>
        <w:t xml:space="preserve">, 32 Colo. App. 384, 513 P.2d 1082 (1973) (citing </w:t>
      </w:r>
      <w:r w:rsidRPr="001E1DB5">
        <w:rPr>
          <w:rFonts w:eastAsia="Times New Roman"/>
          <w:smallCaps/>
          <w:sz w:val="24"/>
          <w:szCs w:val="24"/>
        </w:rPr>
        <w:t>Restatement of Torts</w:t>
      </w:r>
      <w:r w:rsidRPr="001E1DB5">
        <w:rPr>
          <w:rFonts w:eastAsia="Times New Roman"/>
          <w:sz w:val="24"/>
          <w:szCs w:val="24"/>
        </w:rPr>
        <w:t xml:space="preserve"> § 766 (1938)); </w:t>
      </w:r>
      <w:r w:rsidRPr="001E1DB5">
        <w:rPr>
          <w:rFonts w:eastAsia="Times New Roman"/>
          <w:smallCaps/>
          <w:sz w:val="24"/>
          <w:szCs w:val="24"/>
        </w:rPr>
        <w:t>W. Page Keeton et al., Prosser and Keeton on the Law of Torts</w:t>
      </w:r>
      <w:r w:rsidRPr="001E1DB5">
        <w:rPr>
          <w:rFonts w:eastAsia="Times New Roman"/>
          <w:sz w:val="24"/>
          <w:szCs w:val="24"/>
        </w:rPr>
        <w:t xml:space="preserve"> § 129 (5th ed. 1984); and 2 </w:t>
      </w:r>
      <w:r w:rsidRPr="001E1DB5">
        <w:rPr>
          <w:rFonts w:eastAsia="Times New Roman"/>
          <w:smallCaps/>
          <w:sz w:val="24"/>
          <w:szCs w:val="24"/>
        </w:rPr>
        <w:t>F. Harper et al., Harper, James, and Gray on Torts</w:t>
      </w:r>
      <w:r w:rsidRPr="001E1DB5">
        <w:rPr>
          <w:rFonts w:eastAsia="Times New Roman"/>
          <w:sz w:val="24"/>
          <w:szCs w:val="24"/>
        </w:rPr>
        <w:t xml:space="preserve"> §§ 6.5-6.10 (3d ed. 2006).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Mem’l Gardens, Inc. v. Olympian Sales &amp; Mgmt. Consultants,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690 P.2d 207 (Colo. 1984) (supports numbered paragraph 4); </w:t>
      </w:r>
      <w:r w:rsidRPr="001E1DB5">
        <w:rPr>
          <w:rFonts w:eastAsia="Times New Roman"/>
          <w:b/>
          <w:sz w:val="24"/>
          <w:szCs w:val="24"/>
        </w:rPr>
        <w:t>Pierce v. St. Vrain Valley Sch. Dist. RE-1J</w:t>
      </w:r>
      <w:r w:rsidRPr="001E1DB5">
        <w:rPr>
          <w:rFonts w:eastAsia="Times New Roman"/>
          <w:sz w:val="24"/>
          <w:szCs w:val="24"/>
        </w:rPr>
        <w:t xml:space="preserve">, 944 P.2d 646 (Colo. App. 1997) (supports numbered paragraph 1 of instruction), </w:t>
      </w:r>
      <w:r w:rsidRPr="001E1DB5">
        <w:rPr>
          <w:rFonts w:eastAsia="Times New Roman"/>
          <w:i/>
          <w:sz w:val="24"/>
          <w:szCs w:val="24"/>
        </w:rPr>
        <w:t>rev’d on other grounds</w:t>
      </w:r>
      <w:r w:rsidRPr="001E1DB5">
        <w:rPr>
          <w:rFonts w:eastAsia="Times New Roman"/>
          <w:sz w:val="24"/>
          <w:szCs w:val="24"/>
        </w:rPr>
        <w:t xml:space="preserve">, 981 P.2d 600 (Colo. 1999); </w:t>
      </w:r>
      <w:r w:rsidRPr="001E1DB5">
        <w:rPr>
          <w:rFonts w:eastAsia="Times New Roman"/>
          <w:b/>
          <w:sz w:val="24"/>
          <w:szCs w:val="24"/>
        </w:rPr>
        <w:t>Fasing v. LaFond</w:t>
      </w:r>
      <w:r w:rsidRPr="001E1DB5">
        <w:rPr>
          <w:rFonts w:eastAsia="Times New Roman"/>
          <w:sz w:val="24"/>
          <w:szCs w:val="24"/>
        </w:rPr>
        <w:t xml:space="preserve">, 944 P.2d 608 (Colo. App. 1997) (supports numbered paragraph 1 of instruction); </w:t>
      </w:r>
      <w:r w:rsidRPr="001E1DB5">
        <w:rPr>
          <w:rFonts w:eastAsia="Times New Roman"/>
          <w:b/>
          <w:sz w:val="24"/>
          <w:szCs w:val="24"/>
        </w:rPr>
        <w:t>Galleria Towers, Inc. v. Crump Warren &amp; Sommer,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831 P.2d 908 (Colo. App. 1991); </w:t>
      </w:r>
      <w:r w:rsidRPr="001E1DB5">
        <w:rPr>
          <w:rFonts w:eastAsia="Times New Roman"/>
          <w:b/>
          <w:sz w:val="24"/>
          <w:szCs w:val="24"/>
        </w:rPr>
        <w:t>Boettcher DTC Bldg. Joint Venture v. Falcon Ventures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762 P.2d 788 (Colo. App. 1988); </w:t>
      </w:r>
      <w:r w:rsidRPr="001E1DB5">
        <w:rPr>
          <w:rFonts w:eastAsia="Times New Roman"/>
          <w:b/>
          <w:sz w:val="24"/>
          <w:szCs w:val="24"/>
        </w:rPr>
        <w:t>Bithell v. W. Care Corp.</w:t>
      </w:r>
      <w:r w:rsidRPr="001E1DB5">
        <w:rPr>
          <w:rFonts w:eastAsia="Times New Roman"/>
          <w:sz w:val="24"/>
          <w:szCs w:val="24"/>
        </w:rPr>
        <w:t xml:space="preserve">, 762 P.2d 708 (Colo. App. 1988) (supports numbered paragraph 2 in particular); </w:t>
      </w:r>
      <w:r w:rsidRPr="001E1DB5">
        <w:rPr>
          <w:rFonts w:eastAsia="Times New Roman"/>
          <w:b/>
          <w:sz w:val="24"/>
          <w:szCs w:val="24"/>
        </w:rPr>
        <w:t>Hein Enters., Ltd. v. San Francisco Real Estate Investors</w:t>
      </w:r>
      <w:r w:rsidRPr="001E1DB5">
        <w:rPr>
          <w:rFonts w:eastAsia="Times New Roman"/>
          <w:sz w:val="24"/>
          <w:szCs w:val="24"/>
        </w:rPr>
        <w:t xml:space="preserve">, 720 P.2d 975 (Colo. App. 1985) (supports numbered paragraph 3 in particular); </w:t>
      </w:r>
      <w:r w:rsidRPr="001E1DB5">
        <w:rPr>
          <w:rFonts w:eastAsia="Times New Roman"/>
          <w:b/>
          <w:sz w:val="24"/>
          <w:szCs w:val="24"/>
        </w:rPr>
        <w:t>Carman v. Heber</w:t>
      </w:r>
      <w:r w:rsidRPr="001E1DB5">
        <w:rPr>
          <w:rFonts w:eastAsia="Times New Roman"/>
          <w:sz w:val="24"/>
          <w:szCs w:val="24"/>
        </w:rPr>
        <w:t xml:space="preserve">, 43 Colo. App. 5, 601 P.2d 646 (1979). </w:t>
      </w:r>
      <w:r w:rsidRPr="001E1DB5">
        <w:rPr>
          <w:rFonts w:eastAsia="Times New Roman"/>
          <w:i/>
          <w:sz w:val="24"/>
          <w:szCs w:val="24"/>
        </w:rPr>
        <w:t>But see</w:t>
      </w:r>
      <w:r w:rsidRPr="001E1DB5">
        <w:rPr>
          <w:rFonts w:eastAsia="Times New Roman"/>
          <w:sz w:val="24"/>
          <w:szCs w:val="24"/>
        </w:rPr>
        <w:t xml:space="preserve"> </w:t>
      </w:r>
      <w:r w:rsidRPr="001E1DB5">
        <w:rPr>
          <w:rFonts w:eastAsia="Times New Roman"/>
          <w:b/>
          <w:sz w:val="24"/>
          <w:szCs w:val="24"/>
        </w:rPr>
        <w:t>Baker v. Carpenter</w:t>
      </w:r>
      <w:r w:rsidRPr="001E1DB5">
        <w:rPr>
          <w:rFonts w:eastAsia="Times New Roman"/>
          <w:sz w:val="24"/>
          <w:szCs w:val="24"/>
        </w:rPr>
        <w:t>, 33 Colo. App. 139, 143, 516 P.2d 459, 461 (1973) (The court stated in dictum: “[O]ne does not induce a seller to breach a contract with a third person when he merely enters into an agreement with the seller with knowledge that the seller cannot perform both it and his contract with the third person.”).</w:t>
      </w:r>
    </w:p>
    <w:p w14:paraId="60FBFB7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2. A claim for interference with contract is based on contracts that existed at the time of the allegedly tortious conduct, including both contracts terminable at will and contracts not terminable at will. </w:t>
      </w:r>
      <w:r w:rsidRPr="001E1DB5">
        <w:rPr>
          <w:rFonts w:eastAsia="Times New Roman"/>
          <w:i/>
          <w:sz w:val="24"/>
          <w:szCs w:val="24"/>
        </w:rPr>
        <w:t>See, e.g.</w:t>
      </w:r>
      <w:r w:rsidRPr="001E1DB5">
        <w:rPr>
          <w:rFonts w:eastAsia="Times New Roman"/>
          <w:sz w:val="24"/>
          <w:szCs w:val="24"/>
        </w:rPr>
        <w:t xml:space="preserve">, </w:t>
      </w:r>
      <w:r w:rsidRPr="001E1DB5">
        <w:rPr>
          <w:rFonts w:eastAsia="Times New Roman"/>
          <w:b/>
          <w:sz w:val="24"/>
          <w:szCs w:val="24"/>
        </w:rPr>
        <w:t>Mem’l Gardens, Inc.</w:t>
      </w:r>
      <w:r w:rsidRPr="001E1DB5">
        <w:rPr>
          <w:rFonts w:eastAsia="Times New Roman"/>
          <w:sz w:val="24"/>
          <w:szCs w:val="24"/>
        </w:rPr>
        <w:t xml:space="preserve">, 690 P.2d at 211-12 (involving contracts not terminable at will); </w:t>
      </w:r>
      <w:r w:rsidRPr="001E1DB5">
        <w:rPr>
          <w:rFonts w:eastAsia="Times New Roman"/>
          <w:b/>
          <w:sz w:val="24"/>
          <w:szCs w:val="24"/>
        </w:rPr>
        <w:t>Harris Grp., Inc. v. Robinson</w:t>
      </w:r>
      <w:r w:rsidRPr="001E1DB5">
        <w:rPr>
          <w:rFonts w:eastAsia="Times New Roman"/>
          <w:sz w:val="24"/>
          <w:szCs w:val="24"/>
        </w:rPr>
        <w:t xml:space="preserve">, 209 P.3d 1188 (Colo. App. 2009) (at-will contract); </w:t>
      </w:r>
      <w:r w:rsidRPr="001E1DB5">
        <w:rPr>
          <w:rFonts w:eastAsia="Times New Roman"/>
          <w:b/>
          <w:sz w:val="24"/>
          <w:szCs w:val="24"/>
        </w:rPr>
        <w:t>Electrolux Corp. v. Lawson</w:t>
      </w:r>
      <w:r w:rsidRPr="001E1DB5">
        <w:rPr>
          <w:rFonts w:eastAsia="Times New Roman"/>
          <w:sz w:val="24"/>
          <w:szCs w:val="24"/>
        </w:rPr>
        <w:t>, 654 P.2d 340 (Colo. App. 1982) (at-will contract).</w:t>
      </w:r>
    </w:p>
    <w:p w14:paraId="3DEA836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3. The companion tort of intentional interference with a prospective business advantage has also been recognized. </w:t>
      </w:r>
      <w:r w:rsidRPr="001E1DB5">
        <w:rPr>
          <w:rFonts w:eastAsia="Times New Roman"/>
          <w:b/>
          <w:sz w:val="24"/>
          <w:szCs w:val="24"/>
        </w:rPr>
        <w:t>Amoco Oil Co. v. Ervin</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908 P.2d 493 (Colo. 1995) (tortious interference with prospective business relationship requires showing that interference with formation of contract was both intentional and improper); </w:t>
      </w:r>
      <w:r w:rsidRPr="001E1DB5">
        <w:rPr>
          <w:rFonts w:eastAsia="Times New Roman"/>
          <w:b/>
          <w:sz w:val="24"/>
          <w:szCs w:val="24"/>
        </w:rPr>
        <w:t>Emp’t Television Enters., LLC v. Barocas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100 P.3d 37 (Colo. App. 2004) (threat of legal action that the defendant believed was without merit and that induced plaintiff to abandon plans to enter into business relationship with third party could be basis of claim); </w:t>
      </w:r>
      <w:r w:rsidRPr="001E1DB5">
        <w:rPr>
          <w:rFonts w:eastAsia="Times New Roman"/>
          <w:b/>
          <w:sz w:val="24"/>
          <w:szCs w:val="24"/>
        </w:rPr>
        <w:t>Montgomery Ward &amp; Co. v. Andrews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736 P.2d 40 (Colo. App. 1987);</w:t>
      </w:r>
      <w:r w:rsidRPr="001E1DB5">
        <w:rPr>
          <w:rFonts w:eastAsia="Times New Roman"/>
          <w:b/>
          <w:sz w:val="24"/>
          <w:szCs w:val="24"/>
        </w:rPr>
        <w:t xml:space="preserve"> Dolton v. Capitol Fed. Sav. &amp; Loan Ass’n</w:t>
      </w:r>
      <w:r w:rsidRPr="001E1DB5">
        <w:rPr>
          <w:rFonts w:eastAsia="Times New Roman"/>
          <w:sz w:val="24"/>
          <w:szCs w:val="24"/>
        </w:rPr>
        <w:t xml:space="preserve">, 642 P.2d 21 (Colo. App. 1981) (no underlying contract necessary for claim of interference with prospective business relation); </w:t>
      </w:r>
      <w:r w:rsidRPr="001E1DB5">
        <w:rPr>
          <w:rFonts w:eastAsia="Times New Roman"/>
          <w:i/>
          <w:sz w:val="24"/>
          <w:szCs w:val="24"/>
        </w:rPr>
        <w:t xml:space="preserve">see also </w:t>
      </w:r>
      <w:r w:rsidRPr="001E1DB5">
        <w:rPr>
          <w:rFonts w:eastAsia="Times New Roman"/>
          <w:b/>
          <w:sz w:val="24"/>
          <w:szCs w:val="24"/>
        </w:rPr>
        <w:t>Clancy Sys. Int’l, Inc. v. Salazar</w:t>
      </w:r>
      <w:r w:rsidRPr="001E1DB5">
        <w:rPr>
          <w:rFonts w:eastAsia="Times New Roman"/>
          <w:sz w:val="24"/>
          <w:szCs w:val="24"/>
        </w:rPr>
        <w:t xml:space="preserve">, 177 P.3d 1235 (Colo. 2008) (availability of UCC claim based on same facts precluded common-law tortious interference with prospective business advantage claim); </w:t>
      </w:r>
      <w:r w:rsidRPr="001E1DB5">
        <w:rPr>
          <w:rFonts w:eastAsia="Times New Roman"/>
          <w:b/>
          <w:sz w:val="24"/>
          <w:szCs w:val="24"/>
        </w:rPr>
        <w:t>BA Mortg., LLC v. Quail Creek Condo. Ass’n</w:t>
      </w:r>
      <w:r w:rsidRPr="001E1DB5">
        <w:rPr>
          <w:rFonts w:eastAsia="Times New Roman"/>
          <w:sz w:val="24"/>
          <w:szCs w:val="24"/>
        </w:rPr>
        <w:t xml:space="preserve">, 192 P.3d 447 (Colo. App. 2008) (no improper interference where homeowners association had right under homeowners declarations and statute to file lien assessment, even though association’s conduct had the effect of clouding title of foreclosing lender, and there was no contract between lender and association); </w:t>
      </w:r>
      <w:r w:rsidRPr="001E1DB5">
        <w:rPr>
          <w:rFonts w:eastAsia="Times New Roman"/>
          <w:b/>
          <w:sz w:val="24"/>
          <w:szCs w:val="24"/>
        </w:rPr>
        <w:t>Wasalco, Inc. v. El Paso County</w:t>
      </w:r>
      <w:r w:rsidRPr="001E1DB5">
        <w:rPr>
          <w:rFonts w:eastAsia="Times New Roman"/>
          <w:sz w:val="24"/>
          <w:szCs w:val="24"/>
        </w:rPr>
        <w:t xml:space="preserve">, 689 P.2d 730 (Colo. App. 1984) (tort of interference with a prospective business advantage does not require proof of an underlying contract, while tort of intentional interference with a contractual obligation does). </w:t>
      </w:r>
    </w:p>
    <w:p w14:paraId="68C006B1" w14:textId="3532519F"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The contract involved must be a valid contract. </w:t>
      </w:r>
      <w:r w:rsidR="00681CDC">
        <w:rPr>
          <w:b/>
          <w:bCs/>
          <w:sz w:val="24"/>
          <w:szCs w:val="24"/>
        </w:rPr>
        <w:t>Falcon Broadband, Inc. v. Banning Lewis Ranch Metro. Dist</w:t>
      </w:r>
      <w:r w:rsidR="00681CDC" w:rsidRPr="00681CDC">
        <w:rPr>
          <w:b/>
          <w:sz w:val="24"/>
          <w:szCs w:val="24"/>
        </w:rPr>
        <w:t>. No. 1</w:t>
      </w:r>
      <w:r w:rsidR="00681CDC">
        <w:rPr>
          <w:sz w:val="24"/>
          <w:szCs w:val="24"/>
        </w:rPr>
        <w:t>, 2018 COA 92, ¶ 54</w:t>
      </w:r>
      <w:r w:rsidR="000E0D01">
        <w:rPr>
          <w:sz w:val="24"/>
          <w:szCs w:val="24"/>
        </w:rPr>
        <w:t>, 474 P.3d 1231, 1244</w:t>
      </w:r>
      <w:r w:rsidR="00681CDC">
        <w:rPr>
          <w:sz w:val="24"/>
          <w:szCs w:val="24"/>
        </w:rPr>
        <w:t xml:space="preserve"> (“So if for any reason a contract is entirely void, there is no liability for causing its breach.” (quoting </w:t>
      </w:r>
      <w:r w:rsidR="00681CDC" w:rsidRPr="00681CDC">
        <w:rPr>
          <w:smallCaps/>
          <w:sz w:val="24"/>
          <w:szCs w:val="24"/>
        </w:rPr>
        <w:t>Restatement (Second) of Torts</w:t>
      </w:r>
      <w:r w:rsidR="00681CDC">
        <w:rPr>
          <w:sz w:val="24"/>
          <w:szCs w:val="24"/>
        </w:rPr>
        <w:t xml:space="preserve"> § 766 cmt. f (1979))</w:t>
      </w:r>
      <w:r w:rsidR="00FF1C25">
        <w:rPr>
          <w:sz w:val="24"/>
          <w:szCs w:val="24"/>
        </w:rPr>
        <w:t>)</w:t>
      </w:r>
      <w:r w:rsidR="00681CDC">
        <w:rPr>
          <w:sz w:val="24"/>
          <w:szCs w:val="24"/>
        </w:rPr>
        <w:t xml:space="preserve">; </w:t>
      </w:r>
      <w:r w:rsidRPr="001E1DB5">
        <w:rPr>
          <w:rFonts w:eastAsia="Times New Roman"/>
          <w:b/>
          <w:sz w:val="24"/>
          <w:szCs w:val="24"/>
        </w:rPr>
        <w:t>Condo v. Conners</w:t>
      </w:r>
      <w:r w:rsidRPr="001E1DB5">
        <w:rPr>
          <w:rFonts w:eastAsia="Times New Roman"/>
          <w:sz w:val="24"/>
          <w:szCs w:val="24"/>
        </w:rPr>
        <w:t xml:space="preserve">, 271 P.3d 524 (Colo. App. 2010) (operating agreement of limited liability company rendered assignment of limited liability company interest without member consents void and precluded claim based on interference with the assignment), </w:t>
      </w:r>
      <w:r w:rsidRPr="001E1DB5">
        <w:rPr>
          <w:rFonts w:eastAsia="Times New Roman"/>
          <w:i/>
          <w:sz w:val="24"/>
          <w:szCs w:val="24"/>
        </w:rPr>
        <w:t>aff’d</w:t>
      </w:r>
      <w:r w:rsidRPr="001E1DB5">
        <w:rPr>
          <w:rFonts w:eastAsia="Times New Roman"/>
          <w:sz w:val="24"/>
          <w:szCs w:val="24"/>
        </w:rPr>
        <w:t xml:space="preserve">, 266 P.2d 1110 (Colo. 2011). </w:t>
      </w:r>
    </w:p>
    <w:p w14:paraId="29CDB34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5. The proper defendant in an action alleging the tort of interference with the formation of a contract is the interfering third party, not the party with whom the plaintiff sought to contract. </w:t>
      </w:r>
      <w:r w:rsidRPr="001E1DB5">
        <w:rPr>
          <w:rFonts w:eastAsia="Times New Roman"/>
          <w:b/>
          <w:sz w:val="24"/>
          <w:szCs w:val="24"/>
        </w:rPr>
        <w:t>L &amp; M Enters., Inc. v. City of Golden</w:t>
      </w:r>
      <w:r w:rsidRPr="001E1DB5">
        <w:rPr>
          <w:rFonts w:eastAsia="Times New Roman"/>
          <w:sz w:val="24"/>
          <w:szCs w:val="24"/>
        </w:rPr>
        <w:t>, 852 P.2d 1337 (Colo. App. 1993).</w:t>
      </w:r>
    </w:p>
    <w:p w14:paraId="53648C9A"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Where there is no dispute that the defendant was privileged to interfere with the contract and would not be liable in absence of the plaintiff’s proving the privilege was abused, </w:t>
      </w:r>
      <w:r w:rsidRPr="001E1DB5">
        <w:rPr>
          <w:rFonts w:eastAsia="Times New Roman"/>
          <w:i/>
          <w:sz w:val="24"/>
          <w:szCs w:val="24"/>
        </w:rPr>
        <w:t>see</w:t>
      </w:r>
      <w:r w:rsidRPr="001E1DB5">
        <w:rPr>
          <w:rFonts w:eastAsia="Times New Roman"/>
          <w:sz w:val="24"/>
          <w:szCs w:val="24"/>
        </w:rPr>
        <w:t xml:space="preserve"> Instruction 24:6, this instruction may be modified to include the elements of abuse the plaintiff would need to prove, rather than giving Instruction 24:6 as a separate instruction. </w:t>
      </w:r>
      <w:r w:rsidRPr="001E1DB5">
        <w:rPr>
          <w:rFonts w:eastAsia="Times New Roman"/>
          <w:b/>
          <w:sz w:val="24"/>
          <w:szCs w:val="24"/>
        </w:rPr>
        <w:t>Boettcher DTC Bldg. Joint Venture</w:t>
      </w:r>
      <w:r w:rsidRPr="001E1DB5">
        <w:rPr>
          <w:rFonts w:eastAsia="Times New Roman"/>
          <w:sz w:val="24"/>
          <w:szCs w:val="24"/>
        </w:rPr>
        <w:t xml:space="preserve">, 762 P.2d at 791;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Westfield Dev. Co. v. Rifle Inv. Assocs.</w:t>
      </w:r>
      <w:r w:rsidRPr="001E1DB5">
        <w:rPr>
          <w:rFonts w:eastAsia="Times New Roman"/>
          <w:sz w:val="24"/>
          <w:szCs w:val="24"/>
        </w:rPr>
        <w:t xml:space="preserve">, 786 P.2d 1112 (Colo. 1990). In </w:t>
      </w:r>
      <w:r w:rsidRPr="001E1DB5">
        <w:rPr>
          <w:rFonts w:eastAsia="Times New Roman"/>
          <w:b/>
          <w:sz w:val="24"/>
          <w:szCs w:val="24"/>
        </w:rPr>
        <w:t>Westfield Dev. Co.</w:t>
      </w:r>
      <w:r w:rsidRPr="001E1DB5">
        <w:rPr>
          <w:rFonts w:eastAsia="Times New Roman"/>
          <w:sz w:val="24"/>
          <w:szCs w:val="24"/>
        </w:rPr>
        <w:t xml:space="preserve">, 786 P.2d at 1117, the court, relying on the language of </w:t>
      </w:r>
      <w:r w:rsidRPr="001E1DB5">
        <w:rPr>
          <w:rFonts w:eastAsia="Times New Roman"/>
          <w:smallCaps/>
          <w:sz w:val="24"/>
          <w:szCs w:val="24"/>
        </w:rPr>
        <w:t>Restatement (Second) of Torts</w:t>
      </w:r>
      <w:r w:rsidRPr="001E1DB5">
        <w:rPr>
          <w:rFonts w:eastAsia="Times New Roman"/>
          <w:sz w:val="24"/>
          <w:szCs w:val="24"/>
        </w:rPr>
        <w:t xml:space="preserve"> §§ 766A and 767 (1979), stated that the interference had to be both intentional and improper. However, again relying on </w:t>
      </w:r>
      <w:r w:rsidRPr="001E1DB5">
        <w:rPr>
          <w:rFonts w:eastAsia="Times New Roman"/>
          <w:smallCaps/>
          <w:sz w:val="24"/>
          <w:szCs w:val="24"/>
        </w:rPr>
        <w:t>Restatement</w:t>
      </w:r>
      <w:r w:rsidRPr="001E1DB5">
        <w:rPr>
          <w:rFonts w:eastAsia="Times New Roman"/>
          <w:sz w:val="24"/>
          <w:szCs w:val="24"/>
        </w:rPr>
        <w:t xml:space="preserve"> § 773, the court makes clear that once the plaintiff proves that the defendant intentionally interfered with the contract and caused damage, the burden of proving that the </w:t>
      </w:r>
      <w:r w:rsidRPr="001E1DB5">
        <w:rPr>
          <w:rFonts w:eastAsia="Times New Roman"/>
          <w:sz w:val="24"/>
          <w:szCs w:val="24"/>
        </w:rPr>
        <w:lastRenderedPageBreak/>
        <w:t xml:space="preserve">occasion was a privileged one, i.e., that the conduct was prima facie proper, is on the defendant as an affirmative defense, unless the plaintiff’s own evidence establishes that fact or the fact is not in dispute. The plaintiff has the burden of proving that the defendant’s conduct was both improper and intentional. If the defendant has raised privilege as an affirmative defense, the defendant has the burden of proving that the privilege exists, and the plaintiff has the burden of proving that the defendant abused any privilege. </w:t>
      </w:r>
      <w:r w:rsidRPr="001E1DB5">
        <w:rPr>
          <w:rFonts w:eastAsia="Times New Roman"/>
          <w:i/>
          <w:sz w:val="24"/>
          <w:szCs w:val="24"/>
        </w:rPr>
        <w:t>See</w:t>
      </w:r>
      <w:r w:rsidRPr="001E1DB5">
        <w:rPr>
          <w:rFonts w:eastAsia="Times New Roman"/>
          <w:sz w:val="24"/>
          <w:szCs w:val="24"/>
        </w:rPr>
        <w:t xml:space="preserve"> Instruction 24:6; </w:t>
      </w:r>
      <w:r w:rsidRPr="001E1DB5">
        <w:rPr>
          <w:rFonts w:eastAsia="Times New Roman"/>
          <w:i/>
          <w:sz w:val="24"/>
          <w:szCs w:val="24"/>
        </w:rPr>
        <w:t xml:space="preserve">see also </w:t>
      </w:r>
      <w:r w:rsidRPr="001E1DB5">
        <w:rPr>
          <w:rFonts w:eastAsia="Times New Roman"/>
          <w:b/>
          <w:sz w:val="24"/>
          <w:szCs w:val="24"/>
        </w:rPr>
        <w:t>Lutfi v. Brighton Cmty. Hosp. Ass’n</w:t>
      </w:r>
      <w:r w:rsidRPr="001E1DB5">
        <w:rPr>
          <w:rFonts w:eastAsia="Times New Roman"/>
          <w:sz w:val="24"/>
          <w:szCs w:val="24"/>
        </w:rPr>
        <w:t xml:space="preserve">, 40 P.3d 51 (Colo. App. 2001) (trial court properly entered summary judgment in favor of defendant on plaintiff’s claim for intentional interference with contract where plaintiff presented no evidence to establish that defendant’s conduct was improper); </w:t>
      </w:r>
      <w:r w:rsidRPr="001E1DB5">
        <w:rPr>
          <w:rFonts w:eastAsia="Times New Roman"/>
          <w:b/>
          <w:sz w:val="24"/>
          <w:szCs w:val="24"/>
        </w:rPr>
        <w:t>Swartz v. Bianco Family Trust</w:t>
      </w:r>
      <w:r w:rsidRPr="001E1DB5">
        <w:rPr>
          <w:rFonts w:eastAsia="Times New Roman"/>
          <w:sz w:val="24"/>
          <w:szCs w:val="24"/>
        </w:rPr>
        <w:t>, 874 P.2d 430 (Colo. App. 1993) (indicating that improper motive is element of claim).</w:t>
      </w:r>
    </w:p>
    <w:p w14:paraId="5372E4E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7. For a discussion as to whether a statute or administrative regulation can provide an absolute right to intentionally interfere with contract relations or prospective economic advantage, see </w:t>
      </w:r>
      <w:r w:rsidRPr="001E1DB5">
        <w:rPr>
          <w:rFonts w:eastAsia="Times New Roman"/>
          <w:b/>
          <w:sz w:val="24"/>
          <w:szCs w:val="24"/>
        </w:rPr>
        <w:t>Omedelena v. Denver Options, Inc.</w:t>
      </w:r>
      <w:r w:rsidRPr="001E1DB5">
        <w:rPr>
          <w:rFonts w:eastAsia="Times New Roman"/>
          <w:sz w:val="24"/>
          <w:szCs w:val="24"/>
        </w:rPr>
        <w:t>, 60 P.3d 717 (Colo. App. 2002).</w:t>
      </w:r>
    </w:p>
    <w:p w14:paraId="79C486DF"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8. A plaintiff whose own performance of a contract was prevented by the wrongful interference of the defendant, thereby causing the plaintiff to breach his or her contract with a third person, may also have a cause of action. </w:t>
      </w:r>
      <w:r w:rsidRPr="001E1DB5">
        <w:rPr>
          <w:rFonts w:eastAsia="Times New Roman"/>
          <w:smallCaps/>
          <w:sz w:val="24"/>
          <w:szCs w:val="24"/>
        </w:rPr>
        <w:t>Harper, James, and Gray on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6.9, at 379-82. This instruction, however, is not intended to cover such cases.</w:t>
      </w:r>
    </w:p>
    <w:p w14:paraId="03771D1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9. For cases concerning additional civil liability for inducing a breach of an agricultural cooperative marketing association agreement,</w:t>
      </w:r>
      <w:r w:rsidRPr="001E1DB5">
        <w:rPr>
          <w:rFonts w:eastAsia="Times New Roman"/>
          <w:i/>
          <w:sz w:val="24"/>
          <w:szCs w:val="24"/>
        </w:rPr>
        <w:t xml:space="preserve"> </w:t>
      </w:r>
      <w:r w:rsidRPr="001E1DB5">
        <w:rPr>
          <w:rFonts w:eastAsia="Times New Roman"/>
          <w:sz w:val="24"/>
          <w:szCs w:val="24"/>
        </w:rPr>
        <w:t xml:space="preserve">see section 7-56-504, C.R.S.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Rinnander v. Denver Milk Producers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114 Colo. 506, 166 P.2d 984 (1946).</w:t>
      </w:r>
    </w:p>
    <w:p w14:paraId="0BA49E0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10. There is some authority to the effect that, where the interference is with a master-servant relationship, the defendant may be liable on a theory of negligence; that is, the defendant’s conduct need not be intentional. In such a case, this instruction would not be appropriate. </w:t>
      </w:r>
      <w:r w:rsidRPr="001E1DB5">
        <w:rPr>
          <w:rFonts w:eastAsia="Times New Roman"/>
          <w:i/>
          <w:sz w:val="24"/>
          <w:szCs w:val="24"/>
        </w:rPr>
        <w:t>See</w:t>
      </w:r>
      <w:r w:rsidRPr="001E1DB5">
        <w:rPr>
          <w:rFonts w:eastAsia="Times New Roman"/>
          <w:sz w:val="24"/>
          <w:szCs w:val="24"/>
        </w:rPr>
        <w:t xml:space="preserve"> </w:t>
      </w:r>
      <w:r w:rsidRPr="001E1DB5">
        <w:rPr>
          <w:rFonts w:eastAsia="Times New Roman"/>
          <w:smallCaps/>
          <w:sz w:val="24"/>
          <w:szCs w:val="24"/>
        </w:rPr>
        <w:t>Prosser and Keeton on the Law of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129, at 998.</w:t>
      </w:r>
    </w:p>
    <w:p w14:paraId="454E563E" w14:textId="17FA1243"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11. An agent may be liable to a third person for intentionally interfering “improperly” with a contract between that person and the agent’s principal. The existence of the agency relationship is relevant in determining whether the agent acted properly. An agent or corporate officer abuses his or her qualified privilege if the interference is not done for bona fide organizational purposes, but is motivated by a desire to do one of the contracting parties harm. </w:t>
      </w:r>
      <w:r w:rsidRPr="001E1DB5">
        <w:rPr>
          <w:rFonts w:eastAsia="Times New Roman"/>
          <w:b/>
          <w:sz w:val="24"/>
          <w:szCs w:val="24"/>
        </w:rPr>
        <w:t>Trimble v. City &amp; Cty. of Denver</w:t>
      </w:r>
      <w:r w:rsidRPr="001E1DB5">
        <w:rPr>
          <w:rFonts w:eastAsia="Times New Roman"/>
          <w:sz w:val="24"/>
          <w:szCs w:val="24"/>
        </w:rPr>
        <w:t xml:space="preserve">, 697 P.2d 716 (Colo. 1985);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Krystowiak v. W.O. Brisben Cos.</w:t>
      </w:r>
      <w:r w:rsidRPr="001E1DB5">
        <w:rPr>
          <w:rFonts w:eastAsia="Times New Roman"/>
          <w:sz w:val="24"/>
          <w:szCs w:val="24"/>
        </w:rPr>
        <w:t xml:space="preserve">, 90 P.3d 859 (Colo. 2004); </w:t>
      </w:r>
      <w:r w:rsidRPr="001E1DB5">
        <w:rPr>
          <w:rFonts w:eastAsia="Times New Roman"/>
          <w:b/>
          <w:sz w:val="24"/>
          <w:szCs w:val="24"/>
        </w:rPr>
        <w:t>Corporon v. Safeway Stores, Inc.</w:t>
      </w:r>
      <w:r w:rsidRPr="001E1DB5">
        <w:rPr>
          <w:rFonts w:eastAsia="Times New Roman"/>
          <w:sz w:val="24"/>
          <w:szCs w:val="24"/>
        </w:rPr>
        <w:t xml:space="preserve">, 708 P.2d 1385 (Colo. App. 1985). Similarly, except where a subsidiary corporation is an alter ego of its parent corporation, it may be held liable for intentionally interfering with a contract between its parent and another. </w:t>
      </w:r>
      <w:r w:rsidRPr="001E1DB5">
        <w:rPr>
          <w:rFonts w:eastAsia="Times New Roman"/>
          <w:b/>
          <w:sz w:val="24"/>
          <w:szCs w:val="24"/>
        </w:rPr>
        <w:t>Friedman &amp; Son, Inc. v. Safeway Stores, Inc.</w:t>
      </w:r>
      <w:r w:rsidRPr="001E1DB5">
        <w:rPr>
          <w:rFonts w:eastAsia="Times New Roman"/>
          <w:sz w:val="24"/>
          <w:szCs w:val="24"/>
        </w:rPr>
        <w:t xml:space="preserve">, 712 P.2d 1128 (Colo. App. 1985). As to the factors for determining whether a subsidiary was only an alter ego of the parent, see </w:t>
      </w:r>
      <w:r w:rsidRPr="001E1DB5">
        <w:rPr>
          <w:rFonts w:eastAsia="Times New Roman"/>
          <w:b/>
          <w:sz w:val="24"/>
          <w:szCs w:val="24"/>
        </w:rPr>
        <w:t>Friedman &amp; Son, Inc.</w:t>
      </w:r>
      <w:r w:rsidRPr="001E1DB5">
        <w:rPr>
          <w:rFonts w:eastAsia="Times New Roman"/>
          <w:sz w:val="24"/>
          <w:szCs w:val="24"/>
        </w:rPr>
        <w:t xml:space="preserve">, 712 P.2d </w:t>
      </w:r>
      <w:r w:rsidR="001033B3">
        <w:rPr>
          <w:rFonts w:eastAsia="Times New Roman"/>
          <w:sz w:val="24"/>
          <w:szCs w:val="24"/>
        </w:rPr>
        <w:t xml:space="preserve">at </w:t>
      </w:r>
      <w:r w:rsidRPr="001E1DB5">
        <w:rPr>
          <w:rFonts w:eastAsia="Times New Roman"/>
          <w:sz w:val="24"/>
          <w:szCs w:val="24"/>
        </w:rPr>
        <w:t>1131.</w:t>
      </w:r>
    </w:p>
    <w:p w14:paraId="694F661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12. A personal representative of a decedent’s estate may not be held personally liable for tortiously interfering with a contract between the decedent and a third party. </w:t>
      </w:r>
      <w:r w:rsidRPr="001E1DB5">
        <w:rPr>
          <w:rFonts w:eastAsia="Times New Roman"/>
          <w:b/>
          <w:sz w:val="24"/>
          <w:szCs w:val="24"/>
        </w:rPr>
        <w:t>Colo. Nat’l Bank of Denver v. Friedman</w:t>
      </w:r>
      <w:r w:rsidRPr="001E1DB5">
        <w:rPr>
          <w:rFonts w:eastAsia="Times New Roman"/>
          <w:sz w:val="24"/>
          <w:szCs w:val="24"/>
        </w:rPr>
        <w:t>, 846 P.2d 159 (Colo. 1993).</w:t>
      </w:r>
    </w:p>
    <w:p w14:paraId="260D14F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13. A claim for tortious interference with contract cannot be maintained among parties to the same contract. </w:t>
      </w:r>
      <w:r w:rsidRPr="001E1DB5">
        <w:rPr>
          <w:rFonts w:eastAsia="Times New Roman"/>
          <w:b/>
          <w:sz w:val="24"/>
          <w:szCs w:val="24"/>
        </w:rPr>
        <w:t>MDM Grp. Assocs., Inc. v. CX Reinsurance Co.</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165 P.3d 882 (Colo. App. 2007).</w:t>
      </w:r>
    </w:p>
    <w:p w14:paraId="5EEB1F6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14. Under the Colorado Governmental Immunity Act, a municipality is immune from liability for the tort of intentional interference with a contractual obligation. </w:t>
      </w:r>
      <w:r w:rsidRPr="001E1DB5">
        <w:rPr>
          <w:rFonts w:eastAsia="Times New Roman"/>
          <w:b/>
          <w:sz w:val="24"/>
          <w:szCs w:val="24"/>
        </w:rPr>
        <w:t>Grimm Constr. Co. v. Denver Bd. of Water Comm’rs</w:t>
      </w:r>
      <w:r w:rsidRPr="001E1DB5">
        <w:rPr>
          <w:rFonts w:eastAsia="Times New Roman"/>
          <w:sz w:val="24"/>
          <w:szCs w:val="24"/>
        </w:rPr>
        <w:t>, 835 P.2d 599 (Colo. App. 1992).</w:t>
      </w:r>
    </w:p>
    <w:p w14:paraId="7D21798D" w14:textId="77777777" w:rsidR="00CB62DC" w:rsidRDefault="00CB62DC">
      <w:pPr>
        <w:rPr>
          <w:rFonts w:eastAsia="Times New Roman"/>
          <w:sz w:val="24"/>
          <w:szCs w:val="24"/>
        </w:rPr>
      </w:pPr>
      <w:r>
        <w:rPr>
          <w:rFonts w:eastAsia="Times New Roman"/>
          <w:sz w:val="24"/>
          <w:szCs w:val="24"/>
        </w:rPr>
        <w:br w:type="page"/>
      </w:r>
    </w:p>
    <w:p w14:paraId="08411814" w14:textId="77777777" w:rsidR="00CB62DC" w:rsidRPr="009E3DA4" w:rsidRDefault="00CB62DC" w:rsidP="00CB62DC">
      <w:pPr>
        <w:spacing w:after="240"/>
        <w:ind w:left="720" w:hanging="720"/>
        <w:rPr>
          <w:rFonts w:eastAsia="Times New Roman"/>
          <w:b/>
          <w:sz w:val="24"/>
          <w:szCs w:val="24"/>
        </w:rPr>
      </w:pPr>
      <w:bookmarkStart w:id="2" w:name="a24_02"/>
      <w:bookmarkEnd w:id="2"/>
      <w:r w:rsidRPr="00CB62DC">
        <w:rPr>
          <w:rFonts w:eastAsia="Times New Roman"/>
          <w:b/>
          <w:sz w:val="24"/>
          <w:szCs w:val="24"/>
        </w:rPr>
        <w:lastRenderedPageBreak/>
        <w:t xml:space="preserve">24:2 </w:t>
      </w:r>
      <w:r w:rsidRPr="00CB62DC">
        <w:rPr>
          <w:rFonts w:eastAsia="Times New Roman"/>
          <w:b/>
          <w:sz w:val="24"/>
          <w:szCs w:val="24"/>
        </w:rPr>
        <w:tab/>
        <w:t>INTENTIONAL CONDUCT — DEFINED</w:t>
      </w:r>
    </w:p>
    <w:p w14:paraId="44456280"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Conduct is intentional if a person acts or speaks for the purpose, in whole or in part, of bringing about a particular result, or if a person knows his or her acts or words are likely to bring about that result. It is not necessary that a person act or speak with malice or ill will, but the presence or absence of malice or ill will may be considered by you in determining if the conduct is intentional.</w:t>
      </w:r>
    </w:p>
    <w:p w14:paraId="34E09AEC" w14:textId="77777777" w:rsidR="00CB62DC" w:rsidRDefault="00CB62DC" w:rsidP="00CB62DC">
      <w:pPr>
        <w:jc w:val="center"/>
        <w:rPr>
          <w:rFonts w:eastAsia="Times New Roman"/>
          <w:sz w:val="24"/>
          <w:szCs w:val="24"/>
        </w:rPr>
      </w:pPr>
    </w:p>
    <w:p w14:paraId="27A42215"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5EBC4B01"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This instruction should be given whenever Instruction 24:1 is given.</w:t>
      </w:r>
    </w:p>
    <w:p w14:paraId="78965B39"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3B368F32"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This instruction is supported by </w:t>
      </w:r>
      <w:r w:rsidRPr="00CB62DC">
        <w:rPr>
          <w:rFonts w:eastAsia="Times New Roman"/>
          <w:b/>
          <w:sz w:val="24"/>
          <w:szCs w:val="24"/>
        </w:rPr>
        <w:t>Watson v. Settlemeyer</w:t>
      </w:r>
      <w:r w:rsidRPr="00CB62DC">
        <w:rPr>
          <w:rFonts w:eastAsia="Times New Roman"/>
          <w:sz w:val="24"/>
          <w:szCs w:val="24"/>
        </w:rPr>
        <w:t xml:space="preserve">, 150 Colo. 326, 372 P.2d 453 (1962) (by implication); </w:t>
      </w:r>
      <w:r w:rsidRPr="00CB62DC">
        <w:rPr>
          <w:rFonts w:eastAsia="Times New Roman"/>
          <w:smallCaps/>
          <w:sz w:val="24"/>
          <w:szCs w:val="24"/>
        </w:rPr>
        <w:t>Restatement (Second) of Torts</w:t>
      </w:r>
      <w:r w:rsidRPr="00CB62DC">
        <w:rPr>
          <w:rFonts w:eastAsia="Times New Roman"/>
          <w:sz w:val="24"/>
          <w:szCs w:val="24"/>
        </w:rPr>
        <w:t xml:space="preserve"> § 766 (1979) cmts. j, r, s; and 2 </w:t>
      </w:r>
      <w:r w:rsidRPr="00CB62DC">
        <w:rPr>
          <w:rFonts w:eastAsia="Times New Roman"/>
          <w:smallCaps/>
          <w:sz w:val="24"/>
          <w:szCs w:val="24"/>
        </w:rPr>
        <w:t>F. Harper et al., Harper, James, and Gray on Torts</w:t>
      </w:r>
      <w:r w:rsidRPr="00CB62DC">
        <w:rPr>
          <w:rFonts w:eastAsia="Times New Roman"/>
          <w:sz w:val="24"/>
          <w:szCs w:val="24"/>
        </w:rPr>
        <w:t xml:space="preserve"> § 6.8 (3d ed. 2006).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Rinnander v. Denver Milk Producers</w:t>
      </w:r>
      <w:r w:rsidRPr="00CB62DC">
        <w:rPr>
          <w:rFonts w:eastAsia="Times New Roman"/>
          <w:sz w:val="24"/>
          <w:szCs w:val="24"/>
        </w:rPr>
        <w:t>, 114 Colo. 506, 166 P.2d 984 (1946).</w:t>
      </w:r>
    </w:p>
    <w:p w14:paraId="372043D0" w14:textId="77777777" w:rsidR="00CB62DC" w:rsidRDefault="00CB62DC">
      <w:pPr>
        <w:rPr>
          <w:rFonts w:eastAsia="Times New Roman"/>
          <w:sz w:val="24"/>
          <w:szCs w:val="24"/>
        </w:rPr>
      </w:pPr>
      <w:r>
        <w:rPr>
          <w:rFonts w:eastAsia="Times New Roman"/>
          <w:sz w:val="24"/>
          <w:szCs w:val="24"/>
        </w:rPr>
        <w:br w:type="page"/>
      </w:r>
    </w:p>
    <w:p w14:paraId="6BD64373" w14:textId="77777777" w:rsidR="00CB62DC" w:rsidRPr="009E3DA4" w:rsidRDefault="00CB62DC" w:rsidP="00CB62DC">
      <w:pPr>
        <w:spacing w:after="240"/>
        <w:ind w:left="720" w:hanging="720"/>
        <w:rPr>
          <w:rFonts w:eastAsia="Times New Roman"/>
          <w:b/>
          <w:sz w:val="24"/>
          <w:szCs w:val="24"/>
        </w:rPr>
      </w:pPr>
      <w:bookmarkStart w:id="3" w:name="a24_03"/>
      <w:bookmarkEnd w:id="3"/>
      <w:r w:rsidRPr="00CB62DC">
        <w:rPr>
          <w:rFonts w:eastAsia="Times New Roman"/>
          <w:b/>
          <w:sz w:val="24"/>
          <w:szCs w:val="24"/>
        </w:rPr>
        <w:lastRenderedPageBreak/>
        <w:t xml:space="preserve">24:3 </w:t>
      </w:r>
      <w:r w:rsidRPr="00CB62DC">
        <w:rPr>
          <w:rFonts w:eastAsia="Times New Roman"/>
          <w:b/>
          <w:sz w:val="24"/>
          <w:szCs w:val="24"/>
        </w:rPr>
        <w:tab/>
        <w:t>IMPROPER — DEFINED</w:t>
      </w:r>
    </w:p>
    <w:p w14:paraId="15E67829"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The defendant’s interference with the contract was improper if you find that </w:t>
      </w:r>
      <w:r w:rsidRPr="00CB62DC">
        <w:rPr>
          <w:rFonts w:eastAsia="Times New Roman"/>
          <w:i/>
          <w:sz w:val="24"/>
          <w:szCs w:val="24"/>
        </w:rPr>
        <w:t>(insert those facts that the plaintiff claims constitute improper conduct and that, if established, would constitute improper conduct as a matter of law)</w:t>
      </w:r>
      <w:r w:rsidRPr="00CB62DC">
        <w:rPr>
          <w:rFonts w:eastAsia="Times New Roman"/>
          <w:b/>
          <w:sz w:val="24"/>
          <w:szCs w:val="24"/>
        </w:rPr>
        <w:t>.</w:t>
      </w:r>
    </w:p>
    <w:p w14:paraId="459C673B" w14:textId="77777777" w:rsidR="00CB62DC" w:rsidRDefault="00CB62DC" w:rsidP="00CB62DC">
      <w:pPr>
        <w:jc w:val="center"/>
        <w:rPr>
          <w:rFonts w:eastAsia="Times New Roman"/>
          <w:sz w:val="24"/>
          <w:szCs w:val="24"/>
        </w:rPr>
      </w:pPr>
    </w:p>
    <w:p w14:paraId="1C310DF7"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20F173CE"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1. The court should define in this instruction the alleged conduct which, if proven, would be improper interference. </w:t>
      </w:r>
      <w:r w:rsidRPr="00CB62DC">
        <w:rPr>
          <w:rFonts w:eastAsia="Times New Roman"/>
          <w:b/>
          <w:sz w:val="24"/>
          <w:szCs w:val="24"/>
        </w:rPr>
        <w:t>Harris Grp., Inc. v. Robinson</w:t>
      </w:r>
      <w:r w:rsidRPr="00CB62DC">
        <w:rPr>
          <w:rFonts w:eastAsia="Times New Roman"/>
          <w:sz w:val="24"/>
          <w:szCs w:val="24"/>
        </w:rPr>
        <w:t xml:space="preserve">, 209 P.3d 1188 (Colo. App. 2009) (holding that interfering with employment contracts through tortious conduct (conversion and breach of fiduciary duty) amounted to “improper” interference with contractual relations). </w:t>
      </w:r>
    </w:p>
    <w:p w14:paraId="69F46CB7" w14:textId="5ED2A919"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It is error to instruct the jury on improper conduct that is </w:t>
      </w:r>
      <w:r w:rsidR="00DB5F6A">
        <w:rPr>
          <w:rFonts w:eastAsia="Times New Roman"/>
          <w:sz w:val="24"/>
          <w:szCs w:val="24"/>
        </w:rPr>
        <w:t xml:space="preserve">not supported by the evidence. </w:t>
      </w:r>
      <w:r w:rsidRPr="00CB62DC">
        <w:rPr>
          <w:rFonts w:eastAsia="Times New Roman"/>
          <w:b/>
          <w:sz w:val="24"/>
          <w:szCs w:val="24"/>
        </w:rPr>
        <w:t>Harris Grp.</w:t>
      </w:r>
      <w:r w:rsidRPr="00CB62DC">
        <w:rPr>
          <w:rFonts w:eastAsia="Times New Roman"/>
          <w:sz w:val="24"/>
          <w:szCs w:val="24"/>
        </w:rPr>
        <w:t>, 209 P.3d at 1200 (correct jury instructions should have “(1) excluded the wrongful means unsupported by the evidence – physical violence, threats of criminal prosecution, or threats of civil suit; (2) excluded the tort — intentional interference with contract — to which the business competition privilege applied; and (3) added the torts — conversion and breach of fiduciary duty — that qualified as wrongful means.”</w:t>
      </w:r>
    </w:p>
    <w:p w14:paraId="60FBA23D"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3. Where there is no dispute that the defendant was privileged to interfere with the contract, this instruction should be modified to instruct the jury on alleged conduct which, if proven, would constitute abuse of the privilege. In such event, Instruction 24:6 should not be given as a separate instruction.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Amoco Oil Co. v. Ervin</w:t>
      </w:r>
      <w:r w:rsidRPr="00CB62DC">
        <w:rPr>
          <w:rFonts w:eastAsia="Times New Roman"/>
          <w:sz w:val="24"/>
          <w:szCs w:val="24"/>
        </w:rPr>
        <w:t>, 908 P.2d 493 (Colo. 1995) (holding the claim should not have been submitted to the jury where evidence was undisputed that defendant was privileged competitor and did not use wrongful means to interfere with plaintiffs’ prospective business relations).</w:t>
      </w:r>
    </w:p>
    <w:p w14:paraId="308BDE5F" w14:textId="77777777" w:rsidR="00CB62DC" w:rsidRPr="00CB62DC" w:rsidRDefault="00CB62DC" w:rsidP="00CB62DC">
      <w:pPr>
        <w:spacing w:after="240"/>
        <w:ind w:firstLine="720"/>
        <w:rPr>
          <w:rFonts w:eastAsia="Times New Roman"/>
          <w:sz w:val="24"/>
          <w:szCs w:val="24"/>
        </w:rPr>
      </w:pPr>
    </w:p>
    <w:p w14:paraId="00DE9EAF"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777A4D94" w14:textId="77777777" w:rsidR="00CB62DC" w:rsidRPr="00CB62DC" w:rsidRDefault="00CB62DC" w:rsidP="00CB62DC">
      <w:pPr>
        <w:spacing w:after="240"/>
        <w:ind w:firstLine="720"/>
        <w:rPr>
          <w:rFonts w:eastAsia="Times New Roman"/>
          <w:b/>
          <w:sz w:val="24"/>
          <w:szCs w:val="24"/>
        </w:rPr>
      </w:pPr>
      <w:r w:rsidRPr="00CB62DC">
        <w:rPr>
          <w:rFonts w:eastAsia="Times New Roman"/>
          <w:sz w:val="24"/>
          <w:szCs w:val="24"/>
        </w:rPr>
        <w:t>1. This instruction is supported by</w:t>
      </w:r>
      <w:r w:rsidRPr="00CB62DC">
        <w:rPr>
          <w:rFonts w:eastAsia="Times New Roman"/>
          <w:b/>
          <w:sz w:val="24"/>
          <w:szCs w:val="24"/>
        </w:rPr>
        <w:t xml:space="preserve"> Westfield Development Co. v. Rifle Investment Associates</w:t>
      </w:r>
      <w:r w:rsidRPr="00CB62DC">
        <w:rPr>
          <w:rFonts w:eastAsia="Times New Roman"/>
          <w:sz w:val="24"/>
          <w:szCs w:val="24"/>
        </w:rPr>
        <w:t xml:space="preserve">, 786 P.2d 1112, 1118 (Colo. 1990) (“Even if the interference is intentional, therefore, liability does not attached unless the court concludes that the actor’s conduct is also improper.”).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Trimble v. City and Cty. of Denver</w:t>
      </w:r>
      <w:r w:rsidRPr="00CB62DC">
        <w:rPr>
          <w:rFonts w:eastAsia="Times New Roman"/>
          <w:sz w:val="24"/>
          <w:szCs w:val="24"/>
        </w:rPr>
        <w:t xml:space="preserve">, 697 P.2d 716 (Colo. 1985); </w:t>
      </w:r>
      <w:r w:rsidRPr="00CB62DC">
        <w:rPr>
          <w:rFonts w:eastAsia="Times New Roman"/>
          <w:b/>
          <w:sz w:val="24"/>
          <w:szCs w:val="24"/>
        </w:rPr>
        <w:t>Mem’l Gardens, Inc. v. Olympian Sales &amp; Mgmt. Consultants, Inc</w:t>
      </w:r>
      <w:r w:rsidRPr="00CB62DC">
        <w:rPr>
          <w:rFonts w:eastAsia="Times New Roman"/>
          <w:sz w:val="24"/>
          <w:szCs w:val="24"/>
        </w:rPr>
        <w:t>., 690 P.2d 207 (Colo. 1984).</w:t>
      </w:r>
      <w:r w:rsidRPr="00CB62DC">
        <w:rPr>
          <w:rFonts w:eastAsia="Times New Roman"/>
          <w:b/>
          <w:sz w:val="24"/>
          <w:szCs w:val="24"/>
        </w:rPr>
        <w:t xml:space="preserve"> </w:t>
      </w:r>
    </w:p>
    <w:p w14:paraId="29FF14D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Whether conduct is “improper” must be made by the court in the specific facts and circumstances in the case, and include weighing public policy interest in protecting the freedom </w:t>
      </w:r>
      <w:r w:rsidR="00320B6E">
        <w:rPr>
          <w:rFonts w:eastAsia="Times New Roman"/>
          <w:sz w:val="24"/>
          <w:szCs w:val="24"/>
        </w:rPr>
        <w:t xml:space="preserve">to </w:t>
      </w:r>
      <w:r w:rsidRPr="00CB62DC">
        <w:rPr>
          <w:rFonts w:eastAsia="Times New Roman"/>
          <w:sz w:val="24"/>
          <w:szCs w:val="24"/>
        </w:rPr>
        <w:t xml:space="preserve">compete in the marketplace. </w:t>
      </w:r>
      <w:r w:rsidRPr="00CB62DC">
        <w:rPr>
          <w:rFonts w:eastAsia="Times New Roman"/>
          <w:b/>
          <w:sz w:val="24"/>
          <w:szCs w:val="24"/>
        </w:rPr>
        <w:t>Warne v. Hall</w:t>
      </w:r>
      <w:r w:rsidRPr="00CB62DC">
        <w:rPr>
          <w:rFonts w:eastAsia="Times New Roman"/>
          <w:sz w:val="24"/>
          <w:szCs w:val="24"/>
        </w:rPr>
        <w:t xml:space="preserve">, 2016 CO 50, ¶ 25, 373 P.3d 588, 596 (“Because it is so clearly dependent upon context and circumstances, we have never attempted to rigidly define ‘improper’ for all purposes of interference with contract, but we have favorably referenced the Restatement (Second) of Torts § 767 (Am. Law Inst. 1965), in this regard and its enumeration of potentially relevant factors, which includes the nature of the actor’s conduct, the actor’s motive, the interests of the other with which the actor’s conduct interferes, the interests </w:t>
      </w:r>
      <w:r w:rsidRPr="00CB62DC">
        <w:rPr>
          <w:rFonts w:eastAsia="Times New Roman"/>
          <w:sz w:val="24"/>
          <w:szCs w:val="24"/>
        </w:rPr>
        <w:lastRenderedPageBreak/>
        <w:t xml:space="preserve">sought to be advanced by the actor, the social interests in protecting the freedom of action of the actor and the contractual interests of the other, the proximity or remoteness of the actor’s conduct to the interference, and the relation between the parties.”).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Westfield Dev. Co. v. Rifle Inv. Assocs.</w:t>
      </w:r>
      <w:r w:rsidRPr="00CB62DC">
        <w:rPr>
          <w:rFonts w:eastAsia="Times New Roman"/>
          <w:sz w:val="24"/>
          <w:szCs w:val="24"/>
        </w:rPr>
        <w:t>, 786 P.2d 1112 (Colo. 1990) (</w:t>
      </w:r>
      <w:r w:rsidR="007A0266">
        <w:rPr>
          <w:rFonts w:eastAsia="Times New Roman"/>
          <w:sz w:val="24"/>
          <w:szCs w:val="24"/>
        </w:rPr>
        <w:t>applying</w:t>
      </w:r>
      <w:r w:rsidRPr="00CB62DC">
        <w:rPr>
          <w:rFonts w:eastAsia="Times New Roman"/>
          <w:sz w:val="24"/>
          <w:szCs w:val="24"/>
        </w:rPr>
        <w:t xml:space="preserve"> the </w:t>
      </w:r>
      <w:r w:rsidRPr="007F40A8">
        <w:rPr>
          <w:rFonts w:eastAsia="Times New Roman"/>
          <w:smallCaps/>
          <w:sz w:val="24"/>
          <w:szCs w:val="24"/>
        </w:rPr>
        <w:t>Restatement (Second) of Torts</w:t>
      </w:r>
      <w:r w:rsidRPr="00CB62DC">
        <w:rPr>
          <w:rFonts w:eastAsia="Times New Roman"/>
          <w:sz w:val="24"/>
          <w:szCs w:val="24"/>
        </w:rPr>
        <w:t xml:space="preserve"> § 767 to determine whether conduct interfering with a contract or prospective business relation is improper).</w:t>
      </w:r>
    </w:p>
    <w:p w14:paraId="39CF34AD" w14:textId="77777777" w:rsidR="007F40A8" w:rsidRDefault="00CB62DC" w:rsidP="00EC29A6">
      <w:pPr>
        <w:spacing w:after="240"/>
        <w:ind w:firstLine="720"/>
        <w:rPr>
          <w:rFonts w:eastAsia="Times New Roman"/>
          <w:sz w:val="24"/>
          <w:szCs w:val="24"/>
        </w:rPr>
      </w:pPr>
      <w:r w:rsidRPr="00CB62DC">
        <w:rPr>
          <w:rFonts w:eastAsia="Times New Roman"/>
          <w:sz w:val="24"/>
          <w:szCs w:val="24"/>
        </w:rPr>
        <w:t xml:space="preserve"> </w:t>
      </w:r>
    </w:p>
    <w:p w14:paraId="5D24B001" w14:textId="77777777" w:rsidR="007F40A8" w:rsidRDefault="007F40A8">
      <w:pPr>
        <w:rPr>
          <w:rFonts w:eastAsia="Times New Roman"/>
          <w:sz w:val="24"/>
          <w:szCs w:val="24"/>
        </w:rPr>
      </w:pPr>
      <w:r>
        <w:rPr>
          <w:rFonts w:eastAsia="Times New Roman"/>
          <w:sz w:val="24"/>
          <w:szCs w:val="24"/>
        </w:rPr>
        <w:br w:type="page"/>
      </w:r>
    </w:p>
    <w:p w14:paraId="63810A6D" w14:textId="77777777" w:rsidR="007F40A8" w:rsidRPr="009E3DA4" w:rsidRDefault="009E5CC5" w:rsidP="007F40A8">
      <w:pPr>
        <w:spacing w:after="240"/>
        <w:ind w:left="720" w:hanging="720"/>
        <w:rPr>
          <w:rFonts w:eastAsia="Times New Roman"/>
          <w:b/>
          <w:sz w:val="24"/>
          <w:szCs w:val="24"/>
        </w:rPr>
      </w:pPr>
      <w:bookmarkStart w:id="4" w:name="a24_04"/>
      <w:bookmarkEnd w:id="4"/>
      <w:r w:rsidRPr="009E5CC5">
        <w:rPr>
          <w:rFonts w:eastAsia="Times New Roman"/>
          <w:b/>
          <w:sz w:val="24"/>
          <w:szCs w:val="24"/>
        </w:rPr>
        <w:lastRenderedPageBreak/>
        <w:t xml:space="preserve">24:4 </w:t>
      </w:r>
      <w:r w:rsidRPr="009E5CC5">
        <w:rPr>
          <w:rFonts w:eastAsia="Times New Roman"/>
          <w:b/>
          <w:sz w:val="24"/>
          <w:szCs w:val="24"/>
        </w:rPr>
        <w:tab/>
        <w:t>INTERFERENCE — DEFINED</w:t>
      </w:r>
    </w:p>
    <w:p w14:paraId="6879DF4C" w14:textId="77777777" w:rsidR="009E5CC5" w:rsidRPr="009E5CC5" w:rsidRDefault="009E5CC5" w:rsidP="009E5CC5">
      <w:pPr>
        <w:spacing w:after="240"/>
        <w:ind w:firstLine="720"/>
        <w:rPr>
          <w:rFonts w:eastAsia="Times New Roman"/>
          <w:b/>
          <w:sz w:val="24"/>
          <w:szCs w:val="24"/>
        </w:rPr>
      </w:pPr>
      <w:r w:rsidRPr="009E5CC5">
        <w:rPr>
          <w:rFonts w:eastAsia="Times New Roman"/>
          <w:b/>
          <w:sz w:val="24"/>
          <w:szCs w:val="24"/>
        </w:rPr>
        <w:t>Interference means intentional conduct (that causes another to terminate or not to perform a contract) (or) (that makes another’s performance of a contract impossible or more difficult).</w:t>
      </w:r>
    </w:p>
    <w:p w14:paraId="26784F70" w14:textId="77777777" w:rsidR="007F40A8" w:rsidRDefault="007F40A8" w:rsidP="007F40A8">
      <w:pPr>
        <w:jc w:val="center"/>
        <w:rPr>
          <w:rFonts w:eastAsia="Times New Roman"/>
          <w:sz w:val="24"/>
          <w:szCs w:val="24"/>
        </w:rPr>
      </w:pPr>
    </w:p>
    <w:p w14:paraId="708C3395" w14:textId="77777777" w:rsidR="007F40A8" w:rsidRPr="0054263B" w:rsidRDefault="007F40A8" w:rsidP="007F40A8">
      <w:pPr>
        <w:keepNext/>
        <w:spacing w:after="240"/>
        <w:jc w:val="center"/>
        <w:rPr>
          <w:rFonts w:eastAsia="Times New Roman"/>
          <w:b/>
          <w:sz w:val="24"/>
          <w:szCs w:val="24"/>
        </w:rPr>
      </w:pPr>
      <w:r w:rsidRPr="0054263B">
        <w:rPr>
          <w:rFonts w:eastAsia="Times New Roman"/>
          <w:b/>
          <w:sz w:val="24"/>
          <w:szCs w:val="24"/>
        </w:rPr>
        <w:t>Notes on Use</w:t>
      </w:r>
    </w:p>
    <w:p w14:paraId="4DA3C84D"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This instruction should be given with Instruction 24:1 whenever that instruction is given using the word “interfered” in numbered paragraph 3.</w:t>
      </w:r>
    </w:p>
    <w:p w14:paraId="1F47FE7A" w14:textId="77777777" w:rsidR="007F40A8" w:rsidRPr="0054263B" w:rsidRDefault="007F40A8" w:rsidP="007F40A8">
      <w:pPr>
        <w:keepNext/>
        <w:spacing w:after="240"/>
        <w:jc w:val="center"/>
        <w:rPr>
          <w:rFonts w:eastAsia="Times New Roman"/>
          <w:b/>
          <w:sz w:val="24"/>
          <w:szCs w:val="24"/>
        </w:rPr>
      </w:pPr>
      <w:r>
        <w:rPr>
          <w:rFonts w:eastAsia="Times New Roman"/>
          <w:b/>
          <w:sz w:val="24"/>
          <w:szCs w:val="24"/>
        </w:rPr>
        <w:t>Source and Authority</w:t>
      </w:r>
    </w:p>
    <w:p w14:paraId="27FA5342"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 xml:space="preserve">This instruction is supported by </w:t>
      </w:r>
      <w:r w:rsidRPr="009E5CC5">
        <w:rPr>
          <w:rFonts w:eastAsia="Times New Roman"/>
          <w:smallCaps/>
          <w:sz w:val="24"/>
          <w:szCs w:val="24"/>
        </w:rPr>
        <w:t>W. Page Keeton et al., Prosser and Keeton on the Law of Torts</w:t>
      </w:r>
      <w:r w:rsidRPr="009E5CC5">
        <w:rPr>
          <w:rFonts w:eastAsia="Times New Roman"/>
          <w:sz w:val="24"/>
          <w:szCs w:val="24"/>
        </w:rPr>
        <w:t xml:space="preserve"> § 129, at 991 (5th ed. 1984); and 2 </w:t>
      </w:r>
      <w:r w:rsidRPr="009E5CC5">
        <w:rPr>
          <w:rFonts w:eastAsia="Times New Roman"/>
          <w:smallCaps/>
          <w:sz w:val="24"/>
          <w:szCs w:val="24"/>
        </w:rPr>
        <w:t>F. Harper et al., Harper, James, and Gray on Torts</w:t>
      </w:r>
      <w:r w:rsidRPr="009E5CC5">
        <w:rPr>
          <w:rFonts w:eastAsia="Times New Roman"/>
          <w:sz w:val="24"/>
          <w:szCs w:val="24"/>
        </w:rPr>
        <w:t xml:space="preserve"> § 6.9 (3d ed. 2006).</w:t>
      </w:r>
    </w:p>
    <w:p w14:paraId="4958C2A6" w14:textId="77777777" w:rsidR="009E5CC5" w:rsidRDefault="007F40A8" w:rsidP="00EC29A6">
      <w:pPr>
        <w:spacing w:after="240"/>
        <w:ind w:firstLine="720"/>
        <w:rPr>
          <w:rFonts w:eastAsia="Times New Roman"/>
          <w:sz w:val="24"/>
          <w:szCs w:val="24"/>
        </w:rPr>
      </w:pPr>
      <w:r w:rsidRPr="00CB62DC">
        <w:rPr>
          <w:rFonts w:eastAsia="Times New Roman"/>
          <w:sz w:val="24"/>
          <w:szCs w:val="24"/>
        </w:rPr>
        <w:t xml:space="preserve"> </w:t>
      </w:r>
    </w:p>
    <w:p w14:paraId="6D303291" w14:textId="77777777" w:rsidR="009E5CC5" w:rsidRDefault="009E5CC5">
      <w:pPr>
        <w:rPr>
          <w:rFonts w:eastAsia="Times New Roman"/>
          <w:sz w:val="24"/>
          <w:szCs w:val="24"/>
        </w:rPr>
      </w:pPr>
      <w:r>
        <w:rPr>
          <w:rFonts w:eastAsia="Times New Roman"/>
          <w:sz w:val="24"/>
          <w:szCs w:val="24"/>
        </w:rPr>
        <w:br w:type="page"/>
      </w:r>
    </w:p>
    <w:p w14:paraId="6D10E3D4" w14:textId="77777777" w:rsidR="009E5CC5" w:rsidRPr="009E3DA4" w:rsidRDefault="001300D4" w:rsidP="009E5CC5">
      <w:pPr>
        <w:spacing w:after="240"/>
        <w:ind w:left="720" w:hanging="720"/>
        <w:rPr>
          <w:rFonts w:eastAsia="Times New Roman"/>
          <w:b/>
          <w:sz w:val="24"/>
          <w:szCs w:val="24"/>
        </w:rPr>
      </w:pPr>
      <w:bookmarkStart w:id="5" w:name="a24_05"/>
      <w:bookmarkEnd w:id="5"/>
      <w:r w:rsidRPr="001300D4">
        <w:rPr>
          <w:rFonts w:eastAsia="Times New Roman"/>
          <w:b/>
          <w:sz w:val="24"/>
          <w:szCs w:val="24"/>
        </w:rPr>
        <w:lastRenderedPageBreak/>
        <w:t xml:space="preserve">24:5 </w:t>
      </w:r>
      <w:r w:rsidRPr="001300D4">
        <w:rPr>
          <w:rFonts w:eastAsia="Times New Roman"/>
          <w:b/>
          <w:sz w:val="24"/>
          <w:szCs w:val="24"/>
        </w:rPr>
        <w:tab/>
        <w:t>CONTRACTS TERMINABLE AT WILL OR VOIDABLE</w:t>
      </w:r>
    </w:p>
    <w:p w14:paraId="3C011F4C" w14:textId="77777777" w:rsidR="001300D4" w:rsidRPr="001300D4" w:rsidRDefault="001300D4" w:rsidP="001300D4">
      <w:pPr>
        <w:spacing w:after="240"/>
        <w:ind w:firstLine="720"/>
        <w:rPr>
          <w:rFonts w:eastAsia="Times New Roman"/>
          <w:b/>
          <w:sz w:val="24"/>
          <w:szCs w:val="24"/>
        </w:rPr>
      </w:pPr>
      <w:r w:rsidRPr="001300D4">
        <w:rPr>
          <w:rFonts w:eastAsia="Times New Roman"/>
          <w:b/>
          <w:sz w:val="24"/>
          <w:szCs w:val="24"/>
        </w:rPr>
        <w:t xml:space="preserve">It is not a defense to the plaintiff’s claim of intentional interference with contract that the contract between the plaintiff </w:t>
      </w:r>
      <w:r w:rsidRPr="001300D4">
        <w:rPr>
          <w:rFonts w:eastAsia="Times New Roman"/>
          <w:i/>
          <w:sz w:val="24"/>
          <w:szCs w:val="24"/>
        </w:rPr>
        <w:t xml:space="preserve">(name) </w:t>
      </w:r>
      <w:r w:rsidRPr="001300D4">
        <w:rPr>
          <w:rFonts w:eastAsia="Times New Roman"/>
          <w:b/>
          <w:sz w:val="24"/>
          <w:szCs w:val="24"/>
        </w:rPr>
        <w:t xml:space="preserve">and </w:t>
      </w:r>
      <w:r w:rsidRPr="001300D4">
        <w:rPr>
          <w:rFonts w:eastAsia="Times New Roman"/>
          <w:i/>
          <w:sz w:val="24"/>
          <w:szCs w:val="24"/>
        </w:rPr>
        <w:t>(name of third person)</w:t>
      </w:r>
      <w:r w:rsidRPr="001300D4">
        <w:rPr>
          <w:rFonts w:eastAsia="Times New Roman"/>
          <w:b/>
          <w:sz w:val="24"/>
          <w:szCs w:val="24"/>
        </w:rPr>
        <w:t xml:space="preserve"> could have been (canceled [for no reason] [because of </w:t>
      </w:r>
      <w:r w:rsidRPr="001300D4">
        <w:rPr>
          <w:rFonts w:eastAsia="Times New Roman"/>
          <w:i/>
          <w:sz w:val="24"/>
          <w:szCs w:val="24"/>
        </w:rPr>
        <w:t>(describe the reason, e.g., the legal disability of the third person)</w:t>
      </w:r>
      <w:r w:rsidRPr="001300D4">
        <w:rPr>
          <w:rFonts w:eastAsia="Times New Roman"/>
          <w:b/>
          <w:sz w:val="24"/>
          <w:szCs w:val="24"/>
        </w:rPr>
        <w:t>]) (terminated at will).</w:t>
      </w:r>
    </w:p>
    <w:p w14:paraId="121A7403" w14:textId="77777777" w:rsidR="009E5CC5" w:rsidRDefault="009E5CC5" w:rsidP="009E5CC5">
      <w:pPr>
        <w:jc w:val="center"/>
        <w:rPr>
          <w:rFonts w:eastAsia="Times New Roman"/>
          <w:sz w:val="24"/>
          <w:szCs w:val="24"/>
        </w:rPr>
      </w:pPr>
    </w:p>
    <w:p w14:paraId="1BE162EB" w14:textId="77777777" w:rsidR="009E5CC5" w:rsidRPr="0054263B" w:rsidRDefault="009E5CC5" w:rsidP="009E5CC5">
      <w:pPr>
        <w:keepNext/>
        <w:spacing w:after="240"/>
        <w:jc w:val="center"/>
        <w:rPr>
          <w:rFonts w:eastAsia="Times New Roman"/>
          <w:b/>
          <w:sz w:val="24"/>
          <w:szCs w:val="24"/>
        </w:rPr>
      </w:pPr>
      <w:r w:rsidRPr="0054263B">
        <w:rPr>
          <w:rFonts w:eastAsia="Times New Roman"/>
          <w:b/>
          <w:sz w:val="24"/>
          <w:szCs w:val="24"/>
        </w:rPr>
        <w:t>Notes on Use</w:t>
      </w:r>
    </w:p>
    <w:p w14:paraId="309CA45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1. This cautionary instruction should not be given unless some reference concerning terminability or voidability has been made before to the jury.</w:t>
      </w:r>
    </w:p>
    <w:p w14:paraId="0458943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2. Use whichever parenthesized words are appropriate.</w:t>
      </w:r>
    </w:p>
    <w:p w14:paraId="5539CA55"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This instruction does not apply where the contract is illegal or otherwise void as being against public policy. </w:t>
      </w:r>
      <w:r w:rsidRPr="001300D4">
        <w:rPr>
          <w:rFonts w:eastAsia="Times New Roman"/>
          <w:b/>
          <w:sz w:val="24"/>
          <w:szCs w:val="24"/>
        </w:rPr>
        <w:t>Colo. Accounting Machs., Inc. v. Mergenthaler</w:t>
      </w:r>
      <w:r w:rsidRPr="001300D4">
        <w:rPr>
          <w:rFonts w:eastAsia="Times New Roman"/>
          <w:sz w:val="24"/>
          <w:szCs w:val="24"/>
        </w:rPr>
        <w:t xml:space="preserve">, 44 Colo. App. 155, 609 P.2d 1125 (1980);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Dolton v. Capitol Fed. Sav. &amp; Loan Ass’n</w:t>
      </w:r>
      <w:r w:rsidRPr="001300D4">
        <w:rPr>
          <w:rFonts w:eastAsia="Times New Roman"/>
          <w:sz w:val="24"/>
          <w:szCs w:val="24"/>
        </w:rPr>
        <w:t>,</w:t>
      </w:r>
      <w:r w:rsidRPr="001300D4">
        <w:rPr>
          <w:rFonts w:eastAsia="Times New Roman"/>
          <w:b/>
          <w:sz w:val="24"/>
          <w:szCs w:val="24"/>
        </w:rPr>
        <w:t xml:space="preserve"> </w:t>
      </w:r>
      <w:r w:rsidRPr="001300D4">
        <w:rPr>
          <w:rFonts w:eastAsia="Times New Roman"/>
          <w:sz w:val="24"/>
          <w:szCs w:val="24"/>
        </w:rPr>
        <w:t>642 P.2d 21 (Colo. App. 1981) (no liability for inducing a breach of a contract made void by statute because even if oral contract existed, specific language of applicable statute of frauds rendered contract void).</w:t>
      </w:r>
    </w:p>
    <w:p w14:paraId="2513F101" w14:textId="77777777" w:rsidR="009E5CC5" w:rsidRPr="0054263B" w:rsidRDefault="009E5CC5" w:rsidP="009E5CC5">
      <w:pPr>
        <w:keepNext/>
        <w:spacing w:after="240"/>
        <w:jc w:val="center"/>
        <w:rPr>
          <w:rFonts w:eastAsia="Times New Roman"/>
          <w:b/>
          <w:sz w:val="24"/>
          <w:szCs w:val="24"/>
        </w:rPr>
      </w:pPr>
      <w:r>
        <w:rPr>
          <w:rFonts w:eastAsia="Times New Roman"/>
          <w:b/>
          <w:sz w:val="24"/>
          <w:szCs w:val="24"/>
        </w:rPr>
        <w:t>Source and Authority</w:t>
      </w:r>
    </w:p>
    <w:p w14:paraId="091169D7"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1. This instruction is supported by </w:t>
      </w:r>
      <w:r w:rsidRPr="001300D4">
        <w:rPr>
          <w:rFonts w:eastAsia="Times New Roman"/>
          <w:b/>
          <w:sz w:val="24"/>
          <w:szCs w:val="24"/>
        </w:rPr>
        <w:t>Harris Group, Inc. v. Robinson</w:t>
      </w:r>
      <w:r w:rsidRPr="001300D4">
        <w:rPr>
          <w:rFonts w:eastAsia="Times New Roman"/>
          <w:sz w:val="24"/>
          <w:szCs w:val="24"/>
        </w:rPr>
        <w:t xml:space="preserve">, 209 P.3d 1188 (Colo. App. 2009) (contract at will entitled to less protection in business competition than contract not terminable at will); </w:t>
      </w:r>
      <w:r w:rsidRPr="001300D4">
        <w:rPr>
          <w:rFonts w:eastAsia="Times New Roman"/>
          <w:b/>
          <w:sz w:val="24"/>
          <w:szCs w:val="24"/>
        </w:rPr>
        <w:t>Electrolux Corp. v. Lawson,</w:t>
      </w:r>
      <w:r w:rsidRPr="001300D4">
        <w:rPr>
          <w:rFonts w:eastAsia="Times New Roman"/>
          <w:sz w:val="24"/>
          <w:szCs w:val="24"/>
        </w:rPr>
        <w:t xml:space="preserve"> 654 P.2d 340 (Colo. App. 1982) (where privilege of competition exists, causing a third person to terminate a contract terminable at will not improper unless wrongful means, such as physical violence, fraud, etc., are used); and </w:t>
      </w:r>
      <w:r w:rsidRPr="001300D4">
        <w:rPr>
          <w:rFonts w:eastAsia="Times New Roman"/>
          <w:b/>
          <w:sz w:val="24"/>
          <w:szCs w:val="24"/>
        </w:rPr>
        <w:t>Mulei v. Jet Courier Serv., Inc.</w:t>
      </w:r>
      <w:r w:rsidRPr="001300D4">
        <w:rPr>
          <w:rFonts w:eastAsia="Times New Roman"/>
          <w:sz w:val="24"/>
          <w:szCs w:val="24"/>
        </w:rPr>
        <w:t xml:space="preserve">, 739 P.2d 889 (Colo. App. 1987), </w:t>
      </w:r>
      <w:r w:rsidRPr="001300D4">
        <w:rPr>
          <w:rFonts w:eastAsia="Times New Roman"/>
          <w:i/>
          <w:sz w:val="24"/>
          <w:szCs w:val="24"/>
        </w:rPr>
        <w:t>rev’d in part on other grounds</w:t>
      </w:r>
      <w:r w:rsidRPr="001300D4">
        <w:rPr>
          <w:rFonts w:eastAsia="Times New Roman"/>
          <w:sz w:val="24"/>
          <w:szCs w:val="24"/>
        </w:rPr>
        <w:t xml:space="preserve">, 771 P.2d 486 (Colo. 1989). </w:t>
      </w:r>
      <w:r w:rsidRPr="001300D4">
        <w:rPr>
          <w:rFonts w:eastAsia="Times New Roman"/>
          <w:i/>
          <w:sz w:val="24"/>
          <w:szCs w:val="24"/>
        </w:rPr>
        <w:t>See also</w:t>
      </w:r>
      <w:r w:rsidRPr="001300D4">
        <w:rPr>
          <w:rFonts w:eastAsia="Times New Roman"/>
          <w:sz w:val="24"/>
          <w:szCs w:val="24"/>
        </w:rPr>
        <w:t xml:space="preserve"> Instruction 24:6. “A contract terminable at will is one that may be terminated at any time without legal consequence; that is, there is no breach if the contract is terminated.” </w:t>
      </w:r>
      <w:r w:rsidRPr="001300D4">
        <w:rPr>
          <w:rFonts w:eastAsia="Times New Roman"/>
          <w:b/>
          <w:sz w:val="24"/>
          <w:szCs w:val="24"/>
        </w:rPr>
        <w:t>Mem’l Gardens, Inc. v. Olympian Sales &amp; Mgmt. Consultants, Inc.</w:t>
      </w:r>
      <w:r w:rsidRPr="001300D4">
        <w:rPr>
          <w:rFonts w:eastAsia="Times New Roman"/>
          <w:sz w:val="24"/>
          <w:szCs w:val="24"/>
        </w:rPr>
        <w:t>, 690 P.2d 207, 212 (Colo. 1984) (supporting the instruction by implication, but holding the contract was not terminable at will). Thus, even though the fact that a contract is terminable at will is not a defense, the affirmative defense of justifiable business competition has been recognized as being particularly applicable in such cases.</w:t>
      </w:r>
    </w:p>
    <w:p w14:paraId="7C16129A"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2. The fact that the contract may have been terminable at the will of the third person does not deprive the plaintiff of his or her claim for relief. </w:t>
      </w:r>
      <w:r w:rsidRPr="001300D4">
        <w:rPr>
          <w:rFonts w:eastAsia="Times New Roman"/>
          <w:b/>
          <w:sz w:val="24"/>
          <w:szCs w:val="24"/>
        </w:rPr>
        <w:t>Watson v. Settlemeyer</w:t>
      </w:r>
      <w:r w:rsidRPr="001300D4">
        <w:rPr>
          <w:rFonts w:eastAsia="Times New Roman"/>
          <w:sz w:val="24"/>
          <w:szCs w:val="24"/>
        </w:rPr>
        <w:t xml:space="preserve">, 150 Colo. 326, 372 P.2d 453 (1962); </w:t>
      </w:r>
      <w:r w:rsidRPr="001300D4">
        <w:rPr>
          <w:rFonts w:eastAsia="Times New Roman"/>
          <w:b/>
          <w:sz w:val="24"/>
          <w:szCs w:val="24"/>
        </w:rPr>
        <w:t>Bithell v. W. Care Corp.</w:t>
      </w:r>
      <w:r w:rsidRPr="001300D4">
        <w:rPr>
          <w:rFonts w:eastAsia="Times New Roman"/>
          <w:sz w:val="24"/>
          <w:szCs w:val="24"/>
        </w:rPr>
        <w:t xml:space="preserve">, 762 P.2d 708 (Colo. App. 1988); </w:t>
      </w:r>
      <w:r w:rsidRPr="001300D4">
        <w:rPr>
          <w:rFonts w:eastAsia="Times New Roman"/>
          <w:b/>
          <w:sz w:val="24"/>
          <w:szCs w:val="24"/>
        </w:rPr>
        <w:t>Zappa v. Seiver</w:t>
      </w:r>
      <w:r w:rsidRPr="001300D4">
        <w:rPr>
          <w:rFonts w:eastAsia="Times New Roman"/>
          <w:sz w:val="24"/>
          <w:szCs w:val="24"/>
        </w:rPr>
        <w:t xml:space="preserve">, 706 P.2d 440 (Colo. App. 1985); </w:t>
      </w:r>
      <w:r w:rsidRPr="001300D4">
        <w:rPr>
          <w:rFonts w:eastAsia="Times New Roman"/>
          <w:smallCaps/>
          <w:sz w:val="24"/>
          <w:szCs w:val="24"/>
        </w:rPr>
        <w:t>W. Page Keeton et al., Prosser and Keeton on the Law of Torts</w:t>
      </w:r>
      <w:r w:rsidRPr="001300D4">
        <w:rPr>
          <w:rFonts w:eastAsia="Times New Roman"/>
          <w:sz w:val="24"/>
          <w:szCs w:val="24"/>
        </w:rPr>
        <w:t xml:space="preserve"> § 129, at 995-96 (5th ed. 1984). However, such fact may be relevant on the issues of damages and privilege.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b/>
          <w:sz w:val="24"/>
          <w:szCs w:val="24"/>
        </w:rPr>
        <w:t>Harris Grp., Inc.</w:t>
      </w:r>
      <w:r w:rsidRPr="001300D4">
        <w:rPr>
          <w:rFonts w:eastAsia="Times New Roman"/>
          <w:sz w:val="24"/>
          <w:szCs w:val="24"/>
        </w:rPr>
        <w:t xml:space="preserve">, 209 P.3d at 1202-03;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 129, at 996.</w:t>
      </w:r>
    </w:p>
    <w:p w14:paraId="75D4924E"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Although the contract with the third person must be “valid” in the sense of not being illegal or against public policy, the fact that the third person may be in a position to resist </w:t>
      </w:r>
      <w:r w:rsidRPr="001300D4">
        <w:rPr>
          <w:rFonts w:eastAsia="Times New Roman"/>
          <w:sz w:val="24"/>
          <w:szCs w:val="24"/>
        </w:rPr>
        <w:lastRenderedPageBreak/>
        <w:t xml:space="preserve">enforcement of the contract because of some defense making the contract voidable (statute of frauds, minority, etc.) does not generally deprive the plaintiff of his or her claim for relief.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smallCaps/>
          <w:sz w:val="24"/>
          <w:szCs w:val="24"/>
        </w:rPr>
        <w:t>Restatement (Second) of Torts</w:t>
      </w:r>
      <w:r w:rsidRPr="001300D4">
        <w:rPr>
          <w:rFonts w:eastAsia="Times New Roman"/>
          <w:sz w:val="24"/>
          <w:szCs w:val="24"/>
        </w:rPr>
        <w:t xml:space="preserve"> § 766 cmts. f &amp; g (1979);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xml:space="preserve">, § 129, at 994-95; 2 </w:t>
      </w:r>
      <w:r w:rsidRPr="001300D4">
        <w:rPr>
          <w:rFonts w:eastAsia="Times New Roman"/>
          <w:smallCaps/>
          <w:sz w:val="24"/>
          <w:szCs w:val="24"/>
        </w:rPr>
        <w:t>F. Harper et al., Harper, James, and Gray on Torts</w:t>
      </w:r>
      <w:r w:rsidRPr="001300D4">
        <w:rPr>
          <w:rFonts w:eastAsia="Times New Roman"/>
          <w:sz w:val="24"/>
          <w:szCs w:val="24"/>
        </w:rPr>
        <w:t xml:space="preserve"> § 6.7, at 368-72 (3d ed. 2006);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Carman v. Heber</w:t>
      </w:r>
      <w:r w:rsidRPr="001300D4">
        <w:rPr>
          <w:rFonts w:eastAsia="Times New Roman"/>
          <w:sz w:val="24"/>
          <w:szCs w:val="24"/>
        </w:rPr>
        <w:t>, 43 Colo. App. 5, 601 P.2d 646 (1979).</w:t>
      </w:r>
    </w:p>
    <w:p w14:paraId="76FDBDFB" w14:textId="77777777" w:rsidR="001300D4" w:rsidRDefault="009E5CC5" w:rsidP="00EC29A6">
      <w:pPr>
        <w:spacing w:after="240"/>
        <w:ind w:firstLine="720"/>
        <w:rPr>
          <w:rFonts w:eastAsia="Times New Roman"/>
          <w:sz w:val="24"/>
          <w:szCs w:val="24"/>
        </w:rPr>
      </w:pPr>
      <w:r w:rsidRPr="00CB62DC">
        <w:rPr>
          <w:rFonts w:eastAsia="Times New Roman"/>
          <w:sz w:val="24"/>
          <w:szCs w:val="24"/>
        </w:rPr>
        <w:t xml:space="preserve"> </w:t>
      </w:r>
    </w:p>
    <w:p w14:paraId="7F6E4BED" w14:textId="77777777" w:rsidR="001300D4" w:rsidRDefault="001300D4">
      <w:pPr>
        <w:rPr>
          <w:rFonts w:eastAsia="Times New Roman"/>
          <w:sz w:val="24"/>
          <w:szCs w:val="24"/>
        </w:rPr>
      </w:pPr>
      <w:r>
        <w:rPr>
          <w:rFonts w:eastAsia="Times New Roman"/>
          <w:sz w:val="24"/>
          <w:szCs w:val="24"/>
        </w:rPr>
        <w:br w:type="page"/>
      </w:r>
    </w:p>
    <w:p w14:paraId="4563CC24" w14:textId="77777777" w:rsidR="001300D4" w:rsidRPr="009E3DA4" w:rsidRDefault="00392F02" w:rsidP="001300D4">
      <w:pPr>
        <w:spacing w:after="240"/>
        <w:ind w:left="720" w:hanging="720"/>
        <w:rPr>
          <w:rFonts w:eastAsia="Times New Roman"/>
          <w:b/>
          <w:sz w:val="24"/>
          <w:szCs w:val="24"/>
        </w:rPr>
      </w:pPr>
      <w:bookmarkStart w:id="6" w:name="a24_06"/>
      <w:bookmarkEnd w:id="6"/>
      <w:r w:rsidRPr="00392F02">
        <w:rPr>
          <w:rFonts w:eastAsia="Times New Roman"/>
          <w:b/>
          <w:sz w:val="24"/>
          <w:szCs w:val="24"/>
        </w:rPr>
        <w:lastRenderedPageBreak/>
        <w:t xml:space="preserve">24:6 </w:t>
      </w:r>
      <w:r w:rsidRPr="00392F02">
        <w:rPr>
          <w:rFonts w:eastAsia="Times New Roman"/>
          <w:b/>
          <w:sz w:val="24"/>
          <w:szCs w:val="24"/>
        </w:rPr>
        <w:tab/>
        <w:t>AFFIRMATIVE DEFENSE — PRIVILEGE — WHEN EXISTENT — WHEN LOST</w:t>
      </w:r>
    </w:p>
    <w:p w14:paraId="209B6376"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For the defendant to establish (his) (her) (its) affirmative defense of privilege (he) (she) (it) has the burden of proving (all of the following):</w:t>
      </w:r>
    </w:p>
    <w:p w14:paraId="04436C4E" w14:textId="77777777" w:rsidR="00392F02" w:rsidRPr="00392F02" w:rsidRDefault="00392F02" w:rsidP="00392F02">
      <w:pPr>
        <w:spacing w:after="240"/>
        <w:ind w:firstLine="720"/>
        <w:rPr>
          <w:rFonts w:eastAsia="Times New Roman"/>
          <w:i/>
          <w:sz w:val="24"/>
          <w:szCs w:val="24"/>
        </w:rPr>
      </w:pPr>
      <w:r w:rsidRPr="00392F02">
        <w:rPr>
          <w:rFonts w:eastAsia="Times New Roman"/>
          <w:i/>
          <w:sz w:val="24"/>
          <w:szCs w:val="24"/>
        </w:rPr>
        <w:t>(Insert those facts that the defendant claims gives him or her a privilege and that, if true, would give the defendant a privilege as a matter of law.)</w:t>
      </w:r>
    </w:p>
    <w:p w14:paraId="299E95EC"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(Even though the defendant proves [his] [her] [its] affirmative defense of privilege, that defense is lost if the plaintiff proves that the defendant abused [his] [her] [its] privilege. The defendant abused [his] [her] [its] privilege if </w:t>
      </w:r>
      <w:r w:rsidRPr="00392F02">
        <w:rPr>
          <w:rFonts w:eastAsia="Times New Roman"/>
          <w:i/>
          <w:sz w:val="24"/>
          <w:szCs w:val="24"/>
        </w:rPr>
        <w:t>[describe those facts that the plaintiff claims constitute and that would constitute an abuse of privilege as a matter of law.]</w:t>
      </w:r>
      <w:r w:rsidRPr="00392F02">
        <w:rPr>
          <w:rFonts w:eastAsia="Times New Roman"/>
          <w:b/>
          <w:sz w:val="24"/>
          <w:szCs w:val="24"/>
        </w:rPr>
        <w:t>).</w:t>
      </w:r>
    </w:p>
    <w:p w14:paraId="43EA514E" w14:textId="77777777" w:rsidR="001300D4" w:rsidRDefault="001300D4" w:rsidP="001300D4">
      <w:pPr>
        <w:jc w:val="center"/>
        <w:rPr>
          <w:rFonts w:eastAsia="Times New Roman"/>
          <w:sz w:val="24"/>
          <w:szCs w:val="24"/>
        </w:rPr>
      </w:pPr>
    </w:p>
    <w:p w14:paraId="0F3DFD9F" w14:textId="77777777" w:rsidR="001300D4" w:rsidRPr="0054263B" w:rsidRDefault="001300D4" w:rsidP="001300D4">
      <w:pPr>
        <w:keepNext/>
        <w:spacing w:after="240"/>
        <w:jc w:val="center"/>
        <w:rPr>
          <w:rFonts w:eastAsia="Times New Roman"/>
          <w:b/>
          <w:sz w:val="24"/>
          <w:szCs w:val="24"/>
        </w:rPr>
      </w:pPr>
      <w:r w:rsidRPr="0054263B">
        <w:rPr>
          <w:rFonts w:eastAsia="Times New Roman"/>
          <w:b/>
          <w:sz w:val="24"/>
          <w:szCs w:val="24"/>
        </w:rPr>
        <w:t>Notes on Use</w:t>
      </w:r>
    </w:p>
    <w:p w14:paraId="58377FE5" w14:textId="12A30770"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This instruction should be given only if there is sufficient evidence in the case for a reasonable jury to reasonably conclude the truth of facts which, as a matter of law, would give the defendant a privilege. </w:t>
      </w: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Westfield Dev. Co. v. Rifle Inv. Assocs.</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786 P.2d 1112 (Colo. 1990) (privilege to initiate litigation and filing of </w:t>
      </w:r>
      <w:r w:rsidRPr="00392F02">
        <w:rPr>
          <w:rFonts w:eastAsia="Times New Roman"/>
          <w:i/>
          <w:sz w:val="24"/>
          <w:szCs w:val="24"/>
        </w:rPr>
        <w:t>lis pendens</w:t>
      </w:r>
      <w:r w:rsidRPr="00392F02">
        <w:rPr>
          <w:rFonts w:eastAsia="Times New Roman"/>
          <w:sz w:val="24"/>
          <w:szCs w:val="24"/>
        </w:rPr>
        <w:t xml:space="preserve"> that interferes with a third person’s performance of contract is</w:t>
      </w:r>
      <w:r w:rsidR="00DB5F6A">
        <w:rPr>
          <w:rFonts w:eastAsia="Times New Roman"/>
          <w:sz w:val="24"/>
          <w:szCs w:val="24"/>
        </w:rPr>
        <w:t xml:space="preserve"> a qualified, not an absolute, </w:t>
      </w:r>
      <w:r w:rsidRPr="00392F02">
        <w:rPr>
          <w:rFonts w:eastAsia="Times New Roman"/>
          <w:sz w:val="24"/>
          <w:szCs w:val="24"/>
        </w:rPr>
        <w:t>privilege).</w:t>
      </w:r>
    </w:p>
    <w:p w14:paraId="64326ACD" w14:textId="77777777" w:rsidR="001300D4" w:rsidRPr="0054263B" w:rsidRDefault="001300D4" w:rsidP="001300D4">
      <w:pPr>
        <w:keepNext/>
        <w:spacing w:after="240"/>
        <w:jc w:val="center"/>
        <w:rPr>
          <w:rFonts w:eastAsia="Times New Roman"/>
          <w:b/>
          <w:sz w:val="24"/>
          <w:szCs w:val="24"/>
        </w:rPr>
      </w:pPr>
      <w:r>
        <w:rPr>
          <w:rFonts w:eastAsia="Times New Roman"/>
          <w:b/>
          <w:sz w:val="24"/>
          <w:szCs w:val="24"/>
        </w:rPr>
        <w:t>Source and Authority</w:t>
      </w:r>
    </w:p>
    <w:p w14:paraId="7D3828EA" w14:textId="74857B39"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1. This instruction is supported by </w:t>
      </w:r>
      <w:r w:rsidRPr="00B649E0">
        <w:rPr>
          <w:rFonts w:eastAsia="Times New Roman"/>
          <w:smallCaps/>
          <w:sz w:val="24"/>
          <w:szCs w:val="24"/>
        </w:rPr>
        <w:t>Restatement (Second) of Torts</w:t>
      </w:r>
      <w:r w:rsidRPr="00392F02">
        <w:rPr>
          <w:rFonts w:eastAsia="Times New Roman"/>
          <w:sz w:val="24"/>
          <w:szCs w:val="24"/>
        </w:rPr>
        <w:t xml:space="preserve"> § 768 (1979), which was specifically </w:t>
      </w:r>
      <w:r w:rsidR="007A0266">
        <w:rPr>
          <w:rFonts w:eastAsia="Times New Roman"/>
          <w:sz w:val="24"/>
          <w:szCs w:val="24"/>
        </w:rPr>
        <w:t>applied</w:t>
      </w:r>
      <w:r w:rsidR="007A0266" w:rsidRPr="00392F02">
        <w:rPr>
          <w:rFonts w:eastAsia="Times New Roman"/>
          <w:sz w:val="24"/>
          <w:szCs w:val="24"/>
        </w:rPr>
        <w:t xml:space="preserve"> </w:t>
      </w:r>
      <w:r w:rsidRPr="00392F02">
        <w:rPr>
          <w:rFonts w:eastAsia="Times New Roman"/>
          <w:sz w:val="24"/>
          <w:szCs w:val="24"/>
        </w:rPr>
        <w:t xml:space="preserve">in Colorado in </w:t>
      </w:r>
      <w:r w:rsidRPr="00392F02">
        <w:rPr>
          <w:rFonts w:eastAsia="Times New Roman"/>
          <w:b/>
          <w:sz w:val="24"/>
          <w:szCs w:val="24"/>
        </w:rPr>
        <w:t>Harris Group, Inc. v. Robinson</w:t>
      </w:r>
      <w:r w:rsidRPr="00392F02">
        <w:rPr>
          <w:rFonts w:eastAsia="Times New Roman"/>
          <w:sz w:val="24"/>
          <w:szCs w:val="24"/>
        </w:rPr>
        <w:t xml:space="preserve">, 209 P.3d 1188 (Colo. 2009), for cases involving intentional interference with contracts terminable at will.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 v. Olympian Sales &amp; Mgmt. Consultants,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690 P.2d 207 (Colo. 1984) (by implication, but holding the contract was not terminable at will); </w:t>
      </w:r>
      <w:r w:rsidR="00BB7675" w:rsidRPr="00D67871">
        <w:rPr>
          <w:rFonts w:eastAsia="Times New Roman"/>
          <w:b/>
          <w:bCs/>
          <w:sz w:val="24"/>
          <w:szCs w:val="24"/>
        </w:rPr>
        <w:t>Begley v. Ireson</w:t>
      </w:r>
      <w:r w:rsidR="00BB7675">
        <w:rPr>
          <w:rFonts w:eastAsia="Times New Roman"/>
          <w:sz w:val="24"/>
          <w:szCs w:val="24"/>
        </w:rPr>
        <w:t xml:space="preserve">, 2020 COA 157, ¶ 26, 490 P.3d 963, 970 (“[W]e conclude that the litigation privilege may protect an attorney from liability for his nondefamatory statements.”); </w:t>
      </w:r>
      <w:r w:rsidRPr="00392F02">
        <w:rPr>
          <w:rFonts w:eastAsia="Times New Roman"/>
          <w:b/>
          <w:sz w:val="24"/>
          <w:szCs w:val="24"/>
        </w:rPr>
        <w:t>McCrea &amp; Co. Auctioneers, Inc. v. Dwyer Auto Body</w:t>
      </w:r>
      <w:r w:rsidRPr="00392F02">
        <w:rPr>
          <w:rFonts w:eastAsia="Times New Roman"/>
          <w:sz w:val="24"/>
          <w:szCs w:val="24"/>
        </w:rPr>
        <w:t xml:space="preserve">, 799 P.2d 394 (Colo. App. 1989) (privilege is lost if the competitor employs “wrongful means”); </w:t>
      </w:r>
      <w:r w:rsidRPr="00392F02">
        <w:rPr>
          <w:rFonts w:eastAsia="Times New Roman"/>
          <w:b/>
          <w:sz w:val="24"/>
          <w:szCs w:val="24"/>
        </w:rPr>
        <w:t>Electrolux Corp. v. Lawson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654 P.2d 340 (Colo. App. 1982) (where privilege of business competition exists, causing third person to terminate a contract terminable at will not improper unless wrongful means, such as physical violence, fraud, etc., are used); </w:t>
      </w:r>
      <w:r w:rsidRPr="00392F02">
        <w:rPr>
          <w:rFonts w:eastAsia="Times New Roman"/>
          <w:b/>
          <w:sz w:val="24"/>
          <w:szCs w:val="24"/>
        </w:rPr>
        <w:t>Dolton v. Capitol Fed. Sav. &amp; Loan Ass’n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642 P.2d 21 (Colo. App. 1981) (privilege expressly adopted in case of companion tort of intentional interference with a prospective business advantage). “Wrongful means” includes the commission of independent torts, such as conversion and breach of fiduciary duty. </w:t>
      </w:r>
      <w:r w:rsidRPr="00392F02">
        <w:rPr>
          <w:rFonts w:eastAsia="Times New Roman"/>
          <w:b/>
          <w:sz w:val="24"/>
          <w:szCs w:val="24"/>
        </w:rPr>
        <w:t>Harris Grp., Inc.</w:t>
      </w:r>
      <w:r w:rsidRPr="00392F02">
        <w:rPr>
          <w:rFonts w:eastAsia="Times New Roman"/>
          <w:sz w:val="24"/>
          <w:szCs w:val="24"/>
        </w:rPr>
        <w:t>, 209 P.3d at 1200</w:t>
      </w:r>
      <w:r w:rsidR="00DB5F6A">
        <w:rPr>
          <w:rFonts w:eastAsia="Times New Roman"/>
          <w:sz w:val="24"/>
          <w:szCs w:val="24"/>
        </w:rPr>
        <w:t>.</w:t>
      </w:r>
      <w:r w:rsidRPr="00392F02">
        <w:rPr>
          <w:rFonts w:eastAsia="Times New Roman"/>
          <w:sz w:val="24"/>
          <w:szCs w:val="24"/>
        </w:rPr>
        <w:t xml:space="preserve"> </w:t>
      </w:r>
    </w:p>
    <w:p w14:paraId="6E868F2B"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2. For factors to consider in determining whether there is abuse of the business competition privilege when the claim involves interference with at-will contracts or prospective contractual relations, see </w:t>
      </w:r>
      <w:r w:rsidRPr="00B649E0">
        <w:rPr>
          <w:rFonts w:eastAsia="Times New Roman"/>
          <w:smallCaps/>
          <w:sz w:val="24"/>
          <w:szCs w:val="24"/>
        </w:rPr>
        <w:t>Restatement</w:t>
      </w:r>
      <w:r w:rsidRPr="00392F02">
        <w:rPr>
          <w:rFonts w:eastAsia="Times New Roman"/>
          <w:sz w:val="24"/>
          <w:szCs w:val="24"/>
        </w:rPr>
        <w:t xml:space="preserve"> § 768: </w:t>
      </w:r>
    </w:p>
    <w:p w14:paraId="3B2F4FB2" w14:textId="2B47DED0" w:rsidR="00392F02" w:rsidRPr="00392F02" w:rsidRDefault="00392F02" w:rsidP="00B649E0">
      <w:pPr>
        <w:spacing w:after="240"/>
        <w:ind w:left="720"/>
        <w:rPr>
          <w:rFonts w:eastAsia="Times New Roman"/>
          <w:sz w:val="24"/>
          <w:szCs w:val="24"/>
        </w:rPr>
      </w:pPr>
      <w:r w:rsidRPr="00392F02">
        <w:rPr>
          <w:rFonts w:eastAsia="Times New Roman"/>
          <w:sz w:val="24"/>
          <w:szCs w:val="24"/>
        </w:rPr>
        <w:lastRenderedPageBreak/>
        <w:t xml:space="preserve">(1) One who intentionally causes a third person not to enter into a prospective contractual relation with another who is his competitor or not to continue an existing contract terminable at will does not interfere improperly with the other’s relation if: </w:t>
      </w:r>
    </w:p>
    <w:p w14:paraId="211128D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(a) the relation concerns a matter involved in the competition between the actor and the other and </w:t>
      </w:r>
    </w:p>
    <w:p w14:paraId="2A59B83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(b) the actor does not employ wrongful means and </w:t>
      </w:r>
    </w:p>
    <w:p w14:paraId="4EFE1C6E"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(c) his action does not create or continue an unlawful restraint of trade and </w:t>
      </w:r>
    </w:p>
    <w:p w14:paraId="0595961C"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(d) his purpose is at least in part to advance his interest in competing with the other. </w:t>
      </w:r>
    </w:p>
    <w:p w14:paraId="56AC6419" w14:textId="2C907E18"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(2) The fact that one is a competitor of another for the business of a third person does not prevent his causing a breach of an existing contract with the other from being an improper interference if the contract is not terminable at will. </w:t>
      </w:r>
    </w:p>
    <w:p w14:paraId="2E88E834" w14:textId="77777777" w:rsidR="00392F02" w:rsidRPr="00392F02" w:rsidRDefault="00392F02" w:rsidP="00B649E0">
      <w:pPr>
        <w:spacing w:after="240"/>
        <w:rPr>
          <w:rFonts w:eastAsia="Times New Roman"/>
          <w:sz w:val="24"/>
          <w:szCs w:val="24"/>
        </w:rPr>
      </w:pP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Harris Grp., Inc.</w:t>
      </w:r>
      <w:r w:rsidRPr="00392F02">
        <w:rPr>
          <w:rFonts w:eastAsia="Times New Roman"/>
          <w:sz w:val="24"/>
          <w:szCs w:val="24"/>
        </w:rPr>
        <w:t xml:space="preserve">, 209 P.3d at 1200 (wrongful means include using breach of fiduciary duty and conversion as a means to induce plaintiff’s customers and employees to terminate at-will contracts); </w:t>
      </w:r>
      <w:r w:rsidRPr="00392F02">
        <w:rPr>
          <w:rFonts w:eastAsia="Times New Roman"/>
          <w:b/>
          <w:sz w:val="24"/>
          <w:szCs w:val="24"/>
        </w:rPr>
        <w:t>Mulei v. Jet Courier Serv., Inc.</w:t>
      </w:r>
      <w:r w:rsidRPr="00392F02">
        <w:rPr>
          <w:rFonts w:eastAsia="Times New Roman"/>
          <w:sz w:val="24"/>
          <w:szCs w:val="24"/>
        </w:rPr>
        <w:t xml:space="preserve">, 739 P.2d 889 (Colo. App. 1987), </w:t>
      </w:r>
      <w:r w:rsidRPr="00392F02">
        <w:rPr>
          <w:rFonts w:eastAsia="Times New Roman"/>
          <w:i/>
          <w:sz w:val="24"/>
          <w:szCs w:val="24"/>
        </w:rPr>
        <w:t>rev’d in part on other grounds</w:t>
      </w:r>
      <w:r w:rsidRPr="00392F02">
        <w:rPr>
          <w:rFonts w:eastAsia="Times New Roman"/>
          <w:sz w:val="24"/>
          <w:szCs w:val="24"/>
        </w:rPr>
        <w:t xml:space="preserve">, 771 P.2d 486 (Colo. 1989);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w:t>
      </w:r>
      <w:r w:rsidRPr="00392F02">
        <w:rPr>
          <w:rFonts w:eastAsia="Times New Roman"/>
          <w:sz w:val="24"/>
          <w:szCs w:val="24"/>
        </w:rPr>
        <w:t xml:space="preserve">, 690 P.2d at 210-11; </w:t>
      </w:r>
      <w:r w:rsidRPr="00392F02">
        <w:rPr>
          <w:rFonts w:eastAsia="Times New Roman"/>
          <w:b/>
          <w:sz w:val="24"/>
          <w:szCs w:val="24"/>
        </w:rPr>
        <w:t>Electrolux Corp. v. Lawson</w:t>
      </w:r>
      <w:r w:rsidRPr="00392F02">
        <w:rPr>
          <w:rFonts w:eastAsia="Times New Roman"/>
          <w:sz w:val="24"/>
          <w:szCs w:val="24"/>
        </w:rPr>
        <w:t xml:space="preserve">, 654 P.2d at 341-42. </w:t>
      </w:r>
    </w:p>
    <w:p w14:paraId="5540D38E"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3. Once the plaintiff has established a prima facie case of liability, the burden of establishing that the defendant’s conduct was justified, i.e., privileged, shifts to the defendant. 2 </w:t>
      </w:r>
      <w:r w:rsidRPr="00B649E0">
        <w:rPr>
          <w:rFonts w:eastAsia="Times New Roman"/>
          <w:smallCaps/>
          <w:sz w:val="24"/>
          <w:szCs w:val="24"/>
        </w:rPr>
        <w:t>F. Harper et al., Harper, James, and Gray on Torts</w:t>
      </w:r>
      <w:r w:rsidRPr="00392F02">
        <w:rPr>
          <w:rFonts w:eastAsia="Times New Roman"/>
          <w:sz w:val="24"/>
          <w:szCs w:val="24"/>
        </w:rPr>
        <w:t xml:space="preserve"> § 6.12 (3d ed. 2006); </w:t>
      </w:r>
      <w:r w:rsidRPr="00B649E0">
        <w:rPr>
          <w:rFonts w:eastAsia="Times New Roman"/>
          <w:smallCaps/>
          <w:sz w:val="24"/>
          <w:szCs w:val="24"/>
        </w:rPr>
        <w:t>W. Page Keeton et al., Prosser and Keeton on the Law of Torts</w:t>
      </w:r>
      <w:r w:rsidRPr="00392F02">
        <w:rPr>
          <w:rFonts w:eastAsia="Times New Roman"/>
          <w:sz w:val="24"/>
          <w:szCs w:val="24"/>
        </w:rPr>
        <w:t xml:space="preserve"> § 129, at 983-84 (5th ed. 1984). Regardless of what other circumstances might have given the defendant a privilege, the defendant may not be privileged if the conduct was engaged in solely to cause harm to the plaintiff, 2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at 418-19, or if the conduct was otherwise tortious or in some other way illegal. </w:t>
      </w:r>
      <w:r w:rsidRPr="00392F02">
        <w:rPr>
          <w:rFonts w:eastAsia="Times New Roman"/>
          <w:i/>
          <w:sz w:val="24"/>
          <w:szCs w:val="24"/>
        </w:rPr>
        <w:t>See</w:t>
      </w:r>
      <w:r w:rsidRPr="00392F02">
        <w:rPr>
          <w:rFonts w:eastAsia="Times New Roman"/>
          <w:sz w:val="24"/>
          <w:szCs w:val="24"/>
        </w:rPr>
        <w:t xml:space="preserve"> </w:t>
      </w:r>
      <w:r w:rsidRPr="00B649E0">
        <w:rPr>
          <w:rFonts w:eastAsia="Times New Roman"/>
          <w:smallCaps/>
          <w:sz w:val="24"/>
          <w:szCs w:val="24"/>
        </w:rPr>
        <w:t>Restatement</w:t>
      </w:r>
      <w:r w:rsidRPr="00392F02">
        <w:rPr>
          <w:rFonts w:eastAsia="Times New Roman"/>
          <w:sz w:val="24"/>
          <w:szCs w:val="24"/>
        </w:rPr>
        <w:t xml:space="preserve"> § 767 cmt. c;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Bithell v. W. Care Corp.</w:t>
      </w:r>
      <w:r w:rsidRPr="00392F02">
        <w:rPr>
          <w:rFonts w:eastAsia="Times New Roman"/>
          <w:sz w:val="24"/>
          <w:szCs w:val="24"/>
        </w:rPr>
        <w:t>, 762 P.2d 708, 712 (Colo. App. 1988) (“A public official performing discretionary acts within the scope of his office enjoys [a] qualified immunity . . . but only insofar as his conduct is not willful, malicious, or intended to cause harm.”).</w:t>
      </w:r>
    </w:p>
    <w:p w14:paraId="3300BF0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4. The defendant may have been privileged to act as the defendant did for the purpose of protecting some interest of his or her own or some third person or that of the public, including the interest of business competition. For illustrations of other such interests and circumstances, see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6.12 and 6.13; </w:t>
      </w:r>
      <w:r w:rsidRPr="00B649E0">
        <w:rPr>
          <w:rFonts w:eastAsia="Times New Roman"/>
          <w:smallCaps/>
          <w:sz w:val="24"/>
          <w:szCs w:val="24"/>
        </w:rPr>
        <w:t>Prosser and Keeton on the Law of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129, at 985-89; and </w:t>
      </w:r>
      <w:r w:rsidRPr="00B649E0">
        <w:rPr>
          <w:rFonts w:eastAsia="Times New Roman"/>
          <w:smallCaps/>
          <w:sz w:val="24"/>
          <w:szCs w:val="24"/>
        </w:rPr>
        <w:t>Restatement</w:t>
      </w:r>
      <w:r w:rsidRPr="00392F02">
        <w:rPr>
          <w:rFonts w:eastAsia="Times New Roman"/>
          <w:sz w:val="24"/>
          <w:szCs w:val="24"/>
        </w:rPr>
        <w:t xml:space="preserve"> §§ 767-774.</w:t>
      </w:r>
    </w:p>
    <w:p w14:paraId="3EAE7F7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5. Where there is no dispute that the defendant was privileged to interfere with the contract and would not be liable in absence of the plaintiff’s proving the privilege was abused, Instruction 24:1 (elements of liability) may be modified to include the elements of abuse the plaintiff would need to prove, rather than giving this instruction as a separate instruction. </w:t>
      </w:r>
      <w:r w:rsidRPr="00392F02">
        <w:rPr>
          <w:rFonts w:eastAsia="Times New Roman"/>
          <w:b/>
          <w:sz w:val="24"/>
          <w:szCs w:val="24"/>
        </w:rPr>
        <w:t>Boettcher DTC Bldg. Joint Venture v. Falcon Ventures</w:t>
      </w:r>
      <w:r w:rsidRPr="00392F02">
        <w:rPr>
          <w:rFonts w:eastAsia="Times New Roman"/>
          <w:sz w:val="24"/>
          <w:szCs w:val="24"/>
        </w:rPr>
        <w:t>, 762 P.2d 788 (Colo. App. 1988).</w:t>
      </w:r>
    </w:p>
    <w:p w14:paraId="475BAF1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lastRenderedPageBreak/>
        <w:t xml:space="preserve">6. Though an agent or corporate officer may be privileged to interfere with a contract between the principal and another, such privilege is only a qualified privilege that may be lost if the agent abuses the privilege by acting improperly. </w:t>
      </w:r>
      <w:r w:rsidRPr="00392F02">
        <w:rPr>
          <w:rFonts w:eastAsia="Times New Roman"/>
          <w:b/>
          <w:sz w:val="24"/>
          <w:szCs w:val="24"/>
        </w:rPr>
        <w:t>Trimble v. City &amp; Cty. of Denver</w:t>
      </w:r>
      <w:r w:rsidRPr="00392F02">
        <w:rPr>
          <w:rFonts w:eastAsia="Times New Roman"/>
          <w:sz w:val="24"/>
          <w:szCs w:val="24"/>
        </w:rPr>
        <w:t xml:space="preserve">, 697 P.2d 716 (Colo. 1985) (agent abused privilege when the interference was not done for bona fide organizational purposes but was motivated solely by a desire to do harm to one of the contracting parties); </w:t>
      </w:r>
      <w:r w:rsidRPr="00392F02">
        <w:rPr>
          <w:rFonts w:eastAsia="Times New Roman"/>
          <w:b/>
          <w:sz w:val="24"/>
          <w:szCs w:val="24"/>
        </w:rPr>
        <w:t>Bithell</w:t>
      </w:r>
      <w:r w:rsidRPr="00392F02">
        <w:rPr>
          <w:rFonts w:eastAsia="Times New Roman"/>
          <w:sz w:val="24"/>
          <w:szCs w:val="24"/>
        </w:rPr>
        <w:t xml:space="preserve">, 762 P.2d at 713 (corporate directors have qualified privilege to communicate with each other about corporate affairs, but such privilege is lost if communications are not made in good faith, or are made with malice or with reckless disregard for their truth); </w:t>
      </w:r>
      <w:r w:rsidRPr="00392F02">
        <w:rPr>
          <w:rFonts w:eastAsia="Times New Roman"/>
          <w:b/>
          <w:sz w:val="24"/>
          <w:szCs w:val="24"/>
        </w:rPr>
        <w:t>Zappa v. Seiver</w:t>
      </w:r>
      <w:r w:rsidRPr="00392F02">
        <w:rPr>
          <w:rFonts w:eastAsia="Times New Roman"/>
          <w:sz w:val="24"/>
          <w:szCs w:val="24"/>
        </w:rPr>
        <w:t xml:space="preserve">, 706 P.2d 440 (Colo. App. 1985) (officer or director of corporation is not privileged if his or her sole motivation is to cause the corporation to breach its contract with the plaintiff or to interfere with the contractual relations between the corporation and the plaintiff); </w:t>
      </w:r>
      <w:r w:rsidRPr="00392F02">
        <w:rPr>
          <w:rFonts w:eastAsia="Times New Roman"/>
          <w:i/>
          <w:sz w:val="24"/>
          <w:szCs w:val="24"/>
        </w:rPr>
        <w:t xml:space="preserve">see also </w:t>
      </w:r>
      <w:r w:rsidRPr="00392F02">
        <w:rPr>
          <w:rFonts w:eastAsia="Times New Roman"/>
          <w:b/>
          <w:sz w:val="24"/>
          <w:szCs w:val="24"/>
        </w:rPr>
        <w:t>Cronk v. Intermountain Rural Elec. Ass’n</w:t>
      </w:r>
      <w:r w:rsidRPr="00392F02">
        <w:rPr>
          <w:rFonts w:eastAsia="Times New Roman"/>
          <w:sz w:val="24"/>
          <w:szCs w:val="24"/>
        </w:rPr>
        <w:t>, 765 P.2d 619 (Colo. App. 1988).</w:t>
      </w:r>
    </w:p>
    <w:p w14:paraId="235A2463"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7. In </w:t>
      </w:r>
      <w:r w:rsidRPr="00392F02">
        <w:rPr>
          <w:rFonts w:eastAsia="Times New Roman"/>
          <w:b/>
          <w:sz w:val="24"/>
          <w:szCs w:val="24"/>
        </w:rPr>
        <w:t>Martin v. Montezuma-Cortez School District RE-1</w:t>
      </w:r>
      <w:r w:rsidRPr="00392F02">
        <w:rPr>
          <w:rFonts w:eastAsia="Times New Roman"/>
          <w:sz w:val="24"/>
          <w:szCs w:val="24"/>
        </w:rPr>
        <w:t>, 841 P.2d 237 (Colo. 1992), the court ruled that striking public school teachers could not be held liable to school district for tortious interference with contracts of other teachers where strike was legal.</w:t>
      </w:r>
    </w:p>
    <w:p w14:paraId="5432A19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8. The absolute privilege that shields attorneys from defamation claims arising out of statements made during preparation for litigation or in the course of judicial proceedings also bars other non-defamation claims that stem from the same conduct, including claims for intentional interference with a contractual relationship. </w:t>
      </w:r>
      <w:r w:rsidRPr="00392F02">
        <w:rPr>
          <w:rFonts w:eastAsia="Times New Roman"/>
          <w:b/>
          <w:sz w:val="24"/>
          <w:szCs w:val="24"/>
        </w:rPr>
        <w:t>Buckhannon v. U.S. W. Commc’ns,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928 P.2d 1331 (Colo. App. 1996).</w:t>
      </w:r>
    </w:p>
    <w:p w14:paraId="356CE29C" w14:textId="77777777" w:rsidR="00B649E0" w:rsidRDefault="00B649E0">
      <w:pPr>
        <w:rPr>
          <w:rFonts w:eastAsia="Times New Roman"/>
          <w:sz w:val="24"/>
          <w:szCs w:val="24"/>
        </w:rPr>
      </w:pPr>
      <w:r>
        <w:rPr>
          <w:rFonts w:eastAsia="Times New Roman"/>
          <w:sz w:val="24"/>
          <w:szCs w:val="24"/>
        </w:rPr>
        <w:br w:type="page"/>
      </w:r>
    </w:p>
    <w:p w14:paraId="2D3E5796" w14:textId="77777777" w:rsidR="00B649E0" w:rsidRPr="009E3DA4" w:rsidRDefault="00B649E0" w:rsidP="00B649E0">
      <w:pPr>
        <w:spacing w:after="240"/>
        <w:ind w:left="720" w:hanging="720"/>
        <w:rPr>
          <w:rFonts w:eastAsia="Times New Roman"/>
          <w:b/>
          <w:sz w:val="24"/>
          <w:szCs w:val="24"/>
        </w:rPr>
      </w:pPr>
      <w:bookmarkStart w:id="7" w:name="a24_07"/>
      <w:bookmarkEnd w:id="7"/>
      <w:r w:rsidRPr="00B649E0">
        <w:rPr>
          <w:rFonts w:eastAsia="Times New Roman"/>
          <w:b/>
          <w:sz w:val="24"/>
          <w:szCs w:val="24"/>
        </w:rPr>
        <w:lastRenderedPageBreak/>
        <w:t xml:space="preserve">24:7 </w:t>
      </w:r>
      <w:r w:rsidRPr="00B649E0">
        <w:rPr>
          <w:rFonts w:eastAsia="Times New Roman"/>
          <w:b/>
          <w:sz w:val="24"/>
          <w:szCs w:val="24"/>
        </w:rPr>
        <w:tab/>
        <w:t>ACTUAL OR NOMINAL DAMAGES</w:t>
      </w:r>
    </w:p>
    <w:p w14:paraId="4BB2D1F5"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Plaintiff, </w:t>
      </w:r>
      <w:r w:rsidRPr="00B649E0">
        <w:rPr>
          <w:rFonts w:eastAsia="Times New Roman"/>
          <w:i/>
          <w:sz w:val="24"/>
          <w:szCs w:val="24"/>
        </w:rPr>
        <w:t>(name)</w:t>
      </w:r>
      <w:r w:rsidRPr="00B649E0">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interference by the defendant(s), </w:t>
      </w:r>
      <w:r w:rsidRPr="00B649E0">
        <w:rPr>
          <w:rFonts w:eastAsia="Times New Roman"/>
          <w:i/>
          <w:sz w:val="24"/>
          <w:szCs w:val="24"/>
        </w:rPr>
        <w:t>(name[s])</w:t>
      </w:r>
      <w:r w:rsidRPr="00B649E0">
        <w:rPr>
          <w:rFonts w:eastAsia="Times New Roman"/>
          <w:b/>
          <w:sz w:val="24"/>
          <w:szCs w:val="24"/>
        </w:rPr>
        <w:t xml:space="preserve"> with plaintiff’s contract, (and the </w:t>
      </w:r>
      <w:r w:rsidRPr="00B649E0">
        <w:rPr>
          <w:rFonts w:eastAsia="Times New Roman"/>
          <w:i/>
          <w:sz w:val="24"/>
          <w:szCs w:val="24"/>
        </w:rPr>
        <w:t>[insert appropriate description, e.g., “negligence”]</w:t>
      </w:r>
      <w:r w:rsidRPr="00B649E0">
        <w:rPr>
          <w:rFonts w:eastAsia="Times New Roman"/>
          <w:b/>
          <w:sz w:val="24"/>
          <w:szCs w:val="24"/>
        </w:rPr>
        <w:t>, if any, of any designated nonparties).</w:t>
      </w:r>
    </w:p>
    <w:p w14:paraId="262D9440"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In determining these damages, you shall consider the following:</w:t>
      </w:r>
    </w:p>
    <w:p w14:paraId="3D9D1279"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1. Any noneconomic losses or injuries that plaintiff has had or probably will have in the future, including: </w:t>
      </w:r>
      <w:r w:rsidRPr="00B649E0">
        <w:rPr>
          <w:rFonts w:eastAsia="Times New Roman"/>
          <w:i/>
          <w:sz w:val="24"/>
          <w:szCs w:val="24"/>
        </w:rPr>
        <w:t>[insert any recoverable noneconomic losses for which there is sufficient evidence]</w:t>
      </w:r>
      <w:r w:rsidRPr="00B649E0">
        <w:rPr>
          <w:rFonts w:eastAsia="Times New Roman"/>
          <w:b/>
          <w:sz w:val="24"/>
          <w:szCs w:val="24"/>
        </w:rPr>
        <w:t>; and</w:t>
      </w:r>
    </w:p>
    <w:p w14:paraId="4DDA80C6"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2. Any economic losses that plaintiff has had or probably will have in the future, including: </w:t>
      </w:r>
      <w:r w:rsidRPr="00B649E0">
        <w:rPr>
          <w:rFonts w:eastAsia="Times New Roman"/>
          <w:i/>
          <w:sz w:val="24"/>
          <w:szCs w:val="24"/>
        </w:rPr>
        <w:t>[insert any recoverable economic losses for which there is sufficient evidence]</w:t>
      </w:r>
      <w:r w:rsidRPr="00B649E0">
        <w:rPr>
          <w:rFonts w:eastAsia="Times New Roman"/>
          <w:b/>
          <w:sz w:val="24"/>
          <w:szCs w:val="24"/>
        </w:rPr>
        <w:t>.</w:t>
      </w:r>
    </w:p>
    <w:p w14:paraId="528B1D72"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If you find in favor of the plaintiff but do not find any actual damages, you shall award (him) (her) (it) nominal damages of one dollar.</w:t>
      </w:r>
    </w:p>
    <w:p w14:paraId="3DF57F5F" w14:textId="77777777" w:rsidR="00B649E0" w:rsidRDefault="00B649E0" w:rsidP="00B649E0">
      <w:pPr>
        <w:jc w:val="center"/>
        <w:rPr>
          <w:rFonts w:eastAsia="Times New Roman"/>
          <w:sz w:val="24"/>
          <w:szCs w:val="24"/>
        </w:rPr>
      </w:pPr>
    </w:p>
    <w:p w14:paraId="0E243B01" w14:textId="77777777" w:rsidR="00B649E0" w:rsidRPr="0054263B" w:rsidRDefault="00B649E0" w:rsidP="00B649E0">
      <w:pPr>
        <w:keepNext/>
        <w:spacing w:after="240"/>
        <w:jc w:val="center"/>
        <w:rPr>
          <w:rFonts w:eastAsia="Times New Roman"/>
          <w:b/>
          <w:sz w:val="24"/>
          <w:szCs w:val="24"/>
        </w:rPr>
      </w:pPr>
      <w:r w:rsidRPr="0054263B">
        <w:rPr>
          <w:rFonts w:eastAsia="Times New Roman"/>
          <w:b/>
          <w:sz w:val="24"/>
          <w:szCs w:val="24"/>
        </w:rPr>
        <w:t>Notes on Use</w:t>
      </w:r>
    </w:p>
    <w:p w14:paraId="1EF84086"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Because the fact situations to which this instruction would be applicable are so varied, no attempt has been made to itemize the elements of damage that the plaintiff may legally be entitled to recover, or to specify the relevant factors a jury may or should take into account in determining the amount of any particular element of damage. </w:t>
      </w:r>
    </w:p>
    <w:p w14:paraId="34D02022" w14:textId="77777777" w:rsidR="00B649E0" w:rsidRPr="0054263B" w:rsidRDefault="00B649E0" w:rsidP="00B649E0">
      <w:pPr>
        <w:keepNext/>
        <w:spacing w:after="240"/>
        <w:jc w:val="center"/>
        <w:rPr>
          <w:rFonts w:eastAsia="Times New Roman"/>
          <w:b/>
          <w:sz w:val="24"/>
          <w:szCs w:val="24"/>
        </w:rPr>
      </w:pPr>
      <w:r>
        <w:rPr>
          <w:rFonts w:eastAsia="Times New Roman"/>
          <w:b/>
          <w:sz w:val="24"/>
          <w:szCs w:val="24"/>
        </w:rPr>
        <w:t>Source and Authority</w:t>
      </w:r>
    </w:p>
    <w:p w14:paraId="2F6D8ED2"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1. This instruction is supported by </w:t>
      </w:r>
      <w:r w:rsidRPr="00B649E0">
        <w:rPr>
          <w:rFonts w:eastAsia="Times New Roman"/>
          <w:b/>
          <w:sz w:val="24"/>
          <w:szCs w:val="24"/>
        </w:rPr>
        <w:t>Westfield Development Co. v. Rifle Investment Associates</w:t>
      </w:r>
      <w:r w:rsidRPr="00B649E0">
        <w:rPr>
          <w:rFonts w:eastAsia="Times New Roman"/>
          <w:sz w:val="24"/>
          <w:szCs w:val="24"/>
        </w:rPr>
        <w:t xml:space="preserve">, 786 P.2d 1112 (Colo. 1990), the court articulated several rules of damages. Because intentional interference with contract is a tort, the measure of damages may depart from contractual damages when necessary to make the innocent party whole. Such damages may be for emotional distress only. However, to award any damages for emotional distress, such distress must have been a reasonably expectable result of the interference. Finally, under ordinary circumstances, only parties to a contract may recover damages for intentional interference with the contract.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Ervin v. Amoco Oil Co.</w:t>
      </w:r>
      <w:r w:rsidRPr="00B649E0">
        <w:rPr>
          <w:rFonts w:eastAsia="Times New Roman"/>
          <w:sz w:val="24"/>
          <w:szCs w:val="24"/>
        </w:rPr>
        <w:t xml:space="preserve">, 885 P.2d 246 (Colo. App. 1994) (emotional distress is compensable injury in action for intentional interference with prospective business relationship if emotional distress damages could be reasonably expected to result from defendant’s tortious conduct), </w:t>
      </w:r>
      <w:r w:rsidRPr="00B649E0">
        <w:rPr>
          <w:rFonts w:eastAsia="Times New Roman"/>
          <w:i/>
          <w:sz w:val="24"/>
          <w:szCs w:val="24"/>
        </w:rPr>
        <w:t>aff’d in part, rev’d in part on other grounds</w:t>
      </w:r>
      <w:r w:rsidRPr="00B649E0">
        <w:rPr>
          <w:rFonts w:eastAsia="Times New Roman"/>
          <w:sz w:val="24"/>
          <w:szCs w:val="24"/>
        </w:rPr>
        <w:t xml:space="preserve">, 908 P.2d 493 (Colo. 1995); </w:t>
      </w:r>
      <w:r w:rsidRPr="00B649E0">
        <w:rPr>
          <w:rFonts w:eastAsia="Times New Roman"/>
          <w:b/>
          <w:sz w:val="24"/>
          <w:szCs w:val="24"/>
        </w:rPr>
        <w:t>Batterman v. Wells Fargo Ag Credit Corp.</w:t>
      </w:r>
      <w:r w:rsidRPr="00B649E0">
        <w:rPr>
          <w:rFonts w:eastAsia="Times New Roman"/>
          <w:sz w:val="24"/>
          <w:szCs w:val="24"/>
        </w:rPr>
        <w:t>,</w:t>
      </w:r>
      <w:r w:rsidRPr="00B649E0">
        <w:rPr>
          <w:rFonts w:eastAsia="Times New Roman"/>
          <w:b/>
          <w:sz w:val="24"/>
          <w:szCs w:val="24"/>
        </w:rPr>
        <w:t xml:space="preserve"> </w:t>
      </w:r>
      <w:r w:rsidRPr="00B649E0">
        <w:rPr>
          <w:rFonts w:eastAsia="Times New Roman"/>
          <w:sz w:val="24"/>
          <w:szCs w:val="24"/>
        </w:rPr>
        <w:t xml:space="preserve">802 P.2d 1112 (Colo. App. 1990) (court quoted and approved </w:t>
      </w:r>
      <w:r w:rsidRPr="00B649E0">
        <w:rPr>
          <w:rFonts w:eastAsia="Times New Roman"/>
          <w:smallCaps/>
          <w:sz w:val="24"/>
          <w:szCs w:val="24"/>
        </w:rPr>
        <w:t>Restatement (Second) of Torts</w:t>
      </w:r>
      <w:r w:rsidRPr="00B649E0">
        <w:rPr>
          <w:rFonts w:eastAsia="Times New Roman"/>
          <w:sz w:val="24"/>
          <w:szCs w:val="24"/>
        </w:rPr>
        <w:t xml:space="preserve"> § 774A(1) (1979) regarding compensable damages). For a discussion of damages, see </w:t>
      </w:r>
      <w:r w:rsidRPr="00B649E0">
        <w:rPr>
          <w:rFonts w:eastAsia="Times New Roman"/>
          <w:smallCaps/>
          <w:sz w:val="24"/>
          <w:szCs w:val="24"/>
        </w:rPr>
        <w:t>W. Page Keeton et al., Prosser and Keeton on the Law of Torts</w:t>
      </w:r>
      <w:r w:rsidRPr="00B649E0">
        <w:rPr>
          <w:rFonts w:eastAsia="Times New Roman"/>
          <w:sz w:val="24"/>
          <w:szCs w:val="24"/>
        </w:rPr>
        <w:t xml:space="preserve"> § 129, at 1002-04 (5th ed. 1984) (indicating basically three different views concerning allowable damages).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 xml:space="preserve">Hein Enters., Ltd. v. San Francisco </w:t>
      </w:r>
      <w:r w:rsidRPr="00B649E0">
        <w:rPr>
          <w:rFonts w:eastAsia="Times New Roman"/>
          <w:b/>
          <w:sz w:val="24"/>
          <w:szCs w:val="24"/>
        </w:rPr>
        <w:lastRenderedPageBreak/>
        <w:t>Real Estate Inv’rs</w:t>
      </w:r>
      <w:r w:rsidRPr="00B649E0">
        <w:rPr>
          <w:rFonts w:eastAsia="Times New Roman"/>
          <w:sz w:val="24"/>
          <w:szCs w:val="24"/>
        </w:rPr>
        <w:t xml:space="preserve">, 720 P.2d 975 (Colo. App. 1985) (loss of business advantage or opportunity recoverable, which “may include loss of profits and chances for gain”); </w:t>
      </w:r>
      <w:r w:rsidRPr="00B649E0">
        <w:rPr>
          <w:rFonts w:eastAsia="Times New Roman"/>
          <w:smallCaps/>
          <w:sz w:val="24"/>
          <w:szCs w:val="24"/>
        </w:rPr>
        <w:t>Restatement</w:t>
      </w:r>
      <w:r w:rsidRPr="00B649E0">
        <w:rPr>
          <w:rFonts w:eastAsia="Times New Roman"/>
          <w:sz w:val="24"/>
          <w:szCs w:val="24"/>
        </w:rPr>
        <w:t xml:space="preserve"> § 774A.</w:t>
      </w:r>
    </w:p>
    <w:p w14:paraId="190CD94C"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2. Unlike other nominal damage torts, e.g., trespass to land, the law does not presume the existence of actual damages. Proof of actual damages is a necessary element of the plaintiff’s claim for relief. </w:t>
      </w:r>
      <w:r w:rsidRPr="00B649E0">
        <w:rPr>
          <w:rFonts w:eastAsia="Times New Roman"/>
          <w:b/>
          <w:sz w:val="24"/>
          <w:szCs w:val="24"/>
        </w:rPr>
        <w:t>Rywalt v. Writer Corp.</w:t>
      </w:r>
      <w:r w:rsidRPr="00B649E0">
        <w:rPr>
          <w:rFonts w:eastAsia="Times New Roman"/>
          <w:sz w:val="24"/>
          <w:szCs w:val="24"/>
        </w:rPr>
        <w:t xml:space="preserve">, 34 Colo. App. 334, 526 P.2d 316 (1974). On the other hand, if the plaintiff proves he or she sustained some damages, but produces insufficient evidence from which the amount of such damages can be determined, the plaintiff is nonetheless entitled to nominal damages. </w:t>
      </w:r>
      <w:r w:rsidRPr="00B649E0">
        <w:rPr>
          <w:rFonts w:eastAsia="Times New Roman"/>
          <w:smallCaps/>
          <w:sz w:val="24"/>
          <w:szCs w:val="24"/>
        </w:rPr>
        <w:t>Prosser and Keeton on the Law of Torts</w:t>
      </w:r>
      <w:r w:rsidRPr="00B649E0">
        <w:rPr>
          <w:rFonts w:eastAsia="Times New Roman"/>
          <w:sz w:val="24"/>
          <w:szCs w:val="24"/>
        </w:rPr>
        <w:t xml:space="preserve">, </w:t>
      </w:r>
      <w:r w:rsidRPr="00B649E0">
        <w:rPr>
          <w:rFonts w:eastAsia="Times New Roman"/>
          <w:i/>
          <w:sz w:val="24"/>
          <w:szCs w:val="24"/>
        </w:rPr>
        <w:t>supra</w:t>
      </w:r>
      <w:r w:rsidRPr="00B649E0">
        <w:rPr>
          <w:rFonts w:eastAsia="Times New Roman"/>
          <w:sz w:val="24"/>
          <w:szCs w:val="24"/>
        </w:rPr>
        <w:t>, § 129, at 1002-03.</w:t>
      </w:r>
    </w:p>
    <w:p w14:paraId="1CF8E545"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3. Under appropriate circumstances, </w:t>
      </w:r>
      <w:r w:rsidRPr="00B649E0">
        <w:rPr>
          <w:rFonts w:eastAsia="Times New Roman"/>
          <w:i/>
          <w:sz w:val="24"/>
          <w:szCs w:val="24"/>
        </w:rPr>
        <w:t>see</w:t>
      </w:r>
      <w:r w:rsidRPr="00B649E0">
        <w:rPr>
          <w:rFonts w:eastAsia="Times New Roman"/>
          <w:sz w:val="24"/>
          <w:szCs w:val="24"/>
        </w:rPr>
        <w:t xml:space="preserve"> Instruction 5:4, plaintiff may also recover punitive damages. </w:t>
      </w:r>
      <w:r w:rsidRPr="00B649E0">
        <w:rPr>
          <w:rFonts w:eastAsia="Times New Roman"/>
          <w:i/>
          <w:sz w:val="24"/>
          <w:szCs w:val="24"/>
        </w:rPr>
        <w:t>See</w:t>
      </w:r>
      <w:r w:rsidRPr="00B649E0">
        <w:rPr>
          <w:rFonts w:eastAsia="Times New Roman"/>
          <w:sz w:val="24"/>
          <w:szCs w:val="24"/>
        </w:rPr>
        <w:t xml:space="preserve"> S. Johnson, Annotation, </w:t>
      </w:r>
      <w:r w:rsidRPr="00B649E0">
        <w:rPr>
          <w:rFonts w:eastAsia="Times New Roman"/>
          <w:i/>
          <w:sz w:val="24"/>
          <w:szCs w:val="24"/>
        </w:rPr>
        <w:t>Punitive Damages for Interference With</w:t>
      </w:r>
      <w:r w:rsidRPr="00B649E0">
        <w:rPr>
          <w:rFonts w:eastAsia="Times New Roman"/>
          <w:sz w:val="24"/>
          <w:szCs w:val="24"/>
        </w:rPr>
        <w:t xml:space="preserve"> </w:t>
      </w:r>
      <w:r w:rsidRPr="00B649E0">
        <w:rPr>
          <w:rFonts w:eastAsia="Times New Roman"/>
          <w:i/>
          <w:sz w:val="24"/>
          <w:szCs w:val="24"/>
        </w:rPr>
        <w:t>Contract or Business Relationship</w:t>
      </w:r>
      <w:r w:rsidRPr="00B649E0">
        <w:rPr>
          <w:rFonts w:eastAsia="Times New Roman"/>
          <w:sz w:val="24"/>
          <w:szCs w:val="24"/>
        </w:rPr>
        <w:t>, 44 A.L.R. 4th 1078 (1986).</w:t>
      </w:r>
    </w:p>
    <w:p w14:paraId="13804570"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4. In order to avoid double recovery of actual damages, where a plaintiff has received compensation from the person with whom the plaintiff contracted for that person’s breach of contract caused by interference of the defendant, the amount of that compensation must be credited against any actual damages the plaintiff may recover from the defendant for having caused the breach. Also, where the contract with which the defendant interfered provided for liquidated damages that have been paid to, and accepted by, the plaintiff, generally no additional actual damages may be recovered by the plaintiff. </w:t>
      </w:r>
      <w:r w:rsidRPr="00B649E0">
        <w:rPr>
          <w:rFonts w:eastAsia="Times New Roman"/>
          <w:b/>
          <w:sz w:val="24"/>
          <w:szCs w:val="24"/>
        </w:rPr>
        <w:t>Mem’l Gardens, Inc. v. Olympian Sales &amp; Mgmt. Consultants, Inc.</w:t>
      </w:r>
      <w:r w:rsidRPr="00B649E0">
        <w:rPr>
          <w:rFonts w:eastAsia="Times New Roman"/>
          <w:sz w:val="24"/>
          <w:szCs w:val="24"/>
        </w:rPr>
        <w:t>, 690 P.2d 207 (Colo. 1984).</w:t>
      </w:r>
    </w:p>
    <w:p w14:paraId="3AF48419" w14:textId="77777777" w:rsidR="007C4B23" w:rsidRPr="00EC29A6" w:rsidRDefault="00B649E0" w:rsidP="00EC29A6">
      <w:pPr>
        <w:spacing w:after="240"/>
        <w:ind w:firstLine="720"/>
        <w:rPr>
          <w:rFonts w:eastAsia="Times New Roman"/>
          <w:sz w:val="24"/>
          <w:szCs w:val="24"/>
        </w:rPr>
      </w:pPr>
      <w:r w:rsidRPr="00B649E0">
        <w:rPr>
          <w:rFonts w:eastAsia="Times New Roman"/>
          <w:sz w:val="24"/>
          <w:szCs w:val="24"/>
        </w:rPr>
        <w:t xml:space="preserve">5. Where, as a result of the defendants’ tortious interference with the plaintiff’s contract, the plaintiff incurs attorney fees in litigating other claims against the defendants and a third-party, plaintiff is entitled to recover those attorney fees as damages; however, the plaintiff is not entitled to recover those fees incurred in litigating the tortious interference with contract claim itself. </w:t>
      </w:r>
      <w:r w:rsidRPr="00B649E0">
        <w:rPr>
          <w:rFonts w:eastAsia="Times New Roman"/>
          <w:b/>
          <w:sz w:val="24"/>
          <w:szCs w:val="24"/>
        </w:rPr>
        <w:t>Swartz v. Bianco Family Tr.</w:t>
      </w:r>
      <w:r w:rsidRPr="00B649E0">
        <w:rPr>
          <w:rFonts w:eastAsia="Times New Roman"/>
          <w:sz w:val="24"/>
          <w:szCs w:val="24"/>
        </w:rPr>
        <w:t xml:space="preserve">, 874 P.2d 430 (Colo. App. 1993). Litigation costs incurred by a party in separate litigation may sometimes be an appropriate measure of compensatory damages against another party. </w:t>
      </w:r>
      <w:r w:rsidRPr="00B649E0">
        <w:rPr>
          <w:rFonts w:eastAsia="Times New Roman"/>
          <w:b/>
          <w:sz w:val="24"/>
          <w:szCs w:val="24"/>
        </w:rPr>
        <w:t>Rocky Mtn. Festivals, Inc. v. Parsons Corp.</w:t>
      </w:r>
      <w:r w:rsidRPr="00B649E0">
        <w:rPr>
          <w:rFonts w:eastAsia="Times New Roman"/>
          <w:sz w:val="24"/>
          <w:szCs w:val="24"/>
        </w:rPr>
        <w:t>, 242 P.3d 1067 (Colo. 2010).</w:t>
      </w:r>
      <w:r w:rsidRPr="00CB62DC">
        <w:rPr>
          <w:rFonts w:eastAsia="Times New Roman"/>
          <w:sz w:val="24"/>
          <w:szCs w:val="24"/>
        </w:rPr>
        <w:t xml:space="preserve"> </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33057" w14:textId="77777777" w:rsidR="00E24F9F" w:rsidRDefault="00E24F9F" w:rsidP="0054263B">
      <w:r>
        <w:separator/>
      </w:r>
    </w:p>
    <w:p w14:paraId="55B22C8E" w14:textId="77777777" w:rsidR="00E24F9F" w:rsidRDefault="00E24F9F"/>
  </w:endnote>
  <w:endnote w:type="continuationSeparator" w:id="0">
    <w:p w14:paraId="31C08E21" w14:textId="77777777" w:rsidR="00E24F9F" w:rsidRDefault="00E24F9F" w:rsidP="0054263B">
      <w:r>
        <w:continuationSeparator/>
      </w:r>
    </w:p>
    <w:p w14:paraId="43195397" w14:textId="77777777" w:rsidR="00E24F9F" w:rsidRDefault="00E24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3778E34" w14:textId="77777777" w:rsidR="0047374D" w:rsidRDefault="0047374D">
        <w:pPr>
          <w:pStyle w:val="Footer"/>
          <w:jc w:val="center"/>
        </w:pPr>
        <w:r>
          <w:fldChar w:fldCharType="begin"/>
        </w:r>
        <w:r>
          <w:instrText xml:space="preserve"> PAGE   \* MERGEFORMAT </w:instrText>
        </w:r>
        <w:r>
          <w:fldChar w:fldCharType="separate"/>
        </w:r>
        <w:r w:rsidR="00572759">
          <w:rPr>
            <w:noProof/>
          </w:rPr>
          <w:t>17</w:t>
        </w:r>
        <w:r>
          <w:rPr>
            <w:noProof/>
          </w:rPr>
          <w:fldChar w:fldCharType="end"/>
        </w:r>
      </w:p>
    </w:sdtContent>
  </w:sdt>
  <w:p w14:paraId="1C970442" w14:textId="77777777" w:rsidR="0047374D" w:rsidRDefault="0047374D">
    <w:pPr>
      <w:pStyle w:val="Footer"/>
    </w:pPr>
  </w:p>
  <w:p w14:paraId="688B27A0" w14:textId="77777777" w:rsidR="0047374D" w:rsidRDefault="00473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0E50B" w14:textId="77777777" w:rsidR="00E24F9F" w:rsidRDefault="00E24F9F" w:rsidP="0054263B">
      <w:r>
        <w:separator/>
      </w:r>
    </w:p>
    <w:p w14:paraId="4AAFABD1" w14:textId="77777777" w:rsidR="00E24F9F" w:rsidRDefault="00E24F9F"/>
  </w:footnote>
  <w:footnote w:type="continuationSeparator" w:id="0">
    <w:p w14:paraId="7090AC38" w14:textId="77777777" w:rsidR="00E24F9F" w:rsidRDefault="00E24F9F" w:rsidP="0054263B">
      <w:r>
        <w:continuationSeparator/>
      </w:r>
    </w:p>
    <w:p w14:paraId="792BE231" w14:textId="77777777" w:rsidR="00E24F9F" w:rsidRDefault="00E24F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7111"/>
    <w:rsid w:val="0006367C"/>
    <w:rsid w:val="00074558"/>
    <w:rsid w:val="000824C8"/>
    <w:rsid w:val="00085495"/>
    <w:rsid w:val="000921F1"/>
    <w:rsid w:val="0009462F"/>
    <w:rsid w:val="000962C8"/>
    <w:rsid w:val="00096B51"/>
    <w:rsid w:val="000A040F"/>
    <w:rsid w:val="000B1B7A"/>
    <w:rsid w:val="000C204E"/>
    <w:rsid w:val="000C503A"/>
    <w:rsid w:val="000C6F97"/>
    <w:rsid w:val="000D4856"/>
    <w:rsid w:val="000E0D01"/>
    <w:rsid w:val="000F205C"/>
    <w:rsid w:val="000F52EA"/>
    <w:rsid w:val="001033B3"/>
    <w:rsid w:val="001117D9"/>
    <w:rsid w:val="00112C8E"/>
    <w:rsid w:val="00112FF9"/>
    <w:rsid w:val="00116A3D"/>
    <w:rsid w:val="00125209"/>
    <w:rsid w:val="00126B7A"/>
    <w:rsid w:val="001300D4"/>
    <w:rsid w:val="001303C5"/>
    <w:rsid w:val="00135ACD"/>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E1DB5"/>
    <w:rsid w:val="001F0193"/>
    <w:rsid w:val="00200BA5"/>
    <w:rsid w:val="00202B81"/>
    <w:rsid w:val="002065D8"/>
    <w:rsid w:val="0021368F"/>
    <w:rsid w:val="0021730E"/>
    <w:rsid w:val="00217435"/>
    <w:rsid w:val="0022134E"/>
    <w:rsid w:val="00223286"/>
    <w:rsid w:val="00227D3A"/>
    <w:rsid w:val="00231BC4"/>
    <w:rsid w:val="0024003A"/>
    <w:rsid w:val="0024062B"/>
    <w:rsid w:val="0024597C"/>
    <w:rsid w:val="00254258"/>
    <w:rsid w:val="002547C3"/>
    <w:rsid w:val="002654B4"/>
    <w:rsid w:val="00267805"/>
    <w:rsid w:val="00273777"/>
    <w:rsid w:val="0027486C"/>
    <w:rsid w:val="00281CE2"/>
    <w:rsid w:val="00290935"/>
    <w:rsid w:val="00293941"/>
    <w:rsid w:val="00293F7E"/>
    <w:rsid w:val="00294028"/>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6E"/>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2F02"/>
    <w:rsid w:val="003937B8"/>
    <w:rsid w:val="003A26AE"/>
    <w:rsid w:val="003A2F1C"/>
    <w:rsid w:val="003A5A75"/>
    <w:rsid w:val="003B5ABE"/>
    <w:rsid w:val="003D027F"/>
    <w:rsid w:val="003D1B54"/>
    <w:rsid w:val="003D370E"/>
    <w:rsid w:val="003E1C13"/>
    <w:rsid w:val="003E472A"/>
    <w:rsid w:val="003E5B38"/>
    <w:rsid w:val="003F108C"/>
    <w:rsid w:val="003F6E89"/>
    <w:rsid w:val="004311BD"/>
    <w:rsid w:val="00434371"/>
    <w:rsid w:val="004425AA"/>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1A04"/>
    <w:rsid w:val="004C62F9"/>
    <w:rsid w:val="004C723A"/>
    <w:rsid w:val="004D2C99"/>
    <w:rsid w:val="004E0408"/>
    <w:rsid w:val="004E7EF1"/>
    <w:rsid w:val="004F003D"/>
    <w:rsid w:val="00502D97"/>
    <w:rsid w:val="005065E6"/>
    <w:rsid w:val="0051385E"/>
    <w:rsid w:val="00516447"/>
    <w:rsid w:val="0052537F"/>
    <w:rsid w:val="00525B6D"/>
    <w:rsid w:val="00527A18"/>
    <w:rsid w:val="00531F87"/>
    <w:rsid w:val="0053544D"/>
    <w:rsid w:val="0054263B"/>
    <w:rsid w:val="00547D97"/>
    <w:rsid w:val="00550AFD"/>
    <w:rsid w:val="00557FCC"/>
    <w:rsid w:val="005648EF"/>
    <w:rsid w:val="00572759"/>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7686C"/>
    <w:rsid w:val="00681CDC"/>
    <w:rsid w:val="00682B93"/>
    <w:rsid w:val="0068336D"/>
    <w:rsid w:val="00683A76"/>
    <w:rsid w:val="00683FA1"/>
    <w:rsid w:val="00685E76"/>
    <w:rsid w:val="00687304"/>
    <w:rsid w:val="00697DF2"/>
    <w:rsid w:val="006A74B6"/>
    <w:rsid w:val="006A7F32"/>
    <w:rsid w:val="006B2457"/>
    <w:rsid w:val="006B26D7"/>
    <w:rsid w:val="006D00EC"/>
    <w:rsid w:val="006E0D06"/>
    <w:rsid w:val="006E3575"/>
    <w:rsid w:val="006E62F0"/>
    <w:rsid w:val="006F7581"/>
    <w:rsid w:val="006F7DC0"/>
    <w:rsid w:val="00702B5A"/>
    <w:rsid w:val="00706593"/>
    <w:rsid w:val="0070752A"/>
    <w:rsid w:val="007119D8"/>
    <w:rsid w:val="0071225B"/>
    <w:rsid w:val="00712E33"/>
    <w:rsid w:val="00713866"/>
    <w:rsid w:val="007216DA"/>
    <w:rsid w:val="00724230"/>
    <w:rsid w:val="00726E21"/>
    <w:rsid w:val="007340B5"/>
    <w:rsid w:val="0073440D"/>
    <w:rsid w:val="007532AB"/>
    <w:rsid w:val="00766F81"/>
    <w:rsid w:val="00770FFC"/>
    <w:rsid w:val="00787065"/>
    <w:rsid w:val="00792028"/>
    <w:rsid w:val="007A0266"/>
    <w:rsid w:val="007A3A0E"/>
    <w:rsid w:val="007A612E"/>
    <w:rsid w:val="007B1633"/>
    <w:rsid w:val="007C4B23"/>
    <w:rsid w:val="007D168F"/>
    <w:rsid w:val="007D198E"/>
    <w:rsid w:val="007D2BCE"/>
    <w:rsid w:val="007D39CC"/>
    <w:rsid w:val="007E1675"/>
    <w:rsid w:val="007F40A8"/>
    <w:rsid w:val="007F5C61"/>
    <w:rsid w:val="007F7129"/>
    <w:rsid w:val="00801691"/>
    <w:rsid w:val="00806282"/>
    <w:rsid w:val="00813A6B"/>
    <w:rsid w:val="0082168C"/>
    <w:rsid w:val="0082204F"/>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16349"/>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86958"/>
    <w:rsid w:val="00A9205E"/>
    <w:rsid w:val="00A92C18"/>
    <w:rsid w:val="00AB1D6F"/>
    <w:rsid w:val="00AB2019"/>
    <w:rsid w:val="00AB607E"/>
    <w:rsid w:val="00AB71A7"/>
    <w:rsid w:val="00AC78F7"/>
    <w:rsid w:val="00AD4B56"/>
    <w:rsid w:val="00AD61CD"/>
    <w:rsid w:val="00AF40E1"/>
    <w:rsid w:val="00AF7D47"/>
    <w:rsid w:val="00B01C12"/>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7D3"/>
    <w:rsid w:val="00BB344E"/>
    <w:rsid w:val="00BB436B"/>
    <w:rsid w:val="00BB7675"/>
    <w:rsid w:val="00BC49BF"/>
    <w:rsid w:val="00BC60AE"/>
    <w:rsid w:val="00BC65EF"/>
    <w:rsid w:val="00BC789A"/>
    <w:rsid w:val="00BD2373"/>
    <w:rsid w:val="00BE2B09"/>
    <w:rsid w:val="00BE654D"/>
    <w:rsid w:val="00BE6634"/>
    <w:rsid w:val="00BF5DF3"/>
    <w:rsid w:val="00C161A1"/>
    <w:rsid w:val="00C21D93"/>
    <w:rsid w:val="00C225C9"/>
    <w:rsid w:val="00C26751"/>
    <w:rsid w:val="00C40968"/>
    <w:rsid w:val="00C473A2"/>
    <w:rsid w:val="00C525DB"/>
    <w:rsid w:val="00C60E95"/>
    <w:rsid w:val="00C610EC"/>
    <w:rsid w:val="00C6215B"/>
    <w:rsid w:val="00C724B6"/>
    <w:rsid w:val="00C84E71"/>
    <w:rsid w:val="00C87463"/>
    <w:rsid w:val="00C8797B"/>
    <w:rsid w:val="00C93B0B"/>
    <w:rsid w:val="00C94C5E"/>
    <w:rsid w:val="00CA41CC"/>
    <w:rsid w:val="00CA7EF2"/>
    <w:rsid w:val="00CB008B"/>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52F5"/>
    <w:rsid w:val="00D66858"/>
    <w:rsid w:val="00D767EB"/>
    <w:rsid w:val="00D8125F"/>
    <w:rsid w:val="00D90E67"/>
    <w:rsid w:val="00DA1796"/>
    <w:rsid w:val="00DA2814"/>
    <w:rsid w:val="00DB2405"/>
    <w:rsid w:val="00DB2C90"/>
    <w:rsid w:val="00DB5F6A"/>
    <w:rsid w:val="00DC0393"/>
    <w:rsid w:val="00DC63A9"/>
    <w:rsid w:val="00DC66A6"/>
    <w:rsid w:val="00DC7533"/>
    <w:rsid w:val="00DE2930"/>
    <w:rsid w:val="00DF2CB7"/>
    <w:rsid w:val="00DF3BF1"/>
    <w:rsid w:val="00DF7595"/>
    <w:rsid w:val="00E007F8"/>
    <w:rsid w:val="00E02575"/>
    <w:rsid w:val="00E058BA"/>
    <w:rsid w:val="00E111AA"/>
    <w:rsid w:val="00E172C8"/>
    <w:rsid w:val="00E21120"/>
    <w:rsid w:val="00E24E10"/>
    <w:rsid w:val="00E24F9F"/>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B6247"/>
    <w:rsid w:val="00EC16F4"/>
    <w:rsid w:val="00EC17E3"/>
    <w:rsid w:val="00EC29A6"/>
    <w:rsid w:val="00EC3919"/>
    <w:rsid w:val="00EC7C98"/>
    <w:rsid w:val="00ED5E52"/>
    <w:rsid w:val="00ED7176"/>
    <w:rsid w:val="00ED75EA"/>
    <w:rsid w:val="00EF4043"/>
    <w:rsid w:val="00EF6C90"/>
    <w:rsid w:val="00F022D4"/>
    <w:rsid w:val="00F062A4"/>
    <w:rsid w:val="00F32AA4"/>
    <w:rsid w:val="00F41683"/>
    <w:rsid w:val="00F573CF"/>
    <w:rsid w:val="00F57A2B"/>
    <w:rsid w:val="00F60050"/>
    <w:rsid w:val="00F658E5"/>
    <w:rsid w:val="00F764F4"/>
    <w:rsid w:val="00F82676"/>
    <w:rsid w:val="00F86F49"/>
    <w:rsid w:val="00FA333E"/>
    <w:rsid w:val="00FA7B76"/>
    <w:rsid w:val="00FC544C"/>
    <w:rsid w:val="00FD2DF4"/>
    <w:rsid w:val="00FD7D4E"/>
    <w:rsid w:val="00FE00D7"/>
    <w:rsid w:val="00FE156B"/>
    <w:rsid w:val="00FE1F3D"/>
    <w:rsid w:val="00FE5FC9"/>
    <w:rsid w:val="00FF171F"/>
    <w:rsid w:val="00FF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5261</Words>
  <Characters>29989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2022-01-12T17:01:00Z</dcterms:created>
  <dcterms:modified xsi:type="dcterms:W3CDTF">2022-01-12T17:01:00Z</dcterms:modified>
</cp:coreProperties>
</file>