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19D42" w14:textId="31B95F2D" w:rsidR="00CA41CC" w:rsidRPr="00914128" w:rsidRDefault="0068336D" w:rsidP="00914128">
      <w:pPr>
        <w:pStyle w:val="Heading1"/>
      </w:pPr>
      <w:bookmarkStart w:id="0" w:name="_GoBack"/>
      <w:bookmarkEnd w:id="0"/>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4C6127" w:rsidP="00914128">
      <w:pPr>
        <w:pStyle w:val="ToC"/>
      </w:pPr>
      <w:hyperlink w:anchor="a25_01" w:history="1">
        <w:r w:rsidR="00232C53" w:rsidRPr="00107079">
          <w:rPr>
            <w:rStyle w:val="Hyperlink"/>
          </w:rPr>
          <w:t>25:1</w:t>
        </w:r>
      </w:hyperlink>
      <w:r w:rsidR="00232C53" w:rsidRPr="00107079">
        <w:t xml:space="preserve"> </w:t>
      </w:r>
      <w:r w:rsidR="00232C53" w:rsidRPr="00107079">
        <w:tab/>
        <w:t xml:space="preserve">Elements </w:t>
      </w:r>
      <w:r w:rsidR="00232C53">
        <w:t>of</w:t>
      </w:r>
      <w:r w:rsidR="00232C53" w:rsidRPr="00107079">
        <w:t xml:space="preserve"> Liability — Third-Party Claims</w:t>
      </w:r>
    </w:p>
    <w:p w14:paraId="66B2F1F5" w14:textId="77777777" w:rsidR="00107079" w:rsidRDefault="004C6127" w:rsidP="00914128">
      <w:pPr>
        <w:pStyle w:val="ToC"/>
      </w:pPr>
      <w:hyperlink w:anchor="a25_02" w:history="1">
        <w:r w:rsidR="00232C53" w:rsidRPr="00107079">
          <w:rPr>
            <w:rStyle w:val="Hyperlink"/>
          </w:rPr>
          <w:t>25:2</w:t>
        </w:r>
      </w:hyperlink>
      <w:r w:rsidR="00232C53" w:rsidRPr="00107079">
        <w:t xml:space="preserve"> </w:t>
      </w:r>
      <w:r w:rsidR="00232C53" w:rsidRPr="00107079">
        <w:tab/>
        <w:t xml:space="preserve">Elements </w:t>
      </w:r>
      <w:r w:rsidR="00232C53">
        <w:t>of</w:t>
      </w:r>
      <w:r w:rsidR="00232C53" w:rsidRPr="00107079">
        <w:t xml:space="preserve"> Liability — First-Party Common-Law Claims</w:t>
      </w:r>
    </w:p>
    <w:p w14:paraId="79F92256" w14:textId="77777777" w:rsidR="00107079" w:rsidRDefault="004C6127" w:rsidP="00914128">
      <w:pPr>
        <w:pStyle w:val="ToC"/>
      </w:pPr>
      <w:hyperlink w:anchor="a25_03" w:history="1">
        <w:r w:rsidR="00232C53" w:rsidRPr="00107079">
          <w:rPr>
            <w:rStyle w:val="Hyperlink"/>
          </w:rPr>
          <w:t>25:3</w:t>
        </w:r>
      </w:hyperlink>
      <w:r w:rsidR="00232C53" w:rsidRPr="00107079">
        <w:t xml:space="preserve"> </w:t>
      </w:r>
      <w:r w:rsidR="00232C53" w:rsidRPr="00107079">
        <w:tab/>
        <w:t xml:space="preserve">Unreasonable Conduct/Unreasonable </w:t>
      </w:r>
      <w:r w:rsidR="00232C53">
        <w:t xml:space="preserve">Position — Common-Law Claims — </w:t>
      </w:r>
      <w:r w:rsidR="00232C53" w:rsidRPr="00107079">
        <w:t>Defined</w:t>
      </w:r>
    </w:p>
    <w:p w14:paraId="65A73161" w14:textId="77777777" w:rsidR="00107079" w:rsidRDefault="004C6127" w:rsidP="00914128">
      <w:pPr>
        <w:pStyle w:val="ToC"/>
      </w:pPr>
      <w:hyperlink w:anchor="a25_04" w:history="1">
        <w:r w:rsidR="00232C53" w:rsidRPr="00107079">
          <w:rPr>
            <w:rStyle w:val="Hyperlink"/>
          </w:rPr>
          <w:t>25:4</w:t>
        </w:r>
      </w:hyperlink>
      <w:r w:rsidR="00232C53" w:rsidRPr="00107079">
        <w:t xml:space="preserve"> </w:t>
      </w:r>
      <w:r w:rsidR="00232C53" w:rsidRPr="00107079">
        <w:tab/>
        <w:t xml:space="preserve">Elements </w:t>
      </w:r>
      <w:r w:rsidR="00232C53">
        <w:t>of</w:t>
      </w:r>
      <w:r w:rsidR="00232C53" w:rsidRPr="00107079">
        <w:t xml:space="preserve"> Liability — First-Party Statutory Claims</w:t>
      </w:r>
    </w:p>
    <w:p w14:paraId="5A1E450E" w14:textId="2A1D178F" w:rsidR="00107079" w:rsidRDefault="004C6127" w:rsidP="00914128">
      <w:pPr>
        <w:pStyle w:val="ToC"/>
      </w:pPr>
      <w:hyperlink w:anchor="a25_05" w:history="1">
        <w:r w:rsidR="00232C53" w:rsidRPr="00107079">
          <w:rPr>
            <w:rStyle w:val="Hyperlink"/>
          </w:rPr>
          <w:t>25:5</w:t>
        </w:r>
      </w:hyperlink>
      <w:r w:rsidR="00232C53" w:rsidRPr="00107079">
        <w:tab/>
        <w:t xml:space="preserve">Unreasonable Delay </w:t>
      </w:r>
      <w:r w:rsidR="00232C53">
        <w:t>or</w:t>
      </w:r>
      <w:r w:rsidR="00232C53" w:rsidRPr="00107079">
        <w:t xml:space="preserve"> Denial</w:t>
      </w:r>
    </w:p>
    <w:p w14:paraId="564C1CBA" w14:textId="77777777" w:rsidR="00107079" w:rsidRDefault="004C6127" w:rsidP="00914128">
      <w:pPr>
        <w:pStyle w:val="ToC"/>
      </w:pPr>
      <w:hyperlink w:anchor="a25_06" w:history="1">
        <w:r w:rsidR="00232C53" w:rsidRPr="00107079">
          <w:rPr>
            <w:rStyle w:val="Hyperlink"/>
          </w:rPr>
          <w:t>25:6</w:t>
        </w:r>
      </w:hyperlink>
      <w:r w:rsidR="00232C53" w:rsidRPr="00107079">
        <w:t xml:space="preserve"> </w:t>
      </w:r>
      <w:r w:rsidR="00232C53" w:rsidRPr="00107079">
        <w:tab/>
        <w:t>Unreasonable Conduct/Unreasonable Position — Statutory Violations — Defined</w:t>
      </w:r>
    </w:p>
    <w:p w14:paraId="40F6E1F7" w14:textId="77777777" w:rsidR="00107079" w:rsidRDefault="004C6127" w:rsidP="00914128">
      <w:pPr>
        <w:pStyle w:val="ToC"/>
      </w:pPr>
      <w:hyperlink w:anchor="a25_07" w:history="1">
        <w:r w:rsidR="00232C53" w:rsidRPr="00107079">
          <w:rPr>
            <w:rStyle w:val="Hyperlink"/>
          </w:rPr>
          <w:t>25:7</w:t>
        </w:r>
      </w:hyperlink>
      <w:r w:rsidR="00232C53" w:rsidRPr="00107079">
        <w:t xml:space="preserve"> </w:t>
      </w:r>
      <w:r w:rsidR="00232C53" w:rsidRPr="00107079">
        <w:tab/>
        <w:t>Reckless Disregard — Defined</w:t>
      </w:r>
    </w:p>
    <w:p w14:paraId="5A4784C4" w14:textId="77777777" w:rsidR="00107079" w:rsidRDefault="004C6127" w:rsidP="00914128">
      <w:pPr>
        <w:pStyle w:val="ToC"/>
      </w:pPr>
      <w:hyperlink w:anchor="a25_08" w:history="1">
        <w:r w:rsidR="00232C53" w:rsidRPr="00107079">
          <w:rPr>
            <w:rStyle w:val="Hyperlink"/>
          </w:rPr>
          <w:t>25:8</w:t>
        </w:r>
      </w:hyperlink>
      <w:r w:rsidR="00232C53" w:rsidRPr="00107079">
        <w:t xml:space="preserve"> </w:t>
      </w:r>
      <w:r w:rsidR="00232C53" w:rsidRPr="00107079">
        <w:tab/>
        <w:t xml:space="preserve">Duty </w:t>
      </w:r>
      <w:r w:rsidR="00232C53">
        <w:t>of</w:t>
      </w:r>
      <w:r w:rsidR="00232C53" w:rsidRPr="00107079">
        <w:t xml:space="preserve"> Good Faith </w:t>
      </w:r>
      <w:r w:rsidR="00232C53">
        <w:t>and</w:t>
      </w:r>
      <w:r w:rsidR="00232C53" w:rsidRPr="00107079">
        <w:t xml:space="preserve"> Fair Dealing</w:t>
      </w:r>
    </w:p>
    <w:p w14:paraId="04BD2A59" w14:textId="77777777" w:rsidR="00107079" w:rsidRDefault="004C6127" w:rsidP="00914128">
      <w:pPr>
        <w:pStyle w:val="ToC"/>
      </w:pPr>
      <w:hyperlink w:anchor="a25_09" w:history="1">
        <w:r w:rsidR="00232C53" w:rsidRPr="00107079">
          <w:rPr>
            <w:rStyle w:val="Hyperlink"/>
          </w:rPr>
          <w:t>25:9</w:t>
        </w:r>
      </w:hyperlink>
      <w:r w:rsidR="00232C53" w:rsidRPr="00107079">
        <w:t xml:space="preserve"> </w:t>
      </w:r>
      <w:r w:rsidR="00232C53" w:rsidRPr="00107079">
        <w:tab/>
        <w:t>Actual Damages — Common-Law Claims</w:t>
      </w:r>
    </w:p>
    <w:p w14:paraId="680E5552" w14:textId="77777777" w:rsidR="00107079" w:rsidRDefault="004C6127" w:rsidP="00914128">
      <w:pPr>
        <w:pStyle w:val="ToC"/>
      </w:pPr>
      <w:hyperlink w:anchor="a25_10" w:history="1">
        <w:r w:rsidR="00232C53" w:rsidRPr="00107079">
          <w:rPr>
            <w:rStyle w:val="Hyperlink"/>
          </w:rPr>
          <w:t>25:10</w:t>
        </w:r>
      </w:hyperlink>
      <w:r w:rsidR="00232C53" w:rsidRPr="00107079">
        <w:tab/>
        <w:t>Benefit Amount — First-Party Statutory Claims</w:t>
      </w:r>
    </w:p>
    <w:p w14:paraId="08EC2573" w14:textId="77777777" w:rsidR="00107079" w:rsidRDefault="004C6127" w:rsidP="00914128">
      <w:pPr>
        <w:pStyle w:val="ToC"/>
      </w:pPr>
      <w:hyperlink w:anchor="a25_11" w:history="1">
        <w:r w:rsidR="00232C53" w:rsidRPr="00107079">
          <w:rPr>
            <w:rStyle w:val="Hyperlink"/>
          </w:rPr>
          <w:t>25:11</w:t>
        </w:r>
      </w:hyperlink>
      <w:r w:rsidR="00232C53" w:rsidRPr="00107079">
        <w:t xml:space="preserve"> </w:t>
      </w:r>
      <w:r w:rsidR="00232C53"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1" w:name="a25_01"/>
      <w:bookmarkEnd w:id="1"/>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on (his) (her) (its)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Olson v. State Farm Mut. Auto. Ins. Co.</w:t>
      </w:r>
      <w:r w:rsidRPr="00F94DD6">
        <w:rPr>
          <w:rFonts w:eastAsia="Times New Roman"/>
          <w:sz w:val="24"/>
          <w:szCs w:val="24"/>
        </w:rPr>
        <w:t xml:space="preserve">, 174 P.3d 849 (Colo. App. 2007) (same).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xml:space="preserve">, 706 P.2d 1258 (Colo. 1985) (requiring insurer knowledge or reckless disregard of its unreasonable conduct).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Brodeur v. Am. Home Assur. 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 Auto. Ins. Co.</w:t>
      </w:r>
      <w:r w:rsidRPr="001D31A6">
        <w:rPr>
          <w:rFonts w:eastAsia="Times New Roman"/>
          <w:sz w:val="24"/>
          <w:szCs w:val="24"/>
        </w:rPr>
        <w:t>, 174 P.3d 849 (Colo. App. 2007).</w:t>
      </w:r>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691 P.2d at 1141.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r w:rsidRPr="001D31A6">
        <w:rPr>
          <w:rFonts w:eastAsia="Times New Roman"/>
          <w:b/>
          <w:sz w:val="24"/>
          <w:szCs w:val="24"/>
        </w:rPr>
        <w:t>Colo. Special Dists. Prop. &amp; Liab.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Colo. Pool Sys.,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Thompson v. Md. Cas. 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 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Miller v. Hartford Cas.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Traveler’s Cas. Co.</w:t>
      </w:r>
      <w:r w:rsidRPr="001D31A6">
        <w:rPr>
          <w:rFonts w:eastAsia="Times New Roman"/>
          <w:sz w:val="24"/>
          <w:szCs w:val="24"/>
        </w:rPr>
        <w:t xml:space="preserve">, 159 P.3d 748 (Colo. App. 2006); </w:t>
      </w:r>
      <w:r w:rsidRPr="001D31A6">
        <w:rPr>
          <w:rFonts w:eastAsia="Times New Roman"/>
          <w:b/>
          <w:sz w:val="24"/>
          <w:szCs w:val="24"/>
        </w:rPr>
        <w:t>Leprino v. Nationwide Prop. &amp; Cas. 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90 P.3d at 827.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0DFEE682"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does not ordinarily waive its policy defenses by payment of settl</w:t>
      </w:r>
      <w:r w:rsidR="00231719">
        <w:rPr>
          <w:rFonts w:eastAsia="Times New Roman"/>
          <w:sz w:val="24"/>
          <w:szCs w:val="24"/>
        </w:rPr>
        <w:t xml:space="preserve">ement proceeds to a claimant.” </w:t>
      </w:r>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 Mut. Ins. Co.</w:t>
      </w:r>
      <w:r w:rsidRPr="001D31A6">
        <w:rPr>
          <w:rFonts w:eastAsia="Times New Roman"/>
          <w:sz w:val="24"/>
          <w:szCs w:val="24"/>
        </w:rPr>
        <w:t>, 830 P.2d</w:t>
      </w:r>
      <w:r w:rsidR="00231719">
        <w:rPr>
          <w:rFonts w:eastAsia="Times New Roman"/>
          <w:sz w:val="24"/>
          <w:szCs w:val="24"/>
        </w:rPr>
        <w:t xml:space="preserve"> 1070, 1073 (Colo. App. 1991)).</w:t>
      </w:r>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
    <w:p w14:paraId="269CC789" w14:textId="09E46FE9"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811 P.2d at1083, 1089, held that an insurer that defends the insured under a reservation of rights may seek reimbursement of defense costs after settlement or following trial if the facts at trial or determined in a declaratory judgment action prove that the claim was not covered</w:t>
      </w:r>
      <w:r w:rsidR="00231719">
        <w:rPr>
          <w:rFonts w:eastAsia="Times New Roman"/>
          <w:sz w:val="24"/>
          <w:szCs w:val="24"/>
        </w:rPr>
        <w:t>.</w:t>
      </w:r>
      <w:r w:rsidRPr="001D31A6">
        <w:rPr>
          <w:rFonts w:eastAsia="Times New Roman"/>
          <w:sz w:val="24"/>
          <w:szCs w:val="24"/>
        </w:rPr>
        <w:t xml:space="preserve"> </w:t>
      </w:r>
    </w:p>
    <w:p w14:paraId="679F9082" w14:textId="27FBAFBC"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policies that contains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2016 COA 164, ¶¶ 10-25 (rejecting insurer’s argument that the policy supplemental payment provision was “superseded” by its r</w:t>
      </w:r>
      <w:r w:rsidR="00231719">
        <w:rPr>
          <w:rFonts w:eastAsia="Times New Roman"/>
          <w:sz w:val="24"/>
          <w:szCs w:val="24"/>
        </w:rPr>
        <w:t>eservation of rights letter).</w:t>
      </w:r>
    </w:p>
    <w:p w14:paraId="6F77BED7" w14:textId="4EAA784D"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w:t>
      </w:r>
      <w:r w:rsidR="005A3434">
        <w:rPr>
          <w:rFonts w:eastAsia="Times New Roman"/>
          <w:sz w:val="24"/>
          <w:szCs w:val="24"/>
        </w:rPr>
        <w:t xml:space="preserve">at </w:t>
      </w:r>
      <w:r w:rsidR="001D31A6" w:rsidRPr="001D31A6">
        <w:rPr>
          <w:rFonts w:eastAsia="Times New Roman"/>
          <w:sz w:val="24"/>
          <w:szCs w:val="24"/>
        </w:rPr>
        <w:t>11</w:t>
      </w:r>
      <w:r w:rsidR="005A3434">
        <w:rPr>
          <w:rFonts w:eastAsia="Times New Roman"/>
          <w:sz w:val="24"/>
          <w:szCs w:val="24"/>
        </w:rPr>
        <w:t>42</w:t>
      </w:r>
      <w:r w:rsidR="001D31A6" w:rsidRPr="001D31A6">
        <w:rPr>
          <w:rFonts w:eastAsia="Times New Roman"/>
          <w:sz w:val="24"/>
          <w:szCs w:val="24"/>
        </w:rPr>
        <w:t xml:space="preserve">);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xml:space="preserve">§ 13-20-808(b)(II),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r w:rsidRPr="001D31A6">
        <w:rPr>
          <w:rFonts w:eastAsia="Times New Roman"/>
          <w:i/>
          <w:sz w:val="24"/>
          <w:szCs w:val="24"/>
        </w:rPr>
        <w:t xml:space="preserve">Id. </w:t>
      </w:r>
      <w:r w:rsidRPr="001D31A6">
        <w:rPr>
          <w:rFonts w:eastAsia="Times New Roman"/>
          <w:sz w:val="24"/>
          <w:szCs w:val="24"/>
        </w:rPr>
        <w:t xml:space="preserve">at 437. The court stated, however, “we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at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supreme court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5605A6A" w14:textId="517DF847" w:rsidR="00A85E65" w:rsidRDefault="001D31A6" w:rsidP="00A85E65">
      <w:pPr>
        <w:ind w:firstLine="720"/>
        <w:rPr>
          <w:sz w:val="26"/>
        </w:rPr>
      </w:pPr>
      <w:r w:rsidRPr="001D31A6">
        <w:rPr>
          <w:rFonts w:eastAsia="Times New Roman"/>
          <w:sz w:val="24"/>
          <w:szCs w:val="24"/>
        </w:rPr>
        <w:t xml:space="preserve">16. </w:t>
      </w:r>
      <w:r w:rsidR="001B757B" w:rsidRPr="009C55FF">
        <w:rPr>
          <w:rFonts w:eastAsia="Times New Roman"/>
          <w:sz w:val="24"/>
          <w:szCs w:val="24"/>
        </w:rPr>
        <w:t xml:space="preserve">In </w:t>
      </w:r>
      <w:r w:rsidR="001B757B" w:rsidRPr="009C55FF">
        <w:rPr>
          <w:b/>
          <w:sz w:val="24"/>
          <w:szCs w:val="24"/>
        </w:rPr>
        <w:t>Auto Owners Insurance Co. v. Bolt Factory Lofts Owners Ass</w:t>
      </w:r>
      <w:r w:rsidR="00F86E1F">
        <w:rPr>
          <w:b/>
          <w:sz w:val="24"/>
          <w:szCs w:val="24"/>
        </w:rPr>
        <w:t>’</w:t>
      </w:r>
      <w:r w:rsidR="001B757B" w:rsidRPr="009C55FF">
        <w:rPr>
          <w:b/>
          <w:sz w:val="24"/>
          <w:szCs w:val="24"/>
        </w:rPr>
        <w:t>n</w:t>
      </w:r>
      <w:r w:rsidR="001B757B" w:rsidRPr="009C55FF">
        <w:rPr>
          <w:sz w:val="24"/>
          <w:szCs w:val="24"/>
        </w:rPr>
        <w:t xml:space="preserve">, 2021 CO 32, 487 P.3d 276, the supreme court held </w:t>
      </w:r>
      <w:r w:rsidR="001B757B">
        <w:rPr>
          <w:sz w:val="24"/>
          <w:szCs w:val="24"/>
        </w:rPr>
        <w:t>that where the</w:t>
      </w:r>
      <w:r w:rsidR="001B757B" w:rsidRPr="009C55FF">
        <w:rPr>
          <w:sz w:val="24"/>
          <w:szCs w:val="24"/>
        </w:rPr>
        <w:t xml:space="preserve"> insured entered into a </w:t>
      </w:r>
      <w:r w:rsidR="001B757B" w:rsidRPr="009C55FF">
        <w:rPr>
          <w:b/>
          <w:sz w:val="24"/>
          <w:szCs w:val="24"/>
        </w:rPr>
        <w:t>Nunn</w:t>
      </w:r>
      <w:r w:rsidR="001B757B" w:rsidRPr="009C55FF">
        <w:rPr>
          <w:sz w:val="24"/>
          <w:szCs w:val="24"/>
        </w:rPr>
        <w:t xml:space="preserve"> agreement with a third-party claimant, but rather than</w:t>
      </w:r>
      <w:r w:rsidR="001B757B">
        <w:rPr>
          <w:sz w:val="24"/>
          <w:szCs w:val="24"/>
        </w:rPr>
        <w:t xml:space="preserve"> agreeing to a stipulated </w:t>
      </w:r>
      <w:r w:rsidR="001B757B" w:rsidRPr="009C55FF">
        <w:rPr>
          <w:sz w:val="24"/>
          <w:szCs w:val="24"/>
        </w:rPr>
        <w:t xml:space="preserve">judgment, </w:t>
      </w:r>
      <w:r w:rsidR="001B757B">
        <w:rPr>
          <w:sz w:val="24"/>
          <w:szCs w:val="24"/>
        </w:rPr>
        <w:t xml:space="preserve">the parties proceeded </w:t>
      </w:r>
      <w:r w:rsidR="001B757B" w:rsidRPr="009C55FF">
        <w:rPr>
          <w:sz w:val="24"/>
          <w:szCs w:val="24"/>
        </w:rPr>
        <w:t>to an uncontested trial to determine liability and damages</w:t>
      </w:r>
      <w:r w:rsidR="001B757B">
        <w:rPr>
          <w:sz w:val="24"/>
          <w:szCs w:val="24"/>
        </w:rPr>
        <w:t xml:space="preserve">, the </w:t>
      </w:r>
      <w:r w:rsidR="001B757B" w:rsidRPr="009C55FF">
        <w:rPr>
          <w:sz w:val="24"/>
          <w:szCs w:val="24"/>
        </w:rPr>
        <w:t xml:space="preserve">insurer defending its insured under a reservation of rights </w:t>
      </w:r>
      <w:r w:rsidR="001B757B">
        <w:rPr>
          <w:sz w:val="24"/>
          <w:szCs w:val="24"/>
        </w:rPr>
        <w:t>was</w:t>
      </w:r>
      <w:r w:rsidR="001B757B" w:rsidRPr="009C55FF">
        <w:rPr>
          <w:sz w:val="24"/>
          <w:szCs w:val="24"/>
        </w:rPr>
        <w:t xml:space="preserve"> not entitled to intervene as of right under C.R.C.P. 24(a)(2). The court </w:t>
      </w:r>
      <w:r w:rsidR="001B757B" w:rsidRPr="009C55FF">
        <w:rPr>
          <w:sz w:val="24"/>
          <w:szCs w:val="24"/>
        </w:rPr>
        <w:lastRenderedPageBreak/>
        <w:t xml:space="preserve">concluded that the insurer’s interest in the litigation was not impaired because the insurer may sufficiently protect its interest in a </w:t>
      </w:r>
      <w:r w:rsidR="001B757B">
        <w:rPr>
          <w:sz w:val="24"/>
          <w:szCs w:val="24"/>
        </w:rPr>
        <w:t>later</w:t>
      </w:r>
      <w:r w:rsidR="001B757B" w:rsidRPr="009C55FF">
        <w:rPr>
          <w:sz w:val="24"/>
          <w:szCs w:val="24"/>
        </w:rPr>
        <w:t xml:space="preserve"> proceeding.</w:t>
      </w:r>
    </w:p>
    <w:p w14:paraId="75D40401" w14:textId="0986C904" w:rsidR="00A85E65" w:rsidRDefault="00A85E65" w:rsidP="00A85E65">
      <w:pPr>
        <w:ind w:firstLine="720"/>
        <w:rPr>
          <w:rFonts w:eastAsia="Times New Roman"/>
          <w:sz w:val="24"/>
          <w:szCs w:val="24"/>
        </w:rPr>
      </w:pPr>
    </w:p>
    <w:p w14:paraId="09C072E5" w14:textId="64266EAA" w:rsidR="00AB2B06" w:rsidRDefault="00A85E65" w:rsidP="001D31A6">
      <w:pPr>
        <w:spacing w:after="240"/>
        <w:ind w:firstLine="720"/>
        <w:rPr>
          <w:sz w:val="24"/>
          <w:szCs w:val="24"/>
        </w:rPr>
      </w:pPr>
      <w:r>
        <w:rPr>
          <w:rFonts w:eastAsia="Times New Roman"/>
          <w:sz w:val="24"/>
          <w:szCs w:val="24"/>
        </w:rPr>
        <w:t xml:space="preserve">17. </w:t>
      </w:r>
      <w:r w:rsidR="001B757B" w:rsidRPr="009C55FF">
        <w:rPr>
          <w:sz w:val="24"/>
          <w:szCs w:val="24"/>
        </w:rPr>
        <w:t xml:space="preserve">In </w:t>
      </w:r>
      <w:r w:rsidR="001B757B" w:rsidRPr="009C55FF">
        <w:rPr>
          <w:b/>
          <w:sz w:val="24"/>
          <w:szCs w:val="24"/>
        </w:rPr>
        <w:t>State Farm Auto Ins. Co. v. Goddard</w:t>
      </w:r>
      <w:r w:rsidR="001B757B" w:rsidRPr="009C55FF">
        <w:rPr>
          <w:sz w:val="24"/>
          <w:szCs w:val="24"/>
        </w:rPr>
        <w:t>, 2021 COA 15, 484 P.3d 765,</w:t>
      </w:r>
      <w:r w:rsidR="001B757B">
        <w:rPr>
          <w:sz w:val="24"/>
          <w:szCs w:val="24"/>
        </w:rPr>
        <w:t xml:space="preserve"> </w:t>
      </w:r>
      <w:r w:rsidR="001B757B" w:rsidRPr="009C55FF">
        <w:rPr>
          <w:sz w:val="24"/>
          <w:szCs w:val="24"/>
        </w:rPr>
        <w:t xml:space="preserve">the court of appeals declined to adopt a blanket rule that an insured cannot, as a matter of law, breach an insurance policy by entering into an agreement like the one contemplated by the supreme court in </w:t>
      </w:r>
      <w:r w:rsidR="001B757B" w:rsidRPr="009C55FF">
        <w:rPr>
          <w:b/>
          <w:sz w:val="24"/>
          <w:szCs w:val="24"/>
        </w:rPr>
        <w:t>Nunn</w:t>
      </w:r>
      <w:r w:rsidR="001B757B" w:rsidRPr="009C55FF">
        <w:rPr>
          <w:sz w:val="24"/>
          <w:szCs w:val="24"/>
        </w:rPr>
        <w:t>. Instead, the court held that, before an insured is justified in stipulating to a judgment and assigning its claims against its insurer to a third-party claimant, it must first appear that the insurer has unreasonably refused to defend the insured or to settle the claim within policy limits. Whether an insurer appears to have acted unreasonably and whether an insured has breached an insurance contract by entering into such an agreement are questions of fact.</w:t>
      </w:r>
      <w:r w:rsidR="00AB2B06">
        <w:rPr>
          <w:sz w:val="24"/>
          <w:szCs w:val="24"/>
        </w:rPr>
        <w:t xml:space="preserve"> </w:t>
      </w:r>
    </w:p>
    <w:p w14:paraId="3EE8C9F7" w14:textId="35AE8955" w:rsidR="001D31A6" w:rsidRPr="001D31A6" w:rsidRDefault="00AB2B06" w:rsidP="001D31A6">
      <w:pPr>
        <w:spacing w:after="240"/>
        <w:ind w:firstLine="720"/>
        <w:rPr>
          <w:rFonts w:eastAsia="Times New Roman"/>
          <w:sz w:val="24"/>
          <w:szCs w:val="24"/>
        </w:rPr>
      </w:pPr>
      <w:r>
        <w:rPr>
          <w:sz w:val="24"/>
          <w:szCs w:val="24"/>
        </w:rPr>
        <w:t>1</w:t>
      </w:r>
      <w:r w:rsidR="00A85E65">
        <w:rPr>
          <w:sz w:val="24"/>
          <w:szCs w:val="24"/>
        </w:rPr>
        <w:t>8</w:t>
      </w:r>
      <w:r>
        <w:rPr>
          <w:sz w:val="24"/>
          <w:szCs w:val="24"/>
        </w:rPr>
        <w:t xml:space="preserve">. </w:t>
      </w:r>
      <w:r w:rsidR="001D31A6" w:rsidRPr="001D31A6">
        <w:rPr>
          <w:rFonts w:eastAsia="Times New Roman"/>
          <w:sz w:val="24"/>
          <w:szCs w:val="24"/>
        </w:rPr>
        <w:t xml:space="preserve">The logic of </w:t>
      </w:r>
      <w:r w:rsidR="001D31A6" w:rsidRPr="001D31A6">
        <w:rPr>
          <w:rFonts w:eastAsia="Times New Roman"/>
          <w:b/>
          <w:sz w:val="24"/>
          <w:szCs w:val="24"/>
        </w:rPr>
        <w:t>Nunn</w:t>
      </w:r>
      <w:r w:rsidR="001D31A6"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001D31A6" w:rsidRPr="001D31A6">
        <w:rPr>
          <w:rFonts w:eastAsia="Times New Roman"/>
          <w:b/>
          <w:sz w:val="24"/>
          <w:szCs w:val="24"/>
        </w:rPr>
        <w:t>DC-10 Entm’t, LLC v. Manor Ins. Agency, Inc.</w:t>
      </w:r>
      <w:r w:rsidR="001D31A6" w:rsidRPr="001D31A6">
        <w:rPr>
          <w:rFonts w:eastAsia="Times New Roman"/>
          <w:sz w:val="24"/>
          <w:szCs w:val="24"/>
        </w:rPr>
        <w:t>, 2013 COA 14, ¶ 14, 308 P.3d 1223. In that case, the insurer of a nightclub denied coverage for a fight between patrons based on an exclusion for assault and battery. The injured patron and the club entered 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5EA2C165" w:rsidR="001D31A6" w:rsidRPr="001D31A6" w:rsidRDefault="001D31A6" w:rsidP="001D31A6">
      <w:pPr>
        <w:spacing w:after="240"/>
        <w:ind w:firstLine="720"/>
        <w:rPr>
          <w:rFonts w:eastAsia="Times New Roman"/>
          <w:sz w:val="24"/>
          <w:szCs w:val="24"/>
        </w:rPr>
      </w:pPr>
      <w:r w:rsidRPr="001D31A6">
        <w:rPr>
          <w:rFonts w:eastAsia="Times New Roman"/>
          <w:sz w:val="24"/>
          <w:szCs w:val="24"/>
        </w:rPr>
        <w:t>1</w:t>
      </w:r>
      <w:r w:rsidR="00A85E65">
        <w:rPr>
          <w:rFonts w:eastAsia="Times New Roman"/>
          <w:sz w:val="24"/>
          <w:szCs w:val="24"/>
        </w:rPr>
        <w:t>9</w:t>
      </w:r>
      <w:r w:rsidRPr="001D31A6">
        <w:rPr>
          <w:rFonts w:eastAsia="Times New Roman"/>
          <w:sz w:val="24"/>
          <w:szCs w:val="24"/>
        </w:rPr>
        <w:t xml:space="preserve">.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r w:rsidRPr="001D31A6">
        <w:rPr>
          <w:rFonts w:eastAsia="Times New Roman"/>
          <w:b/>
          <w:sz w:val="24"/>
          <w:szCs w:val="24"/>
        </w:rPr>
        <w:t>Friedland v. Travelers Indem.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10704E4A" w:rsidR="001D31A6" w:rsidRPr="001D31A6" w:rsidRDefault="00A85E65" w:rsidP="001D31A6">
      <w:pPr>
        <w:spacing w:after="240"/>
        <w:ind w:firstLine="720"/>
        <w:rPr>
          <w:rFonts w:eastAsia="Times New Roman"/>
          <w:sz w:val="24"/>
          <w:szCs w:val="24"/>
        </w:rPr>
      </w:pPr>
      <w:r>
        <w:rPr>
          <w:rFonts w:eastAsia="Times New Roman"/>
          <w:sz w:val="24"/>
          <w:szCs w:val="24"/>
        </w:rPr>
        <w:t>20</w:t>
      </w:r>
      <w:r w:rsidR="001D31A6" w:rsidRPr="001D31A6">
        <w:rPr>
          <w:rFonts w:eastAsia="Times New Roman"/>
          <w:sz w:val="24"/>
          <w:szCs w:val="24"/>
        </w:rPr>
        <w:t xml:space="preserve">. The supreme court held that an insured’s violation of a policy’s no-voluntary-payments clause by settling with a claimant without suit and without advance notice to or the consent of its liability insurer bars coverage. </w:t>
      </w:r>
      <w:r w:rsidR="001D31A6" w:rsidRPr="001D31A6">
        <w:rPr>
          <w:rFonts w:eastAsia="Times New Roman"/>
          <w:b/>
          <w:sz w:val="24"/>
          <w:szCs w:val="24"/>
        </w:rPr>
        <w:t>Travelers Prop. Cas. Co. of Am. v. Stresscon Corp.</w:t>
      </w:r>
      <w:r w:rsidR="001D31A6" w:rsidRPr="001D31A6">
        <w:rPr>
          <w:rFonts w:eastAsia="Times New Roman"/>
          <w:sz w:val="24"/>
          <w:szCs w:val="24"/>
        </w:rPr>
        <w:t xml:space="preserve">, 2016 CO 22M, ¶¶ 13-15, 370 P.3d 140. The court, refusing to apply the notice-prejudice rule, held that a no-voluntary-payments clause, like the notice provision in a claims-made policy, </w:t>
      </w:r>
      <w:r w:rsidR="001D31A6" w:rsidRPr="001D31A6">
        <w:rPr>
          <w:rFonts w:eastAsia="Times New Roman"/>
          <w:i/>
          <w:sz w:val="24"/>
          <w:szCs w:val="24"/>
        </w:rPr>
        <w:t xml:space="preserve">see </w:t>
      </w:r>
      <w:r w:rsidR="001D31A6" w:rsidRPr="001D31A6">
        <w:rPr>
          <w:rFonts w:eastAsia="Times New Roman"/>
          <w:b/>
          <w:sz w:val="24"/>
          <w:szCs w:val="24"/>
        </w:rPr>
        <w:t xml:space="preserve">Craft v. Philadelphia Indem. Ins. Co., </w:t>
      </w:r>
      <w:r w:rsidR="001D31A6"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r w:rsidR="001D31A6" w:rsidRPr="001D31A6">
        <w:rPr>
          <w:rFonts w:eastAsia="Times New Roman"/>
          <w:b/>
          <w:sz w:val="24"/>
          <w:szCs w:val="24"/>
        </w:rPr>
        <w:t>Stresscon</w:t>
      </w:r>
      <w:r w:rsidR="001D31A6" w:rsidRPr="001D31A6">
        <w:rPr>
          <w:rFonts w:eastAsia="Times New Roman"/>
          <w:sz w:val="24"/>
          <w:szCs w:val="24"/>
        </w:rPr>
        <w:t>, ¶ 12.</w:t>
      </w:r>
    </w:p>
    <w:p w14:paraId="1881235E" w14:textId="3F7825E7" w:rsidR="001D31A6" w:rsidRPr="001D31A6" w:rsidRDefault="00AB2B06" w:rsidP="001D31A6">
      <w:pPr>
        <w:spacing w:after="240"/>
        <w:ind w:firstLine="720"/>
        <w:rPr>
          <w:rFonts w:eastAsia="Times New Roman"/>
          <w:sz w:val="24"/>
          <w:szCs w:val="24"/>
        </w:rPr>
      </w:pPr>
      <w:r>
        <w:rPr>
          <w:rFonts w:eastAsia="Times New Roman"/>
          <w:sz w:val="24"/>
          <w:szCs w:val="24"/>
        </w:rPr>
        <w:t>2</w:t>
      </w:r>
      <w:r w:rsidR="00A85E65">
        <w:rPr>
          <w:rFonts w:eastAsia="Times New Roman"/>
          <w:sz w:val="24"/>
          <w:szCs w:val="24"/>
        </w:rPr>
        <w:t>1</w:t>
      </w:r>
      <w:r w:rsidR="001D31A6" w:rsidRPr="001D31A6">
        <w:rPr>
          <w:rFonts w:eastAsia="Times New Roman"/>
          <w:sz w:val="24"/>
          <w:szCs w:val="24"/>
        </w:rPr>
        <w:t xml:space="preserve">. The court of appeals applied the notice-prejudice rule to violation of an occurrence policy clause requiring notice of incidents within 60 days of their occurrence. </w:t>
      </w:r>
      <w:r w:rsidR="001D31A6" w:rsidRPr="001D31A6">
        <w:rPr>
          <w:rFonts w:eastAsia="Times New Roman"/>
          <w:b/>
          <w:sz w:val="24"/>
          <w:szCs w:val="24"/>
        </w:rPr>
        <w:t>MarkWest Energy Partners, L.P. v. Zurich Am. Ins. Co.</w:t>
      </w:r>
      <w:r w:rsidR="001D31A6" w:rsidRPr="001D31A6">
        <w:rPr>
          <w:rFonts w:eastAsia="Times New Roman"/>
          <w:sz w:val="24"/>
          <w:szCs w:val="24"/>
        </w:rPr>
        <w:t>, 2016 COA 110, ¶ 31</w:t>
      </w:r>
      <w:r w:rsidR="0000771A">
        <w:rPr>
          <w:rFonts w:eastAsia="Times New Roman"/>
          <w:sz w:val="24"/>
          <w:szCs w:val="24"/>
        </w:rPr>
        <w:t>, 411 P.3d 1080</w:t>
      </w:r>
      <w:r w:rsidR="001D31A6" w:rsidRPr="001D31A6">
        <w:rPr>
          <w:rFonts w:eastAsia="Times New Roman"/>
          <w:sz w:val="24"/>
          <w:szCs w:val="24"/>
        </w:rPr>
        <w:t xml:space="preserve">. In doing so, the court distinguished </w:t>
      </w:r>
      <w:r w:rsidR="001D31A6" w:rsidRPr="001D31A6">
        <w:rPr>
          <w:rFonts w:eastAsia="Times New Roman"/>
          <w:b/>
          <w:sz w:val="24"/>
          <w:szCs w:val="24"/>
        </w:rPr>
        <w:t>Stresscon</w:t>
      </w:r>
      <w:r w:rsidR="001D31A6" w:rsidRPr="001D31A6">
        <w:rPr>
          <w:rFonts w:eastAsia="Times New Roman"/>
          <w:sz w:val="24"/>
          <w:szCs w:val="24"/>
        </w:rPr>
        <w:t xml:space="preserve">, 2016 CO 22M, and </w:t>
      </w:r>
      <w:r w:rsidR="001D31A6" w:rsidRPr="001D31A6">
        <w:rPr>
          <w:rFonts w:eastAsia="Times New Roman"/>
          <w:b/>
          <w:sz w:val="24"/>
          <w:szCs w:val="24"/>
        </w:rPr>
        <w:t>Craft</w:t>
      </w:r>
      <w:r w:rsidR="001D31A6" w:rsidRPr="001D31A6">
        <w:rPr>
          <w:rFonts w:eastAsia="Times New Roman"/>
          <w:sz w:val="24"/>
          <w:szCs w:val="24"/>
        </w:rPr>
        <w:t xml:space="preserve">, 2015 CO 11, as dealing with policy terms that defined the scope of coverage. </w:t>
      </w:r>
      <w:r w:rsidR="001D31A6" w:rsidRPr="001D31A6">
        <w:rPr>
          <w:rFonts w:eastAsia="Times New Roman"/>
          <w:b/>
          <w:sz w:val="24"/>
          <w:szCs w:val="24"/>
        </w:rPr>
        <w:t>MarkWest Energy Partners</w:t>
      </w:r>
      <w:r w:rsidR="001D31A6" w:rsidRPr="001D31A6">
        <w:rPr>
          <w:rFonts w:eastAsia="Times New Roman"/>
          <w:sz w:val="24"/>
          <w:szCs w:val="24"/>
        </w:rPr>
        <w:t xml:space="preserve">, ¶¶ 24-26. Even though the 60-day notice provision was phrased as a condition precedent to coverage, the court </w:t>
      </w:r>
      <w:r w:rsidR="001D31A6" w:rsidRPr="001D31A6">
        <w:rPr>
          <w:rFonts w:eastAsia="Times New Roman"/>
          <w:sz w:val="24"/>
          <w:szCs w:val="24"/>
        </w:rPr>
        <w:lastRenderedPageBreak/>
        <w:t xml:space="preserve">stated that the purpose of the notice provision — avoidance of prejudice — is lacking if the insurer is unable to show prejudice from a failure to give required notice. </w:t>
      </w:r>
      <w:r w:rsidR="001D31A6" w:rsidRPr="001D31A6">
        <w:rPr>
          <w:rFonts w:eastAsia="Times New Roman"/>
          <w:i/>
          <w:sz w:val="24"/>
          <w:szCs w:val="24"/>
        </w:rPr>
        <w:t>Id.</w:t>
      </w:r>
      <w:r w:rsidR="001D31A6" w:rsidRPr="001D31A6">
        <w:rPr>
          <w:rFonts w:eastAsia="Times New Roman"/>
          <w:sz w:val="24"/>
          <w:szCs w:val="24"/>
        </w:rPr>
        <w:t xml:space="preserve"> at ¶¶ 29-30.</w:t>
      </w:r>
    </w:p>
    <w:p w14:paraId="2D368785" w14:textId="77777777" w:rsidR="00EE26F9" w:rsidRDefault="00B649E0" w:rsidP="00EC29A6">
      <w:pPr>
        <w:spacing w:after="240"/>
        <w:ind w:firstLine="720"/>
        <w:rPr>
          <w:rFonts w:eastAsia="Times New Roman"/>
          <w:sz w:val="24"/>
          <w:szCs w:val="24"/>
        </w:rPr>
      </w:pPr>
      <w:r w:rsidRPr="00CB62DC">
        <w:rPr>
          <w:rFonts w:eastAsia="Times New Roman"/>
          <w:sz w:val="24"/>
          <w:szCs w:val="24"/>
        </w:rPr>
        <w:t xml:space="preserve"> </w:t>
      </w:r>
    </w:p>
    <w:p w14:paraId="1FF9BFE7" w14:textId="77777777" w:rsidR="00EE26F9" w:rsidRDefault="00EE26F9" w:rsidP="00EE26F9">
      <w:r>
        <w:br w:type="page"/>
      </w:r>
    </w:p>
    <w:p w14:paraId="4B43B871" w14:textId="77777777" w:rsidR="00EE26F9" w:rsidRPr="009E3DA4" w:rsidRDefault="00EE26F9" w:rsidP="00EE26F9">
      <w:pPr>
        <w:spacing w:after="240"/>
        <w:ind w:left="720" w:hanging="720"/>
        <w:rPr>
          <w:rFonts w:eastAsia="Times New Roman"/>
          <w:b/>
          <w:sz w:val="24"/>
          <w:szCs w:val="24"/>
        </w:rPr>
      </w:pPr>
      <w:bookmarkStart w:id="2" w:name="a25_02"/>
      <w:bookmarkEnd w:id="2"/>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on (his) (her) (its)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3. The defendant knew that its (conduct) (position) was unreasonable or the defendant recklessly disregarded the fact that (his) (her) (its)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Am. Family Mut. Ins. Co. v. Allen</w:t>
      </w:r>
      <w:r w:rsidRPr="00EE26F9">
        <w:rPr>
          <w:rFonts w:eastAsia="Times New Roman"/>
          <w:sz w:val="24"/>
          <w:szCs w:val="24"/>
        </w:rPr>
        <w:t xml:space="preserve">, 102 P.3d 333 (Colo. 2004).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 xml:space="preserve">100 P.3d 472 (Colo. App. 2003).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Brodeur v. Am. Home Assur.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 Auto. 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 Ins. Co.</w:t>
      </w:r>
      <w:r w:rsidRPr="006A47FD">
        <w:rPr>
          <w:rFonts w:eastAsia="Times New Roman"/>
          <w:sz w:val="24"/>
          <w:szCs w:val="24"/>
        </w:rPr>
        <w:t xml:space="preserve">, 15 P.3d 775 (Colo. App. 1999); </w:t>
      </w:r>
      <w:r w:rsidRPr="006A47FD">
        <w:rPr>
          <w:rFonts w:eastAsia="Times New Roman"/>
          <w:b/>
          <w:sz w:val="24"/>
          <w:szCs w:val="24"/>
        </w:rPr>
        <w:t>Munoz v. State Farm Mut. Auto. Ins. Co.</w:t>
      </w:r>
      <w:r w:rsidRPr="006A47FD">
        <w:rPr>
          <w:rFonts w:eastAsia="Times New Roman"/>
          <w:sz w:val="24"/>
          <w:szCs w:val="24"/>
        </w:rPr>
        <w:t xml:space="preserve">, 968 P.2d 126 (Colo. App. 1998); </w:t>
      </w:r>
      <w:r w:rsidRPr="006A47FD">
        <w:rPr>
          <w:rFonts w:eastAsia="Times New Roman"/>
          <w:b/>
          <w:sz w:val="24"/>
          <w:szCs w:val="24"/>
        </w:rPr>
        <w:t>Herod v. Colo. Farm Bureau Mut.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Martin v. Principal Cas.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Bolz v. Sec. Mut. Life Ins. Co.</w:t>
      </w:r>
      <w:r w:rsidRPr="006A47FD">
        <w:rPr>
          <w:rFonts w:eastAsia="Times New Roman"/>
          <w:sz w:val="24"/>
          <w:szCs w:val="24"/>
        </w:rPr>
        <w:t>, 721 P.2d 1216 (Colo. App. 1986).</w:t>
      </w:r>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6879600B" w:rsidR="006A47FD" w:rsidRPr="006A47FD" w:rsidRDefault="006A47FD" w:rsidP="00043B25">
      <w:pPr>
        <w:shd w:val="clear" w:color="auto" w:fill="FFFFFF"/>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r w:rsidR="00043B25" w:rsidRPr="00283A61">
        <w:rPr>
          <w:rFonts w:eastAsia="Times New Roman"/>
          <w:b/>
          <w:color w:val="000000"/>
          <w:sz w:val="24"/>
          <w:szCs w:val="24"/>
        </w:rPr>
        <w:t>Schultz v. GEICO Cas. Co.</w:t>
      </w:r>
      <w:r w:rsidR="00043B25" w:rsidRPr="00F1001E">
        <w:rPr>
          <w:rFonts w:eastAsia="Times New Roman"/>
          <w:color w:val="000000"/>
          <w:sz w:val="24"/>
          <w:szCs w:val="24"/>
        </w:rPr>
        <w:t>, 2018</w:t>
      </w:r>
      <w:r w:rsidR="00F1001E" w:rsidRPr="00F1001E">
        <w:rPr>
          <w:rFonts w:eastAsia="Times New Roman"/>
          <w:color w:val="000000"/>
          <w:sz w:val="24"/>
          <w:szCs w:val="24"/>
        </w:rPr>
        <w:t xml:space="preserve"> CO 87, ¶ 2</w:t>
      </w:r>
      <w:r w:rsidR="00F1001E">
        <w:rPr>
          <w:rFonts w:eastAsia="Times New Roman"/>
          <w:color w:val="000000"/>
          <w:sz w:val="24"/>
          <w:szCs w:val="24"/>
        </w:rPr>
        <w:t>8</w:t>
      </w:r>
      <w:r w:rsidR="00F1001E" w:rsidRPr="00F1001E">
        <w:rPr>
          <w:rFonts w:eastAsia="Times New Roman"/>
          <w:color w:val="000000"/>
          <w:sz w:val="24"/>
          <w:szCs w:val="24"/>
        </w:rPr>
        <w:t>, 429 P.3d 844, 84</w:t>
      </w:r>
      <w:r w:rsidR="00043B25" w:rsidRPr="00F1001E">
        <w:rPr>
          <w:rFonts w:eastAsia="Times New Roman"/>
          <w:color w:val="000000"/>
          <w:sz w:val="24"/>
          <w:szCs w:val="24"/>
        </w:rPr>
        <w:t>9</w:t>
      </w:r>
      <w:r w:rsidR="00043B25" w:rsidRPr="00F1001E">
        <w:rPr>
          <w:rFonts w:eastAsia="Times New Roman"/>
          <w:sz w:val="24"/>
          <w:szCs w:val="24"/>
        </w:rPr>
        <w:t xml:space="preserve"> (</w:t>
      </w:r>
      <w:r w:rsidR="00F1001E" w:rsidRPr="00F1001E">
        <w:rPr>
          <w:sz w:val="24"/>
          <w:szCs w:val="24"/>
        </w:rPr>
        <w:t xml:space="preserve">original proceeding striking the trial court’s order allowing a post-ligation C.R.C.P. 35 examination as an attempt “to create new evidence </w:t>
      </w:r>
      <w:r w:rsidR="00F1001E">
        <w:rPr>
          <w:sz w:val="24"/>
          <w:szCs w:val="24"/>
        </w:rPr>
        <w:t>to justify a previous benefits deci</w:t>
      </w:r>
      <w:r w:rsidR="00F1001E" w:rsidRPr="00F1001E">
        <w:rPr>
          <w:sz w:val="24"/>
          <w:szCs w:val="24"/>
        </w:rPr>
        <w:t>sion”</w:t>
      </w:r>
      <w:r w:rsidR="005D522C">
        <w:rPr>
          <w:sz w:val="24"/>
          <w:szCs w:val="24"/>
        </w:rPr>
        <w:t>);</w:t>
      </w:r>
      <w:r w:rsidR="00F1001E" w:rsidRPr="00F1001E">
        <w:rPr>
          <w:rFonts w:eastAsia="Times New Roman"/>
          <w:sz w:val="24"/>
          <w:szCs w:val="24"/>
        </w:rPr>
        <w:t xml:space="preserve"> </w:t>
      </w:r>
      <w:r w:rsidRPr="006A47FD">
        <w:rPr>
          <w:rFonts w:eastAsia="Times New Roman"/>
          <w:b/>
          <w:sz w:val="24"/>
          <w:szCs w:val="24"/>
        </w:rPr>
        <w:t>Peiffer v. State Farm Mut. Auto. Ins. Co.</w:t>
      </w:r>
      <w:r w:rsidRPr="006A47FD">
        <w:rPr>
          <w:rFonts w:eastAsia="Times New Roman"/>
          <w:sz w:val="24"/>
          <w:szCs w:val="24"/>
        </w:rPr>
        <w:t xml:space="preserve">, 940 P.2d 967 (Colo. App. 1996), </w:t>
      </w:r>
      <w:r w:rsidRPr="006A47FD">
        <w:rPr>
          <w:rFonts w:eastAsia="Times New Roman"/>
          <w:i/>
          <w:sz w:val="24"/>
          <w:szCs w:val="24"/>
        </w:rPr>
        <w:t>aff’d</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00621B3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xml:space="preserve">, 2016 COA </w:t>
      </w:r>
      <w:r w:rsidRPr="00305CB3">
        <w:rPr>
          <w:rFonts w:eastAsia="Times New Roman"/>
          <w:sz w:val="24"/>
          <w:szCs w:val="24"/>
        </w:rPr>
        <w:lastRenderedPageBreak/>
        <w:t>167, ¶ 74</w:t>
      </w:r>
      <w:r w:rsidR="00211BAE">
        <w:rPr>
          <w:rFonts w:eastAsia="Times New Roman"/>
          <w:sz w:val="24"/>
          <w:szCs w:val="24"/>
        </w:rPr>
        <w:t>, 421 P.3d 1184</w:t>
      </w:r>
      <w:r w:rsidRPr="00305CB3">
        <w:rPr>
          <w:rFonts w:eastAsia="Times New Roman"/>
          <w:sz w:val="24"/>
          <w:szCs w:val="24"/>
        </w:rPr>
        <w:t xml:space="preserve">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r w:rsidRPr="006A47FD">
        <w:rPr>
          <w:rFonts w:eastAsia="Times New Roman"/>
          <w:i/>
          <w:sz w:val="24"/>
          <w:szCs w:val="24"/>
        </w:rPr>
        <w:t>Id.</w:t>
      </w:r>
      <w:r w:rsidRPr="006A47FD">
        <w:rPr>
          <w:rFonts w:eastAsia="Times New Roman"/>
          <w:sz w:val="24"/>
          <w:szCs w:val="24"/>
        </w:rPr>
        <w:t xml:space="preserve"> at ¶ 77.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r w:rsidRPr="006A47FD">
        <w:rPr>
          <w:rFonts w:eastAsia="Times New Roman"/>
          <w:b/>
          <w:sz w:val="24"/>
          <w:szCs w:val="24"/>
        </w:rPr>
        <w:t>Scott Wetzel Servs., Inc. v. Johnson</w:t>
      </w:r>
      <w:r w:rsidRPr="006A47FD">
        <w:rPr>
          <w:rFonts w:eastAsia="Times New Roman"/>
          <w:sz w:val="24"/>
          <w:szCs w:val="24"/>
        </w:rPr>
        <w:t xml:space="preserve">, 821 P.2d 804 (Colo. 1991).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6B1B0AB3"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xml:space="preserve">, 2016 COA 167, ¶¶ 7-14.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4B161560"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r w:rsidR="006A47FD" w:rsidRPr="00B8438E">
        <w:rPr>
          <w:rFonts w:eastAsia="Times New Roman"/>
          <w:b/>
          <w:sz w:val="24"/>
          <w:szCs w:val="24"/>
        </w:rPr>
        <w:t>Munoz v. Am. Family Mut.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425 P.3d 1128</w:t>
      </w:r>
      <w:r w:rsidR="00DB16E7">
        <w:rPr>
          <w:rFonts w:eastAsia="Times New Roman"/>
          <w:sz w:val="24"/>
          <w:szCs w:val="24"/>
        </w:rPr>
        <w:t xml:space="preserve"> (</w:t>
      </w:r>
      <w:r w:rsidR="007655D6" w:rsidRPr="007655D6">
        <w:rPr>
          <w:rFonts w:eastAsia="Times New Roman"/>
          <w:sz w:val="24"/>
          <w:szCs w:val="24"/>
        </w:rPr>
        <w:t>prejudgment interest does not apply to claims resolved by settlement</w:t>
      </w:r>
      <w:r w:rsidR="00DB16E7">
        <w:rPr>
          <w:rFonts w:eastAsia="Times New Roman"/>
          <w:sz w:val="24"/>
          <w:szCs w:val="24"/>
        </w:rPr>
        <w:t>)</w:t>
      </w:r>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0979F6D4" w:rsidR="006A47FD" w:rsidRPr="006A47FD" w:rsidRDefault="0007116C" w:rsidP="00E93D03">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w:t>
      </w:r>
      <w:r w:rsidR="00525BBA">
        <w:rPr>
          <w:rFonts w:eastAsia="Times New Roman"/>
          <w:sz w:val="24"/>
          <w:szCs w:val="24"/>
        </w:rPr>
        <w:t>An e</w:t>
      </w:r>
      <w:r w:rsidR="00E93D03">
        <w:rPr>
          <w:rFonts w:eastAsia="Times New Roman"/>
          <w:sz w:val="24"/>
          <w:szCs w:val="24"/>
        </w:rPr>
        <w:t xml:space="preserve">mployee injured in the scope of employment while a passenger in a vehicle driven by a co-employee and owned by another co-employee </w:t>
      </w:r>
      <w:r w:rsidR="005D522C">
        <w:rPr>
          <w:rFonts w:eastAsia="Times New Roman"/>
          <w:sz w:val="24"/>
          <w:szCs w:val="24"/>
        </w:rPr>
        <w:t xml:space="preserve">is </w:t>
      </w:r>
      <w:r w:rsidR="00E93D03">
        <w:rPr>
          <w:rFonts w:eastAsia="Times New Roman"/>
          <w:sz w:val="24"/>
          <w:szCs w:val="24"/>
        </w:rPr>
        <w:t xml:space="preserve">barred from </w:t>
      </w:r>
      <w:r w:rsidR="005D522C">
        <w:rPr>
          <w:rFonts w:eastAsia="Times New Roman"/>
          <w:sz w:val="24"/>
          <w:szCs w:val="24"/>
        </w:rPr>
        <w:t xml:space="preserve">asserting a </w:t>
      </w:r>
      <w:r w:rsidR="00E93D03">
        <w:rPr>
          <w:rFonts w:eastAsia="Times New Roman"/>
          <w:sz w:val="24"/>
          <w:szCs w:val="24"/>
        </w:rPr>
        <w:t xml:space="preserve">UM/UIM claim on </w:t>
      </w:r>
      <w:r w:rsidR="005D522C">
        <w:rPr>
          <w:rFonts w:eastAsia="Times New Roman"/>
          <w:sz w:val="24"/>
          <w:szCs w:val="24"/>
        </w:rPr>
        <w:t xml:space="preserve">the </w:t>
      </w:r>
      <w:r w:rsidR="00E93D03">
        <w:rPr>
          <w:rFonts w:eastAsia="Times New Roman"/>
          <w:sz w:val="24"/>
          <w:szCs w:val="24"/>
        </w:rPr>
        <w:t xml:space="preserve">owner’s policy </w:t>
      </w:r>
      <w:r w:rsidR="00E93D03" w:rsidRPr="00E93D03">
        <w:rPr>
          <w:rFonts w:eastAsia="Times New Roman"/>
          <w:sz w:val="24"/>
          <w:szCs w:val="24"/>
        </w:rPr>
        <w:t xml:space="preserve">benefits </w:t>
      </w:r>
      <w:r w:rsidR="00E93D03">
        <w:rPr>
          <w:rFonts w:eastAsia="Times New Roman"/>
          <w:sz w:val="24"/>
          <w:szCs w:val="24"/>
        </w:rPr>
        <w:t>“because he is not ‘</w:t>
      </w:r>
      <w:r w:rsidR="00E93D03" w:rsidRPr="00E93D03">
        <w:rPr>
          <w:rFonts w:eastAsia="Times New Roman"/>
          <w:sz w:val="24"/>
          <w:szCs w:val="24"/>
        </w:rPr>
        <w:t>legally entitled to recover damages</w:t>
      </w:r>
      <w:r w:rsidR="00E93D03">
        <w:rPr>
          <w:rFonts w:eastAsia="Times New Roman"/>
          <w:sz w:val="24"/>
          <w:szCs w:val="24"/>
        </w:rPr>
        <w:t>’</w:t>
      </w:r>
      <w:r w:rsidR="00E93D03" w:rsidRPr="00E93D03">
        <w:rPr>
          <w:rFonts w:eastAsia="Times New Roman"/>
          <w:sz w:val="24"/>
          <w:szCs w:val="24"/>
        </w:rPr>
        <w:t xml:space="preserve"> from </w:t>
      </w:r>
      <w:r w:rsidR="00E93D03">
        <w:rPr>
          <w:rFonts w:eastAsia="Times New Roman"/>
          <w:sz w:val="24"/>
          <w:szCs w:val="24"/>
        </w:rPr>
        <w:t xml:space="preserve">[the </w:t>
      </w:r>
      <w:r w:rsidR="00E93D03">
        <w:rPr>
          <w:rFonts w:eastAsia="Times New Roman"/>
          <w:sz w:val="24"/>
          <w:szCs w:val="24"/>
        </w:rPr>
        <w:lastRenderedPageBreak/>
        <w:t>driver]</w:t>
      </w:r>
      <w:r w:rsidR="00E93D03" w:rsidRPr="00E93D03">
        <w:rPr>
          <w:rFonts w:eastAsia="Times New Roman"/>
          <w:sz w:val="24"/>
          <w:szCs w:val="24"/>
        </w:rPr>
        <w:t xml:space="preserve"> by virtue of the co-employee immunity rule.</w:t>
      </w:r>
      <w:r w:rsidR="00E93D03">
        <w:rPr>
          <w:rFonts w:eastAsia="Times New Roman"/>
          <w:sz w:val="24"/>
          <w:szCs w:val="24"/>
        </w:rPr>
        <w:t xml:space="preserve">” </w:t>
      </w:r>
      <w:r w:rsidR="00E93D03" w:rsidRPr="00E93D03">
        <w:rPr>
          <w:rFonts w:eastAsia="Times New Roman"/>
          <w:b/>
          <w:sz w:val="24"/>
          <w:szCs w:val="24"/>
        </w:rPr>
        <w:t>Ryser v. Shelter Mut. Ins. Co.</w:t>
      </w:r>
      <w:r w:rsidR="00E93D03" w:rsidRPr="00E93D03">
        <w:rPr>
          <w:rFonts w:eastAsia="Times New Roman"/>
          <w:sz w:val="24"/>
          <w:szCs w:val="24"/>
        </w:rPr>
        <w:t>, 2019 COA 88, ¶ 37</w:t>
      </w:r>
      <w:r w:rsidR="00167B70">
        <w:rPr>
          <w:rFonts w:eastAsia="Times New Roman"/>
          <w:sz w:val="24"/>
          <w:szCs w:val="24"/>
        </w:rPr>
        <w:t xml:space="preserve"> (</w:t>
      </w:r>
      <w:r w:rsidR="00167B70" w:rsidRPr="00167B70">
        <w:rPr>
          <w:rFonts w:eastAsia="Times New Roman"/>
          <w:i/>
          <w:sz w:val="24"/>
          <w:szCs w:val="24"/>
        </w:rPr>
        <w:t>cert. granted</w:t>
      </w:r>
      <w:r w:rsidR="00167B70">
        <w:rPr>
          <w:rFonts w:eastAsia="Times New Roman"/>
          <w:sz w:val="24"/>
          <w:szCs w:val="24"/>
        </w:rPr>
        <w:t xml:space="preserve"> Apr. 13, 2020)</w:t>
      </w:r>
      <w:r w:rsidR="00E93D03">
        <w:rPr>
          <w:rFonts w:eastAsia="Times New Roman"/>
          <w:sz w:val="24"/>
          <w:szCs w:val="24"/>
        </w:rPr>
        <w:t xml:space="preserve">. </w:t>
      </w:r>
      <w:r w:rsidR="006A47FD" w:rsidRPr="006A47FD">
        <w:rPr>
          <w:rFonts w:eastAsia="Times New Roman"/>
          <w:sz w:val="24"/>
          <w:szCs w:val="24"/>
        </w:rPr>
        <w:t xml:space="preserve">Employer and co-employee immunity from suit by fellow employees under Colorado’s Workers’ Compensation Act is not a bar to an injured employee’s claim for UM/UIM insurance benefits </w:t>
      </w:r>
      <w:r w:rsidR="00E93D03">
        <w:rPr>
          <w:rFonts w:eastAsia="Times New Roman"/>
          <w:sz w:val="24"/>
          <w:szCs w:val="24"/>
        </w:rPr>
        <w:t xml:space="preserve">on </w:t>
      </w:r>
      <w:r w:rsidR="00525BBA">
        <w:rPr>
          <w:rFonts w:eastAsia="Times New Roman"/>
          <w:sz w:val="24"/>
          <w:szCs w:val="24"/>
        </w:rPr>
        <w:t xml:space="preserve">the </w:t>
      </w:r>
      <w:r w:rsidR="00E93D03">
        <w:rPr>
          <w:rFonts w:eastAsia="Times New Roman"/>
          <w:sz w:val="24"/>
          <w:szCs w:val="24"/>
        </w:rPr>
        <w:t xml:space="preserve">employee’s personal policy </w:t>
      </w:r>
      <w:r w:rsidR="006A47FD" w:rsidRPr="006A47FD">
        <w:rPr>
          <w:rFonts w:eastAsia="Times New Roman"/>
          <w:sz w:val="24"/>
          <w:szCs w:val="24"/>
        </w:rPr>
        <w:t xml:space="preserve">in excess of benefits due under the Act for damages caused by an at-fault co-employee driver. </w:t>
      </w:r>
      <w:r w:rsidR="006A47FD" w:rsidRPr="006A47FD">
        <w:rPr>
          <w:rFonts w:eastAsia="Times New Roman"/>
          <w:b/>
          <w:sz w:val="24"/>
          <w:szCs w:val="24"/>
        </w:rPr>
        <w:t>Am. Family Mut. Auto. 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r w:rsidR="006A47FD" w:rsidRPr="00100D6D">
        <w:rPr>
          <w:rFonts w:eastAsia="Times New Roman"/>
          <w:b/>
          <w:sz w:val="24"/>
          <w:szCs w:val="24"/>
        </w:rPr>
        <w:t>State Farm Mut. Auto. 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105 P.3d at 188-89.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Sanderson v. Am. Family Mut. Ins. Co.</w:t>
      </w:r>
      <w:r w:rsidR="006A47FD" w:rsidRPr="00100D6D">
        <w:rPr>
          <w:rFonts w:eastAsia="Times New Roman"/>
          <w:sz w:val="24"/>
          <w:szCs w:val="24"/>
        </w:rPr>
        <w:t>, 251 P.3d 1213 (Colo. App. 2010).</w:t>
      </w:r>
    </w:p>
    <w:p w14:paraId="262C371E" w14:textId="7EF49787"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In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Lauric v. USAA Cas. 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
    <w:p w14:paraId="094B4534" w14:textId="08660F6E"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r w:rsidRPr="006A47FD">
        <w:rPr>
          <w:rFonts w:eastAsia="Times New Roman"/>
          <w:b/>
          <w:sz w:val="24"/>
          <w:szCs w:val="24"/>
        </w:rPr>
        <w:t>State Farm Mut. Auto. Ins. Co. v. Johnson</w:t>
      </w:r>
      <w:r w:rsidRPr="006A47FD">
        <w:rPr>
          <w:rFonts w:eastAsia="Times New Roman"/>
          <w:sz w:val="24"/>
          <w:szCs w:val="24"/>
        </w:rPr>
        <w:t>, 2017 CO 68, ¶¶ 18, 24, 396 P.3d 651.</w:t>
      </w:r>
    </w:p>
    <w:p w14:paraId="27AAA46C" w14:textId="4E6AAC54"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3</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5872967B" w14:textId="6D61E34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4</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r w:rsidRPr="006A47FD">
        <w:rPr>
          <w:rFonts w:eastAsia="Times New Roman"/>
          <w:b/>
          <w:sz w:val="24"/>
          <w:szCs w:val="24"/>
        </w:rPr>
        <w:t>Moran v. Standard Ins. Co.</w:t>
      </w:r>
      <w:r w:rsidRPr="006A47FD">
        <w:rPr>
          <w:rFonts w:eastAsia="Times New Roman"/>
          <w:sz w:val="24"/>
          <w:szCs w:val="24"/>
        </w:rPr>
        <w:t xml:space="preserve">, 187 P.3d 1162 (Colo. App. 2008). A bad faith claim against a self-insured </w:t>
      </w:r>
      <w:r w:rsidRPr="006A47FD">
        <w:rPr>
          <w:rFonts w:eastAsia="Times New Roman"/>
          <w:sz w:val="24"/>
          <w:szCs w:val="24"/>
        </w:rPr>
        <w:lastRenderedPageBreak/>
        <w:t xml:space="preserve">municipality is barred by governmental immunity, but an independent adjusting company acting on behalf of the municipality may be sued for bad faith. </w:t>
      </w:r>
      <w:r w:rsidRPr="006A47FD">
        <w:rPr>
          <w:rFonts w:eastAsia="Times New Roman"/>
          <w:b/>
          <w:sz w:val="24"/>
          <w:szCs w:val="24"/>
        </w:rPr>
        <w:t>Jordan v. City of Aurora</w:t>
      </w:r>
      <w:r w:rsidRPr="006A47FD">
        <w:rPr>
          <w:rFonts w:eastAsia="Times New Roman"/>
          <w:sz w:val="24"/>
          <w:szCs w:val="24"/>
        </w:rPr>
        <w:t xml:space="preserve">, 876 P.2d 38 (Colo. App. 1993). A nonprofit intermediary formed by public entities to provide insurance services to an immune self-insurance pool, on the other hand, is immune from liability as an “instrumentality” of a public entity and as a separate entity created by intergovernmental cooperation. </w:t>
      </w:r>
      <w:r w:rsidRPr="006A47FD">
        <w:rPr>
          <w:rFonts w:eastAsia="Times New Roman"/>
          <w:b/>
          <w:sz w:val="24"/>
          <w:szCs w:val="24"/>
        </w:rPr>
        <w:t>Colo. Special Dists. Prop. &amp; Liab. Pool v. Lyons</w:t>
      </w:r>
      <w:r w:rsidRPr="006A47FD">
        <w:rPr>
          <w:rFonts w:eastAsia="Times New Roman"/>
          <w:sz w:val="24"/>
          <w:szCs w:val="24"/>
        </w:rPr>
        <w:t>, 2012 COA 18, ¶ 45, 277 P.3d 874 (third-party case).</w:t>
      </w:r>
      <w:r w:rsidRPr="006A47FD">
        <w:rPr>
          <w:rFonts w:eastAsia="Times New Roman"/>
          <w:b/>
          <w:sz w:val="24"/>
          <w:szCs w:val="24"/>
        </w:rPr>
        <w:t xml:space="preserve"> </w:t>
      </w:r>
    </w:p>
    <w:p w14:paraId="3F03BEF5" w14:textId="5F596061"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5</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02D342A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6</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DAFE8B6"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7</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Emenyonu v. State Farm Fire &amp; Cas.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Coleman v. United Fire &amp; Cas. Co.</w:t>
      </w:r>
      <w:r w:rsidRPr="006A47FD">
        <w:rPr>
          <w:rFonts w:eastAsia="Times New Roman"/>
          <w:sz w:val="24"/>
          <w:szCs w:val="24"/>
        </w:rPr>
        <w:t>, 767 P.2d 761 (Colo. App. 1988).</w:t>
      </w:r>
    </w:p>
    <w:p w14:paraId="02D77F3C" w14:textId="5A24A782" w:rsidR="00434650"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8</w:t>
      </w:r>
      <w:r w:rsidRPr="006A47FD">
        <w:rPr>
          <w:rFonts w:eastAsia="Times New Roman"/>
          <w:sz w:val="24"/>
          <w:szCs w:val="24"/>
        </w:rPr>
        <w:t xml:space="preserve">. </w:t>
      </w:r>
      <w:r w:rsidR="0052608C" w:rsidRPr="0052608C">
        <w:rPr>
          <w:rFonts w:eastAsia="Times New Roman"/>
          <w:sz w:val="24"/>
          <w:szCs w:val="24"/>
        </w:rPr>
        <w:t>Unlike arbitration, participation in a policy appraisal process to determine value of a property loss does not entitle either the insured or the insurer to a judgment or immunize the insurer from bad faith claims</w:t>
      </w:r>
      <w:r w:rsidR="00434650" w:rsidRPr="00434650">
        <w:rPr>
          <w:rFonts w:eastAsia="Times New Roman"/>
          <w:sz w:val="24"/>
          <w:szCs w:val="24"/>
        </w:rPr>
        <w:t>.</w:t>
      </w:r>
      <w:r w:rsidR="00434650">
        <w:rPr>
          <w:rFonts w:eastAsia="Times New Roman"/>
          <w:sz w:val="24"/>
          <w:szCs w:val="24"/>
        </w:rPr>
        <w:t xml:space="preserve"> </w:t>
      </w:r>
      <w:r w:rsidR="00434650" w:rsidRPr="0052608C">
        <w:rPr>
          <w:rFonts w:eastAsia="Times New Roman"/>
          <w:b/>
          <w:color w:val="000000"/>
          <w:sz w:val="24"/>
          <w:szCs w:val="24"/>
        </w:rPr>
        <w:t>Andres Trucking Co. v. United Fire &amp; Cas. Co.</w:t>
      </w:r>
      <w:r w:rsidR="00434650">
        <w:rPr>
          <w:rFonts w:eastAsia="Times New Roman"/>
          <w:color w:val="000000"/>
          <w:sz w:val="24"/>
          <w:szCs w:val="24"/>
        </w:rPr>
        <w:t>, 2018 COA 144, ¶¶ 17-25</w:t>
      </w:r>
      <w:r w:rsidR="0052608C" w:rsidRPr="0052608C">
        <w:t xml:space="preserve"> </w:t>
      </w:r>
      <w:r w:rsidR="0052608C" w:rsidRPr="0052608C">
        <w:rPr>
          <w:rFonts w:eastAsia="Times New Roman"/>
          <w:color w:val="000000"/>
          <w:sz w:val="24"/>
          <w:szCs w:val="24"/>
        </w:rPr>
        <w:t>(affirming finding that the appraisal award was final but reversing judgment for insurer on insured’s breach and statutory bad faith claims related to property loss)</w:t>
      </w:r>
      <w:r w:rsidR="00434650" w:rsidRPr="00434650">
        <w:rPr>
          <w:rFonts w:eastAsia="Times New Roman"/>
          <w:sz w:val="24"/>
          <w:szCs w:val="24"/>
        </w:rPr>
        <w:t>.</w:t>
      </w:r>
    </w:p>
    <w:p w14:paraId="1FAF27BD" w14:textId="4076449F" w:rsidR="006A47FD" w:rsidRPr="006A47FD" w:rsidRDefault="00434650" w:rsidP="006A47FD">
      <w:pPr>
        <w:spacing w:after="240"/>
        <w:ind w:firstLine="720"/>
        <w:rPr>
          <w:rFonts w:eastAsia="Times New Roman"/>
          <w:sz w:val="24"/>
          <w:szCs w:val="24"/>
        </w:rPr>
      </w:pPr>
      <w:r>
        <w:rPr>
          <w:rFonts w:eastAsia="Times New Roman"/>
          <w:sz w:val="24"/>
          <w:szCs w:val="24"/>
        </w:rPr>
        <w:t xml:space="preserve">19. </w:t>
      </w:r>
      <w:r w:rsidR="006A47FD" w:rsidRPr="006A47FD">
        <w:rPr>
          <w:rFonts w:eastAsia="Times New Roman"/>
          <w:sz w:val="24"/>
          <w:szCs w:val="24"/>
        </w:rPr>
        <w:t xml:space="preserve">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006A47FD" w:rsidRPr="006A47FD">
        <w:rPr>
          <w:rFonts w:eastAsia="Times New Roman"/>
          <w:b/>
          <w:sz w:val="24"/>
          <w:szCs w:val="24"/>
        </w:rPr>
        <w:t>Dale v. Guar. Nat’l Ins. Co.</w:t>
      </w:r>
      <w:r w:rsidR="006A47FD" w:rsidRPr="006A47FD">
        <w:rPr>
          <w:rFonts w:eastAsia="Times New Roman"/>
          <w:sz w:val="24"/>
          <w:szCs w:val="24"/>
        </w:rPr>
        <w:t xml:space="preserve">, 948 P.2d 545 (Colo. 1997) (overruling </w:t>
      </w:r>
      <w:r w:rsidR="006A47FD" w:rsidRPr="006A47FD">
        <w:rPr>
          <w:rFonts w:eastAsia="Times New Roman"/>
          <w:b/>
          <w:sz w:val="24"/>
          <w:szCs w:val="24"/>
        </w:rPr>
        <w:t>Leahy v. Guar. Nat’l Ins. Co.</w:t>
      </w:r>
      <w:r w:rsidR="006A47FD"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w:t>
      </w:r>
      <w:r w:rsidR="006A47FD" w:rsidRPr="006A47FD">
        <w:rPr>
          <w:rFonts w:eastAsia="Times New Roman"/>
          <w:sz w:val="24"/>
          <w:szCs w:val="24"/>
        </w:rPr>
        <w:lastRenderedPageBreak/>
        <w:t xml:space="preserve">faith if all collateral estoppel elements are proven. </w:t>
      </w:r>
      <w:r w:rsidR="006A47FD" w:rsidRPr="006A47FD">
        <w:rPr>
          <w:rFonts w:eastAsia="Times New Roman"/>
          <w:b/>
          <w:sz w:val="24"/>
          <w:szCs w:val="24"/>
        </w:rPr>
        <w:t>Guar. Nat’l Ins. Co. v. Williams</w:t>
      </w:r>
      <w:r w:rsidR="006A47FD" w:rsidRPr="006A47FD">
        <w:rPr>
          <w:rFonts w:eastAsia="Times New Roman"/>
          <w:sz w:val="24"/>
          <w:szCs w:val="24"/>
        </w:rPr>
        <w:t>, 982 P.2d 306 (Colo. 1999).</w:t>
      </w:r>
    </w:p>
    <w:p w14:paraId="1D9453D5" w14:textId="6DE9D1FF" w:rsidR="006A47FD" w:rsidRPr="006A47FD" w:rsidRDefault="00434650" w:rsidP="006A47FD">
      <w:pPr>
        <w:spacing w:after="240"/>
        <w:ind w:firstLine="720"/>
        <w:rPr>
          <w:rFonts w:eastAsia="Times New Roman"/>
          <w:sz w:val="24"/>
          <w:szCs w:val="24"/>
        </w:rPr>
      </w:pPr>
      <w:r>
        <w:rPr>
          <w:rFonts w:eastAsia="Times New Roman"/>
          <w:sz w:val="24"/>
          <w:szCs w:val="24"/>
        </w:rPr>
        <w:t>20</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r w:rsidR="006A47FD" w:rsidRPr="006A47FD">
        <w:rPr>
          <w:rFonts w:eastAsia="Times New Roman"/>
          <w:b/>
          <w:sz w:val="24"/>
          <w:szCs w:val="24"/>
        </w:rPr>
        <w:t>Am. Guar. &amp; Liab.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3E2A045F" w:rsidR="006A47FD" w:rsidRPr="006A47FD" w:rsidRDefault="0007116C" w:rsidP="006A47FD">
      <w:pPr>
        <w:spacing w:after="240"/>
        <w:ind w:firstLine="720"/>
        <w:rPr>
          <w:rFonts w:eastAsia="Times New Roman"/>
          <w:sz w:val="24"/>
          <w:szCs w:val="24"/>
        </w:rPr>
      </w:pPr>
      <w:r>
        <w:rPr>
          <w:rFonts w:eastAsia="Times New Roman"/>
          <w:sz w:val="24"/>
          <w:szCs w:val="24"/>
        </w:rPr>
        <w:t>2</w:t>
      </w:r>
      <w:r w:rsidR="00434650">
        <w:rPr>
          <w:rFonts w:eastAsia="Times New Roman"/>
          <w:sz w:val="24"/>
          <w:szCs w:val="24"/>
        </w:rPr>
        <w:t>1</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6CF6772B"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2</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4646917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3</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r w:rsidRPr="006A47FD">
        <w:rPr>
          <w:rFonts w:eastAsia="Times New Roman"/>
          <w:b/>
          <w:sz w:val="24"/>
          <w:szCs w:val="24"/>
        </w:rPr>
        <w:t>Hansen v. State Farm Mut.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1C47BBA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4</w:t>
      </w:r>
      <w:r w:rsidRPr="006A47FD">
        <w:rPr>
          <w:rFonts w:eastAsia="Times New Roman"/>
          <w:sz w:val="24"/>
          <w:szCs w:val="24"/>
        </w:rPr>
        <w:t xml:space="preserve">. “[T]he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06F7CB32"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2</w:t>
      </w:r>
      <w:r w:rsidR="00434650">
        <w:rPr>
          <w:rFonts w:eastAsia="Times New Roman"/>
          <w:sz w:val="24"/>
          <w:szCs w:val="24"/>
        </w:rPr>
        <w:t>5</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r w:rsidRPr="006A47FD">
        <w:rPr>
          <w:rFonts w:eastAsia="Times New Roman"/>
          <w:b/>
          <w:sz w:val="24"/>
          <w:szCs w:val="24"/>
        </w:rPr>
        <w:t>Soicher v. State Farm Mut.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p>
    <w:p w14:paraId="7CEECC2C" w14:textId="6B3AED7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6</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4EB5DAA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7</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The </w:t>
      </w:r>
      <w:r w:rsidRPr="006A47FD">
        <w:rPr>
          <w:rFonts w:eastAsia="Times New Roman"/>
          <w:b/>
          <w:sz w:val="24"/>
          <w:szCs w:val="24"/>
        </w:rPr>
        <w:t>Parsons</w:t>
      </w:r>
      <w:r w:rsidRPr="006A47FD">
        <w:rPr>
          <w:rFonts w:eastAsia="Times New Roman"/>
          <w:sz w:val="24"/>
          <w:szCs w:val="24"/>
        </w:rPr>
        <w:t xml:space="preserve"> Division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r w:rsidRPr="006A47FD">
        <w:rPr>
          <w:rFonts w:eastAsia="Times New Roman"/>
          <w:i/>
          <w:sz w:val="24"/>
          <w:szCs w:val="24"/>
        </w:rPr>
        <w:t xml:space="preserve">Id. </w:t>
      </w:r>
      <w:r w:rsidRPr="006A47FD">
        <w:rPr>
          <w:rFonts w:eastAsia="Times New Roman"/>
          <w:sz w:val="24"/>
          <w:szCs w:val="24"/>
        </w:rPr>
        <w:t xml:space="preserve">at 818. Applying this test, the </w:t>
      </w:r>
      <w:r w:rsidRPr="006A47FD">
        <w:rPr>
          <w:rFonts w:eastAsia="Times New Roman"/>
          <w:b/>
          <w:sz w:val="24"/>
          <w:szCs w:val="24"/>
        </w:rPr>
        <w:t>Parsons</w:t>
      </w:r>
      <w:r w:rsidRPr="006A47FD">
        <w:rPr>
          <w:rFonts w:eastAsia="Times New Roman"/>
          <w:sz w:val="24"/>
          <w:szCs w:val="24"/>
        </w:rPr>
        <w:t xml:space="preserve"> Division affirmed the trial court’s exclusion of attorney post-filing conduct tendered as evidence of bad faith where the probative value was light and “the dangers of unfair prejudice, misleading the jury, and confusing the issues were significant.” </w:t>
      </w:r>
      <w:r w:rsidRPr="006A47FD">
        <w:rPr>
          <w:rFonts w:eastAsia="Times New Roman"/>
          <w:i/>
          <w:sz w:val="24"/>
          <w:szCs w:val="24"/>
        </w:rPr>
        <w:t>Id.</w:t>
      </w:r>
      <w:r w:rsidRPr="006A47FD">
        <w:rPr>
          <w:rFonts w:eastAsia="Times New Roman"/>
          <w:sz w:val="24"/>
          <w:szCs w:val="24"/>
        </w:rPr>
        <w:t xml:space="preserve"> at 819.</w:t>
      </w:r>
    </w:p>
    <w:p w14:paraId="73E1CFE7" w14:textId="3193323C"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8</w:t>
      </w:r>
      <w:r w:rsidRPr="006A47FD">
        <w:rPr>
          <w:rFonts w:eastAsia="Times New Roman"/>
          <w:sz w:val="24"/>
          <w:szCs w:val="24"/>
        </w:rPr>
        <w:t xml:space="preserve">. An insured may maintain claims for both bad faith breach of insurance contract and outrageous conduct arising from the mishandling of a claim for insurance benefits. </w:t>
      </w:r>
      <w:r w:rsidRPr="006A47FD">
        <w:rPr>
          <w:rFonts w:eastAsia="Times New Roman"/>
          <w:b/>
          <w:sz w:val="24"/>
          <w:szCs w:val="24"/>
        </w:rPr>
        <w:t>McKelvy v. Liberty Mut. Ins. Co.</w:t>
      </w:r>
      <w:r w:rsidRPr="006A47FD">
        <w:rPr>
          <w:rFonts w:eastAsia="Times New Roman"/>
          <w:sz w:val="24"/>
          <w:szCs w:val="24"/>
        </w:rPr>
        <w:t xml:space="preserve">, 983 P.2d 42 (Colo. App. 1998). In a first-party case, a finding of fact that an insurer’s conduct was outrageous necessarily implies that the conduct was willful and wanton within the meaning of section 10-4-708(1.8), C.R.S. (now repealed), and in bad faith as defined in this instruction. </w:t>
      </w:r>
      <w:r w:rsidRPr="006A47FD">
        <w:rPr>
          <w:rFonts w:eastAsia="Times New Roman"/>
          <w:b/>
          <w:sz w:val="24"/>
          <w:szCs w:val="24"/>
        </w:rPr>
        <w:t>Munoz v. State Farm Mut. Auto. Ins. Co.</w:t>
      </w:r>
      <w:r w:rsidRPr="006A47FD">
        <w:rPr>
          <w:rFonts w:eastAsia="Times New Roman"/>
          <w:sz w:val="24"/>
          <w:szCs w:val="24"/>
        </w:rPr>
        <w:t>, 968 P.2d 126 (Colo. App. 1998).</w:t>
      </w:r>
    </w:p>
    <w:p w14:paraId="38F1CAD4" w14:textId="76FAE64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9</w:t>
      </w:r>
      <w:r w:rsidRPr="006A47FD">
        <w:rPr>
          <w:rFonts w:eastAsia="Times New Roman"/>
          <w:sz w:val="24"/>
          <w:szCs w:val="24"/>
        </w:rPr>
        <w:t xml:space="preserve">. The Colorado Auto Accident Reparations Act (now repealed) does not preempt the common-law tort claim of bad faith breach of insurance contract. </w:t>
      </w:r>
      <w:r w:rsidRPr="006A47FD">
        <w:rPr>
          <w:rFonts w:eastAsia="Times New Roman"/>
          <w:b/>
          <w:sz w:val="24"/>
          <w:szCs w:val="24"/>
        </w:rPr>
        <w:t>Farmers Group, Inc. v. Williams</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805 P.2d 419 (Colo. 1991).</w:t>
      </w:r>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0BE921A6" w:rsidR="006A47FD" w:rsidRPr="006A47FD" w:rsidRDefault="00434650"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A claim for bad faith breach of insurance contract may be preempted in cases involving insurance provided by an employer. The Employee Retirement Income Security Act of 1974, 29 U.S.C. §§ 1001 to -03 (201</w:t>
      </w:r>
      <w:r w:rsidR="00211BAE">
        <w:rPr>
          <w:rFonts w:eastAsia="Times New Roman"/>
          <w:sz w:val="24"/>
          <w:szCs w:val="24"/>
        </w:rPr>
        <w:t>8</w:t>
      </w:r>
      <w:r w:rsidR="006A47FD" w:rsidRPr="006A47FD">
        <w:rPr>
          <w:rFonts w:eastAsia="Times New Roman"/>
          <w:sz w:val="24"/>
          <w:szCs w:val="24"/>
        </w:rPr>
        <w:t xml:space="preserve">) (ERISA), preempts state-law claims that “relate to” an employee benefit plan except for those state laws that are considered to “regulate” insurance. </w:t>
      </w:r>
      <w:r w:rsidR="006A47FD" w:rsidRPr="006A47FD">
        <w:rPr>
          <w:rFonts w:eastAsia="Times New Roman"/>
          <w:b/>
          <w:sz w:val="24"/>
          <w:szCs w:val="24"/>
        </w:rPr>
        <w:t>Aetna Health Inc. v. Davila</w:t>
      </w:r>
      <w:r w:rsidR="006A47FD"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006A47FD" w:rsidRPr="006A47FD">
        <w:rPr>
          <w:rFonts w:eastAsia="Times New Roman"/>
          <w:b/>
          <w:sz w:val="24"/>
          <w:szCs w:val="24"/>
        </w:rPr>
        <w:t>Rush Prudential HMO, Inc. v. Moran</w:t>
      </w:r>
      <w:r w:rsidR="006A47FD" w:rsidRPr="006A47FD">
        <w:rPr>
          <w:rFonts w:eastAsia="Times New Roman"/>
          <w:sz w:val="24"/>
          <w:szCs w:val="24"/>
        </w:rPr>
        <w:t xml:space="preserve">, 536 U.S. 355 (2002) (state statute permitting independent medical review of HMO’s denial of health insurance benefits for lack of medical necessity </w:t>
      </w:r>
      <w:r w:rsidR="006A47FD" w:rsidRPr="006A47FD">
        <w:rPr>
          <w:rFonts w:eastAsia="Times New Roman"/>
          <w:sz w:val="24"/>
          <w:szCs w:val="24"/>
        </w:rPr>
        <w:lastRenderedPageBreak/>
        <w:t xml:space="preserve">regulated insurance and was not preempted where relief sought was available under ERISA); </w:t>
      </w:r>
      <w:r w:rsidR="006A47FD" w:rsidRPr="006A47FD">
        <w:rPr>
          <w:rFonts w:eastAsia="Times New Roman"/>
          <w:b/>
          <w:sz w:val="24"/>
          <w:szCs w:val="24"/>
        </w:rPr>
        <w:t>UNUM Life Ins. Co. v. Ward</w:t>
      </w:r>
      <w:r w:rsidR="006A47FD" w:rsidRPr="006A47FD">
        <w:rPr>
          <w:rFonts w:eastAsia="Times New Roman"/>
          <w:sz w:val="24"/>
          <w:szCs w:val="24"/>
        </w:rPr>
        <w:t xml:space="preserve">, 526 U.S. 358 (1999) (state notice-prejudice rule applicable only to insurance contracts did “regulate” insurance and, thus, was saved from preemption); </w:t>
      </w:r>
      <w:r w:rsidR="006A47FD" w:rsidRPr="006A47FD">
        <w:rPr>
          <w:rFonts w:eastAsia="Times New Roman"/>
          <w:b/>
          <w:sz w:val="24"/>
          <w:szCs w:val="24"/>
        </w:rPr>
        <w:t>Pilot Life Ins. Co. v. Dedeaux</w:t>
      </w:r>
      <w:r w:rsidR="006A47FD" w:rsidRPr="006A47FD">
        <w:rPr>
          <w:rFonts w:eastAsia="Times New Roman"/>
          <w:sz w:val="24"/>
          <w:szCs w:val="24"/>
        </w:rPr>
        <w:t xml:space="preserve">, 481 U.S. 41 (1987) (state bad faith law that applied to breach of any contract did not “regulate” insurance and was, therefore, preempted); </w:t>
      </w:r>
      <w:r w:rsidR="006A47FD" w:rsidRPr="006A47FD">
        <w:rPr>
          <w:rFonts w:eastAsia="Times New Roman"/>
          <w:b/>
          <w:sz w:val="24"/>
          <w:szCs w:val="24"/>
        </w:rPr>
        <w:t>Pegram v. Herdrich</w:t>
      </w:r>
      <w:r w:rsidR="006A47FD"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22391843" w:rsidR="006A47FD" w:rsidRPr="006A47FD" w:rsidRDefault="0007116C" w:rsidP="006A47FD">
      <w:pPr>
        <w:spacing w:after="240"/>
        <w:ind w:firstLine="720"/>
        <w:rPr>
          <w:rFonts w:eastAsia="Times New Roman"/>
          <w:sz w:val="24"/>
          <w:szCs w:val="24"/>
        </w:rPr>
      </w:pPr>
      <w:r>
        <w:rPr>
          <w:rFonts w:eastAsia="Times New Roman"/>
          <w:sz w:val="24"/>
          <w:szCs w:val="24"/>
        </w:rPr>
        <w:t>3</w:t>
      </w:r>
      <w:r w:rsidR="00434650">
        <w:rPr>
          <w:rFonts w:eastAsia="Times New Roman"/>
          <w:sz w:val="24"/>
          <w:szCs w:val="24"/>
        </w:rPr>
        <w:t>1</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w:t>
      </w:r>
      <w:r w:rsidR="00211BAE">
        <w:rPr>
          <w:rFonts w:eastAsia="Times New Roman"/>
          <w:sz w:val="24"/>
          <w:szCs w:val="24"/>
        </w:rPr>
        <w:t>8</w:t>
      </w:r>
      <w:r w:rsidR="006A47FD" w:rsidRPr="006A47FD">
        <w:rPr>
          <w:rFonts w:eastAsia="Times New Roman"/>
          <w:sz w:val="24"/>
          <w:szCs w:val="24"/>
        </w:rPr>
        <w:t>); 29 C.F.R. § 2510.3-1(j) (2017) (listing factors to be considered).</w:t>
      </w:r>
    </w:p>
    <w:p w14:paraId="5AC92736" w14:textId="03648029" w:rsidR="006A47FD" w:rsidRPr="006A47FD" w:rsidRDefault="006A47FD" w:rsidP="006A47FD">
      <w:pPr>
        <w:spacing w:after="240"/>
        <w:ind w:firstLine="720"/>
        <w:rPr>
          <w:rFonts w:eastAsia="Times New Roman"/>
          <w:sz w:val="24"/>
          <w:szCs w:val="24"/>
        </w:rPr>
      </w:pPr>
      <w:r w:rsidRPr="006A47FD">
        <w:rPr>
          <w:rFonts w:eastAsia="Times New Roman"/>
          <w:sz w:val="24"/>
          <w:szCs w:val="24"/>
        </w:rPr>
        <w:t>3</w:t>
      </w:r>
      <w:r w:rsidR="00434650">
        <w:rPr>
          <w:rFonts w:eastAsia="Times New Roman"/>
          <w:sz w:val="24"/>
          <w:szCs w:val="24"/>
        </w:rPr>
        <w:t>2</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r w:rsidRPr="006A47FD">
        <w:rPr>
          <w:rFonts w:eastAsia="Times New Roman"/>
          <w:b/>
          <w:sz w:val="24"/>
          <w:szCs w:val="24"/>
        </w:rPr>
        <w:t>Estate of Damon</w:t>
      </w:r>
      <w:r w:rsidRPr="006A47FD">
        <w:rPr>
          <w:rFonts w:eastAsia="Times New Roman"/>
          <w:sz w:val="24"/>
          <w:szCs w:val="24"/>
        </w:rPr>
        <w:t xml:space="preserve">, 915 P.2d 1301 (Colo. 1996). </w:t>
      </w:r>
    </w:p>
    <w:p w14:paraId="71F235EE" w14:textId="419552C0" w:rsidR="007C4B23" w:rsidRDefault="006A47FD" w:rsidP="00EC29A6">
      <w:pPr>
        <w:spacing w:after="240"/>
        <w:ind w:firstLine="720"/>
        <w:rPr>
          <w:rFonts w:eastAsia="Times New Roman"/>
          <w:sz w:val="24"/>
          <w:szCs w:val="24"/>
        </w:rPr>
      </w:pPr>
      <w:r w:rsidRPr="006A47FD">
        <w:rPr>
          <w:rFonts w:eastAsia="Times New Roman"/>
          <w:sz w:val="24"/>
          <w:szCs w:val="24"/>
        </w:rPr>
        <w:t>3</w:t>
      </w:r>
      <w:r w:rsidR="00434650">
        <w:rPr>
          <w:rFonts w:eastAsia="Times New Roman"/>
          <w:sz w:val="24"/>
          <w:szCs w:val="24"/>
        </w:rPr>
        <w:t>3</w:t>
      </w:r>
      <w:r w:rsidRPr="006A47FD">
        <w:rPr>
          <w:rFonts w:eastAsia="Times New Roman"/>
          <w:sz w:val="24"/>
          <w:szCs w:val="24"/>
        </w:rPr>
        <w:t xml:space="preserve">. Even though a state law may “regulate insurance” within the meaning of ERISA’s Savings Clause, it will be barred by conflict preemption if the law provides for remedies 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r w:rsidR="00B80472">
        <w:rPr>
          <w:rFonts w:eastAsia="Times New Roman"/>
          <w:sz w:val="24"/>
          <w:szCs w:val="24"/>
        </w:rPr>
        <w:t xml:space="preserve"> </w:t>
      </w:r>
      <w:r w:rsidR="00B80472" w:rsidRPr="00B80472">
        <w:rPr>
          <w:rFonts w:eastAsia="Times New Roman"/>
          <w:i/>
          <w:sz w:val="24"/>
          <w:szCs w:val="24"/>
        </w:rPr>
        <w:t>See also</w:t>
      </w:r>
      <w:r w:rsidR="00B80472">
        <w:rPr>
          <w:rFonts w:eastAsia="Times New Roman"/>
          <w:sz w:val="24"/>
          <w:szCs w:val="24"/>
        </w:rPr>
        <w:t xml:space="preserve"> § 10-3-1116(2), (3).</w:t>
      </w:r>
    </w:p>
    <w:p w14:paraId="1443B15B" w14:textId="50B95461" w:rsidR="009D7335" w:rsidRDefault="009D7335" w:rsidP="00EC29A6">
      <w:pPr>
        <w:spacing w:after="240"/>
        <w:ind w:firstLine="720"/>
        <w:rPr>
          <w:rFonts w:eastAsia="Times New Roman"/>
          <w:sz w:val="24"/>
          <w:szCs w:val="24"/>
        </w:rPr>
      </w:pPr>
    </w:p>
    <w:p w14:paraId="740BDA34" w14:textId="77777777" w:rsidR="00407AAB" w:rsidRDefault="00407AAB">
      <w:pPr>
        <w:rPr>
          <w:rFonts w:eastAsia="Times New Roman"/>
          <w:sz w:val="24"/>
          <w:szCs w:val="24"/>
        </w:rPr>
      </w:pPr>
      <w:r>
        <w:rPr>
          <w:rFonts w:eastAsia="Times New Roman"/>
          <w:sz w:val="24"/>
          <w:szCs w:val="24"/>
        </w:rPr>
        <w:br w:type="page"/>
      </w:r>
    </w:p>
    <w:p w14:paraId="05BEE8B7" w14:textId="77777777" w:rsidR="00407AAB" w:rsidRPr="009E3DA4" w:rsidRDefault="00407AAB" w:rsidP="00407AAB">
      <w:pPr>
        <w:spacing w:after="240"/>
        <w:ind w:left="720" w:hanging="720"/>
        <w:rPr>
          <w:rFonts w:eastAsia="Times New Roman"/>
          <w:b/>
          <w:sz w:val="24"/>
          <w:szCs w:val="24"/>
        </w:rPr>
      </w:pPr>
      <w:bookmarkStart w:id="3" w:name="a25_03"/>
      <w:bookmarkEnd w:id="3"/>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in conjunction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r w:rsidRPr="00407AAB">
        <w:rPr>
          <w:rFonts w:eastAsia="Times New Roman"/>
          <w:b/>
          <w:sz w:val="24"/>
          <w:szCs w:val="24"/>
        </w:rPr>
        <w:t>Am. Family Mut. 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xml:space="preserve">, 706 P.2d at 1275.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28E4409D"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An insurer’s implied duty of good faith and fair dealing extends to the advertisement, marketing, and purchase of insurance policies,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211BAE">
        <w:rPr>
          <w:rFonts w:eastAsia="Times New Roman"/>
          <w:sz w:val="24"/>
          <w:szCs w:val="24"/>
        </w:rPr>
        <w:t>, 421 P.3d 1184, 1198</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r w:rsidR="00407AAB" w:rsidRPr="00407AAB">
        <w:rPr>
          <w:rFonts w:eastAsia="Times New Roman"/>
          <w:b/>
          <w:sz w:val="24"/>
          <w:szCs w:val="24"/>
        </w:rPr>
        <w:t>Bankr.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w:t>
      </w:r>
      <w:smartTag w:uri="urn:schemas-microsoft-com:office:smarttags" w:element="City">
        <w:smartTag w:uri="urn:schemas-microsoft-com:office:smarttags" w:element="place">
          <w:r w:rsidR="00407AAB" w:rsidRPr="00407AAB">
            <w:rPr>
              <w:rFonts w:eastAsia="Times New Roman"/>
              <w:b/>
              <w:sz w:val="24"/>
              <w:szCs w:val="24"/>
            </w:rPr>
            <w:t>Cork</w:t>
          </w:r>
        </w:smartTag>
      </w:smartTag>
      <w:r w:rsidR="00407AAB" w:rsidRPr="00407AAB">
        <w:rPr>
          <w:rFonts w:eastAsia="Times New Roman"/>
          <w:b/>
          <w:sz w:val="24"/>
          <w:szCs w:val="24"/>
        </w:rPr>
        <w:t xml:space="preserve">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7239D840"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2012 COA 86, ¶ 38.</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w:t>
      </w:r>
      <w:smartTag w:uri="urn:schemas-microsoft-com:office:smarttags" w:element="State">
        <w:smartTag w:uri="urn:schemas-microsoft-com:office:smarttags" w:element="place">
          <w:r w:rsidR="00407AAB" w:rsidRPr="00407AAB">
            <w:rPr>
              <w:rFonts w:eastAsia="Times New Roman"/>
              <w:i/>
              <w:sz w:val="24"/>
              <w:szCs w:val="24"/>
            </w:rPr>
            <w:t>Id.</w:t>
          </w:r>
        </w:smartTag>
      </w:smartTag>
      <w:r w:rsidR="00407AAB" w:rsidRPr="00407AAB">
        <w:rPr>
          <w:rFonts w:eastAsia="Times New Roman"/>
          <w:i/>
          <w:sz w:val="24"/>
          <w:szCs w:val="24"/>
        </w:rPr>
        <w:t xml:space="preserve">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smartTag w:uri="urn:schemas-microsoft-com:office:smarttags" w:element="State">
        <w:smartTag w:uri="urn:schemas-microsoft-com:office:smarttags" w:element="place">
          <w:r w:rsidR="00407AAB" w:rsidRPr="00407AAB">
            <w:rPr>
              <w:rFonts w:eastAsia="Times New Roman"/>
              <w:i/>
              <w:sz w:val="24"/>
              <w:szCs w:val="24"/>
            </w:rPr>
            <w:t>Id.</w:t>
          </w:r>
        </w:smartTag>
      </w:smartTag>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4" w:name="a25_04"/>
      <w:bookmarkEnd w:id="4"/>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on (his) (her) (its)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Hall v. American Standard Insurance Co.</w:t>
      </w:r>
      <w:r w:rsidRPr="001007E7">
        <w:rPr>
          <w:rFonts w:eastAsia="Times New Roman"/>
          <w:sz w:val="24"/>
          <w:szCs w:val="24"/>
        </w:rPr>
        <w:t xml:space="preserve">, 2012 COA 201, ¶ 17, 292 P.3d 1196; and </w:t>
      </w:r>
      <w:r w:rsidRPr="001007E7">
        <w:rPr>
          <w:rFonts w:eastAsia="Times New Roman"/>
          <w:b/>
          <w:sz w:val="24"/>
          <w:szCs w:val="24"/>
        </w:rPr>
        <w:t>Kisselman</w:t>
      </w:r>
      <w:r w:rsidRPr="001007E7">
        <w:rPr>
          <w:rFonts w:eastAsia="Times New Roman"/>
          <w:sz w:val="24"/>
          <w:szCs w:val="24"/>
        </w:rPr>
        <w:t>, 292 P.3d at 972-73.</w:t>
      </w:r>
    </w:p>
    <w:p w14:paraId="73673635" w14:textId="1A1AA4FB" w:rsidR="001007E7" w:rsidRPr="001007E7" w:rsidRDefault="001007E7" w:rsidP="001007E7">
      <w:pPr>
        <w:spacing w:after="240"/>
        <w:ind w:firstLine="720"/>
        <w:rPr>
          <w:rFonts w:eastAsia="Times New Roman"/>
          <w:sz w:val="24"/>
          <w:szCs w:val="24"/>
        </w:rPr>
      </w:pPr>
      <w:r w:rsidRPr="001007E7">
        <w:rPr>
          <w:rFonts w:eastAsia="Times New Roman"/>
          <w:sz w:val="24"/>
          <w:szCs w:val="24"/>
        </w:rPr>
        <w:t>2.</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Nibert v. GEICO Cas. Co.</w:t>
      </w:r>
      <w:r w:rsidR="00157C2C" w:rsidRPr="00157C2C">
        <w:rPr>
          <w:rFonts w:eastAsia="Times New Roman"/>
          <w:sz w:val="24"/>
          <w:szCs w:val="24"/>
        </w:rPr>
        <w:t>, 2017 COA 23, ¶ 15</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Pr="001007E7">
        <w:rPr>
          <w:rFonts w:eastAsia="Times New Roman"/>
          <w:sz w:val="24"/>
          <w:szCs w:val="24"/>
        </w:rPr>
        <w:t>.</w:t>
      </w:r>
    </w:p>
    <w:p w14:paraId="5997772E" w14:textId="308AA098"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An insured’s lack of cooperation may be considered by the jury in determining whether an insurer’s delay in payment was reasonable. </w:t>
      </w:r>
      <w:r w:rsidRPr="001007E7">
        <w:rPr>
          <w:rFonts w:eastAsia="Times New Roman"/>
          <w:b/>
          <w:sz w:val="24"/>
          <w:szCs w:val="24"/>
        </w:rPr>
        <w:t>Fisher v. State Farm Mut. Auto. Ins. Co.</w:t>
      </w:r>
      <w:r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w:t>
      </w:r>
    </w:p>
    <w:p w14:paraId="22C3F72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An insurer’s unreasonable delay or denial of payment as to part of a UIM claim (medical expenses) may subject it to liability even though a reasonable dispute existed as to other components of the claim. </w:t>
      </w:r>
      <w:r w:rsidRPr="001007E7">
        <w:rPr>
          <w:rFonts w:eastAsia="Times New Roman"/>
          <w:b/>
          <w:sz w:val="24"/>
          <w:szCs w:val="24"/>
        </w:rPr>
        <w:t>Fisher</w:t>
      </w:r>
      <w:r w:rsidRPr="001007E7">
        <w:rPr>
          <w:rFonts w:eastAsia="Times New Roman"/>
          <w:sz w:val="24"/>
          <w:szCs w:val="24"/>
        </w:rPr>
        <w:t xml:space="preserve">, 2015 COA 47, ¶ 36 (insurance contract contained no requirement that insured establish </w:t>
      </w:r>
      <w:r w:rsidRPr="001007E7">
        <w:rPr>
          <w:rFonts w:eastAsia="Times New Roman"/>
          <w:sz w:val="24"/>
          <w:szCs w:val="24"/>
          <w:u w:val="single"/>
        </w:rPr>
        <w:t>all</w:t>
      </w:r>
      <w:r w:rsidRPr="001007E7">
        <w:rPr>
          <w:rFonts w:eastAsia="Times New Roman"/>
          <w:sz w:val="24"/>
          <w:szCs w:val="24"/>
        </w:rPr>
        <w:t xml:space="preserve"> damages as a prerequisite to the insurer’s obligation to pay </w:t>
      </w:r>
      <w:r w:rsidRPr="001007E7">
        <w:rPr>
          <w:rFonts w:eastAsia="Times New Roman"/>
          <w:sz w:val="24"/>
          <w:szCs w:val="24"/>
          <w:u w:val="single"/>
        </w:rPr>
        <w:t>any</w:t>
      </w:r>
      <w:r w:rsidRPr="001007E7">
        <w:rPr>
          <w:rFonts w:eastAsia="Times New Roman"/>
          <w:sz w:val="24"/>
          <w:szCs w:val="24"/>
        </w:rPr>
        <w:t xml:space="preserve"> damages, and any provision that did limit statutorily mandated UIM coverage would be unenforceable).</w:t>
      </w:r>
    </w:p>
    <w:p w14:paraId="52ED6C0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Pr="001007E7">
        <w:rPr>
          <w:rFonts w:eastAsia="Times New Roman"/>
          <w:b/>
          <w:sz w:val="24"/>
          <w:szCs w:val="24"/>
        </w:rPr>
        <w:t>Fisher</w:t>
      </w:r>
      <w:r w:rsidRPr="001007E7">
        <w:rPr>
          <w:rFonts w:eastAsia="Times New Roman"/>
          <w:sz w:val="24"/>
          <w:szCs w:val="24"/>
        </w:rPr>
        <w:t>, 2015 COA 47, ¶¶ 19 &amp; 20.</w:t>
      </w:r>
    </w:p>
    <w:p w14:paraId="7956591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Sections 10-3-1115 and -1116 apply prospectively to insurer conduct occurring after their August 5, 2008, effective date, even if the insured’s original claim was made before that date. </w:t>
      </w:r>
      <w:r w:rsidRPr="001007E7">
        <w:rPr>
          <w:rFonts w:eastAsia="Times New Roman"/>
          <w:b/>
          <w:sz w:val="24"/>
          <w:szCs w:val="24"/>
        </w:rPr>
        <w:t>Kisselman</w:t>
      </w:r>
      <w:r w:rsidRPr="001007E7">
        <w:rPr>
          <w:rFonts w:eastAsia="Times New Roman"/>
          <w:sz w:val="24"/>
          <w:szCs w:val="24"/>
        </w:rPr>
        <w:t xml:space="preserve">, 292 P.3d at 976 (distinguishing Colorado’s refusal to recognize continuing acts of bad faith as giving rise to new claims);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 948 P.2d 545 (Colo. 1997) (while ongoing bad faith is relevant to a common-law claim, it does not give rise to additional bad faith claims).</w:t>
      </w:r>
    </w:p>
    <w:p w14:paraId="00A43CDF" w14:textId="77777777" w:rsidR="001007E7" w:rsidRDefault="001007E7" w:rsidP="001007E7">
      <w:pPr>
        <w:spacing w:after="240"/>
        <w:ind w:firstLine="720"/>
        <w:rPr>
          <w:rFonts w:eastAsia="Times New Roman"/>
          <w:sz w:val="24"/>
          <w:szCs w:val="24"/>
        </w:rPr>
      </w:pPr>
      <w:r w:rsidRPr="001007E7">
        <w:rPr>
          <w:rFonts w:eastAsia="Times New Roman"/>
          <w:sz w:val="24"/>
          <w:szCs w:val="24"/>
        </w:rPr>
        <w:t xml:space="preserve">7. Conflict preemption precludes a claim under this statute brought in connection with a policy governed by ERISA because the double-benefit remedy provided by section 10-3-1116(1) supplements and therefore conflicts with remedies available under ERISA. </w:t>
      </w:r>
      <w:r w:rsidRPr="001007E7">
        <w:rPr>
          <w:rFonts w:eastAsia="Times New Roman"/>
          <w:b/>
          <w:sz w:val="24"/>
          <w:szCs w:val="24"/>
        </w:rPr>
        <w:t>Timm v. Prudential Ins. Co. of Am.</w:t>
      </w:r>
      <w:r w:rsidRPr="001007E7">
        <w:rPr>
          <w:rFonts w:eastAsia="Times New Roman"/>
          <w:sz w:val="24"/>
          <w:szCs w:val="24"/>
        </w:rPr>
        <w:t>, 259 P.3d 521 (Colo. App. 2011).</w:t>
      </w:r>
    </w:p>
    <w:p w14:paraId="50F3D8B7" w14:textId="3B20EEF9" w:rsidR="00F945CF" w:rsidRDefault="00673F33" w:rsidP="009E7644">
      <w:pPr>
        <w:spacing w:after="240"/>
        <w:ind w:firstLine="720"/>
        <w:rPr>
          <w:rFonts w:eastAsia="Times New Roman"/>
          <w:i/>
          <w:sz w:val="24"/>
          <w:szCs w:val="24"/>
        </w:rPr>
      </w:pPr>
      <w:r>
        <w:rPr>
          <w:rFonts w:eastAsia="Times New Roman"/>
          <w:sz w:val="24"/>
          <w:szCs w:val="24"/>
        </w:rPr>
        <w:t xml:space="preserve">8. </w:t>
      </w:r>
      <w:r w:rsidRPr="00673F33">
        <w:rPr>
          <w:rFonts w:eastAsia="Times New Roman"/>
          <w:sz w:val="24"/>
          <w:szCs w:val="24"/>
        </w:rPr>
        <w:t xml:space="preserve">Insureds’ entitlement to de novo judicial </w:t>
      </w:r>
      <w:r>
        <w:rPr>
          <w:rFonts w:eastAsia="Times New Roman"/>
          <w:sz w:val="24"/>
          <w:szCs w:val="24"/>
        </w:rPr>
        <w:t>review and trial by jury under s</w:t>
      </w:r>
      <w:r w:rsidRPr="00673F33">
        <w:rPr>
          <w:rFonts w:eastAsia="Times New Roman"/>
          <w:sz w:val="24"/>
          <w:szCs w:val="24"/>
        </w:rPr>
        <w:t xml:space="preserve">ection 10-3-1116(3), </w:t>
      </w:r>
      <w:r>
        <w:rPr>
          <w:rFonts w:eastAsia="Times New Roman"/>
          <w:sz w:val="24"/>
          <w:szCs w:val="24"/>
        </w:rPr>
        <w:t xml:space="preserve">C.R.S., </w:t>
      </w:r>
      <w:r w:rsidRPr="00673F33">
        <w:rPr>
          <w:rFonts w:eastAsia="Times New Roman"/>
          <w:sz w:val="24"/>
          <w:szCs w:val="24"/>
        </w:rPr>
        <w:t>is not subject to arbitration under the F</w:t>
      </w:r>
      <w:r>
        <w:rPr>
          <w:rFonts w:eastAsia="Times New Roman"/>
          <w:sz w:val="24"/>
          <w:szCs w:val="24"/>
        </w:rPr>
        <w:t xml:space="preserve">ederal </w:t>
      </w:r>
      <w:r w:rsidRPr="00673F33">
        <w:rPr>
          <w:rFonts w:eastAsia="Times New Roman"/>
          <w:sz w:val="24"/>
          <w:szCs w:val="24"/>
        </w:rPr>
        <w:t>A</w:t>
      </w:r>
      <w:r>
        <w:rPr>
          <w:rFonts w:eastAsia="Times New Roman"/>
          <w:sz w:val="24"/>
          <w:szCs w:val="24"/>
        </w:rPr>
        <w:t xml:space="preserve">rbitration </w:t>
      </w:r>
      <w:r w:rsidRPr="00673F33">
        <w:rPr>
          <w:rFonts w:eastAsia="Times New Roman"/>
          <w:sz w:val="24"/>
          <w:szCs w:val="24"/>
        </w:rPr>
        <w:t>A</w:t>
      </w:r>
      <w:r>
        <w:rPr>
          <w:rFonts w:eastAsia="Times New Roman"/>
          <w:sz w:val="24"/>
          <w:szCs w:val="24"/>
        </w:rPr>
        <w:t xml:space="preserve">ct, 9 U.S.C. §§ 1-16 </w:t>
      </w:r>
      <w:r>
        <w:rPr>
          <w:rFonts w:eastAsia="Times New Roman"/>
          <w:sz w:val="24"/>
          <w:szCs w:val="24"/>
        </w:rPr>
        <w:lastRenderedPageBreak/>
        <w:t>(201</w:t>
      </w:r>
      <w:r w:rsidR="007F5724">
        <w:rPr>
          <w:rFonts w:eastAsia="Times New Roman"/>
          <w:sz w:val="24"/>
          <w:szCs w:val="24"/>
        </w:rPr>
        <w:t>8</w:t>
      </w:r>
      <w:r>
        <w:rPr>
          <w:rFonts w:eastAsia="Times New Roman"/>
          <w:sz w:val="24"/>
          <w:szCs w:val="24"/>
        </w:rPr>
        <w:t xml:space="preserve">). </w:t>
      </w:r>
      <w:r w:rsidRPr="00673F33">
        <w:rPr>
          <w:rFonts w:eastAsia="Times New Roman"/>
          <w:b/>
          <w:sz w:val="24"/>
          <w:szCs w:val="24"/>
        </w:rPr>
        <w:t>Meardon v. Freedom Life Ins. Co.</w:t>
      </w:r>
      <w:r>
        <w:rPr>
          <w:rFonts w:eastAsia="Times New Roman"/>
          <w:sz w:val="24"/>
          <w:szCs w:val="24"/>
        </w:rPr>
        <w:t xml:space="preserve">, 2018 COA 32, ¶¶ 15-20, 417 P.3d 929. </w:t>
      </w:r>
      <w:r w:rsidRPr="00673F33">
        <w:rPr>
          <w:rFonts w:eastAsia="Times New Roman"/>
          <w:sz w:val="24"/>
          <w:szCs w:val="24"/>
        </w:rPr>
        <w:t xml:space="preserve">The provisions of </w:t>
      </w:r>
      <w:r>
        <w:rPr>
          <w:rFonts w:eastAsia="Times New Roman"/>
          <w:sz w:val="24"/>
          <w:szCs w:val="24"/>
        </w:rPr>
        <w:t>section 10-3-</w:t>
      </w:r>
      <w:r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2016 CO 46, ¶ 32, 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w:t>
      </w:r>
      <w:smartTag w:uri="urn:schemas-microsoft-com:office:smarttags" w:element="State">
        <w:smartTag w:uri="urn:schemas-microsoft-com:office:smarttags" w:element="place">
          <w:r w:rsidRPr="001007E7">
            <w:rPr>
              <w:rFonts w:eastAsia="Times New Roman"/>
              <w:b/>
              <w:sz w:val="24"/>
              <w:szCs w:val="24"/>
            </w:rPr>
            <w:t>Colorado</w:t>
          </w:r>
        </w:smartTag>
      </w:smartTag>
      <w:r w:rsidRPr="001007E7">
        <w:rPr>
          <w:rFonts w:eastAsia="Times New Roman"/>
          <w:b/>
          <w:sz w:val="24"/>
          <w:szCs w:val="24"/>
        </w:rPr>
        <w:t xml:space="preserve"> prohibit an insurance company from willfully: </w:t>
      </w:r>
      <w:r w:rsidRPr="001007E7">
        <w:rPr>
          <w:rFonts w:eastAsia="Times New Roman"/>
          <w:i/>
          <w:sz w:val="24"/>
          <w:szCs w:val="24"/>
        </w:rPr>
        <w:t xml:space="preserve">(Insert from § </w:t>
      </w:r>
      <w:smartTag w:uri="urn:schemas-microsoft-com:office:smarttags" w:element="date">
        <w:smartTagPr>
          <w:attr w:name="Month" w:val="10"/>
          <w:attr w:name="Day" w:val="3"/>
          <w:attr w:name="Year" w:val="1104"/>
        </w:smartTagPr>
        <w:r w:rsidRPr="001007E7">
          <w:rPr>
            <w:rFonts w:eastAsia="Times New Roman"/>
            <w:i/>
            <w:sz w:val="24"/>
            <w:szCs w:val="24"/>
          </w:rPr>
          <w:t>10-3-1104</w:t>
        </w:r>
      </w:smartTag>
      <w:r w:rsidRPr="001007E7">
        <w:rPr>
          <w:rFonts w:eastAsia="Times New Roman"/>
          <w:i/>
          <w:sz w:val="24"/>
          <w:szCs w:val="24"/>
        </w:rPr>
        <w:t xml:space="preserve">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875 P.2d 1354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97C8E03"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940 P.2d 967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w:t>
      </w:r>
      <w:smartTag w:uri="urn:schemas-microsoft-com:office:smarttags" w:element="PersonName">
        <w:r w:rsidRPr="001007E7">
          <w:rPr>
            <w:rFonts w:eastAsia="Times New Roman"/>
            <w:sz w:val="24"/>
            <w:szCs w:val="24"/>
          </w:rPr>
          <w:t>e</w:t>
        </w:r>
      </w:smartTag>
      <w:r w:rsidRPr="001007E7">
        <w:rPr>
          <w:rFonts w:eastAsia="Times New Roman"/>
          <w:sz w:val="24"/>
          <w:szCs w:val="24"/>
        </w:rPr>
        <w:t>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plaintiff r</w:t>
      </w:r>
      <w:smartTag w:uri="urn:schemas-microsoft-com:office:smarttags" w:element="PersonName">
        <w:r w:rsidRPr="001007E7">
          <w:rPr>
            <w:rFonts w:eastAsia="Times New Roman"/>
            <w:sz w:val="24"/>
            <w:szCs w:val="24"/>
          </w:rPr>
          <w:t>e</w:t>
        </w:r>
      </w:smartTag>
      <w:r w:rsidRPr="001007E7">
        <w:rPr>
          <w:rFonts w:eastAsia="Times New Roman"/>
          <w:sz w:val="24"/>
          <w:szCs w:val="24"/>
        </w:rPr>
        <w:t>li</w:t>
      </w:r>
      <w:smartTag w:uri="urn:schemas-microsoft-com:office:smarttags" w:element="PersonName">
        <w:r w:rsidRPr="001007E7">
          <w:rPr>
            <w:rFonts w:eastAsia="Times New Roman"/>
            <w:sz w:val="24"/>
            <w:szCs w:val="24"/>
          </w:rPr>
          <w:t>e</w:t>
        </w:r>
      </w:smartTag>
      <w:r w:rsidRPr="001007E7">
        <w:rPr>
          <w:rFonts w:eastAsia="Times New Roman"/>
          <w:sz w:val="24"/>
          <w:szCs w:val="24"/>
        </w:rPr>
        <w:t>d on statutory violations and a failur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to inv</w:t>
      </w:r>
      <w:smartTag w:uri="urn:schemas-microsoft-com:office:smarttags" w:element="PersonName">
        <w:r w:rsidRPr="001007E7">
          <w:rPr>
            <w:rFonts w:eastAsia="Times New Roman"/>
            <w:sz w:val="24"/>
            <w:szCs w:val="24"/>
          </w:rPr>
          <w:t>e</w:t>
        </w:r>
      </w:smartTag>
      <w:r w:rsidRPr="001007E7">
        <w:rPr>
          <w:rFonts w:eastAsia="Times New Roman"/>
          <w:sz w:val="24"/>
          <w:szCs w:val="24"/>
        </w:rPr>
        <w:t>stigat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his claim, proof of industry standards through </w:t>
      </w:r>
      <w:smartTag w:uri="urn:schemas-microsoft-com:office:smarttags" w:element="PersonName">
        <w:r w:rsidRPr="001007E7">
          <w:rPr>
            <w:rFonts w:eastAsia="Times New Roman"/>
            <w:sz w:val="24"/>
            <w:szCs w:val="24"/>
          </w:rPr>
          <w:t>e</w:t>
        </w:r>
      </w:smartTag>
      <w:r w:rsidRPr="001007E7">
        <w:rPr>
          <w:rFonts w:eastAsia="Times New Roman"/>
          <w:sz w:val="24"/>
          <w:szCs w:val="24"/>
        </w:rPr>
        <w:t>xp</w:t>
      </w:r>
      <w:smartTag w:uri="urn:schemas-microsoft-com:office:smarttags" w:element="PersonName">
        <w:r w:rsidRPr="001007E7">
          <w:rPr>
            <w:rFonts w:eastAsia="Times New Roman"/>
            <w:sz w:val="24"/>
            <w:szCs w:val="24"/>
          </w:rPr>
          <w:t>e</w:t>
        </w:r>
      </w:smartTag>
      <w:r w:rsidRPr="001007E7">
        <w:rPr>
          <w:rFonts w:eastAsia="Times New Roman"/>
          <w:sz w:val="24"/>
          <w:szCs w:val="24"/>
        </w:rPr>
        <w:t>rt t</w:t>
      </w:r>
      <w:smartTag w:uri="urn:schemas-microsoft-com:office:smarttags" w:element="PersonName">
        <w:r w:rsidRPr="001007E7">
          <w:rPr>
            <w:rFonts w:eastAsia="Times New Roman"/>
            <w:sz w:val="24"/>
            <w:szCs w:val="24"/>
          </w:rPr>
          <w:t>e</w:t>
        </w:r>
      </w:smartTag>
      <w:r w:rsidRPr="001007E7">
        <w:rPr>
          <w:rFonts w:eastAsia="Times New Roman"/>
          <w:sz w:val="24"/>
          <w:szCs w:val="24"/>
        </w:rPr>
        <w:t>stimony was unn</w:t>
      </w:r>
      <w:smartTag w:uri="urn:schemas-microsoft-com:office:smarttags" w:element="PersonName">
        <w:r w:rsidRPr="001007E7">
          <w:rPr>
            <w:rFonts w:eastAsia="Times New Roman"/>
            <w:sz w:val="24"/>
            <w:szCs w:val="24"/>
          </w:rPr>
          <w:t>e</w:t>
        </w:r>
      </w:smartTag>
      <w:r w:rsidRPr="001007E7">
        <w:rPr>
          <w:rFonts w:eastAsia="Times New Roman"/>
          <w:sz w:val="24"/>
          <w:szCs w:val="24"/>
        </w:rPr>
        <w:t>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ssary to </w:t>
      </w:r>
      <w:smartTag w:uri="urn:schemas-microsoft-com:office:smarttags" w:element="PersonName">
        <w:r w:rsidRPr="001007E7">
          <w:rPr>
            <w:rFonts w:eastAsia="Times New Roman"/>
            <w:sz w:val="24"/>
            <w:szCs w:val="24"/>
          </w:rPr>
          <w:t>e</w:t>
        </w:r>
      </w:smartTag>
      <w:r w:rsidRPr="001007E7">
        <w:rPr>
          <w:rFonts w:eastAsia="Times New Roman"/>
          <w:sz w:val="24"/>
          <w:szCs w:val="24"/>
        </w:rPr>
        <w:t>stablish a bad faith br</w:t>
      </w:r>
      <w:smartTag w:uri="urn:schemas-microsoft-com:office:smarttags" w:element="PersonName">
        <w:r w:rsidRPr="001007E7">
          <w:rPr>
            <w:rFonts w:eastAsia="Times New Roman"/>
            <w:sz w:val="24"/>
            <w:szCs w:val="24"/>
          </w:rPr>
          <w:t>e</w:t>
        </w:r>
      </w:smartTag>
      <w:r w:rsidRPr="001007E7">
        <w:rPr>
          <w:rFonts w:eastAsia="Times New Roman"/>
          <w:sz w:val="24"/>
          <w:szCs w:val="24"/>
        </w:rPr>
        <w:t>ach of insuranc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w:t>
      </w:r>
      <w:smartTag w:uri="urn:schemas-microsoft-com:office:smarttags" w:element="PersonName">
        <w:r w:rsidRPr="001007E7">
          <w:rPr>
            <w:rFonts w:eastAsia="Times New Roman"/>
            <w:b/>
            <w:sz w:val="24"/>
            <w:szCs w:val="24"/>
          </w:rPr>
          <w:t>e</w:t>
        </w:r>
      </w:smartTag>
      <w:r w:rsidRPr="001007E7">
        <w:rPr>
          <w:rFonts w:eastAsia="Times New Roman"/>
          <w:b/>
          <w:sz w:val="24"/>
          <w:szCs w:val="24"/>
        </w:rPr>
        <w:t>rican Family Mutual Insuranc</w:t>
      </w:r>
      <w:smartTag w:uri="urn:schemas-microsoft-com:office:smarttags" w:element="PersonName">
        <w:r w:rsidRPr="001007E7">
          <w:rPr>
            <w:rFonts w:eastAsia="Times New Roman"/>
            <w:b/>
            <w:sz w:val="24"/>
            <w:szCs w:val="24"/>
          </w:rPr>
          <w:t>e</w:t>
        </w:r>
      </w:smartTag>
      <w:r w:rsidRPr="001007E7">
        <w:rPr>
          <w:rFonts w:eastAsia="Times New Roman"/>
          <w:b/>
          <w:sz w:val="24"/>
          <w:szCs w:val="24"/>
        </w:rPr>
        <w:t xml:space="preserve"> Co. v. All</w:t>
      </w:r>
      <w:smartTag w:uri="urn:schemas-microsoft-com:office:smarttags" w:element="PersonName">
        <w:r w:rsidRPr="001007E7">
          <w:rPr>
            <w:rFonts w:eastAsia="Times New Roman"/>
            <w:b/>
            <w:sz w:val="24"/>
            <w:szCs w:val="24"/>
          </w:rPr>
          <w:t>e</w:t>
        </w:r>
      </w:smartTag>
      <w:r w:rsidRPr="001007E7">
        <w:rPr>
          <w:rFonts w:eastAsia="Times New Roman"/>
          <w:b/>
          <w:sz w:val="24"/>
          <w:szCs w:val="24"/>
        </w:rPr>
        <w:t>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102 P.3d 333, 344 (Colo. 2004),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supr</w:t>
      </w:r>
      <w:smartTag w:uri="urn:schemas-microsoft-com:office:smarttags" w:element="PersonName">
        <w:r w:rsidRPr="001007E7">
          <w:rPr>
            <w:rFonts w:eastAsia="Times New Roman"/>
            <w:sz w:val="24"/>
            <w:szCs w:val="24"/>
          </w:rPr>
          <w:t>e</w:t>
        </w:r>
      </w:smartTag>
      <w:r w:rsidRPr="001007E7">
        <w:rPr>
          <w:rFonts w:eastAsia="Times New Roman"/>
          <w:sz w:val="24"/>
          <w:szCs w:val="24"/>
        </w:rPr>
        <w:t>m</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obs</w:t>
      </w:r>
      <w:smartTag w:uri="urn:schemas-microsoft-com:office:smarttags" w:element="PersonName">
        <w:r w:rsidRPr="001007E7">
          <w:rPr>
            <w:rFonts w:eastAsia="Times New Roman"/>
            <w:sz w:val="24"/>
            <w:szCs w:val="24"/>
          </w:rPr>
          <w:t>e</w:t>
        </w:r>
      </w:smartTag>
      <w:r w:rsidRPr="001007E7">
        <w:rPr>
          <w:rFonts w:eastAsia="Times New Roman"/>
          <w:sz w:val="24"/>
          <w:szCs w:val="24"/>
        </w:rPr>
        <w:t>rv</w:t>
      </w:r>
      <w:smartTag w:uri="urn:schemas-microsoft-com:office:smarttags" w:element="PersonName">
        <w:r w:rsidRPr="001007E7">
          <w:rPr>
            <w:rFonts w:eastAsia="Times New Roman"/>
            <w:sz w:val="24"/>
            <w:szCs w:val="24"/>
          </w:rPr>
          <w:t>e</w:t>
        </w:r>
      </w:smartTag>
      <w:r w:rsidRPr="001007E7">
        <w:rPr>
          <w:rFonts w:eastAsia="Times New Roman"/>
          <w:sz w:val="24"/>
          <w:szCs w:val="24"/>
        </w:rPr>
        <w:t>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UCSPA r</w:t>
      </w:r>
      <w:smartTag w:uri="urn:schemas-microsoft-com:office:smarttags" w:element="PersonName">
        <w:r w:rsidRPr="001007E7">
          <w:rPr>
            <w:rFonts w:eastAsia="Times New Roman"/>
            <w:sz w:val="24"/>
            <w:szCs w:val="24"/>
          </w:rPr>
          <w:t>e</w:t>
        </w:r>
      </w:smartTag>
      <w:r w:rsidRPr="001007E7">
        <w:rPr>
          <w:rFonts w:eastAsia="Times New Roman"/>
          <w:sz w:val="24"/>
          <w:szCs w:val="24"/>
        </w:rPr>
        <w:t>gulat</w:t>
      </w:r>
      <w:smartTag w:uri="urn:schemas-microsoft-com:office:smarttags" w:element="PersonName">
        <w:r w:rsidRPr="001007E7">
          <w:rPr>
            <w:rFonts w:eastAsia="Times New Roman"/>
            <w:sz w:val="24"/>
            <w:szCs w:val="24"/>
          </w:rPr>
          <w:t>e</w:t>
        </w:r>
      </w:smartTag>
      <w:r w:rsidRPr="001007E7">
        <w:rPr>
          <w:rFonts w:eastAsia="Times New Roman"/>
          <w:sz w:val="24"/>
          <w:szCs w:val="24"/>
        </w:rPr>
        <w:t>s insur</w:t>
      </w:r>
      <w:smartTag w:uri="urn:schemas-microsoft-com:office:smarttags" w:element="PersonName">
        <w:r w:rsidRPr="001007E7">
          <w:rPr>
            <w:rFonts w:eastAsia="Times New Roman"/>
            <w:sz w:val="24"/>
            <w:szCs w:val="24"/>
          </w:rPr>
          <w:t>e</w:t>
        </w:r>
      </w:smartTag>
      <w:r w:rsidRPr="001007E7">
        <w:rPr>
          <w:rFonts w:eastAsia="Times New Roman"/>
          <w:sz w:val="24"/>
          <w:szCs w:val="24"/>
        </w:rPr>
        <w:t>rs’ conduct, but do</w:t>
      </w:r>
      <w:smartTag w:uri="urn:schemas-microsoft-com:office:smarttags" w:element="PersonName">
        <w:r w:rsidRPr="001007E7">
          <w:rPr>
            <w:rFonts w:eastAsia="Times New Roman"/>
            <w:sz w:val="24"/>
            <w:szCs w:val="24"/>
          </w:rPr>
          <w:t>e</w:t>
        </w:r>
      </w:smartTag>
      <w:r w:rsidRPr="001007E7">
        <w:rPr>
          <w:rFonts w:eastAsia="Times New Roman"/>
          <w:sz w:val="24"/>
          <w:szCs w:val="24"/>
        </w:rPr>
        <w:t>s not cr</w:t>
      </w:r>
      <w:smartTag w:uri="urn:schemas-microsoft-com:office:smarttags" w:element="PersonName">
        <w:r w:rsidRPr="001007E7">
          <w:rPr>
            <w:rFonts w:eastAsia="Times New Roman"/>
            <w:sz w:val="24"/>
            <w:szCs w:val="24"/>
          </w:rPr>
          <w:t>e</w:t>
        </w:r>
      </w:smartTag>
      <w:r w:rsidRPr="001007E7">
        <w:rPr>
          <w:rFonts w:eastAsia="Times New Roman"/>
          <w:sz w:val="24"/>
          <w:szCs w:val="24"/>
        </w:rPr>
        <w:t>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 privat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right of action; non</w:t>
      </w:r>
      <w:smartTag w:uri="urn:schemas-microsoft-com:office:smarttags" w:element="PersonName">
        <w:r w:rsidRPr="001007E7">
          <w:rPr>
            <w:rFonts w:eastAsia="Times New Roman"/>
            <w:sz w:val="24"/>
            <w:szCs w:val="24"/>
          </w:rPr>
          <w:t>e</w:t>
        </w:r>
      </w:smartTag>
      <w:r w:rsidRPr="001007E7">
        <w:rPr>
          <w:rFonts w:eastAsia="Times New Roman"/>
          <w:sz w:val="24"/>
          <w:szCs w:val="24"/>
        </w:rPr>
        <w:t>th</w:t>
      </w:r>
      <w:smartTag w:uri="urn:schemas-microsoft-com:office:smarttags" w:element="PersonName">
        <w:r w:rsidRPr="001007E7">
          <w:rPr>
            <w:rFonts w:eastAsia="Times New Roman"/>
            <w:sz w:val="24"/>
            <w:szCs w:val="24"/>
          </w:rPr>
          <w:t>e</w:t>
        </w:r>
      </w:smartTag>
      <w:r w:rsidRPr="001007E7">
        <w:rPr>
          <w:rFonts w:eastAsia="Times New Roman"/>
          <w:sz w:val="24"/>
          <w:szCs w:val="24"/>
        </w:rPr>
        <w:t>l</w:t>
      </w:r>
      <w:smartTag w:uri="urn:schemas-microsoft-com:office:smarttags" w:element="PersonName">
        <w:r w:rsidRPr="001007E7">
          <w:rPr>
            <w:rFonts w:eastAsia="Times New Roman"/>
            <w:sz w:val="24"/>
            <w:szCs w:val="24"/>
          </w:rPr>
          <w:t>e</w:t>
        </w:r>
      </w:smartTag>
      <w:r w:rsidRPr="001007E7">
        <w:rPr>
          <w:rFonts w:eastAsia="Times New Roman"/>
          <w:sz w:val="24"/>
          <w:szCs w:val="24"/>
        </w:rPr>
        <w:t>ss,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h</w:t>
      </w:r>
      <w:smartTag w:uri="urn:schemas-microsoft-com:office:smarttags" w:element="PersonName">
        <w:r w:rsidRPr="001007E7">
          <w:rPr>
            <w:rFonts w:eastAsia="Times New Roman"/>
            <w:sz w:val="24"/>
            <w:szCs w:val="24"/>
          </w:rPr>
          <w:t>e</w:t>
        </w:r>
      </w:smartTag>
      <w:r w:rsidRPr="001007E7">
        <w:rPr>
          <w:rFonts w:eastAsia="Times New Roman"/>
          <w:sz w:val="24"/>
          <w:szCs w:val="24"/>
        </w:rPr>
        <w:t>ld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Act’s standards “may b</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us</w:t>
      </w:r>
      <w:smartTag w:uri="urn:schemas-microsoft-com:office:smarttags" w:element="PersonName">
        <w:r w:rsidRPr="001007E7">
          <w:rPr>
            <w:rFonts w:eastAsia="Times New Roman"/>
            <w:sz w:val="24"/>
            <w:szCs w:val="24"/>
          </w:rPr>
          <w:t>e</w:t>
        </w:r>
      </w:smartTag>
      <w:r w:rsidRPr="001007E7">
        <w:rPr>
          <w:rFonts w:eastAsia="Times New Roman"/>
          <w:sz w:val="24"/>
          <w:szCs w:val="24"/>
        </w:rPr>
        <w:t>d as valid, but not conclusiv</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w:t>
      </w:r>
      <w:smartTag w:uri="urn:schemas-microsoft-com:office:smarttags" w:element="PersonName">
        <w:r w:rsidRPr="001007E7">
          <w:rPr>
            <w:rFonts w:eastAsia="Times New Roman"/>
            <w:sz w:val="24"/>
            <w:szCs w:val="24"/>
          </w:rPr>
          <w:t>e</w:t>
        </w:r>
      </w:smartTag>
      <w:r w:rsidRPr="001007E7">
        <w:rPr>
          <w:rFonts w:eastAsia="Times New Roman"/>
          <w:sz w:val="24"/>
          <w:szCs w:val="24"/>
        </w:rPr>
        <w:t>vid</w:t>
      </w:r>
      <w:smartTag w:uri="urn:schemas-microsoft-com:office:smarttags" w:element="PersonName">
        <w:r w:rsidRPr="001007E7">
          <w:rPr>
            <w:rFonts w:eastAsia="Times New Roman"/>
            <w:sz w:val="24"/>
            <w:szCs w:val="24"/>
          </w:rPr>
          <w:t>e</w:t>
        </w:r>
      </w:smartTag>
      <w:r w:rsidRPr="001007E7">
        <w:rPr>
          <w:rFonts w:eastAsia="Times New Roman"/>
          <w:sz w:val="24"/>
          <w:szCs w:val="24"/>
        </w:rPr>
        <w:t>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Reversing summary judgment in favor of an insurer that proved its compliance with a Department of Insurance regulation that declares non-compliance a presumptive violation of section 10-3-1104(1)(h)(</w:t>
      </w:r>
      <w:smartTag w:uri="urn:schemas-microsoft-com:office:smarttags" w:element="stockticker">
        <w:r w:rsidRPr="001007E7">
          <w:rPr>
            <w:rFonts w:eastAsia="Times New Roman"/>
            <w:sz w:val="24"/>
            <w:szCs w:val="24"/>
          </w:rPr>
          <w:t>III</w:t>
        </w:r>
      </w:smartTag>
      <w:r w:rsidRPr="001007E7">
        <w:rPr>
          <w:rFonts w:eastAsia="Times New Roman"/>
          <w:sz w:val="24"/>
          <w:szCs w:val="24"/>
        </w:rPr>
        <w:t xml:space="preserve">)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w:t>
      </w:r>
      <w:smartTag w:uri="schemas-westgroup-com/westlawcitation" w:element="typecases">
        <w:smartTag w:uri="urn:schemas-microsoft-com:office:smarttags" w:element="State">
          <w:r w:rsidRPr="001134B3">
            <w:rPr>
              <w:rFonts w:eastAsia="Times New Roman"/>
              <w:sz w:val="24"/>
              <w:szCs w:val="24"/>
            </w:rPr>
            <w:t>Colo.</w:t>
          </w:r>
        </w:smartTag>
      </w:smartTag>
      <w:r w:rsidRPr="001134B3">
        <w:rPr>
          <w:rFonts w:eastAsia="Times New Roman"/>
          <w:sz w:val="24"/>
          <w:szCs w:val="24"/>
        </w:rPr>
        <w:t xml:space="preserve">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 xml:space="preserve">DUTY OF GOOD FAITH </w:t>
      </w:r>
      <w:smartTag w:uri="urn:schemas-microsoft-com:office:smarttags" w:element="stockticker">
        <w:r w:rsidRPr="001134B3">
          <w:rPr>
            <w:rFonts w:eastAsia="Times New Roman"/>
            <w:b/>
            <w:sz w:val="24"/>
            <w:szCs w:val="24"/>
          </w:rPr>
          <w:t>AND</w:t>
        </w:r>
      </w:smartTag>
      <w:r w:rsidRPr="001134B3">
        <w:rPr>
          <w:rFonts w:eastAsia="Times New Roman"/>
          <w:b/>
          <w:sz w:val="24"/>
          <w:szCs w:val="24"/>
        </w:rPr>
        <w:t xml:space="preserve">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in conjunction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uninsured motorist context, insurer still owes contractual and quasi-fiduciary duties to insured). Neither </w:t>
      </w:r>
      <w:r w:rsidRPr="001134B3">
        <w:rPr>
          <w:rFonts w:eastAsia="Times New Roman"/>
          <w:b/>
          <w:sz w:val="24"/>
          <w:szCs w:val="24"/>
        </w:rPr>
        <w:t>Brekke</w:t>
      </w:r>
      <w:r w:rsidRPr="001134B3">
        <w:rPr>
          <w:rFonts w:eastAsia="Times New Roman"/>
          <w:sz w:val="24"/>
          <w:szCs w:val="24"/>
        </w:rPr>
        <w:t xml:space="preserve"> nor </w:t>
      </w:r>
      <w:r w:rsidRPr="001134B3">
        <w:rPr>
          <w:rFonts w:eastAsia="Times New Roman"/>
          <w:b/>
          <w:sz w:val="24"/>
          <w:szCs w:val="24"/>
        </w:rPr>
        <w:t>Peterman</w:t>
      </w:r>
      <w:r w:rsidRPr="001134B3">
        <w:rPr>
          <w:rFonts w:eastAsia="Times New Roman"/>
          <w:sz w:val="24"/>
          <w:szCs w:val="24"/>
        </w:rPr>
        <w:t xml:space="preserve"> has been expressly overruled.</w:t>
      </w:r>
    </w:p>
    <w:p w14:paraId="04D060C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6. The insurer’s duty to act in good faith is not limited to the failure to provide policy benefits, but permeates the entire relationship between the insurer and insured. </w:t>
      </w:r>
      <w:r w:rsidRPr="001134B3">
        <w:rPr>
          <w:rFonts w:eastAsia="Times New Roman"/>
          <w:b/>
          <w:sz w:val="24"/>
          <w:szCs w:val="24"/>
        </w:rPr>
        <w:t>Ballow v. PHICO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875 P.2d 1354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232 P.3d 168 (Colo. App. 2009) (apparently assuming insurer’s failure to inform insured of certain characteristics of 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4CF2564B"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w:t>
      </w:r>
      <w:r w:rsidR="00167B70">
        <w:rPr>
          <w:sz w:val="24"/>
          <w:szCs w:val="24"/>
        </w:rPr>
        <w:t xml:space="preserve">¶ 17, </w:t>
      </w:r>
      <w:r w:rsidRPr="0000771A">
        <w:rPr>
          <w:sz w:val="24"/>
          <w:szCs w:val="24"/>
        </w:rPr>
        <w:t>383 P.3d 676.</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r w:rsidR="00167B70">
        <w:rPr>
          <w:sz w:val="24"/>
          <w:szCs w:val="24"/>
        </w:rPr>
        <w:t>, 431 P.3d 670</w:t>
      </w:r>
      <w:r w:rsidRPr="0000771A">
        <w:rPr>
          <w:sz w:val="24"/>
          <w:szCs w:val="24"/>
        </w:rPr>
        <w:t>.</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xml:space="preserve">, 2012 COA 86, ¶ 102;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77777777"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(his) (her) (its) benefits that were improperly (delayed) (denied). If you find in favor of the plaintiff on (his) (her) (its)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79DA8B5D"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10F87D8"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7939E7B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lastRenderedPageBreak/>
        <w:t xml:space="preserve">2. Until fees and costs awarded as statutory damages pursuant to section 10-3-1116(1) are reflected in a written order, judgment is not final for purposes of appeal. </w:t>
      </w:r>
      <w:r w:rsidRPr="00A038A6">
        <w:rPr>
          <w:rFonts w:eastAsia="Times New Roman"/>
          <w:b/>
          <w:sz w:val="24"/>
          <w:szCs w:val="24"/>
        </w:rPr>
        <w:t>Hall</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201, ¶ 21. </w:t>
      </w:r>
    </w:p>
    <w:p w14:paraId="3D7BC3A8"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Award of reasonable attorney fees under section 10-3-1116(1) is not limited by a contingent agreement between counsel and the insured, which is but one factor in trial court’s determination of reasonable fees. </w:t>
      </w:r>
      <w:r w:rsidRPr="00A038A6">
        <w:rPr>
          <w:rFonts w:eastAsia="Times New Roman"/>
          <w:b/>
          <w:sz w:val="24"/>
          <w:szCs w:val="24"/>
        </w:rPr>
        <w:t>Melssen v. Auto-Owners Ins. Co.</w:t>
      </w:r>
      <w:r w:rsidRPr="00A038A6">
        <w:rPr>
          <w:rFonts w:eastAsia="Times New Roman"/>
          <w:sz w:val="24"/>
          <w:szCs w:val="24"/>
        </w:rPr>
        <w:t>, 2012 COA 102, ¶ 70, 285 P.3d 328.</w:t>
      </w:r>
    </w:p>
    <w:p w14:paraId="500DCBE3"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4.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Pr="00A038A6">
        <w:rPr>
          <w:rFonts w:eastAsia="Times New Roman"/>
          <w:b/>
          <w:sz w:val="24"/>
          <w:szCs w:val="24"/>
        </w:rPr>
        <w:t>Nibert v. Geico Cas. Co.</w:t>
      </w:r>
      <w:r w:rsidRPr="00A038A6">
        <w:rPr>
          <w:rFonts w:eastAsia="Times New Roman"/>
          <w:sz w:val="24"/>
          <w:szCs w:val="24"/>
        </w:rPr>
        <w:t xml:space="preserve">, 2017 COA 23, ¶ 25. The statutory remedy creates an exception to the American Rule and authorizes “fees on fees” recovery because attorney fees are part of the damage calculation. </w:t>
      </w:r>
      <w:r w:rsidRPr="00A038A6">
        <w:rPr>
          <w:rFonts w:eastAsia="Times New Roman"/>
          <w:i/>
          <w:sz w:val="24"/>
          <w:szCs w:val="24"/>
        </w:rPr>
        <w:t>Id.</w:t>
      </w:r>
      <w:r w:rsidRPr="00A038A6">
        <w:rPr>
          <w:rFonts w:eastAsia="Times New Roman"/>
          <w:sz w:val="24"/>
          <w:szCs w:val="24"/>
        </w:rPr>
        <w:t xml:space="preserve"> at ¶ 32</w:t>
      </w:r>
      <w:r w:rsidR="00414C93">
        <w:rPr>
          <w:rFonts w:eastAsia="Times New Roman"/>
          <w:sz w:val="24"/>
          <w:szCs w:val="24"/>
        </w:rPr>
        <w:t>;</w:t>
      </w:r>
      <w:r w:rsidRPr="00A038A6">
        <w:rPr>
          <w:rFonts w:eastAsia="Times New Roman"/>
          <w:sz w:val="24"/>
          <w:szCs w:val="24"/>
        </w:rPr>
        <w:t xml:space="preserve"> </w:t>
      </w:r>
      <w:r w:rsidRPr="00A038A6">
        <w:rPr>
          <w:rFonts w:eastAsia="Times New Roman"/>
          <w:b/>
          <w:sz w:val="24"/>
          <w:szCs w:val="24"/>
        </w:rPr>
        <w:t>Stresscon Corp. v. Travelers Prop. Cas. Co. of Am.</w:t>
      </w:r>
      <w:r w:rsidRPr="00A038A6">
        <w:rPr>
          <w:rFonts w:eastAsia="Times New Roman"/>
          <w:sz w:val="24"/>
          <w:szCs w:val="24"/>
        </w:rPr>
        <w:t xml:space="preserve">, 2013 COA 131, ¶ 120, 373 P.3d 615, </w:t>
      </w:r>
      <w:r w:rsidRPr="00A038A6">
        <w:rPr>
          <w:rFonts w:eastAsia="Times New Roman"/>
          <w:i/>
          <w:sz w:val="24"/>
          <w:szCs w:val="24"/>
        </w:rPr>
        <w:t>rev’d on other grounds</w:t>
      </w:r>
      <w:r w:rsidRPr="00A038A6">
        <w:rPr>
          <w:rFonts w:eastAsia="Times New Roman"/>
          <w:sz w:val="24"/>
          <w:szCs w:val="24"/>
        </w:rPr>
        <w:t>, 2016 CO 22M, 370 P.3d 140.</w:t>
      </w:r>
    </w:p>
    <w:p w14:paraId="3C53A4B9" w14:textId="51069AED" w:rsidR="00A038A6" w:rsidRPr="00CC4F1D" w:rsidRDefault="00A038A6" w:rsidP="00A038A6">
      <w:pPr>
        <w:spacing w:after="240"/>
        <w:ind w:firstLine="720"/>
        <w:rPr>
          <w:rFonts w:eastAsia="Times New Roman"/>
          <w:sz w:val="24"/>
          <w:szCs w:val="24"/>
        </w:rPr>
      </w:pPr>
      <w:r w:rsidRPr="00CC4F1D">
        <w:rPr>
          <w:rFonts w:eastAsia="Times New Roman"/>
          <w:sz w:val="24"/>
          <w:szCs w:val="24"/>
        </w:rPr>
        <w:t xml:space="preserve">5.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2018 CO 43, ¶¶ 1, 25, 418 P.3d 1163</w:t>
      </w:r>
      <w:r w:rsidR="00231719">
        <w:rPr>
          <w:sz w:val="24"/>
          <w:szCs w:val="24"/>
        </w:rPr>
        <w:t>.</w:t>
      </w:r>
      <w:r w:rsidRPr="00CC4F1D">
        <w:rPr>
          <w:rFonts w:eastAsia="Times New Roman"/>
          <w:sz w:val="24"/>
          <w:szCs w:val="24"/>
        </w:rPr>
        <w:t xml:space="preserve"> </w:t>
      </w:r>
    </w:p>
    <w:p w14:paraId="6FE31E34" w14:textId="578FA00D" w:rsidR="00A038A6" w:rsidRPr="00A038A6" w:rsidRDefault="00A038A6" w:rsidP="00A038A6">
      <w:pPr>
        <w:spacing w:after="240"/>
        <w:ind w:firstLine="720"/>
        <w:rPr>
          <w:rFonts w:eastAsia="Times New Roman"/>
          <w:sz w:val="24"/>
          <w:szCs w:val="24"/>
        </w:rPr>
      </w:pPr>
      <w:r w:rsidRPr="00A038A6">
        <w:rPr>
          <w:rFonts w:eastAsia="Times New Roman"/>
          <w:sz w:val="24"/>
          <w:szCs w:val="24"/>
        </w:rPr>
        <w:t>6. Due to their shared elements,</w:t>
      </w:r>
      <w:r w:rsidRPr="00A038A6" w:rsidDel="004051A7">
        <w:rPr>
          <w:rFonts w:eastAsia="Times New Roman"/>
          <w:sz w:val="24"/>
          <w:szCs w:val="24"/>
        </w:rPr>
        <w:t xml:space="preserve"> </w:t>
      </w:r>
      <w:r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Pr="00A038A6">
        <w:rPr>
          <w:rFonts w:eastAsia="Times New Roman"/>
          <w:sz w:val="24"/>
          <w:szCs w:val="24"/>
        </w:rPr>
        <w:t xml:space="preserve">reasonable attorney fees without limiting them to work performed on the statutory claim. </w:t>
      </w:r>
      <w:r w:rsidRPr="00A038A6">
        <w:rPr>
          <w:rFonts w:eastAsia="Times New Roman"/>
          <w:i/>
          <w:sz w:val="24"/>
          <w:szCs w:val="24"/>
        </w:rPr>
        <w:t>Id.</w:t>
      </w:r>
      <w:r w:rsidRPr="00A038A6">
        <w:rPr>
          <w:rFonts w:eastAsia="Times New Roman"/>
          <w:sz w:val="24"/>
          <w:szCs w:val="24"/>
        </w:rPr>
        <w:t xml:space="preserve"> at ¶¶ 33, 37 (citing </w:t>
      </w:r>
      <w:r w:rsidRPr="00A038A6">
        <w:rPr>
          <w:rFonts w:eastAsia="Times New Roman"/>
          <w:b/>
          <w:sz w:val="24"/>
          <w:szCs w:val="24"/>
        </w:rPr>
        <w:t>Fisher v. State Farm Mut. Auto. Ins. Co.</w:t>
      </w:r>
      <w:r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Pr="00BA77D6">
        <w:rPr>
          <w:rFonts w:eastAsia="Times New Roman"/>
          <w:i/>
          <w:sz w:val="24"/>
          <w:szCs w:val="24"/>
        </w:rPr>
        <w:t>ee also</w:t>
      </w:r>
      <w:r w:rsidRPr="00BA77D6">
        <w:rPr>
          <w:rFonts w:eastAsia="Times New Roman"/>
          <w:sz w:val="24"/>
          <w:szCs w:val="24"/>
        </w:rPr>
        <w:t xml:space="preserve"> </w:t>
      </w:r>
      <w:r w:rsidR="00CB13C1" w:rsidRPr="00CB13C1">
        <w:rPr>
          <w:rFonts w:eastAsia="Times New Roman"/>
          <w:b/>
          <w:sz w:val="24"/>
          <w:szCs w:val="24"/>
        </w:rPr>
        <w:t xml:space="preserve">Estate of </w:t>
      </w:r>
      <w:r w:rsidRPr="00BA77D6">
        <w:rPr>
          <w:rFonts w:eastAsia="Times New Roman"/>
          <w:b/>
          <w:sz w:val="24"/>
          <w:szCs w:val="24"/>
        </w:rPr>
        <w:t>Casper v. Guar. Tr. Life Ins. Co.</w:t>
      </w:r>
      <w:r w:rsidRPr="00BA77D6">
        <w:rPr>
          <w:rFonts w:eastAsia="Times New Roman"/>
          <w:sz w:val="24"/>
          <w:szCs w:val="24"/>
        </w:rPr>
        <w:t>, 2016 COA 167, ¶ 81</w:t>
      </w:r>
      <w:r w:rsidR="00211BAE">
        <w:rPr>
          <w:rFonts w:eastAsia="Times New Roman"/>
          <w:sz w:val="24"/>
          <w:szCs w:val="24"/>
        </w:rPr>
        <w:t>, 421 P.3d 1184</w:t>
      </w:r>
      <w:r w:rsidRPr="00BA77D6">
        <w:rPr>
          <w:rFonts w:eastAsia="Times New Roman"/>
          <w:sz w:val="24"/>
          <w:szCs w:val="24"/>
        </w:rPr>
        <w:t xml:space="preserve">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Pr="00BA77D6">
        <w:rPr>
          <w:rFonts w:eastAsia="Times New Roman"/>
          <w:sz w:val="24"/>
          <w:szCs w:val="24"/>
        </w:rPr>
        <w:t>.</w:t>
      </w:r>
    </w:p>
    <w:p w14:paraId="770A984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7. Attorney fees and costs incurred in successfully defending appeal of the statutory award are also recoverable. </w:t>
      </w:r>
      <w:r w:rsidRPr="00A038A6">
        <w:rPr>
          <w:rFonts w:eastAsia="Times New Roman"/>
          <w:b/>
          <w:sz w:val="24"/>
          <w:szCs w:val="24"/>
        </w:rPr>
        <w:t>Nibert</w:t>
      </w:r>
      <w:r w:rsidRPr="00A038A6">
        <w:rPr>
          <w:rFonts w:eastAsia="Times New Roman"/>
          <w:sz w:val="24"/>
          <w:szCs w:val="24"/>
        </w:rPr>
        <w:t>, 2017 COA 23, ¶</w:t>
      </w:r>
      <w:r w:rsidR="00157C2C">
        <w:rPr>
          <w:rFonts w:eastAsia="Times New Roman"/>
          <w:sz w:val="24"/>
          <w:szCs w:val="24"/>
        </w:rPr>
        <w:t xml:space="preserve"> </w:t>
      </w:r>
      <w:r w:rsidRPr="00A038A6">
        <w:rPr>
          <w:rFonts w:eastAsia="Times New Roman"/>
          <w:sz w:val="24"/>
          <w:szCs w:val="24"/>
        </w:rPr>
        <w:t xml:space="preserve">38; </w:t>
      </w:r>
      <w:r w:rsidRPr="00A038A6">
        <w:rPr>
          <w:rFonts w:eastAsia="Times New Roman"/>
          <w:b/>
          <w:sz w:val="24"/>
          <w:szCs w:val="24"/>
        </w:rPr>
        <w:t>Stresscon Corp.</w:t>
      </w:r>
      <w:r w:rsidRPr="00A038A6">
        <w:rPr>
          <w:rFonts w:eastAsia="Times New Roman"/>
          <w:sz w:val="24"/>
          <w:szCs w:val="24"/>
        </w:rPr>
        <w:t xml:space="preserve">, 2013 COA 131, ¶ 136 (allowing recovery of fees and costs incurred on appeal when party was awarded fees and costs in a prior stage of the proceedings) (citing </w:t>
      </w:r>
      <w:r w:rsidRPr="00A038A6">
        <w:rPr>
          <w:rFonts w:eastAsia="Times New Roman"/>
          <w:b/>
          <w:sz w:val="24"/>
          <w:szCs w:val="24"/>
        </w:rPr>
        <w:t>Melssen</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102, ¶ 75; </w:t>
      </w:r>
      <w:r w:rsidRPr="00A038A6">
        <w:rPr>
          <w:rFonts w:eastAsia="Times New Roman"/>
          <w:b/>
          <w:sz w:val="24"/>
          <w:szCs w:val="24"/>
        </w:rPr>
        <w:t>Kennedy v. King Soopers Inc.</w:t>
      </w:r>
      <w:r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2. Abs</w:t>
      </w:r>
      <w:smartTag w:uri="urn:schemas-microsoft-com:office:smarttags" w:element="PersonName">
        <w:r w:rsidRPr="00370240">
          <w:rPr>
            <w:rFonts w:eastAsia="Times New Roman"/>
            <w:sz w:val="24"/>
            <w:szCs w:val="24"/>
          </w:rPr>
          <w:t>e</w:t>
        </w:r>
      </w:smartTag>
      <w:r w:rsidRPr="00370240">
        <w:rPr>
          <w:rFonts w:eastAsia="Times New Roman"/>
          <w:sz w:val="24"/>
          <w:szCs w:val="24"/>
        </w:rPr>
        <w:t>nt proof of actual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flowing from an insur</w:t>
      </w:r>
      <w:smartTag w:uri="urn:schemas-microsoft-com:office:smarttags" w:element="PersonName">
        <w:r w:rsidRPr="00370240">
          <w:rPr>
            <w:rFonts w:eastAsia="Times New Roman"/>
            <w:sz w:val="24"/>
            <w:szCs w:val="24"/>
          </w:rPr>
          <w:t>e</w:t>
        </w:r>
      </w:smartTag>
      <w:r w:rsidRPr="00370240">
        <w:rPr>
          <w:rFonts w:eastAsia="Times New Roman"/>
          <w:sz w:val="24"/>
          <w:szCs w:val="24"/>
        </w:rPr>
        <w:t>r’s bad faith br</w:t>
      </w:r>
      <w:smartTag w:uri="urn:schemas-microsoft-com:office:smarttags" w:element="PersonName">
        <w:r w:rsidRPr="00370240">
          <w:rPr>
            <w:rFonts w:eastAsia="Times New Roman"/>
            <w:sz w:val="24"/>
            <w:szCs w:val="24"/>
          </w:rPr>
          <w:t>e</w:t>
        </w:r>
      </w:smartTag>
      <w:r w:rsidRPr="00370240">
        <w:rPr>
          <w:rFonts w:eastAsia="Times New Roman"/>
          <w:sz w:val="24"/>
          <w:szCs w:val="24"/>
        </w:rPr>
        <w:t>ach of insuranc</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contract, th</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plaintiff is not </w:t>
      </w:r>
      <w:smartTag w:uri="urn:schemas-microsoft-com:office:smarttags" w:element="PersonName">
        <w:r w:rsidRPr="00370240">
          <w:rPr>
            <w:rFonts w:eastAsia="Times New Roman"/>
            <w:sz w:val="24"/>
            <w:szCs w:val="24"/>
          </w:rPr>
          <w:t>e</w:t>
        </w:r>
      </w:smartTag>
      <w:r w:rsidRPr="00370240">
        <w:rPr>
          <w:rFonts w:eastAsia="Times New Roman"/>
          <w:sz w:val="24"/>
          <w:szCs w:val="24"/>
        </w:rPr>
        <w:t>ntitled to punitiv</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as a matt</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r of law. </w:t>
      </w:r>
      <w:r w:rsidRPr="00370240">
        <w:rPr>
          <w:rFonts w:eastAsia="Times New Roman"/>
          <w:b/>
          <w:sz w:val="24"/>
          <w:szCs w:val="24"/>
        </w:rPr>
        <w:t xml:space="preserve">City of </w:t>
      </w:r>
      <w:smartTag w:uri="urn:schemas-microsoft-com:office:smarttags" w:element="City">
        <w:r w:rsidRPr="00370240">
          <w:rPr>
            <w:rFonts w:eastAsia="Times New Roman"/>
            <w:b/>
            <w:sz w:val="24"/>
            <w:szCs w:val="24"/>
          </w:rPr>
          <w:t>W</w:t>
        </w:r>
        <w:smartTag w:uri="urn:schemas-microsoft-com:office:smarttags" w:element="PersonName">
          <w:r w:rsidRPr="00370240">
            <w:rPr>
              <w:rFonts w:eastAsia="Times New Roman"/>
              <w:b/>
              <w:sz w:val="24"/>
              <w:szCs w:val="24"/>
            </w:rPr>
            <w:t>e</w:t>
          </w:r>
        </w:smartTag>
        <w:r w:rsidRPr="00370240">
          <w:rPr>
            <w:rFonts w:eastAsia="Times New Roman"/>
            <w:b/>
            <w:sz w:val="24"/>
            <w:szCs w:val="24"/>
          </w:rPr>
          <w:t>stminst</w:t>
        </w:r>
        <w:smartTag w:uri="urn:schemas-microsoft-com:office:smarttags" w:element="PersonName">
          <w:r w:rsidRPr="00370240">
            <w:rPr>
              <w:rFonts w:eastAsia="Times New Roman"/>
              <w:b/>
              <w:sz w:val="24"/>
              <w:szCs w:val="24"/>
            </w:rPr>
            <w:t>e</w:t>
          </w:r>
        </w:smartTag>
        <w:r w:rsidRPr="00370240">
          <w:rPr>
            <w:rFonts w:eastAsia="Times New Roman"/>
            <w:b/>
            <w:sz w:val="24"/>
            <w:szCs w:val="24"/>
          </w:rPr>
          <w:t>r</w:t>
        </w:r>
      </w:smartTag>
      <w:r w:rsidRPr="00370240">
        <w:rPr>
          <w:rFonts w:eastAsia="Times New Roman"/>
          <w:b/>
          <w:sz w:val="24"/>
          <w:szCs w:val="24"/>
        </w:rPr>
        <w:t xml:space="preserve"> v. C</w:t>
      </w:r>
      <w:smartTag w:uri="urn:schemas-microsoft-com:office:smarttags" w:element="PersonName">
        <w:r w:rsidRPr="00370240">
          <w:rPr>
            <w:rFonts w:eastAsia="Times New Roman"/>
            <w:b/>
            <w:sz w:val="24"/>
            <w:szCs w:val="24"/>
          </w:rPr>
          <w:t>e</w:t>
        </w:r>
      </w:smartTag>
      <w:r w:rsidRPr="00370240">
        <w:rPr>
          <w:rFonts w:eastAsia="Times New Roman"/>
          <w:b/>
          <w:sz w:val="24"/>
          <w:szCs w:val="24"/>
        </w:rPr>
        <w:t>ntric-Jon</w:t>
      </w:r>
      <w:smartTag w:uri="urn:schemas-microsoft-com:office:smarttags" w:element="PersonName">
        <w:r w:rsidRPr="00370240">
          <w:rPr>
            <w:rFonts w:eastAsia="Times New Roman"/>
            <w:b/>
            <w:sz w:val="24"/>
            <w:szCs w:val="24"/>
          </w:rPr>
          <w:t>e</w:t>
        </w:r>
      </w:smartTag>
      <w:r w:rsidRPr="00370240">
        <w:rPr>
          <w:rFonts w:eastAsia="Times New Roman"/>
          <w:b/>
          <w:sz w:val="24"/>
          <w:szCs w:val="24"/>
        </w:rPr>
        <w:t>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4. The statutory language regarding enhancement of punitive damages, § 13-21-102(3), is permissive rather than mandatory and the trial court is entrusted with sound discretion in </w:t>
      </w:r>
      <w:r w:rsidRPr="00370240">
        <w:rPr>
          <w:rFonts w:eastAsia="Times New Roman"/>
          <w:sz w:val="24"/>
          <w:szCs w:val="24"/>
        </w:rPr>
        <w:lastRenderedPageBreak/>
        <w:t>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49C4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49C462" w16cid:durableId="257840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B047" w14:textId="77777777" w:rsidR="004C6127" w:rsidRDefault="004C6127" w:rsidP="0054263B">
      <w:r>
        <w:separator/>
      </w:r>
    </w:p>
    <w:p w14:paraId="20D9708E" w14:textId="77777777" w:rsidR="004C6127" w:rsidRDefault="004C6127"/>
  </w:endnote>
  <w:endnote w:type="continuationSeparator" w:id="0">
    <w:p w14:paraId="69145CCE" w14:textId="77777777" w:rsidR="004C6127" w:rsidRDefault="004C6127" w:rsidP="0054263B">
      <w:r>
        <w:continuationSeparator/>
      </w:r>
    </w:p>
    <w:p w14:paraId="4D3927AC" w14:textId="77777777" w:rsidR="004C6127" w:rsidRDefault="004C6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7194C38" w14:textId="77777777" w:rsidR="00211BAE" w:rsidRDefault="00211BAE">
        <w:pPr>
          <w:pStyle w:val="Footer"/>
          <w:jc w:val="center"/>
        </w:pPr>
        <w:r>
          <w:fldChar w:fldCharType="begin"/>
        </w:r>
        <w:r>
          <w:instrText xml:space="preserve"> PAGE   \* MERGEFORMAT </w:instrText>
        </w:r>
        <w:r>
          <w:fldChar w:fldCharType="separate"/>
        </w:r>
        <w:r w:rsidR="00657576">
          <w:rPr>
            <w:noProof/>
          </w:rPr>
          <w:t>6</w:t>
        </w:r>
        <w:r>
          <w:rPr>
            <w:noProof/>
          </w:rPr>
          <w:fldChar w:fldCharType="end"/>
        </w:r>
      </w:p>
    </w:sdtContent>
  </w:sdt>
  <w:p w14:paraId="508DF575" w14:textId="77777777" w:rsidR="00211BAE" w:rsidRDefault="00211BAE">
    <w:pPr>
      <w:pStyle w:val="Footer"/>
    </w:pPr>
  </w:p>
  <w:p w14:paraId="710E5FAB" w14:textId="77777777" w:rsidR="00211BAE" w:rsidRDefault="00211B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CE364" w14:textId="77777777" w:rsidR="004C6127" w:rsidRDefault="004C6127" w:rsidP="0054263B">
      <w:r>
        <w:separator/>
      </w:r>
    </w:p>
    <w:p w14:paraId="289C6406" w14:textId="77777777" w:rsidR="004C6127" w:rsidRDefault="004C6127"/>
  </w:footnote>
  <w:footnote w:type="continuationSeparator" w:id="0">
    <w:p w14:paraId="697F0B49" w14:textId="77777777" w:rsidR="004C6127" w:rsidRDefault="004C6127" w:rsidP="0054263B">
      <w:r>
        <w:continuationSeparator/>
      </w:r>
    </w:p>
    <w:p w14:paraId="49E0E349" w14:textId="77777777" w:rsidR="004C6127" w:rsidRDefault="004C61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0771A"/>
    <w:rsid w:val="00010330"/>
    <w:rsid w:val="00016353"/>
    <w:rsid w:val="00020CF1"/>
    <w:rsid w:val="000336A6"/>
    <w:rsid w:val="00037111"/>
    <w:rsid w:val="00040249"/>
    <w:rsid w:val="00041768"/>
    <w:rsid w:val="00043B25"/>
    <w:rsid w:val="0006367C"/>
    <w:rsid w:val="0007116C"/>
    <w:rsid w:val="00074558"/>
    <w:rsid w:val="000823BC"/>
    <w:rsid w:val="000824C8"/>
    <w:rsid w:val="00085495"/>
    <w:rsid w:val="000921F1"/>
    <w:rsid w:val="0009462F"/>
    <w:rsid w:val="000962C8"/>
    <w:rsid w:val="000A040F"/>
    <w:rsid w:val="000A62E6"/>
    <w:rsid w:val="000B1B7A"/>
    <w:rsid w:val="000C204E"/>
    <w:rsid w:val="000C503A"/>
    <w:rsid w:val="000C6F97"/>
    <w:rsid w:val="000D4856"/>
    <w:rsid w:val="000E0805"/>
    <w:rsid w:val="000E55ED"/>
    <w:rsid w:val="000F205C"/>
    <w:rsid w:val="001007E7"/>
    <w:rsid w:val="00100D6D"/>
    <w:rsid w:val="00101A07"/>
    <w:rsid w:val="0010273B"/>
    <w:rsid w:val="00107079"/>
    <w:rsid w:val="001117D9"/>
    <w:rsid w:val="00112C8E"/>
    <w:rsid w:val="00112FF9"/>
    <w:rsid w:val="001134B3"/>
    <w:rsid w:val="00116A3D"/>
    <w:rsid w:val="00125209"/>
    <w:rsid w:val="0012548C"/>
    <w:rsid w:val="00126B7A"/>
    <w:rsid w:val="001300D4"/>
    <w:rsid w:val="001303C5"/>
    <w:rsid w:val="0013740F"/>
    <w:rsid w:val="00143A15"/>
    <w:rsid w:val="00144917"/>
    <w:rsid w:val="001512B3"/>
    <w:rsid w:val="00157C2C"/>
    <w:rsid w:val="001608FF"/>
    <w:rsid w:val="001671A9"/>
    <w:rsid w:val="00167B70"/>
    <w:rsid w:val="00171705"/>
    <w:rsid w:val="001723F9"/>
    <w:rsid w:val="00172674"/>
    <w:rsid w:val="00174BB5"/>
    <w:rsid w:val="0018388B"/>
    <w:rsid w:val="00184D62"/>
    <w:rsid w:val="001903CB"/>
    <w:rsid w:val="001913B1"/>
    <w:rsid w:val="00191498"/>
    <w:rsid w:val="00191C86"/>
    <w:rsid w:val="00195972"/>
    <w:rsid w:val="001A2648"/>
    <w:rsid w:val="001A311C"/>
    <w:rsid w:val="001A688B"/>
    <w:rsid w:val="001B757B"/>
    <w:rsid w:val="001D31A6"/>
    <w:rsid w:val="001D703D"/>
    <w:rsid w:val="001E0F3B"/>
    <w:rsid w:val="001E1DB5"/>
    <w:rsid w:val="001F0193"/>
    <w:rsid w:val="00200BA5"/>
    <w:rsid w:val="00202B81"/>
    <w:rsid w:val="0020511A"/>
    <w:rsid w:val="002065D8"/>
    <w:rsid w:val="0021015B"/>
    <w:rsid w:val="00211BAE"/>
    <w:rsid w:val="0021368F"/>
    <w:rsid w:val="0021730E"/>
    <w:rsid w:val="00217435"/>
    <w:rsid w:val="0022134E"/>
    <w:rsid w:val="00223286"/>
    <w:rsid w:val="00227D3A"/>
    <w:rsid w:val="00231719"/>
    <w:rsid w:val="00231BC4"/>
    <w:rsid w:val="00232C53"/>
    <w:rsid w:val="0024003A"/>
    <w:rsid w:val="0024062B"/>
    <w:rsid w:val="002455E4"/>
    <w:rsid w:val="0024568D"/>
    <w:rsid w:val="0024597C"/>
    <w:rsid w:val="00245F75"/>
    <w:rsid w:val="00254258"/>
    <w:rsid w:val="002547C3"/>
    <w:rsid w:val="00256367"/>
    <w:rsid w:val="00256DA4"/>
    <w:rsid w:val="00260EDB"/>
    <w:rsid w:val="0026314C"/>
    <w:rsid w:val="00263CBD"/>
    <w:rsid w:val="002654B4"/>
    <w:rsid w:val="00267805"/>
    <w:rsid w:val="00273777"/>
    <w:rsid w:val="0027486C"/>
    <w:rsid w:val="00283A61"/>
    <w:rsid w:val="00285E45"/>
    <w:rsid w:val="00290935"/>
    <w:rsid w:val="00293941"/>
    <w:rsid w:val="00293F7E"/>
    <w:rsid w:val="002A23B0"/>
    <w:rsid w:val="002A6EC7"/>
    <w:rsid w:val="002B5FCF"/>
    <w:rsid w:val="002D0987"/>
    <w:rsid w:val="002D163D"/>
    <w:rsid w:val="002D239C"/>
    <w:rsid w:val="002E0970"/>
    <w:rsid w:val="002E562A"/>
    <w:rsid w:val="002E5708"/>
    <w:rsid w:val="002F0E75"/>
    <w:rsid w:val="002F48D6"/>
    <w:rsid w:val="00303A7D"/>
    <w:rsid w:val="00304398"/>
    <w:rsid w:val="00305CB3"/>
    <w:rsid w:val="00305D08"/>
    <w:rsid w:val="00316D33"/>
    <w:rsid w:val="00320613"/>
    <w:rsid w:val="0032367C"/>
    <w:rsid w:val="003247EA"/>
    <w:rsid w:val="003259EE"/>
    <w:rsid w:val="003332F4"/>
    <w:rsid w:val="00333886"/>
    <w:rsid w:val="00335934"/>
    <w:rsid w:val="00336CE4"/>
    <w:rsid w:val="00345533"/>
    <w:rsid w:val="00351136"/>
    <w:rsid w:val="00352111"/>
    <w:rsid w:val="00352433"/>
    <w:rsid w:val="00352696"/>
    <w:rsid w:val="00353044"/>
    <w:rsid w:val="003613FE"/>
    <w:rsid w:val="00370240"/>
    <w:rsid w:val="00382177"/>
    <w:rsid w:val="003837B6"/>
    <w:rsid w:val="00392F02"/>
    <w:rsid w:val="003937B8"/>
    <w:rsid w:val="003A2F1C"/>
    <w:rsid w:val="003A5A75"/>
    <w:rsid w:val="003B5ABE"/>
    <w:rsid w:val="003B72A9"/>
    <w:rsid w:val="003D027F"/>
    <w:rsid w:val="003D07E0"/>
    <w:rsid w:val="003D1B54"/>
    <w:rsid w:val="003D1CAB"/>
    <w:rsid w:val="003D370E"/>
    <w:rsid w:val="003E472A"/>
    <w:rsid w:val="003E5B38"/>
    <w:rsid w:val="003E604A"/>
    <w:rsid w:val="003F108C"/>
    <w:rsid w:val="003F6E89"/>
    <w:rsid w:val="004001BC"/>
    <w:rsid w:val="00407AAB"/>
    <w:rsid w:val="00414C93"/>
    <w:rsid w:val="00434371"/>
    <w:rsid w:val="00434650"/>
    <w:rsid w:val="004425AA"/>
    <w:rsid w:val="00456038"/>
    <w:rsid w:val="00456B2B"/>
    <w:rsid w:val="00467B80"/>
    <w:rsid w:val="0047120C"/>
    <w:rsid w:val="00471618"/>
    <w:rsid w:val="0047374D"/>
    <w:rsid w:val="00473B65"/>
    <w:rsid w:val="00474B1B"/>
    <w:rsid w:val="0048541F"/>
    <w:rsid w:val="004913D8"/>
    <w:rsid w:val="0049313F"/>
    <w:rsid w:val="00496096"/>
    <w:rsid w:val="004A1210"/>
    <w:rsid w:val="004A32E6"/>
    <w:rsid w:val="004B14B9"/>
    <w:rsid w:val="004B753E"/>
    <w:rsid w:val="004C1A04"/>
    <w:rsid w:val="004C6127"/>
    <w:rsid w:val="004C62F9"/>
    <w:rsid w:val="004C723A"/>
    <w:rsid w:val="004D2C99"/>
    <w:rsid w:val="004E0408"/>
    <w:rsid w:val="004E48BD"/>
    <w:rsid w:val="004E7EF1"/>
    <w:rsid w:val="004F003D"/>
    <w:rsid w:val="00502D97"/>
    <w:rsid w:val="005065E6"/>
    <w:rsid w:val="0051065F"/>
    <w:rsid w:val="0051385E"/>
    <w:rsid w:val="00516447"/>
    <w:rsid w:val="0052537F"/>
    <w:rsid w:val="00525BBA"/>
    <w:rsid w:val="0052608C"/>
    <w:rsid w:val="00527A18"/>
    <w:rsid w:val="00531F87"/>
    <w:rsid w:val="0053544D"/>
    <w:rsid w:val="0054263B"/>
    <w:rsid w:val="00544A0C"/>
    <w:rsid w:val="00547D97"/>
    <w:rsid w:val="00550AFD"/>
    <w:rsid w:val="00557FCC"/>
    <w:rsid w:val="005648EF"/>
    <w:rsid w:val="0057771F"/>
    <w:rsid w:val="00591E27"/>
    <w:rsid w:val="005949EE"/>
    <w:rsid w:val="005A22A6"/>
    <w:rsid w:val="005A3434"/>
    <w:rsid w:val="005B27FE"/>
    <w:rsid w:val="005B3A78"/>
    <w:rsid w:val="005C0F3A"/>
    <w:rsid w:val="005C56C9"/>
    <w:rsid w:val="005C5CCB"/>
    <w:rsid w:val="005D1AD3"/>
    <w:rsid w:val="005D3156"/>
    <w:rsid w:val="005D3F30"/>
    <w:rsid w:val="005D522C"/>
    <w:rsid w:val="005E5B14"/>
    <w:rsid w:val="005E712D"/>
    <w:rsid w:val="005F1017"/>
    <w:rsid w:val="005F145C"/>
    <w:rsid w:val="005F19FD"/>
    <w:rsid w:val="005F5A94"/>
    <w:rsid w:val="005F5E0C"/>
    <w:rsid w:val="00604F03"/>
    <w:rsid w:val="006053F6"/>
    <w:rsid w:val="006229FE"/>
    <w:rsid w:val="006272FE"/>
    <w:rsid w:val="00631BFF"/>
    <w:rsid w:val="00635F37"/>
    <w:rsid w:val="00642649"/>
    <w:rsid w:val="00647CC5"/>
    <w:rsid w:val="00651A64"/>
    <w:rsid w:val="00657576"/>
    <w:rsid w:val="006601C5"/>
    <w:rsid w:val="0066100E"/>
    <w:rsid w:val="00661D05"/>
    <w:rsid w:val="006646FE"/>
    <w:rsid w:val="00673F33"/>
    <w:rsid w:val="00675252"/>
    <w:rsid w:val="00682B93"/>
    <w:rsid w:val="0068336D"/>
    <w:rsid w:val="00683FA1"/>
    <w:rsid w:val="00685E76"/>
    <w:rsid w:val="00687304"/>
    <w:rsid w:val="0069494D"/>
    <w:rsid w:val="00697DF2"/>
    <w:rsid w:val="006A47FD"/>
    <w:rsid w:val="006A74B6"/>
    <w:rsid w:val="006A7F32"/>
    <w:rsid w:val="006B2457"/>
    <w:rsid w:val="006B26D7"/>
    <w:rsid w:val="006D00EC"/>
    <w:rsid w:val="006D531A"/>
    <w:rsid w:val="006E0D06"/>
    <w:rsid w:val="006E3575"/>
    <w:rsid w:val="006E62F0"/>
    <w:rsid w:val="006F0772"/>
    <w:rsid w:val="006F7581"/>
    <w:rsid w:val="006F7DC0"/>
    <w:rsid w:val="00702B5A"/>
    <w:rsid w:val="0070752A"/>
    <w:rsid w:val="007119D8"/>
    <w:rsid w:val="0071225B"/>
    <w:rsid w:val="00712E33"/>
    <w:rsid w:val="00713866"/>
    <w:rsid w:val="007216DA"/>
    <w:rsid w:val="00724230"/>
    <w:rsid w:val="00726E21"/>
    <w:rsid w:val="0073147A"/>
    <w:rsid w:val="007340B5"/>
    <w:rsid w:val="007532AB"/>
    <w:rsid w:val="00764553"/>
    <w:rsid w:val="007655D6"/>
    <w:rsid w:val="0076649E"/>
    <w:rsid w:val="00766F81"/>
    <w:rsid w:val="00770FFC"/>
    <w:rsid w:val="00787065"/>
    <w:rsid w:val="00792028"/>
    <w:rsid w:val="007A3A0E"/>
    <w:rsid w:val="007A56C2"/>
    <w:rsid w:val="007A612E"/>
    <w:rsid w:val="007B1633"/>
    <w:rsid w:val="007B35B5"/>
    <w:rsid w:val="007C42D5"/>
    <w:rsid w:val="007C4B23"/>
    <w:rsid w:val="007D168F"/>
    <w:rsid w:val="007D198E"/>
    <w:rsid w:val="007D2BCE"/>
    <w:rsid w:val="007D39CC"/>
    <w:rsid w:val="007E1675"/>
    <w:rsid w:val="007E515A"/>
    <w:rsid w:val="007F40A8"/>
    <w:rsid w:val="007F5724"/>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B38"/>
    <w:rsid w:val="00875064"/>
    <w:rsid w:val="00876A05"/>
    <w:rsid w:val="008812A8"/>
    <w:rsid w:val="00881431"/>
    <w:rsid w:val="008859AF"/>
    <w:rsid w:val="00895065"/>
    <w:rsid w:val="008A1099"/>
    <w:rsid w:val="008A2986"/>
    <w:rsid w:val="008A475A"/>
    <w:rsid w:val="008A6339"/>
    <w:rsid w:val="008A637B"/>
    <w:rsid w:val="008A7B7E"/>
    <w:rsid w:val="008B0311"/>
    <w:rsid w:val="008B1617"/>
    <w:rsid w:val="008B5E97"/>
    <w:rsid w:val="008B7480"/>
    <w:rsid w:val="008C1739"/>
    <w:rsid w:val="008C2E7B"/>
    <w:rsid w:val="008C5423"/>
    <w:rsid w:val="008D2D56"/>
    <w:rsid w:val="008D4A28"/>
    <w:rsid w:val="008D609F"/>
    <w:rsid w:val="008D7ECC"/>
    <w:rsid w:val="008E41F1"/>
    <w:rsid w:val="008E51AF"/>
    <w:rsid w:val="008F19CE"/>
    <w:rsid w:val="008F3035"/>
    <w:rsid w:val="008F4C42"/>
    <w:rsid w:val="008F746C"/>
    <w:rsid w:val="009007E8"/>
    <w:rsid w:val="009022AA"/>
    <w:rsid w:val="0090292A"/>
    <w:rsid w:val="00902A25"/>
    <w:rsid w:val="00904756"/>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C5532"/>
    <w:rsid w:val="009D035C"/>
    <w:rsid w:val="009D4ADE"/>
    <w:rsid w:val="009D7335"/>
    <w:rsid w:val="009E20C7"/>
    <w:rsid w:val="009E3DA4"/>
    <w:rsid w:val="009E5868"/>
    <w:rsid w:val="009E5CC5"/>
    <w:rsid w:val="009E7644"/>
    <w:rsid w:val="009F1548"/>
    <w:rsid w:val="009F581C"/>
    <w:rsid w:val="00A005E6"/>
    <w:rsid w:val="00A038A6"/>
    <w:rsid w:val="00A05528"/>
    <w:rsid w:val="00A06ED6"/>
    <w:rsid w:val="00A10F3D"/>
    <w:rsid w:val="00A110C7"/>
    <w:rsid w:val="00A36457"/>
    <w:rsid w:val="00A50F20"/>
    <w:rsid w:val="00A54915"/>
    <w:rsid w:val="00A5610D"/>
    <w:rsid w:val="00A632A0"/>
    <w:rsid w:val="00A677E8"/>
    <w:rsid w:val="00A73AE6"/>
    <w:rsid w:val="00A76341"/>
    <w:rsid w:val="00A80C10"/>
    <w:rsid w:val="00A82D0A"/>
    <w:rsid w:val="00A85AAA"/>
    <w:rsid w:val="00A85E65"/>
    <w:rsid w:val="00A9205E"/>
    <w:rsid w:val="00A92C18"/>
    <w:rsid w:val="00AB1D6F"/>
    <w:rsid w:val="00AB2019"/>
    <w:rsid w:val="00AB2B06"/>
    <w:rsid w:val="00AB6B20"/>
    <w:rsid w:val="00AB71A7"/>
    <w:rsid w:val="00AC78F7"/>
    <w:rsid w:val="00AD4B56"/>
    <w:rsid w:val="00AD61CD"/>
    <w:rsid w:val="00AF40E1"/>
    <w:rsid w:val="00AF607B"/>
    <w:rsid w:val="00AF7D47"/>
    <w:rsid w:val="00B0264D"/>
    <w:rsid w:val="00B17183"/>
    <w:rsid w:val="00B258AA"/>
    <w:rsid w:val="00B27C62"/>
    <w:rsid w:val="00B338E2"/>
    <w:rsid w:val="00B35185"/>
    <w:rsid w:val="00B37722"/>
    <w:rsid w:val="00B51B95"/>
    <w:rsid w:val="00B567C1"/>
    <w:rsid w:val="00B579DF"/>
    <w:rsid w:val="00B57DEA"/>
    <w:rsid w:val="00B6275E"/>
    <w:rsid w:val="00B649E0"/>
    <w:rsid w:val="00B70D68"/>
    <w:rsid w:val="00B719C2"/>
    <w:rsid w:val="00B72D6B"/>
    <w:rsid w:val="00B80472"/>
    <w:rsid w:val="00B80FD1"/>
    <w:rsid w:val="00B8438E"/>
    <w:rsid w:val="00B87A88"/>
    <w:rsid w:val="00B937E4"/>
    <w:rsid w:val="00B97801"/>
    <w:rsid w:val="00BA2389"/>
    <w:rsid w:val="00BA27A8"/>
    <w:rsid w:val="00BA510E"/>
    <w:rsid w:val="00BA77D6"/>
    <w:rsid w:val="00BB344E"/>
    <w:rsid w:val="00BB436B"/>
    <w:rsid w:val="00BB585D"/>
    <w:rsid w:val="00BC49BF"/>
    <w:rsid w:val="00BC60AE"/>
    <w:rsid w:val="00BC65EF"/>
    <w:rsid w:val="00BC789A"/>
    <w:rsid w:val="00BE2B09"/>
    <w:rsid w:val="00BE654D"/>
    <w:rsid w:val="00BE6634"/>
    <w:rsid w:val="00BF5DF3"/>
    <w:rsid w:val="00C059C1"/>
    <w:rsid w:val="00C161A1"/>
    <w:rsid w:val="00C21D93"/>
    <w:rsid w:val="00C225C9"/>
    <w:rsid w:val="00C26751"/>
    <w:rsid w:val="00C40968"/>
    <w:rsid w:val="00C458BA"/>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5C67"/>
    <w:rsid w:val="00CB62DC"/>
    <w:rsid w:val="00CC0502"/>
    <w:rsid w:val="00CC1AC8"/>
    <w:rsid w:val="00CC4F1D"/>
    <w:rsid w:val="00CC6A95"/>
    <w:rsid w:val="00CC7E17"/>
    <w:rsid w:val="00CD23A0"/>
    <w:rsid w:val="00CD4A7D"/>
    <w:rsid w:val="00CE593A"/>
    <w:rsid w:val="00CE593D"/>
    <w:rsid w:val="00CF07F1"/>
    <w:rsid w:val="00CF28BF"/>
    <w:rsid w:val="00D00330"/>
    <w:rsid w:val="00D0050C"/>
    <w:rsid w:val="00D014AE"/>
    <w:rsid w:val="00D05926"/>
    <w:rsid w:val="00D06D8D"/>
    <w:rsid w:val="00D16901"/>
    <w:rsid w:val="00D23BD0"/>
    <w:rsid w:val="00D259DC"/>
    <w:rsid w:val="00D32A43"/>
    <w:rsid w:val="00D333AA"/>
    <w:rsid w:val="00D347CA"/>
    <w:rsid w:val="00D51E80"/>
    <w:rsid w:val="00D53848"/>
    <w:rsid w:val="00D53AC5"/>
    <w:rsid w:val="00D54276"/>
    <w:rsid w:val="00D5484F"/>
    <w:rsid w:val="00D66858"/>
    <w:rsid w:val="00D72662"/>
    <w:rsid w:val="00D767EB"/>
    <w:rsid w:val="00D8125F"/>
    <w:rsid w:val="00D90E67"/>
    <w:rsid w:val="00DA0555"/>
    <w:rsid w:val="00DA1796"/>
    <w:rsid w:val="00DA2814"/>
    <w:rsid w:val="00DB16E7"/>
    <w:rsid w:val="00DB2C90"/>
    <w:rsid w:val="00DC0393"/>
    <w:rsid w:val="00DC63A9"/>
    <w:rsid w:val="00DC66A6"/>
    <w:rsid w:val="00DC7533"/>
    <w:rsid w:val="00DD54B1"/>
    <w:rsid w:val="00DE2930"/>
    <w:rsid w:val="00DF2CB7"/>
    <w:rsid w:val="00DF3BF1"/>
    <w:rsid w:val="00DF7595"/>
    <w:rsid w:val="00E007F8"/>
    <w:rsid w:val="00E025E9"/>
    <w:rsid w:val="00E058BA"/>
    <w:rsid w:val="00E111AA"/>
    <w:rsid w:val="00E121A2"/>
    <w:rsid w:val="00E15F9F"/>
    <w:rsid w:val="00E172C8"/>
    <w:rsid w:val="00E21120"/>
    <w:rsid w:val="00E23FDA"/>
    <w:rsid w:val="00E24E10"/>
    <w:rsid w:val="00E2724A"/>
    <w:rsid w:val="00E30D4B"/>
    <w:rsid w:val="00E31F1C"/>
    <w:rsid w:val="00E372EA"/>
    <w:rsid w:val="00E50187"/>
    <w:rsid w:val="00E55147"/>
    <w:rsid w:val="00E551EB"/>
    <w:rsid w:val="00E65F9E"/>
    <w:rsid w:val="00E67638"/>
    <w:rsid w:val="00E706BE"/>
    <w:rsid w:val="00E70C9B"/>
    <w:rsid w:val="00E72FF1"/>
    <w:rsid w:val="00E7526A"/>
    <w:rsid w:val="00E87248"/>
    <w:rsid w:val="00E87C31"/>
    <w:rsid w:val="00E87FFB"/>
    <w:rsid w:val="00E93068"/>
    <w:rsid w:val="00E93D03"/>
    <w:rsid w:val="00E970B9"/>
    <w:rsid w:val="00EA097A"/>
    <w:rsid w:val="00EB113C"/>
    <w:rsid w:val="00EB5133"/>
    <w:rsid w:val="00EB5F71"/>
    <w:rsid w:val="00EB6247"/>
    <w:rsid w:val="00EB74DC"/>
    <w:rsid w:val="00EC16F4"/>
    <w:rsid w:val="00EC17E3"/>
    <w:rsid w:val="00EC29A6"/>
    <w:rsid w:val="00EC3919"/>
    <w:rsid w:val="00EC7C98"/>
    <w:rsid w:val="00ED32E8"/>
    <w:rsid w:val="00ED5E52"/>
    <w:rsid w:val="00ED7176"/>
    <w:rsid w:val="00ED75EA"/>
    <w:rsid w:val="00EE26F9"/>
    <w:rsid w:val="00EF4043"/>
    <w:rsid w:val="00F022D4"/>
    <w:rsid w:val="00F062A4"/>
    <w:rsid w:val="00F1001E"/>
    <w:rsid w:val="00F21934"/>
    <w:rsid w:val="00F32AA4"/>
    <w:rsid w:val="00F33A2A"/>
    <w:rsid w:val="00F53569"/>
    <w:rsid w:val="00F573CF"/>
    <w:rsid w:val="00F57A2B"/>
    <w:rsid w:val="00F60050"/>
    <w:rsid w:val="00F658E5"/>
    <w:rsid w:val="00F764F4"/>
    <w:rsid w:val="00F82676"/>
    <w:rsid w:val="00F86E1F"/>
    <w:rsid w:val="00F86F49"/>
    <w:rsid w:val="00F90544"/>
    <w:rsid w:val="00F945CF"/>
    <w:rsid w:val="00F94DD6"/>
    <w:rsid w:val="00FA333E"/>
    <w:rsid w:val="00FA7B76"/>
    <w:rsid w:val="00FC544C"/>
    <w:rsid w:val="00FD2DF4"/>
    <w:rsid w:val="00FD5FD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stockticker"/>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89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92083351">
      <w:bodyDiv w:val="1"/>
      <w:marLeft w:val="0"/>
      <w:marRight w:val="0"/>
      <w:marTop w:val="0"/>
      <w:marBottom w:val="0"/>
      <w:divBdr>
        <w:top w:val="none" w:sz="0" w:space="0" w:color="auto"/>
        <w:left w:val="none" w:sz="0" w:space="0" w:color="auto"/>
        <w:bottom w:val="none" w:sz="0" w:space="0" w:color="auto"/>
        <w:right w:val="none" w:sz="0" w:space="0" w:color="auto"/>
      </w:divBdr>
      <w:divsChild>
        <w:div w:id="62721633">
          <w:marLeft w:val="0"/>
          <w:marRight w:val="0"/>
          <w:marTop w:val="0"/>
          <w:marBottom w:val="0"/>
          <w:divBdr>
            <w:top w:val="none" w:sz="0" w:space="0" w:color="auto"/>
            <w:left w:val="none" w:sz="0" w:space="0" w:color="auto"/>
            <w:bottom w:val="none" w:sz="0" w:space="0" w:color="auto"/>
            <w:right w:val="none" w:sz="0" w:space="0" w:color="auto"/>
          </w:divBdr>
          <w:divsChild>
            <w:div w:id="2144424669">
              <w:marLeft w:val="0"/>
              <w:marRight w:val="0"/>
              <w:marTop w:val="0"/>
              <w:marBottom w:val="0"/>
              <w:divBdr>
                <w:top w:val="none" w:sz="0" w:space="0" w:color="auto"/>
                <w:left w:val="none" w:sz="0" w:space="0" w:color="auto"/>
                <w:bottom w:val="none" w:sz="0" w:space="0" w:color="auto"/>
                <w:right w:val="none" w:sz="0" w:space="0" w:color="auto"/>
              </w:divBdr>
              <w:divsChild>
                <w:div w:id="27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715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3839">
          <w:marLeft w:val="0"/>
          <w:marRight w:val="0"/>
          <w:marTop w:val="0"/>
          <w:marBottom w:val="0"/>
          <w:divBdr>
            <w:top w:val="none" w:sz="0" w:space="0" w:color="auto"/>
            <w:left w:val="none" w:sz="0" w:space="0" w:color="auto"/>
            <w:bottom w:val="none" w:sz="0" w:space="0" w:color="auto"/>
            <w:right w:val="none" w:sz="0" w:space="0" w:color="auto"/>
          </w:divBdr>
          <w:divsChild>
            <w:div w:id="810444277">
              <w:marLeft w:val="0"/>
              <w:marRight w:val="0"/>
              <w:marTop w:val="0"/>
              <w:marBottom w:val="0"/>
              <w:divBdr>
                <w:top w:val="none" w:sz="0" w:space="0" w:color="auto"/>
                <w:left w:val="none" w:sz="0" w:space="0" w:color="auto"/>
                <w:bottom w:val="none" w:sz="0" w:space="0" w:color="auto"/>
                <w:right w:val="none" w:sz="0" w:space="0" w:color="auto"/>
              </w:divBdr>
              <w:divsChild>
                <w:div w:id="53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059">
      <w:bodyDiv w:val="1"/>
      <w:marLeft w:val="0"/>
      <w:marRight w:val="0"/>
      <w:marTop w:val="0"/>
      <w:marBottom w:val="0"/>
      <w:divBdr>
        <w:top w:val="none" w:sz="0" w:space="0" w:color="auto"/>
        <w:left w:val="none" w:sz="0" w:space="0" w:color="auto"/>
        <w:bottom w:val="none" w:sz="0" w:space="0" w:color="auto"/>
        <w:right w:val="none" w:sz="0" w:space="0" w:color="auto"/>
      </w:divBdr>
      <w:divsChild>
        <w:div w:id="2109932413">
          <w:marLeft w:val="0"/>
          <w:marRight w:val="0"/>
          <w:marTop w:val="0"/>
          <w:marBottom w:val="0"/>
          <w:divBdr>
            <w:top w:val="none" w:sz="0" w:space="0" w:color="auto"/>
            <w:left w:val="none" w:sz="0" w:space="0" w:color="auto"/>
            <w:bottom w:val="none" w:sz="0" w:space="0" w:color="auto"/>
            <w:right w:val="none" w:sz="0" w:space="0" w:color="auto"/>
          </w:divBdr>
          <w:divsChild>
            <w:div w:id="686518733">
              <w:marLeft w:val="0"/>
              <w:marRight w:val="0"/>
              <w:marTop w:val="0"/>
              <w:marBottom w:val="0"/>
              <w:divBdr>
                <w:top w:val="none" w:sz="0" w:space="0" w:color="auto"/>
                <w:left w:val="none" w:sz="0" w:space="0" w:color="auto"/>
                <w:bottom w:val="none" w:sz="0" w:space="0" w:color="auto"/>
                <w:right w:val="none" w:sz="0" w:space="0" w:color="auto"/>
              </w:divBdr>
              <w:divsChild>
                <w:div w:id="742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EBA2-5A27-4AB5-AF50-E266E486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14234</Words>
  <Characters>81137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2022-01-12T17:01:00Z</dcterms:created>
  <dcterms:modified xsi:type="dcterms:W3CDTF">2022-01-12T17:01:00Z</dcterms:modified>
</cp:coreProperties>
</file>