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475BB" w14:textId="5690D2CB" w:rsidR="00CA41CC" w:rsidRPr="00914128" w:rsidRDefault="0068336D" w:rsidP="00914128">
      <w:pPr>
        <w:pStyle w:val="Heading1"/>
      </w:pPr>
      <w:bookmarkStart w:id="0" w:name="_GoBack"/>
      <w:bookmarkEnd w:id="0"/>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514DC0" w:rsidP="00914128">
      <w:pPr>
        <w:pStyle w:val="ToC"/>
      </w:pPr>
      <w:hyperlink w:anchor="a26_01" w:history="1">
        <w:r w:rsidR="009C22FE" w:rsidRPr="00D9448D">
          <w:rPr>
            <w:rStyle w:val="Hyperlink"/>
          </w:rPr>
          <w:t>26:1</w:t>
        </w:r>
      </w:hyperlink>
      <w:r w:rsidR="009C22FE" w:rsidRPr="00D9448D">
        <w:t xml:space="preserve"> </w:t>
      </w:r>
      <w:r w:rsidR="009C22FE" w:rsidRPr="00D9448D">
        <w:tab/>
        <w:t xml:space="preserve">Elements </w:t>
      </w:r>
      <w:r w:rsidR="009C22FE">
        <w:t>o</w:t>
      </w:r>
      <w:r w:rsidR="009C22FE" w:rsidRPr="00D9448D">
        <w:t>f Liability</w:t>
      </w:r>
    </w:p>
    <w:p w14:paraId="1BD3FC88" w14:textId="77777777" w:rsidR="00D9448D" w:rsidRDefault="00514DC0" w:rsidP="00914128">
      <w:pPr>
        <w:pStyle w:val="ToC"/>
      </w:pPr>
      <w:hyperlink w:anchor="a26_02" w:history="1">
        <w:r w:rsidR="009C22FE" w:rsidRPr="00D9448D">
          <w:rPr>
            <w:rStyle w:val="Hyperlink"/>
          </w:rPr>
          <w:t>26:2</w:t>
        </w:r>
      </w:hyperlink>
      <w:r w:rsidR="009C22FE" w:rsidRPr="00D9448D">
        <w:t xml:space="preserve"> </w:t>
      </w:r>
      <w:r w:rsidR="009C22FE" w:rsidRPr="00D9448D">
        <w:tab/>
        <w:t xml:space="preserve">Fiduciary </w:t>
      </w:r>
      <w:proofErr w:type="gramStart"/>
      <w:r w:rsidR="009C22FE" w:rsidRPr="00D9448D">
        <w:t>Relationship</w:t>
      </w:r>
      <w:proofErr w:type="gramEnd"/>
      <w:r w:rsidR="009C22FE" w:rsidRPr="00D9448D">
        <w:t xml:space="preserve"> — Defined</w:t>
      </w:r>
    </w:p>
    <w:p w14:paraId="2E8BB7D0" w14:textId="77777777" w:rsidR="00D9448D" w:rsidRDefault="00514DC0" w:rsidP="00914128">
      <w:pPr>
        <w:pStyle w:val="ToC"/>
      </w:pPr>
      <w:hyperlink w:anchor="a26_03" w:history="1">
        <w:r w:rsidR="009C22FE" w:rsidRPr="00D9448D">
          <w:rPr>
            <w:rStyle w:val="Hyperlink"/>
          </w:rPr>
          <w:t>26:3</w:t>
        </w:r>
      </w:hyperlink>
      <w:r w:rsidR="009C22FE" w:rsidRPr="00D9448D">
        <w:t xml:space="preserve"> </w:t>
      </w:r>
      <w:r w:rsidR="009C22FE" w:rsidRPr="00D9448D">
        <w:tab/>
        <w:t xml:space="preserve">Fiduciary </w:t>
      </w:r>
      <w:proofErr w:type="gramStart"/>
      <w:r w:rsidR="009C22FE" w:rsidRPr="00D9448D">
        <w:t>Relationship</w:t>
      </w:r>
      <w:proofErr w:type="gramEnd"/>
      <w:r w:rsidR="009C22FE" w:rsidRPr="00D9448D">
        <w:t xml:space="preserve"> Arising Out </w:t>
      </w:r>
      <w:r w:rsidR="009C22FE">
        <w:t>o</w:t>
      </w:r>
      <w:r w:rsidR="009C22FE" w:rsidRPr="00D9448D">
        <w:t xml:space="preserve">f </w:t>
      </w:r>
      <w:r w:rsidR="009C22FE">
        <w:t>a</w:t>
      </w:r>
      <w:r w:rsidR="009C22FE" w:rsidRPr="00D9448D">
        <w:t xml:space="preserve"> Confidential Relationship</w:t>
      </w:r>
    </w:p>
    <w:p w14:paraId="41176833" w14:textId="77777777" w:rsidR="00D9448D" w:rsidRDefault="00514DC0" w:rsidP="00914128">
      <w:pPr>
        <w:pStyle w:val="ToC"/>
      </w:pPr>
      <w:hyperlink w:anchor="a26_04" w:history="1">
        <w:r w:rsidR="009C22FE" w:rsidRPr="00D9448D">
          <w:rPr>
            <w:rStyle w:val="Hyperlink"/>
          </w:rPr>
          <w:t>26:4</w:t>
        </w:r>
      </w:hyperlink>
      <w:r w:rsidR="009C22FE" w:rsidRPr="00D9448D">
        <w:t xml:space="preserve"> </w:t>
      </w:r>
      <w:r w:rsidR="009C22FE" w:rsidRPr="00D9448D">
        <w:tab/>
        <w:t xml:space="preserve">Confidential </w:t>
      </w:r>
      <w:proofErr w:type="gramStart"/>
      <w:r w:rsidR="009C22FE" w:rsidRPr="00D9448D">
        <w:t>Relationship</w:t>
      </w:r>
      <w:proofErr w:type="gramEnd"/>
      <w:r w:rsidR="009C22FE" w:rsidRPr="00D9448D">
        <w:t xml:space="preserve"> — Defined</w:t>
      </w:r>
    </w:p>
    <w:p w14:paraId="3A054ADD" w14:textId="77777777" w:rsidR="00D9448D" w:rsidRDefault="00514DC0" w:rsidP="00914128">
      <w:pPr>
        <w:pStyle w:val="ToC"/>
      </w:pPr>
      <w:hyperlink w:anchor="a26_05" w:history="1">
        <w:r w:rsidR="009C22FE" w:rsidRPr="00485635">
          <w:rPr>
            <w:rStyle w:val="Hyperlink"/>
          </w:rPr>
          <w:t>26:5</w:t>
        </w:r>
      </w:hyperlink>
      <w:r w:rsidR="009C22FE" w:rsidRPr="00485635">
        <w:t xml:space="preserve"> </w:t>
      </w:r>
      <w:r w:rsidR="009C22FE"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1" w:name="a26_01"/>
      <w:bookmarkEnd w:id="1"/>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on (his) (her)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proofErr w:type="gramStart"/>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roofErr w:type="gramEnd"/>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Baker v. Wood, Ris &amp; Hames, P.C.</w:t>
      </w:r>
      <w:r w:rsidRPr="00DC2F89">
        <w:rPr>
          <w:rFonts w:eastAsia="Times New Roman"/>
          <w:sz w:val="24"/>
          <w:szCs w:val="24"/>
        </w:rPr>
        <w:t xml:space="preserve">,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w:t>
      </w:r>
      <w:proofErr w:type="gramStart"/>
      <w:r w:rsidRPr="00DC2F89">
        <w:rPr>
          <w:rFonts w:eastAsia="Times New Roman"/>
          <w:sz w:val="24"/>
          <w:szCs w:val="24"/>
        </w:rPr>
        <w:t>party,</w:t>
      </w:r>
      <w:proofErr w:type="gramEnd"/>
      <w:r w:rsidRPr="00DC2F89">
        <w:rPr>
          <w:rFonts w:eastAsia="Times New Roman"/>
          <w:sz w:val="24"/>
          <w:szCs w:val="24"/>
        </w:rPr>
        <w:t xml:space="preserve">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r w:rsidRPr="00DC2F89">
        <w:rPr>
          <w:rFonts w:eastAsia="Times New Roman"/>
          <w:b/>
          <w:sz w:val="24"/>
          <w:szCs w:val="24"/>
        </w:rPr>
        <w:t>Kaitz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Accident &amp; Injury Med. Specialists, P.C. v. Mintz</w:t>
      </w:r>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r w:rsidRPr="00DC2F89">
        <w:rPr>
          <w:rFonts w:eastAsia="Times New Roman"/>
          <w:b/>
          <w:sz w:val="24"/>
          <w:szCs w:val="24"/>
        </w:rPr>
        <w:lastRenderedPageBreak/>
        <w:t>Destefano v. Grabrian</w:t>
      </w:r>
      <w:r w:rsidRPr="00DC2F89">
        <w:rPr>
          <w:rFonts w:eastAsia="Times New Roman"/>
          <w:sz w:val="24"/>
          <w:szCs w:val="24"/>
        </w:rPr>
        <w:t xml:space="preserve">, 763 P.2d 275 (Colo. 1988); </w:t>
      </w:r>
      <w:r w:rsidRPr="00DC2F89">
        <w:rPr>
          <w:rFonts w:eastAsia="Times New Roman"/>
          <w:b/>
          <w:sz w:val="24"/>
          <w:szCs w:val="24"/>
        </w:rPr>
        <w:t>Bithell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r w:rsidR="00DC2F89" w:rsidRPr="00DC2F89">
        <w:rPr>
          <w:rFonts w:eastAsia="Times New Roman"/>
          <w:b/>
          <w:sz w:val="24"/>
          <w:szCs w:val="24"/>
        </w:rPr>
        <w:t>Virdanco,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3C288D5F"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r w:rsidR="00010538" w:rsidRPr="007171CC">
        <w:rPr>
          <w:rFonts w:eastAsia="Times New Roman"/>
          <w:b/>
          <w:bCs/>
          <w:sz w:val="24"/>
          <w:szCs w:val="24"/>
        </w:rPr>
        <w:t>Froid v. Zacheis</w:t>
      </w:r>
      <w:r w:rsidR="00010538">
        <w:rPr>
          <w:rFonts w:eastAsia="Times New Roman"/>
          <w:sz w:val="24"/>
          <w:szCs w:val="24"/>
        </w:rPr>
        <w:t>, 2021 COA 74, ¶ 9 n.2</w:t>
      </w:r>
      <w:r w:rsidR="00BF333D">
        <w:rPr>
          <w:rFonts w:eastAsia="Times New Roman"/>
          <w:sz w:val="24"/>
          <w:szCs w:val="24"/>
        </w:rPr>
        <w:t>, 494 P.3d 673</w:t>
      </w:r>
      <w:r w:rsidR="00010538">
        <w:rPr>
          <w:rFonts w:eastAsia="Times New Roman"/>
          <w:sz w:val="24"/>
          <w:szCs w:val="24"/>
        </w:rPr>
        <w:t xml:space="preserve">; </w:t>
      </w:r>
      <w:r w:rsidR="00010538" w:rsidRPr="007171CC">
        <w:rPr>
          <w:rFonts w:eastAsia="Times New Roman"/>
          <w:b/>
          <w:bCs/>
          <w:sz w:val="24"/>
          <w:szCs w:val="24"/>
        </w:rPr>
        <w:t>Aller v.</w:t>
      </w:r>
      <w:r w:rsidR="00010538">
        <w:rPr>
          <w:rFonts w:eastAsia="Times New Roman"/>
          <w:b/>
          <w:bCs/>
          <w:sz w:val="24"/>
          <w:szCs w:val="24"/>
        </w:rPr>
        <w:t xml:space="preserve"> </w:t>
      </w:r>
      <w:r w:rsidR="00010538" w:rsidRPr="007171CC">
        <w:rPr>
          <w:rFonts w:eastAsia="Times New Roman"/>
          <w:b/>
          <w:bCs/>
          <w:sz w:val="24"/>
          <w:szCs w:val="24"/>
        </w:rPr>
        <w:t xml:space="preserve">Law </w:t>
      </w:r>
      <w:r w:rsidR="00010538">
        <w:rPr>
          <w:rFonts w:eastAsia="Times New Roman"/>
          <w:b/>
          <w:bCs/>
          <w:sz w:val="24"/>
          <w:szCs w:val="24"/>
        </w:rPr>
        <w:t>O</w:t>
      </w:r>
      <w:r w:rsidR="00010538" w:rsidRPr="007171CC">
        <w:rPr>
          <w:rFonts w:eastAsia="Times New Roman"/>
          <w:b/>
          <w:bCs/>
          <w:sz w:val="24"/>
          <w:szCs w:val="24"/>
        </w:rPr>
        <w:t>ff</w:t>
      </w:r>
      <w:r w:rsidR="00010538">
        <w:rPr>
          <w:rFonts w:eastAsia="Times New Roman"/>
          <w:b/>
          <w:bCs/>
          <w:sz w:val="24"/>
          <w:szCs w:val="24"/>
        </w:rPr>
        <w:t>ice</w:t>
      </w:r>
      <w:r w:rsidR="00010538" w:rsidRPr="007171CC">
        <w:rPr>
          <w:rFonts w:eastAsia="Times New Roman"/>
          <w:b/>
          <w:bCs/>
          <w:sz w:val="24"/>
          <w:szCs w:val="24"/>
        </w:rPr>
        <w:t xml:space="preserve"> </w:t>
      </w:r>
      <w:r w:rsidR="00010538">
        <w:rPr>
          <w:rFonts w:eastAsia="Times New Roman"/>
          <w:b/>
          <w:bCs/>
          <w:sz w:val="24"/>
          <w:szCs w:val="24"/>
        </w:rPr>
        <w:t>o</w:t>
      </w:r>
      <w:r w:rsidR="00010538" w:rsidRPr="007171CC">
        <w:rPr>
          <w:rFonts w:eastAsia="Times New Roman"/>
          <w:b/>
          <w:bCs/>
          <w:sz w:val="24"/>
          <w:szCs w:val="24"/>
        </w:rPr>
        <w:t>f Carole C. Schr</w:t>
      </w:r>
      <w:r w:rsidR="00010538">
        <w:rPr>
          <w:rFonts w:eastAsia="Times New Roman"/>
          <w:b/>
          <w:bCs/>
          <w:sz w:val="24"/>
          <w:szCs w:val="24"/>
        </w:rPr>
        <w:t>i</w:t>
      </w:r>
      <w:r w:rsidR="00010538" w:rsidRPr="007171CC">
        <w:rPr>
          <w:rFonts w:eastAsia="Times New Roman"/>
          <w:b/>
          <w:bCs/>
          <w:sz w:val="24"/>
          <w:szCs w:val="24"/>
        </w:rPr>
        <w:t>efer, P.C.</w:t>
      </w:r>
      <w:r w:rsidR="00010538" w:rsidRPr="00397288">
        <w:rPr>
          <w:rFonts w:eastAsia="Times New Roman"/>
          <w:bCs/>
          <w:sz w:val="24"/>
          <w:szCs w:val="24"/>
        </w:rPr>
        <w:t>,</w:t>
      </w:r>
      <w:r w:rsidR="00010538">
        <w:rPr>
          <w:rFonts w:eastAsia="Times New Roman"/>
          <w:sz w:val="24"/>
          <w:szCs w:val="24"/>
        </w:rPr>
        <w:t xml:space="preserve"> 140 P.3d 23 (Colo. App. 2005); </w:t>
      </w:r>
      <w:r w:rsidR="00DC2F89" w:rsidRPr="00DC2F89">
        <w:rPr>
          <w:rFonts w:eastAsia="Times New Roman"/>
          <w:b/>
          <w:sz w:val="24"/>
          <w:szCs w:val="24"/>
        </w:rPr>
        <w:t>Moguls of Aspen, Inc. v. Faegre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 On the other hand, where the facts and duties underlying claims for breach of a fiduciary duty and negligence are not the same, it is proper to submit both claims to the jury. </w:t>
      </w:r>
      <w:proofErr w:type="gramStart"/>
      <w:r w:rsidR="00DC2F89" w:rsidRPr="00DC2F89">
        <w:rPr>
          <w:rFonts w:eastAsia="Times New Roman"/>
          <w:b/>
          <w:sz w:val="24"/>
          <w:szCs w:val="24"/>
        </w:rPr>
        <w:t>Boyd v. Garvert</w:t>
      </w:r>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2000).</w:t>
      </w:r>
      <w:proofErr w:type="gramEnd"/>
      <w:r w:rsidR="00DC2F89" w:rsidRPr="00DC2F89">
        <w:rPr>
          <w:rFonts w:eastAsia="Times New Roman"/>
          <w:sz w:val="24"/>
          <w:szCs w:val="24"/>
        </w:rPr>
        <w:t xml:space="preserve"> Expert testimony is necessary to support causation in a breach of fiduciary case arising out of an attorney-client relationship. </w:t>
      </w:r>
      <w:proofErr w:type="gramStart"/>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roofErr w:type="gramEnd"/>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Estate of Heyn</w:t>
      </w:r>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In re Estate of Foiles</w:t>
      </w:r>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77777777"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proofErr w:type="gramStart"/>
      <w:r w:rsidR="00DC2F89" w:rsidRPr="00DC2F89">
        <w:rPr>
          <w:rFonts w:eastAsia="Times New Roman"/>
          <w:b/>
          <w:sz w:val="24"/>
          <w:szCs w:val="24"/>
        </w:rPr>
        <w:t>In re Estate of Foiles</w:t>
      </w:r>
      <w:r w:rsidR="00DC2F89" w:rsidRPr="00DC2F89">
        <w:rPr>
          <w:rFonts w:eastAsia="Times New Roman"/>
          <w:sz w:val="24"/>
          <w:szCs w:val="24"/>
        </w:rPr>
        <w:t>, 2014 COA 104</w:t>
      </w:r>
      <w:r w:rsidR="00265D86">
        <w:rPr>
          <w:rFonts w:eastAsia="Times New Roman"/>
          <w:sz w:val="24"/>
          <w:szCs w:val="24"/>
        </w:rPr>
        <w:t>, ¶ 43</w:t>
      </w:r>
      <w:r w:rsidR="00DC2F89" w:rsidRPr="00DC2F89">
        <w:rPr>
          <w:rFonts w:eastAsia="Times New Roman"/>
          <w:sz w:val="24"/>
          <w:szCs w:val="24"/>
        </w:rPr>
        <w:t>.</w:t>
      </w:r>
      <w:proofErr w:type="gramEnd"/>
    </w:p>
    <w:p w14:paraId="2AF473A8" w14:textId="77777777"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Jet Courier Serv., Inc. v. Mulei</w:t>
      </w:r>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w:t>
      </w:r>
      <w:proofErr w:type="gramStart"/>
      <w:r w:rsidR="00FA53D7">
        <w:rPr>
          <w:rFonts w:eastAsia="Times New Roman"/>
          <w:sz w:val="24"/>
          <w:szCs w:val="24"/>
        </w:rPr>
        <w:lastRenderedPageBreak/>
        <w:t>circumstances</w:t>
      </w:r>
      <w:proofErr w:type="gramEnd"/>
      <w:r w:rsidR="00FA53D7">
        <w:rPr>
          <w:rFonts w:eastAsia="Times New Roman"/>
          <w:sz w:val="24"/>
          <w:szCs w:val="24"/>
        </w:rPr>
        <w:t xml:space="preserve">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 Inc. v. Bush</w:t>
      </w:r>
      <w:r w:rsidR="00DC2F89" w:rsidRPr="00DC2F89">
        <w:rPr>
          <w:rFonts w:eastAsia="Times New Roman"/>
          <w:sz w:val="24"/>
          <w:szCs w:val="24"/>
        </w:rPr>
        <w:t>, 862 P.2d 1020 (</w:t>
      </w:r>
      <w:r w:rsidR="00E71BCE">
        <w:rPr>
          <w:rFonts w:eastAsia="Times New Roman"/>
          <w:sz w:val="24"/>
          <w:szCs w:val="24"/>
        </w:rPr>
        <w:t>Colo. App.</w:t>
      </w:r>
      <w:r w:rsidR="005575D0">
        <w:rPr>
          <w:rFonts w:eastAsia="Times New Roman"/>
          <w:sz w:val="24"/>
          <w:szCs w:val="24"/>
        </w:rPr>
        <w:t xml:space="preserve"> </w:t>
      </w:r>
      <w:r w:rsidR="00DC2F89" w:rsidRPr="00DC2F89">
        <w:rPr>
          <w:rFonts w:eastAsia="Times New Roman"/>
          <w:sz w:val="24"/>
          <w:szCs w:val="24"/>
        </w:rPr>
        <w:t>1993) (</w:t>
      </w:r>
      <w:r w:rsidR="005575D0">
        <w:rPr>
          <w:rFonts w:eastAsia="Times New Roman"/>
          <w:sz w:val="24"/>
          <w:szCs w:val="24"/>
        </w:rPr>
        <w:t>employee 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r w:rsidR="00B134C5" w:rsidRPr="00DC2F89">
        <w:rPr>
          <w:rFonts w:eastAsia="Times New Roman"/>
          <w:b/>
          <w:sz w:val="24"/>
          <w:szCs w:val="24"/>
        </w:rPr>
        <w:t>Lucht’s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r w:rsidR="00B134C5" w:rsidRPr="00DC2F89">
        <w:rPr>
          <w:rFonts w:eastAsia="Times New Roman"/>
          <w:i/>
          <w:sz w:val="24"/>
          <w:szCs w:val="24"/>
        </w:rPr>
        <w:t>rev’d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Koontz v. Rosener</w:t>
      </w:r>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r w:rsidR="00DC2F89" w:rsidRPr="00DC2F89">
        <w:rPr>
          <w:rFonts w:eastAsia="Times New Roman"/>
          <w:b/>
          <w:sz w:val="24"/>
          <w:szCs w:val="24"/>
        </w:rPr>
        <w:t>Moye White LLP v. Beren</w:t>
      </w:r>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2" w:name="a26_02"/>
      <w:bookmarkEnd w:id="2"/>
      <w:r w:rsidRPr="00E41870">
        <w:rPr>
          <w:rFonts w:eastAsia="Times New Roman"/>
          <w:b/>
          <w:sz w:val="24"/>
          <w:szCs w:val="24"/>
        </w:rPr>
        <w:lastRenderedPageBreak/>
        <w:t xml:space="preserve">26:2 </w:t>
      </w:r>
      <w:r w:rsidRPr="00E41870">
        <w:rPr>
          <w:rFonts w:eastAsia="Times New Roman"/>
          <w:b/>
          <w:sz w:val="24"/>
          <w:szCs w:val="24"/>
        </w:rPr>
        <w:tab/>
        <w:t xml:space="preserve">FIDUCIARY </w:t>
      </w:r>
      <w:proofErr w:type="gramStart"/>
      <w:r w:rsidRPr="00E41870">
        <w:rPr>
          <w:rFonts w:eastAsia="Times New Roman"/>
          <w:b/>
          <w:sz w:val="24"/>
          <w:szCs w:val="24"/>
        </w:rPr>
        <w:t>RELATIONSHIP</w:t>
      </w:r>
      <w:proofErr w:type="gramEnd"/>
      <w:r w:rsidRPr="00E41870">
        <w:rPr>
          <w:rFonts w:eastAsia="Times New Roman"/>
          <w:b/>
          <w:sz w:val="24"/>
          <w:szCs w:val="24"/>
        </w:rPr>
        <w:t xml:space="preserve">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(insert appropriate description, e.g., “attorney,” “partner,” “joint venturer,”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Specialists, P.C. v. Mintz</w:t>
      </w:r>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198 Colo. 477, 601 P.2d 1376 (1979) (joint venturers)</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Midwest Mut</w:t>
      </w:r>
      <w:r w:rsidR="00776F3F">
        <w:rPr>
          <w:rFonts w:eastAsia="Times New Roman"/>
          <w:b/>
          <w:sz w:val="24"/>
          <w:szCs w:val="24"/>
        </w:rPr>
        <w:t>., Inc.</w:t>
      </w:r>
      <w:r w:rsidRPr="00E41870">
        <w:rPr>
          <w:rFonts w:eastAsia="Times New Roman"/>
          <w:b/>
          <w:sz w:val="24"/>
          <w:szCs w:val="24"/>
        </w:rPr>
        <w:t xml:space="preserve"> v. Heald</w:t>
      </w:r>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Comm</w:t>
      </w:r>
      <w:r w:rsidR="00402C7C">
        <w:rPr>
          <w:rFonts w:eastAsia="Times New Roman"/>
          <w:b/>
          <w:sz w:val="24"/>
          <w:szCs w:val="24"/>
        </w:rPr>
        <w:t>’</w:t>
      </w:r>
      <w:r w:rsidRPr="00E41870">
        <w:rPr>
          <w:rFonts w:eastAsia="Times New Roman"/>
          <w:b/>
          <w:sz w:val="24"/>
          <w:szCs w:val="24"/>
        </w:rPr>
        <w:t>n</w:t>
      </w:r>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78C8D4A5" w:rsidR="00E41870" w:rsidRDefault="00E41870" w:rsidP="00E41870">
      <w:pPr>
        <w:spacing w:after="240"/>
        <w:ind w:firstLine="720"/>
        <w:rPr>
          <w:rFonts w:eastAsia="Times New Roman"/>
          <w:sz w:val="24"/>
          <w:szCs w:val="24"/>
        </w:rPr>
      </w:pPr>
      <w:r w:rsidRPr="00E41870">
        <w:rPr>
          <w:rFonts w:eastAsia="Times New Roman"/>
          <w:sz w:val="24"/>
          <w:szCs w:val="24"/>
        </w:rPr>
        <w:lastRenderedPageBreak/>
        <w:t>3. Fiduciary duties arise only as to matters within the scope of th</w:t>
      </w:r>
      <w:r w:rsidR="009603E5">
        <w:rPr>
          <w:rFonts w:eastAsia="Times New Roman"/>
          <w:sz w:val="24"/>
          <w:szCs w:val="24"/>
        </w:rPr>
        <w:t xml:space="preserve">e fiduciary relationship. </w:t>
      </w:r>
      <w:r w:rsidRPr="00E41870">
        <w:rPr>
          <w:rFonts w:eastAsia="Times New Roman"/>
          <w:i/>
          <w:sz w:val="24"/>
          <w:szCs w:val="24"/>
        </w:rPr>
        <w:t xml:space="preserve">See </w:t>
      </w:r>
      <w:r w:rsidRPr="00E41870">
        <w:rPr>
          <w:rFonts w:eastAsia="Times New Roman"/>
          <w:b/>
          <w:sz w:val="24"/>
          <w:szCs w:val="24"/>
        </w:rPr>
        <w:t>Mintz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r w:rsidRPr="00E41870">
        <w:rPr>
          <w:rFonts w:eastAsia="Times New Roman"/>
          <w:b/>
          <w:sz w:val="24"/>
          <w:szCs w:val="24"/>
        </w:rPr>
        <w:t>Semler v. Hellerstein</w:t>
      </w:r>
      <w:r w:rsidRPr="00E41870">
        <w:rPr>
          <w:rFonts w:eastAsia="Times New Roman"/>
          <w:sz w:val="24"/>
          <w:szCs w:val="24"/>
        </w:rPr>
        <w:t>, 2016 COA 143, ¶¶ 35-40</w:t>
      </w:r>
      <w:r w:rsidR="000F57B1">
        <w:rPr>
          <w:rFonts w:eastAsia="Times New Roman"/>
          <w:sz w:val="24"/>
          <w:szCs w:val="24"/>
        </w:rPr>
        <w:t>, 428 P.3d 555</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009F041D">
        <w:rPr>
          <w:rFonts w:eastAsia="Times New Roman"/>
          <w:sz w:val="24"/>
          <w:szCs w:val="24"/>
        </w:rPr>
        <w:t xml:space="preserve">, </w:t>
      </w:r>
      <w:r w:rsidR="009F041D" w:rsidRPr="000F57B1">
        <w:rPr>
          <w:rFonts w:eastAsia="Times New Roman"/>
          <w:i/>
          <w:sz w:val="24"/>
          <w:szCs w:val="24"/>
        </w:rPr>
        <w:t xml:space="preserve">rev’d </w:t>
      </w:r>
      <w:r w:rsidR="000F57B1">
        <w:rPr>
          <w:rFonts w:eastAsia="Times New Roman"/>
          <w:i/>
          <w:sz w:val="24"/>
          <w:szCs w:val="24"/>
        </w:rPr>
        <w:t xml:space="preserve">on other grounds </w:t>
      </w:r>
      <w:r w:rsidR="009F041D" w:rsidRPr="000F57B1">
        <w:rPr>
          <w:rFonts w:eastAsia="Times New Roman"/>
          <w:i/>
          <w:sz w:val="24"/>
          <w:szCs w:val="24"/>
        </w:rPr>
        <w:t>sub nom.</w:t>
      </w:r>
      <w:r w:rsidR="009F041D">
        <w:rPr>
          <w:rFonts w:eastAsia="Times New Roman"/>
          <w:sz w:val="24"/>
          <w:szCs w:val="24"/>
        </w:rPr>
        <w:t xml:space="preserve"> </w:t>
      </w:r>
      <w:r w:rsidR="009F041D">
        <w:rPr>
          <w:rFonts w:eastAsia="Times New Roman"/>
          <w:b/>
          <w:sz w:val="24"/>
          <w:szCs w:val="24"/>
        </w:rPr>
        <w:t>Bewley v. Semler</w:t>
      </w:r>
      <w:r w:rsidR="000F57B1">
        <w:rPr>
          <w:rFonts w:eastAsia="Times New Roman"/>
          <w:sz w:val="24"/>
          <w:szCs w:val="24"/>
        </w:rPr>
        <w:t>, 2018 CO 79, 432 P.3d 582</w:t>
      </w:r>
      <w:r w:rsidRPr="00E41870">
        <w:rPr>
          <w:rFonts w:eastAsia="Times New Roman"/>
          <w:sz w:val="24"/>
          <w:szCs w:val="24"/>
        </w:rPr>
        <w:t>.</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arise from one joint venturer to another</w:t>
      </w:r>
      <w:r>
        <w:rPr>
          <w:rFonts w:eastAsia="Times New Roman"/>
          <w:sz w:val="24"/>
          <w:szCs w:val="24"/>
        </w:rPr>
        <w:t xml:space="preserve">. </w:t>
      </w:r>
      <w:r>
        <w:rPr>
          <w:rFonts w:eastAsia="Times New Roman"/>
          <w:b/>
          <w:sz w:val="24"/>
          <w:szCs w:val="24"/>
        </w:rPr>
        <w:t>Rocky Mountain Expl.</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r w:rsidR="00E41870" w:rsidRPr="00E41870">
        <w:rPr>
          <w:rFonts w:eastAsia="Times New Roman"/>
          <w:b/>
          <w:sz w:val="24"/>
          <w:szCs w:val="24"/>
        </w:rPr>
        <w:t>Tepley v. Public Employees Retirement Ass’n</w:t>
      </w:r>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A. Wakemen Scott, et al., Scott and Ascher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w:t>
      </w:r>
      <w:proofErr w:type="gramStart"/>
      <w:r w:rsidR="00E41870" w:rsidRPr="00E41870">
        <w:rPr>
          <w:rFonts w:eastAsia="Times New Roman"/>
          <w:b/>
          <w:sz w:val="24"/>
          <w:szCs w:val="24"/>
        </w:rPr>
        <w:t>Assocs.,</w:t>
      </w:r>
      <w:proofErr w:type="gramEnd"/>
      <w:r w:rsidR="00E41870" w:rsidRPr="00E41870">
        <w:rPr>
          <w:rFonts w:eastAsia="Times New Roman"/>
          <w:b/>
          <w:sz w:val="24"/>
          <w:szCs w:val="24"/>
        </w:rPr>
        <w:t xml:space="preserve">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Anstine</w:t>
      </w:r>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Weinstein v. Colborne Foodbotics,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57CAAB2B"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Baker v. Wood, Ris &amp; Hames, P.C.</w:t>
      </w:r>
      <w:r w:rsidRPr="00E41870">
        <w:rPr>
          <w:rFonts w:eastAsia="Times New Roman"/>
          <w:sz w:val="24"/>
          <w:szCs w:val="24"/>
        </w:rPr>
        <w:t>, 2016 CO 5, ¶¶ 20-35, 364 P.3d 872, 879 (reiterating that Colorado follows a rule of “strict privity”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w:t>
      </w:r>
      <w:r w:rsidRPr="00E41870">
        <w:rPr>
          <w:rFonts w:eastAsia="Times New Roman"/>
          <w:sz w:val="24"/>
          <w:szCs w:val="24"/>
        </w:rPr>
        <w:lastRenderedPageBreak/>
        <w:t xml:space="preserve">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r w:rsidRPr="00E41870">
        <w:rPr>
          <w:rFonts w:eastAsia="Times New Roman"/>
          <w:b/>
          <w:sz w:val="24"/>
          <w:szCs w:val="24"/>
        </w:rPr>
        <w:t>Mintz</w:t>
      </w:r>
      <w:r w:rsidRPr="00E41870">
        <w:rPr>
          <w:rFonts w:eastAsia="Times New Roman"/>
          <w:sz w:val="24"/>
          <w:szCs w:val="24"/>
        </w:rPr>
        <w:t xml:space="preserve">, 2012 CO 50, ¶ 19 (attorney did not owe fiduciary duties to third party medical providers who were owed money by attorney’s clients out of insurance settlement proceeds placed into attorney’s COLTAF account); </w:t>
      </w:r>
      <w:r w:rsidRPr="00E41870">
        <w:rPr>
          <w:rFonts w:eastAsia="Times New Roman"/>
          <w:b/>
          <w:sz w:val="24"/>
          <w:szCs w:val="24"/>
        </w:rPr>
        <w:t>Brodeur v. American Home Assurance Co.</w:t>
      </w:r>
      <w:r w:rsidRPr="00E41870">
        <w:rPr>
          <w:rFonts w:eastAsia="Times New Roman"/>
          <w:sz w:val="24"/>
          <w:szCs w:val="24"/>
        </w:rPr>
        <w:t xml:space="preserve">, 169 P.3d 139 (Colo. 2007) (workers’ compensation insurer owes no fiduciary duty to insured); </w:t>
      </w:r>
      <w:r w:rsidRPr="00E41870">
        <w:rPr>
          <w:rFonts w:eastAsia="Times New Roman"/>
          <w:b/>
          <w:sz w:val="24"/>
          <w:szCs w:val="24"/>
        </w:rPr>
        <w:t>Destefano v. Grabrian</w:t>
      </w:r>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r w:rsidRPr="00E41870">
        <w:rPr>
          <w:rFonts w:eastAsia="Times New Roman"/>
          <w:b/>
          <w:sz w:val="24"/>
          <w:szCs w:val="24"/>
        </w:rPr>
        <w:t>Semler</w:t>
      </w:r>
      <w:r w:rsidRPr="00E41870">
        <w:rPr>
          <w:rFonts w:eastAsia="Times New Roman"/>
          <w:sz w:val="24"/>
          <w:szCs w:val="24"/>
        </w:rPr>
        <w:t>, 2016 COA 143, ¶¶ 35-40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9603E5">
        <w:rPr>
          <w:rFonts w:eastAsia="Times New Roman"/>
          <w:sz w:val="24"/>
          <w:szCs w:val="24"/>
        </w:rPr>
        <w:t xml:space="preserve">, </w:t>
      </w:r>
      <w:r w:rsidR="00E57F5F">
        <w:rPr>
          <w:rFonts w:eastAsia="Times New Roman"/>
          <w:sz w:val="24"/>
          <w:szCs w:val="24"/>
        </w:rPr>
        <w:t>2018 CO 48</w:t>
      </w:r>
      <w:r w:rsidR="00F8277D">
        <w:rPr>
          <w:rFonts w:eastAsia="Times New Roman"/>
          <w:sz w:val="24"/>
          <w:szCs w:val="24"/>
        </w:rPr>
        <w:t>, 419 P.3d 964</w:t>
      </w:r>
      <w:r w:rsidRPr="00E41870">
        <w:rPr>
          <w:rFonts w:eastAsia="Times New Roman"/>
          <w:sz w:val="24"/>
          <w:szCs w:val="24"/>
        </w:rPr>
        <w:t xml:space="preserve">; </w:t>
      </w:r>
      <w:r w:rsidRPr="00E41870">
        <w:rPr>
          <w:rFonts w:eastAsia="Times New Roman"/>
          <w:b/>
          <w:sz w:val="24"/>
          <w:szCs w:val="24"/>
        </w:rPr>
        <w:t>LaFond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r w:rsidRPr="00E41870">
        <w:rPr>
          <w:rFonts w:eastAsia="Times New Roman"/>
          <w:i/>
          <w:sz w:val="24"/>
          <w:szCs w:val="24"/>
        </w:rPr>
        <w:t>rev’d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Premier Farm Credit, PCA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r w:rsidRPr="00E41870">
        <w:rPr>
          <w:rFonts w:eastAsia="Times New Roman"/>
          <w:b/>
          <w:sz w:val="24"/>
          <w:szCs w:val="24"/>
        </w:rPr>
        <w:t>Equitex, Inc. v. Ungar</w:t>
      </w:r>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Turkey Creek, LLC v. Rosania</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r w:rsidRPr="00E41870">
        <w:rPr>
          <w:rFonts w:eastAsia="Times New Roman"/>
          <w:b/>
          <w:sz w:val="24"/>
          <w:szCs w:val="24"/>
        </w:rPr>
        <w:t>Vikell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r w:rsidRPr="00E41870">
        <w:rPr>
          <w:rFonts w:eastAsia="Times New Roman"/>
          <w:b/>
          <w:sz w:val="24"/>
          <w:szCs w:val="24"/>
        </w:rPr>
        <w:t>Emenyonu v. State Farm Fire &amp; Casualty Co.</w:t>
      </w:r>
      <w:r w:rsidRPr="00E41870">
        <w:rPr>
          <w:rFonts w:eastAsia="Times New Roman"/>
          <w:sz w:val="24"/>
          <w:szCs w:val="24"/>
        </w:rPr>
        <w:t xml:space="preserve">, 885 P.2d 320 (Colo. App. 1994) </w:t>
      </w:r>
      <w:r w:rsidRPr="00E41870">
        <w:rPr>
          <w:rFonts w:eastAsia="Times New Roman"/>
          <w:sz w:val="24"/>
          <w:szCs w:val="24"/>
        </w:rPr>
        <w:lastRenderedPageBreak/>
        <w:t xml:space="preserve">(contractual relationship between insurer and its insured does not give rise to fiduciary relationship with respect to first-party disputes); </w:t>
      </w:r>
      <w:r w:rsidRPr="00E41870">
        <w:rPr>
          <w:rFonts w:eastAsia="Times New Roman"/>
          <w:b/>
          <w:sz w:val="24"/>
          <w:szCs w:val="24"/>
        </w:rPr>
        <w:t>Wells Fargo Realty Advisors Funding, Inc. v. Uioli,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Jarnagin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First National Bank v. Theos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Dolton v. Capitol Federal Savings &amp; Loan Ass’n</w:t>
      </w:r>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3" w:name="a26_03"/>
      <w:bookmarkEnd w:id="3"/>
      <w:r w:rsidRPr="00E41870">
        <w:rPr>
          <w:rFonts w:eastAsia="Times New Roman"/>
          <w:b/>
          <w:sz w:val="24"/>
          <w:szCs w:val="24"/>
        </w:rPr>
        <w:lastRenderedPageBreak/>
        <w:t xml:space="preserve">26:3 </w:t>
      </w:r>
      <w:r w:rsidRPr="00E41870">
        <w:rPr>
          <w:rFonts w:eastAsia="Times New Roman"/>
          <w:b/>
          <w:sz w:val="24"/>
          <w:szCs w:val="24"/>
        </w:rPr>
        <w:tab/>
        <w:t xml:space="preserve">FIDUCIARY </w:t>
      </w:r>
      <w:proofErr w:type="gramStart"/>
      <w:r w:rsidRPr="00E41870">
        <w:rPr>
          <w:rFonts w:eastAsia="Times New Roman"/>
          <w:b/>
          <w:sz w:val="24"/>
          <w:szCs w:val="24"/>
        </w:rPr>
        <w:t>RELATIONSHIP</w:t>
      </w:r>
      <w:proofErr w:type="gramEnd"/>
      <w:r w:rsidRPr="00E41870">
        <w:rPr>
          <w:rFonts w:eastAsia="Times New Roman"/>
          <w:b/>
          <w:sz w:val="24"/>
          <w:szCs w:val="24"/>
        </w:rPr>
        <w:t xml:space="preserve"> ARISING OUT OF A CONFIDENTIAL RELATIONSHIP</w:t>
      </w:r>
    </w:p>
    <w:p w14:paraId="3071B80B"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on (his) (her) (its)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07547AB0"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w:t>
      </w:r>
      <w:r w:rsidR="000532E3">
        <w:rPr>
          <w:rFonts w:eastAsia="Times New Roman"/>
          <w:b/>
          <w:sz w:val="24"/>
          <w:szCs w:val="24"/>
        </w:rPr>
        <w:t>r</w:t>
      </w:r>
      <w:r w:rsidRPr="00E41870">
        <w:rPr>
          <w:rFonts w:eastAsia="Times New Roman"/>
          <w:b/>
          <w:sz w:val="24"/>
          <w:szCs w:val="24"/>
        </w:rPr>
        <w:t xml:space="preserve">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w:t>
      </w:r>
      <w:r w:rsidRPr="00E41870">
        <w:rPr>
          <w:rFonts w:eastAsia="Times New Roman"/>
          <w:sz w:val="24"/>
          <w:szCs w:val="24"/>
        </w:rPr>
        <w:lastRenderedPageBreak/>
        <w:t xml:space="preserve">be used. Also, Instruction 26:2 should be used, rather than this instruction, when the claimed fiduciary duty is based on a relationship that is recognized, as a matter of law, as being a fiduciary relationship, such as exists between agent and principal, partners, joint venturers,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l Bank v. Theos</w:t>
      </w:r>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r w:rsidRPr="00E41870">
        <w:rPr>
          <w:rFonts w:eastAsia="Times New Roman"/>
          <w:b/>
          <w:sz w:val="24"/>
          <w:szCs w:val="24"/>
        </w:rPr>
        <w:t>Jarnagin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 xml:space="preserve">Dolton v. Capitol Fed. </w:t>
      </w:r>
      <w:proofErr w:type="gramStart"/>
      <w:r w:rsidRPr="00E41870">
        <w:rPr>
          <w:rFonts w:eastAsia="Times New Roman"/>
          <w:b/>
          <w:sz w:val="24"/>
          <w:szCs w:val="24"/>
        </w:rPr>
        <w:t>Sav.</w:t>
      </w:r>
      <w:proofErr w:type="gramEnd"/>
      <w:r w:rsidRPr="00E41870">
        <w:rPr>
          <w:rFonts w:eastAsia="Times New Roman"/>
          <w:b/>
          <w:sz w:val="24"/>
          <w:szCs w:val="24"/>
        </w:rPr>
        <w:t xml:space="preserve"> </w:t>
      </w:r>
      <w:proofErr w:type="gramStart"/>
      <w:r w:rsidRPr="00E41870">
        <w:rPr>
          <w:rFonts w:eastAsia="Times New Roman"/>
          <w:b/>
          <w:sz w:val="24"/>
          <w:szCs w:val="24"/>
        </w:rPr>
        <w:t>&amp; Loan Ass’n</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642 P.2d 21 (Colo. App. 1981).</w:t>
      </w:r>
      <w:proofErr w:type="gramEnd"/>
      <w:r w:rsidRPr="00E41870">
        <w:rPr>
          <w:rFonts w:eastAsia="Times New Roman"/>
          <w:sz w:val="24"/>
          <w:szCs w:val="24"/>
        </w:rPr>
        <w:t xml:space="preserve">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Theos</w:t>
      </w:r>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Todd Holding Co. v. Super Valu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Smith v. TCI Commc’ns,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In the Interest of Delluomo v. Cedarblade</w:t>
      </w:r>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proofErr w:type="gramStart"/>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718 P.2d 508 (Colo. 1986).</w:t>
      </w:r>
      <w:proofErr w:type="gramEnd"/>
      <w:r w:rsidRPr="00E41870">
        <w:rPr>
          <w:rFonts w:eastAsia="Times New Roman"/>
          <w:sz w:val="24"/>
          <w:szCs w:val="24"/>
        </w:rPr>
        <w:t xml:space="preserve">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w:t>
      </w:r>
      <w:proofErr w:type="gramStart"/>
      <w:r w:rsidRPr="00E41870">
        <w:rPr>
          <w:rFonts w:eastAsia="Times New Roman"/>
          <w:sz w:val="24"/>
          <w:szCs w:val="24"/>
        </w:rPr>
        <w:t xml:space="preserve">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proofErr w:type="gramEnd"/>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proofErr w:type="gramStart"/>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proofErr w:type="gramEnd"/>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4" w:name="a26_04"/>
      <w:bookmarkEnd w:id="4"/>
      <w:r w:rsidRPr="00E41870">
        <w:rPr>
          <w:rFonts w:eastAsia="Times New Roman"/>
          <w:b/>
          <w:sz w:val="24"/>
          <w:szCs w:val="24"/>
        </w:rPr>
        <w:lastRenderedPageBreak/>
        <w:t xml:space="preserve">26:4 </w:t>
      </w:r>
      <w:r w:rsidRPr="00E41870">
        <w:rPr>
          <w:rFonts w:eastAsia="Times New Roman"/>
          <w:b/>
          <w:sz w:val="24"/>
          <w:szCs w:val="24"/>
        </w:rPr>
        <w:tab/>
        <w:t xml:space="preserve">CONFIDENTIAL </w:t>
      </w:r>
      <w:proofErr w:type="gramStart"/>
      <w:r w:rsidRPr="00E41870">
        <w:rPr>
          <w:rFonts w:eastAsia="Times New Roman"/>
          <w:b/>
          <w:sz w:val="24"/>
          <w:szCs w:val="24"/>
        </w:rPr>
        <w:t>RELATIONSHIP</w:t>
      </w:r>
      <w:proofErr w:type="gramEnd"/>
      <w:r w:rsidRPr="00E41870">
        <w:rPr>
          <w:rFonts w:eastAsia="Times New Roman"/>
          <w:b/>
          <w:sz w:val="24"/>
          <w:szCs w:val="24"/>
        </w:rPr>
        <w:t xml:space="preserve">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proofErr w:type="gramStart"/>
      <w:r w:rsidRPr="00E41870">
        <w:rPr>
          <w:rFonts w:eastAsia="Times New Roman"/>
          <w:b/>
          <w:sz w:val="24"/>
          <w:szCs w:val="24"/>
        </w:rPr>
        <w:t>First Nat’l Bank v. Theos</w:t>
      </w:r>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1990).</w:t>
      </w:r>
      <w:proofErr w:type="gramEnd"/>
      <w:r w:rsidRPr="00E41870">
        <w:rPr>
          <w:rFonts w:eastAsia="Times New Roman"/>
          <w:sz w:val="24"/>
          <w:szCs w:val="24"/>
        </w:rPr>
        <w:t xml:space="preserve">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r w:rsidRPr="00E71646">
        <w:rPr>
          <w:rFonts w:eastAsia="Times New Roman"/>
          <w:b/>
          <w:sz w:val="24"/>
          <w:szCs w:val="24"/>
        </w:rPr>
        <w:t>Jarnagin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Turkey Creek, LLC v. Rosania</w:t>
      </w:r>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r w:rsidRPr="00E71646">
        <w:rPr>
          <w:rFonts w:eastAsia="Times New Roman"/>
          <w:b/>
          <w:sz w:val="24"/>
          <w:szCs w:val="24"/>
        </w:rPr>
        <w:t>Vikell Inv</w:t>
      </w:r>
      <w:r w:rsidR="006E0FB3">
        <w:rPr>
          <w:rFonts w:eastAsia="Times New Roman"/>
          <w:b/>
          <w:sz w:val="24"/>
          <w:szCs w:val="24"/>
        </w:rPr>
        <w:t>’</w:t>
      </w:r>
      <w:r w:rsidRPr="00E71646">
        <w:rPr>
          <w:rFonts w:eastAsia="Times New Roman"/>
          <w:b/>
          <w:sz w:val="24"/>
          <w:szCs w:val="24"/>
        </w:rPr>
        <w:t>rs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 xml:space="preserve">Dolton v. Capital Fed. </w:t>
      </w:r>
      <w:proofErr w:type="gramStart"/>
      <w:r w:rsidRPr="00E71646">
        <w:rPr>
          <w:rFonts w:eastAsia="Times New Roman"/>
          <w:b/>
          <w:sz w:val="24"/>
          <w:szCs w:val="24"/>
        </w:rPr>
        <w:t>Sav.</w:t>
      </w:r>
      <w:proofErr w:type="gramEnd"/>
      <w:r w:rsidRPr="00E71646">
        <w:rPr>
          <w:rFonts w:eastAsia="Times New Roman"/>
          <w:b/>
          <w:sz w:val="24"/>
          <w:szCs w:val="24"/>
        </w:rPr>
        <w:t xml:space="preserve"> </w:t>
      </w:r>
      <w:proofErr w:type="gramStart"/>
      <w:r w:rsidRPr="00E71646">
        <w:rPr>
          <w:rFonts w:eastAsia="Times New Roman"/>
          <w:b/>
          <w:sz w:val="24"/>
          <w:szCs w:val="24"/>
        </w:rPr>
        <w:t>&amp; Loan Ass’n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United Fire &amp; Cas</w:t>
      </w:r>
      <w:r w:rsidR="00EB5935">
        <w:rPr>
          <w:rFonts w:eastAsia="Times New Roman"/>
          <w:b/>
          <w:sz w:val="24"/>
          <w:szCs w:val="24"/>
        </w:rPr>
        <w:t>.</w:t>
      </w:r>
      <w:proofErr w:type="gramEnd"/>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r w:rsidR="006E0FB3" w:rsidRPr="00E71646">
        <w:rPr>
          <w:rFonts w:eastAsia="Times New Roman"/>
          <w:b/>
          <w:sz w:val="24"/>
          <w:szCs w:val="24"/>
        </w:rPr>
        <w:t>Theos</w:t>
      </w:r>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161d cmt</w:t>
      </w:r>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cmt</w:t>
      </w:r>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r w:rsidRPr="00827ADB">
        <w:rPr>
          <w:rFonts w:eastAsia="Times New Roman"/>
          <w:b/>
          <w:sz w:val="24"/>
          <w:szCs w:val="24"/>
        </w:rPr>
        <w:t>Theos</w:t>
      </w:r>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5" w:name="a26_05"/>
      <w:bookmarkEnd w:id="5"/>
      <w:r w:rsidRPr="00E71646">
        <w:rPr>
          <w:rFonts w:eastAsia="Times New Roman"/>
          <w:b/>
          <w:sz w:val="24"/>
          <w:szCs w:val="24"/>
        </w:rPr>
        <w:lastRenderedPageBreak/>
        <w:t xml:space="preserve">26:5 </w:t>
      </w:r>
      <w:r w:rsidRPr="00E71646">
        <w:rPr>
          <w:rFonts w:eastAsia="Times New Roman"/>
          <w:b/>
          <w:sz w:val="24"/>
          <w:szCs w:val="24"/>
        </w:rPr>
        <w:tab/>
        <w:t>ACTUAL DAMAGES</w:t>
      </w:r>
    </w:p>
    <w:p w14:paraId="414A015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31202E44"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EB5935">
        <w:rPr>
          <w:rFonts w:eastAsia="Times New Roman"/>
          <w:b/>
          <w:sz w:val="24"/>
          <w:szCs w:val="24"/>
        </w:rPr>
        <w:t>[</w:t>
      </w:r>
      <w:r w:rsidRPr="00E71646">
        <w:rPr>
          <w:rFonts w:eastAsia="Times New Roman"/>
          <w:b/>
          <w:sz w:val="24"/>
          <w:szCs w:val="24"/>
        </w:rPr>
        <w:t>him</w:t>
      </w:r>
      <w:r w:rsidR="00EB5935">
        <w:rPr>
          <w:rFonts w:eastAsia="Times New Roman"/>
          <w:b/>
          <w:sz w:val="24"/>
          <w:szCs w:val="24"/>
        </w:rPr>
        <w:t>]</w:t>
      </w:r>
      <w:r w:rsidRPr="00E71646">
        <w:rPr>
          <w:rFonts w:eastAsia="Times New Roman"/>
          <w:b/>
          <w:sz w:val="24"/>
          <w:szCs w:val="24"/>
        </w:rPr>
        <w:t xml:space="preserve"> </w:t>
      </w:r>
      <w:r w:rsidR="00EB5935">
        <w:rPr>
          <w:rFonts w:eastAsia="Times New Roman"/>
          <w:b/>
          <w:sz w:val="24"/>
          <w:szCs w:val="24"/>
        </w:rPr>
        <w:t>[</w:t>
      </w:r>
      <w:r w:rsidRPr="00E71646">
        <w:rPr>
          <w:rFonts w:eastAsia="Times New Roman"/>
          <w:b/>
          <w:sz w:val="24"/>
          <w:szCs w:val="24"/>
        </w:rPr>
        <w:t>her</w:t>
      </w:r>
      <w:r w:rsidR="00EB5935">
        <w:rPr>
          <w:rFonts w:eastAsia="Times New Roman"/>
          <w:b/>
          <w:sz w:val="24"/>
          <w:szCs w:val="24"/>
        </w:rPr>
        <w:t>]</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proofErr w:type="gramStart"/>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roofErr w:type="gramEnd"/>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proofErr w:type="gramStart"/>
      <w:r w:rsidRPr="00E71646">
        <w:rPr>
          <w:rFonts w:eastAsia="Times New Roman"/>
          <w:b/>
          <w:sz w:val="24"/>
          <w:szCs w:val="24"/>
        </w:rPr>
        <w:t>Rodrigue v. Hausman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roofErr w:type="gramEnd"/>
    </w:p>
    <w:p w14:paraId="6DABAD32"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in conjunction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r w:rsidR="00C93313" w:rsidRPr="00E71646">
        <w:rPr>
          <w:rFonts w:eastAsia="Times New Roman"/>
          <w:b/>
          <w:sz w:val="24"/>
          <w:szCs w:val="24"/>
        </w:rPr>
        <w:t>Buder v. Sartore</w:t>
      </w:r>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 xml:space="preserve">Murphy v. Central Bank &amp; </w:t>
      </w:r>
      <w:r w:rsidRPr="00E71646">
        <w:rPr>
          <w:rFonts w:eastAsia="Times New Roman"/>
          <w:b/>
          <w:sz w:val="24"/>
          <w:szCs w:val="24"/>
        </w:rPr>
        <w:lastRenderedPageBreak/>
        <w:t>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r w:rsidR="00401A31" w:rsidRPr="00E71646">
        <w:rPr>
          <w:rFonts w:eastAsia="Times New Roman"/>
          <w:b/>
          <w:sz w:val="24"/>
          <w:szCs w:val="24"/>
        </w:rPr>
        <w:t>Lestoque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Life Care Ctrs</w:t>
      </w:r>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P</w:t>
      </w:r>
      <w:r w:rsidR="006E0424">
        <w:rPr>
          <w:rFonts w:eastAsia="Times New Roman"/>
          <w:b/>
          <w:sz w:val="24"/>
          <w:szCs w:val="24"/>
        </w:rPr>
        <w:t>’</w:t>
      </w:r>
      <w:r w:rsidRPr="00E71646">
        <w:rPr>
          <w:rFonts w:eastAsia="Times New Roman"/>
          <w:b/>
          <w:sz w:val="24"/>
          <w:szCs w:val="24"/>
        </w:rPr>
        <w:t>ship</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r w:rsidR="00E71646" w:rsidRPr="00E71646">
        <w:rPr>
          <w:rFonts w:eastAsia="Times New Roman"/>
          <w:i/>
          <w:sz w:val="24"/>
          <w:szCs w:val="24"/>
        </w:rPr>
        <w:t>rev’d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proofErr w:type="gramStart"/>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w:t>
      </w:r>
      <w:proofErr w:type="gramEnd"/>
      <w:r w:rsidR="00E71646" w:rsidRPr="00E71646">
        <w:rPr>
          <w:rFonts w:eastAsia="Times New Roman"/>
          <w:sz w:val="24"/>
          <w:szCs w:val="24"/>
        </w:rPr>
        <w:t xml:space="preserve"> </w:t>
      </w:r>
      <w:r w:rsidR="00E71646" w:rsidRPr="00E71646">
        <w:rPr>
          <w:rFonts w:eastAsia="Times New Roman"/>
          <w:i/>
          <w:sz w:val="24"/>
          <w:szCs w:val="24"/>
        </w:rPr>
        <w:t xml:space="preserve">But see </w:t>
      </w:r>
      <w:r w:rsidR="00E71646" w:rsidRPr="00E71646">
        <w:rPr>
          <w:rFonts w:eastAsia="Times New Roman"/>
          <w:b/>
          <w:sz w:val="24"/>
          <w:szCs w:val="24"/>
        </w:rPr>
        <w:t>Kaitz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Interest of Delluomo v. Cedarblade</w:t>
      </w:r>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r w:rsidR="00E71646" w:rsidRPr="00E71646">
        <w:rPr>
          <w:rFonts w:eastAsia="Times New Roman"/>
          <w:b/>
          <w:sz w:val="24"/>
          <w:szCs w:val="24"/>
        </w:rPr>
        <w:t>Delluomo</w:t>
      </w:r>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3DBE473F"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proofErr w:type="gramStart"/>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w:t>
      </w:r>
      <w:proofErr w:type="gramEnd"/>
      <w:r w:rsidR="00E71646" w:rsidRPr="00E71646">
        <w:rPr>
          <w:rFonts w:eastAsia="Times New Roman"/>
          <w:sz w:val="24"/>
          <w:szCs w:val="24"/>
        </w:rPr>
        <w:t xml:space="preserve">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Van Schaack v. Van Schaack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in conjunction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lastRenderedPageBreak/>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proofErr w:type="gramStart"/>
      <w:r w:rsidR="00E71646" w:rsidRPr="00E71646">
        <w:rPr>
          <w:rFonts w:eastAsia="Times New Roman"/>
          <w:b/>
          <w:sz w:val="24"/>
          <w:szCs w:val="24"/>
        </w:rPr>
        <w:t>A</w:t>
      </w:r>
      <w:proofErr w:type="gramEnd"/>
      <w:r w:rsidR="00E71646" w:rsidRPr="00E71646">
        <w:rPr>
          <w:rFonts w:eastAsia="Times New Roman"/>
          <w:b/>
          <w:sz w:val="24"/>
          <w:szCs w:val="24"/>
        </w:rPr>
        <w:t xml:space="preserve"> Good Time Rental, LLC v. </w:t>
      </w:r>
      <w:proofErr w:type="gramStart"/>
      <w:r w:rsidR="00E71646" w:rsidRPr="00E71646">
        <w:rPr>
          <w:rFonts w:eastAsia="Times New Roman"/>
          <w:b/>
          <w:sz w:val="24"/>
          <w:szCs w:val="24"/>
        </w:rPr>
        <w:t>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roofErr w:type="gramEnd"/>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proofErr w:type="gramStart"/>
      <w:r w:rsidR="00E71646" w:rsidRPr="00E71646">
        <w:rPr>
          <w:rFonts w:eastAsia="Times New Roman"/>
          <w:b/>
          <w:sz w:val="24"/>
          <w:szCs w:val="24"/>
        </w:rPr>
        <w:t>Koontz v. Rosener</w:t>
      </w:r>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roofErr w:type="gramEnd"/>
    </w:p>
    <w:sectPr w:rsidR="00E41870" w:rsidRPr="00EC29A6"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B808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808CB" w16cid:durableId="257841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6B931" w14:textId="77777777" w:rsidR="00514DC0" w:rsidRDefault="00514DC0" w:rsidP="0054263B">
      <w:r>
        <w:separator/>
      </w:r>
    </w:p>
    <w:p w14:paraId="4A5B666A" w14:textId="77777777" w:rsidR="00514DC0" w:rsidRDefault="00514DC0"/>
  </w:endnote>
  <w:endnote w:type="continuationSeparator" w:id="0">
    <w:p w14:paraId="2FE7F9F8" w14:textId="77777777" w:rsidR="00514DC0" w:rsidRDefault="00514DC0" w:rsidP="0054263B">
      <w:r>
        <w:continuationSeparator/>
      </w:r>
    </w:p>
    <w:p w14:paraId="716D6C31" w14:textId="77777777" w:rsidR="00514DC0" w:rsidRDefault="0051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C1697F">
          <w:rPr>
            <w:noProof/>
          </w:rPr>
          <w:t>4</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C6496" w14:textId="77777777" w:rsidR="00514DC0" w:rsidRDefault="00514DC0" w:rsidP="0054263B">
      <w:r>
        <w:separator/>
      </w:r>
    </w:p>
    <w:p w14:paraId="336B75AE" w14:textId="77777777" w:rsidR="00514DC0" w:rsidRDefault="00514DC0"/>
  </w:footnote>
  <w:footnote w:type="continuationSeparator" w:id="0">
    <w:p w14:paraId="3F1DF187" w14:textId="77777777" w:rsidR="00514DC0" w:rsidRDefault="00514DC0" w:rsidP="0054263B">
      <w:r>
        <w:continuationSeparator/>
      </w:r>
    </w:p>
    <w:p w14:paraId="7AC79C7C" w14:textId="77777777" w:rsidR="00514DC0" w:rsidRDefault="00514D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10538"/>
    <w:rsid w:val="00020613"/>
    <w:rsid w:val="00020CF1"/>
    <w:rsid w:val="000224AF"/>
    <w:rsid w:val="00037111"/>
    <w:rsid w:val="000532E3"/>
    <w:rsid w:val="0006367C"/>
    <w:rsid w:val="00074558"/>
    <w:rsid w:val="000824C8"/>
    <w:rsid w:val="00085495"/>
    <w:rsid w:val="000921F1"/>
    <w:rsid w:val="0009462F"/>
    <w:rsid w:val="000962C8"/>
    <w:rsid w:val="000A040F"/>
    <w:rsid w:val="000B1B7A"/>
    <w:rsid w:val="000C204E"/>
    <w:rsid w:val="000C4A14"/>
    <w:rsid w:val="000C503A"/>
    <w:rsid w:val="000C6F97"/>
    <w:rsid w:val="000D4856"/>
    <w:rsid w:val="000F205C"/>
    <w:rsid w:val="000F57B1"/>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71A9"/>
    <w:rsid w:val="00171705"/>
    <w:rsid w:val="00172674"/>
    <w:rsid w:val="00174BB5"/>
    <w:rsid w:val="0018302F"/>
    <w:rsid w:val="0018388B"/>
    <w:rsid w:val="00184D62"/>
    <w:rsid w:val="001903CB"/>
    <w:rsid w:val="001913B1"/>
    <w:rsid w:val="00191498"/>
    <w:rsid w:val="00191C86"/>
    <w:rsid w:val="00195972"/>
    <w:rsid w:val="0019684F"/>
    <w:rsid w:val="001A2648"/>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6E36"/>
    <w:rsid w:val="00227D3A"/>
    <w:rsid w:val="00231BC4"/>
    <w:rsid w:val="00232C53"/>
    <w:rsid w:val="0024003A"/>
    <w:rsid w:val="0024062B"/>
    <w:rsid w:val="0024597C"/>
    <w:rsid w:val="00254258"/>
    <w:rsid w:val="002547C3"/>
    <w:rsid w:val="002654B4"/>
    <w:rsid w:val="00265D86"/>
    <w:rsid w:val="00267805"/>
    <w:rsid w:val="00273777"/>
    <w:rsid w:val="0027486C"/>
    <w:rsid w:val="0028301A"/>
    <w:rsid w:val="00290935"/>
    <w:rsid w:val="00293941"/>
    <w:rsid w:val="00293F7E"/>
    <w:rsid w:val="00295B39"/>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9728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24EA"/>
    <w:rsid w:val="00433162"/>
    <w:rsid w:val="00434371"/>
    <w:rsid w:val="004425AA"/>
    <w:rsid w:val="00456038"/>
    <w:rsid w:val="00456B2B"/>
    <w:rsid w:val="00460071"/>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C73F5"/>
    <w:rsid w:val="004D2C99"/>
    <w:rsid w:val="004D57DB"/>
    <w:rsid w:val="004E0408"/>
    <w:rsid w:val="004E7EF1"/>
    <w:rsid w:val="004F003D"/>
    <w:rsid w:val="00502D97"/>
    <w:rsid w:val="005065E6"/>
    <w:rsid w:val="0051385E"/>
    <w:rsid w:val="00514DC0"/>
    <w:rsid w:val="00516447"/>
    <w:rsid w:val="0052537F"/>
    <w:rsid w:val="00527A18"/>
    <w:rsid w:val="00531F87"/>
    <w:rsid w:val="0053544D"/>
    <w:rsid w:val="0054263B"/>
    <w:rsid w:val="00547D97"/>
    <w:rsid w:val="00550AFD"/>
    <w:rsid w:val="005575D0"/>
    <w:rsid w:val="00557FCC"/>
    <w:rsid w:val="005626B2"/>
    <w:rsid w:val="005648EF"/>
    <w:rsid w:val="00564FCD"/>
    <w:rsid w:val="00576EAD"/>
    <w:rsid w:val="0057771F"/>
    <w:rsid w:val="00583F4A"/>
    <w:rsid w:val="00596900"/>
    <w:rsid w:val="005A22A6"/>
    <w:rsid w:val="005B27FE"/>
    <w:rsid w:val="005B3A78"/>
    <w:rsid w:val="005C56C9"/>
    <w:rsid w:val="005C5CCB"/>
    <w:rsid w:val="005D1AD3"/>
    <w:rsid w:val="005D3156"/>
    <w:rsid w:val="005E712D"/>
    <w:rsid w:val="005F1017"/>
    <w:rsid w:val="005F19FD"/>
    <w:rsid w:val="005F5A94"/>
    <w:rsid w:val="00604F03"/>
    <w:rsid w:val="006050B3"/>
    <w:rsid w:val="006053F6"/>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0C6E"/>
    <w:rsid w:val="006A47FD"/>
    <w:rsid w:val="006A5E1B"/>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2964"/>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4300C"/>
    <w:rsid w:val="007532AB"/>
    <w:rsid w:val="00766F81"/>
    <w:rsid w:val="00770FFC"/>
    <w:rsid w:val="00776F3F"/>
    <w:rsid w:val="00787065"/>
    <w:rsid w:val="00792028"/>
    <w:rsid w:val="007A1E8C"/>
    <w:rsid w:val="007A2BD1"/>
    <w:rsid w:val="007A3A0E"/>
    <w:rsid w:val="007A56C2"/>
    <w:rsid w:val="007A612E"/>
    <w:rsid w:val="007B1633"/>
    <w:rsid w:val="007C42D5"/>
    <w:rsid w:val="007C4B23"/>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1ED"/>
    <w:rsid w:val="008557E1"/>
    <w:rsid w:val="00855DB9"/>
    <w:rsid w:val="008641A3"/>
    <w:rsid w:val="0086735A"/>
    <w:rsid w:val="008703EF"/>
    <w:rsid w:val="00875064"/>
    <w:rsid w:val="008812A8"/>
    <w:rsid w:val="00881431"/>
    <w:rsid w:val="008859AF"/>
    <w:rsid w:val="00895065"/>
    <w:rsid w:val="008A0D33"/>
    <w:rsid w:val="008A1099"/>
    <w:rsid w:val="008A475A"/>
    <w:rsid w:val="008A6339"/>
    <w:rsid w:val="008A637B"/>
    <w:rsid w:val="008B1617"/>
    <w:rsid w:val="008B5859"/>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603E5"/>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041D"/>
    <w:rsid w:val="009F581C"/>
    <w:rsid w:val="00A005E6"/>
    <w:rsid w:val="00A038A6"/>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120C8"/>
    <w:rsid w:val="00B134C5"/>
    <w:rsid w:val="00B27F5C"/>
    <w:rsid w:val="00B328BA"/>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333D"/>
    <w:rsid w:val="00BF5DF3"/>
    <w:rsid w:val="00C161A1"/>
    <w:rsid w:val="00C1697F"/>
    <w:rsid w:val="00C21D93"/>
    <w:rsid w:val="00C225C9"/>
    <w:rsid w:val="00C26751"/>
    <w:rsid w:val="00C40968"/>
    <w:rsid w:val="00C473A2"/>
    <w:rsid w:val="00C60E95"/>
    <w:rsid w:val="00C610EC"/>
    <w:rsid w:val="00C724B6"/>
    <w:rsid w:val="00C84E71"/>
    <w:rsid w:val="00C87463"/>
    <w:rsid w:val="00C8797B"/>
    <w:rsid w:val="00C901D7"/>
    <w:rsid w:val="00C93313"/>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2A2F"/>
    <w:rsid w:val="00CE593D"/>
    <w:rsid w:val="00CF07F1"/>
    <w:rsid w:val="00CF76E9"/>
    <w:rsid w:val="00CF79FC"/>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4221"/>
    <w:rsid w:val="00E0552C"/>
    <w:rsid w:val="00E058BA"/>
    <w:rsid w:val="00E111AA"/>
    <w:rsid w:val="00E172C8"/>
    <w:rsid w:val="00E21120"/>
    <w:rsid w:val="00E24E10"/>
    <w:rsid w:val="00E2724A"/>
    <w:rsid w:val="00E30D4B"/>
    <w:rsid w:val="00E372EA"/>
    <w:rsid w:val="00E41870"/>
    <w:rsid w:val="00E50187"/>
    <w:rsid w:val="00E55147"/>
    <w:rsid w:val="00E551EB"/>
    <w:rsid w:val="00E57F5F"/>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4043"/>
    <w:rsid w:val="00F00661"/>
    <w:rsid w:val="00F022D4"/>
    <w:rsid w:val="00F062A4"/>
    <w:rsid w:val="00F32AA4"/>
    <w:rsid w:val="00F573CF"/>
    <w:rsid w:val="00F57A2B"/>
    <w:rsid w:val="00F60050"/>
    <w:rsid w:val="00F64213"/>
    <w:rsid w:val="00F658E5"/>
    <w:rsid w:val="00F764F4"/>
    <w:rsid w:val="00F82676"/>
    <w:rsid w:val="00F8277D"/>
    <w:rsid w:val="00F86F49"/>
    <w:rsid w:val="00F9124B"/>
    <w:rsid w:val="00F94DD6"/>
    <w:rsid w:val="00FA333E"/>
    <w:rsid w:val="00FA53D7"/>
    <w:rsid w:val="00FA7B76"/>
    <w:rsid w:val="00FC1E82"/>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A2B3-DADD-40BF-A0FF-79F40282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5720</Words>
  <Characters>32609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2022-01-12T17:02:00Z</dcterms:created>
  <dcterms:modified xsi:type="dcterms:W3CDTF">2022-01-12T17:02:00Z</dcterms:modified>
</cp:coreProperties>
</file>