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30C11" w14:textId="215B6884" w:rsidR="00057E62" w:rsidRDefault="00057E62" w:rsidP="00583762">
      <w:pPr>
        <w:ind w:left="720" w:hanging="720"/>
        <w:jc w:val="center"/>
        <w:rPr>
          <w:rFonts w:eastAsia="Times New Roman"/>
          <w:b/>
          <w:sz w:val="24"/>
          <w:szCs w:val="24"/>
        </w:rPr>
      </w:pPr>
      <w:bookmarkStart w:id="0" w:name="_GoBack"/>
      <w:bookmarkEnd w:id="0"/>
      <w:r>
        <w:rPr>
          <w:rFonts w:eastAsia="Times New Roman"/>
          <w:b/>
          <w:sz w:val="24"/>
          <w:szCs w:val="24"/>
        </w:rPr>
        <w:t>CHAPTER 32</w:t>
      </w:r>
    </w:p>
    <w:p w14:paraId="2082A997" w14:textId="77777777" w:rsidR="00057E62" w:rsidRDefault="00057E62" w:rsidP="00583762">
      <w:pPr>
        <w:ind w:left="720" w:hanging="720"/>
        <w:jc w:val="center"/>
        <w:rPr>
          <w:rFonts w:eastAsia="Times New Roman"/>
          <w:b/>
          <w:sz w:val="24"/>
          <w:szCs w:val="24"/>
        </w:rPr>
      </w:pPr>
    </w:p>
    <w:p w14:paraId="4FB0CF49" w14:textId="77777777" w:rsidR="00057E62" w:rsidRDefault="00C6198C" w:rsidP="00583762">
      <w:pPr>
        <w:ind w:left="720" w:hanging="720"/>
        <w:jc w:val="center"/>
        <w:rPr>
          <w:rFonts w:eastAsia="Times New Roman"/>
          <w:b/>
          <w:sz w:val="24"/>
          <w:szCs w:val="24"/>
        </w:rPr>
      </w:pPr>
      <w:r>
        <w:rPr>
          <w:rFonts w:eastAsia="Times New Roman"/>
          <w:b/>
          <w:sz w:val="24"/>
          <w:szCs w:val="24"/>
        </w:rPr>
        <w:t>PERSONAL PROPERTY</w:t>
      </w:r>
    </w:p>
    <w:p w14:paraId="4D0CFDA8" w14:textId="77777777" w:rsidR="00057E62" w:rsidRDefault="00057E62" w:rsidP="00057E62">
      <w:pPr>
        <w:ind w:left="720" w:hanging="720"/>
        <w:rPr>
          <w:rFonts w:eastAsia="Times New Roman"/>
          <w:b/>
          <w:sz w:val="24"/>
          <w:szCs w:val="24"/>
        </w:rPr>
      </w:pPr>
    </w:p>
    <w:p w14:paraId="066C0395" w14:textId="77777777" w:rsidR="00057E62" w:rsidRDefault="00E318F2" w:rsidP="00BC4E1D">
      <w:pPr>
        <w:spacing w:after="240"/>
        <w:ind w:left="720" w:hanging="720"/>
        <w:rPr>
          <w:rFonts w:eastAsia="Times New Roman"/>
          <w:sz w:val="24"/>
          <w:szCs w:val="24"/>
        </w:rPr>
      </w:pPr>
      <w:r w:rsidRPr="00057E62">
        <w:rPr>
          <w:rFonts w:eastAsia="Times New Roman"/>
          <w:sz w:val="24"/>
          <w:szCs w:val="24"/>
        </w:rPr>
        <w:t>A. CONVERSION</w:t>
      </w:r>
    </w:p>
    <w:p w14:paraId="78D20DAB" w14:textId="0B8C54A8" w:rsidR="00C94893" w:rsidRPr="00C94893" w:rsidRDefault="00B64CB8" w:rsidP="00BC4E1D">
      <w:pPr>
        <w:spacing w:after="80"/>
        <w:ind w:left="720" w:hanging="720"/>
        <w:rPr>
          <w:rFonts w:eastAsia="Times New Roman"/>
          <w:sz w:val="24"/>
          <w:szCs w:val="24"/>
        </w:rPr>
      </w:pPr>
      <w:hyperlink w:anchor="a32_01" w:history="1">
        <w:r w:rsidR="00E318F2" w:rsidRPr="00E713D3">
          <w:rPr>
            <w:rStyle w:val="Hyperlink"/>
            <w:rFonts w:eastAsia="Times New Roman"/>
            <w:sz w:val="24"/>
            <w:szCs w:val="24"/>
          </w:rPr>
          <w:t>32:1</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2D634F36" w14:textId="4502DAD1" w:rsidR="00C94893" w:rsidRPr="00C94893" w:rsidRDefault="00B64CB8" w:rsidP="00BC4E1D">
      <w:pPr>
        <w:spacing w:after="80"/>
        <w:ind w:left="720" w:hanging="720"/>
        <w:rPr>
          <w:rFonts w:eastAsia="Times New Roman"/>
          <w:bCs/>
          <w:sz w:val="24"/>
          <w:szCs w:val="24"/>
        </w:rPr>
      </w:pPr>
      <w:hyperlink w:anchor="a32_02" w:history="1">
        <w:proofErr w:type="gramStart"/>
        <w:r w:rsidR="00E318F2" w:rsidRPr="00E713D3">
          <w:rPr>
            <w:rStyle w:val="Hyperlink"/>
            <w:rFonts w:eastAsia="Times New Roman"/>
            <w:bCs/>
            <w:sz w:val="24"/>
            <w:szCs w:val="24"/>
          </w:rPr>
          <w:t>32:2</w:t>
        </w:r>
      </w:hyperlink>
      <w:r w:rsidR="00E318F2" w:rsidRPr="00C94893">
        <w:rPr>
          <w:rFonts w:eastAsia="Times New Roman"/>
          <w:bCs/>
          <w:sz w:val="24"/>
          <w:szCs w:val="24"/>
        </w:rPr>
        <w:tab/>
        <w:t xml:space="preserve">Intentional </w:t>
      </w:r>
      <w:r w:rsidR="00E318F2">
        <w:rPr>
          <w:rFonts w:eastAsia="Times New Roman"/>
          <w:bCs/>
          <w:sz w:val="24"/>
          <w:szCs w:val="24"/>
        </w:rPr>
        <w:t xml:space="preserve">and Substantial </w:t>
      </w:r>
      <w:r w:rsidR="00E318F2" w:rsidRPr="00C94893">
        <w:rPr>
          <w:rFonts w:eastAsia="Times New Roman"/>
          <w:bCs/>
          <w:sz w:val="24"/>
          <w:szCs w:val="24"/>
        </w:rPr>
        <w:t>Interference —</w:t>
      </w:r>
      <w:proofErr w:type="gramEnd"/>
      <w:r w:rsidR="00E318F2" w:rsidRPr="00C94893">
        <w:rPr>
          <w:rFonts w:eastAsia="Times New Roman"/>
          <w:bCs/>
          <w:sz w:val="24"/>
          <w:szCs w:val="24"/>
        </w:rPr>
        <w:t xml:space="preserve"> Defined</w:t>
      </w:r>
    </w:p>
    <w:p w14:paraId="55E28848" w14:textId="2BA53B67" w:rsidR="00C94893" w:rsidRDefault="00B64CB8" w:rsidP="00BC4E1D">
      <w:pPr>
        <w:spacing w:after="80"/>
        <w:ind w:left="720" w:hanging="720"/>
        <w:rPr>
          <w:rFonts w:eastAsia="Times New Roman"/>
          <w:bCs/>
          <w:sz w:val="24"/>
          <w:szCs w:val="24"/>
        </w:rPr>
      </w:pPr>
      <w:hyperlink w:anchor="a32_03" w:history="1">
        <w:r w:rsidR="00E318F2" w:rsidRPr="00E713D3">
          <w:rPr>
            <w:rStyle w:val="Hyperlink"/>
            <w:rFonts w:eastAsia="Times New Roman"/>
            <w:bCs/>
            <w:sz w:val="24"/>
            <w:szCs w:val="24"/>
          </w:rPr>
          <w:t>32:3</w:t>
        </w:r>
      </w:hyperlink>
      <w:r w:rsidR="00E318F2" w:rsidRPr="00C94893">
        <w:rPr>
          <w:rFonts w:eastAsia="Times New Roman"/>
          <w:bCs/>
          <w:sz w:val="24"/>
          <w:szCs w:val="24"/>
        </w:rPr>
        <w:tab/>
        <w:t>Damages</w:t>
      </w:r>
    </w:p>
    <w:p w14:paraId="6E931ECD" w14:textId="77777777" w:rsidR="00BC4E1D" w:rsidRPr="00C94893" w:rsidRDefault="00BC4E1D" w:rsidP="00BC4E1D">
      <w:pPr>
        <w:spacing w:after="80"/>
        <w:ind w:left="720" w:hanging="720"/>
        <w:rPr>
          <w:rFonts w:eastAsia="Times New Roman"/>
          <w:sz w:val="24"/>
          <w:szCs w:val="24"/>
        </w:rPr>
      </w:pPr>
    </w:p>
    <w:p w14:paraId="1D1186DA" w14:textId="77777777" w:rsidR="00C94893" w:rsidRPr="00C94893" w:rsidRDefault="00E318F2" w:rsidP="00BC4E1D">
      <w:pPr>
        <w:spacing w:after="240"/>
        <w:ind w:left="720" w:hanging="720"/>
        <w:rPr>
          <w:rFonts w:eastAsia="Times New Roman"/>
          <w:sz w:val="24"/>
          <w:szCs w:val="24"/>
        </w:rPr>
      </w:pPr>
      <w:r w:rsidRPr="00C94893">
        <w:rPr>
          <w:rFonts w:eastAsia="Times New Roman"/>
          <w:sz w:val="24"/>
          <w:szCs w:val="24"/>
        </w:rPr>
        <w:t>B. CIVIL THEFT</w:t>
      </w:r>
    </w:p>
    <w:p w14:paraId="446F0DB8" w14:textId="2993201A" w:rsidR="00C94893" w:rsidRPr="00C94893" w:rsidRDefault="00B64CB8" w:rsidP="00BC4E1D">
      <w:pPr>
        <w:spacing w:after="80"/>
        <w:rPr>
          <w:rFonts w:eastAsia="Times New Roman"/>
          <w:sz w:val="24"/>
          <w:szCs w:val="24"/>
        </w:rPr>
      </w:pPr>
      <w:hyperlink w:anchor="a32_04" w:history="1">
        <w:r w:rsidR="00E318F2" w:rsidRPr="00E713D3">
          <w:rPr>
            <w:rStyle w:val="Hyperlink"/>
            <w:rFonts w:eastAsia="Times New Roman"/>
            <w:sz w:val="24"/>
            <w:szCs w:val="24"/>
          </w:rPr>
          <w:t>3</w:t>
        </w:r>
        <w:r w:rsidR="00E713D3" w:rsidRPr="00E713D3">
          <w:rPr>
            <w:rStyle w:val="Hyperlink"/>
            <w:rFonts w:eastAsia="Times New Roman"/>
            <w:sz w:val="24"/>
            <w:szCs w:val="24"/>
          </w:rPr>
          <w:t>2:4</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736E3258" w14:textId="263D5A95" w:rsidR="00C94893" w:rsidRPr="00C94893" w:rsidRDefault="00B64CB8" w:rsidP="00BC4E1D">
      <w:pPr>
        <w:spacing w:after="80"/>
        <w:ind w:left="720" w:hanging="720"/>
        <w:rPr>
          <w:rFonts w:eastAsia="Times New Roman"/>
          <w:sz w:val="24"/>
          <w:szCs w:val="24"/>
        </w:rPr>
      </w:pPr>
      <w:hyperlink w:anchor="a32_05" w:history="1">
        <w:r w:rsidR="00E713D3" w:rsidRPr="00E713D3">
          <w:rPr>
            <w:rStyle w:val="Hyperlink"/>
            <w:rFonts w:eastAsia="Times New Roman"/>
            <w:sz w:val="24"/>
            <w:szCs w:val="24"/>
          </w:rPr>
          <w:t>32:5</w:t>
        </w:r>
      </w:hyperlink>
      <w:r w:rsidR="00E318F2" w:rsidRPr="00C94893">
        <w:rPr>
          <w:rFonts w:eastAsia="Times New Roman"/>
          <w:sz w:val="24"/>
          <w:szCs w:val="24"/>
        </w:rPr>
        <w:tab/>
        <w:t xml:space="preserve">Intentional </w:t>
      </w:r>
      <w:r w:rsidR="00E318F2">
        <w:rPr>
          <w:rFonts w:eastAsia="Times New Roman"/>
          <w:sz w:val="24"/>
          <w:szCs w:val="24"/>
        </w:rPr>
        <w:t>a</w:t>
      </w:r>
      <w:r w:rsidR="00E318F2" w:rsidRPr="00C94893">
        <w:rPr>
          <w:rFonts w:eastAsia="Times New Roman"/>
          <w:sz w:val="24"/>
          <w:szCs w:val="24"/>
        </w:rPr>
        <w:t>nd Knowingly — Defined</w:t>
      </w:r>
    </w:p>
    <w:p w14:paraId="658E4663" w14:textId="6725C437" w:rsidR="00C94893" w:rsidRPr="00C94893" w:rsidRDefault="00B64CB8" w:rsidP="00BC4E1D">
      <w:pPr>
        <w:spacing w:after="80"/>
        <w:rPr>
          <w:sz w:val="24"/>
          <w:szCs w:val="24"/>
        </w:rPr>
      </w:pPr>
      <w:hyperlink w:anchor="a32_06" w:history="1">
        <w:r w:rsidR="00E318F2" w:rsidRPr="00E713D3">
          <w:rPr>
            <w:rStyle w:val="Hyperlink"/>
            <w:sz w:val="24"/>
            <w:szCs w:val="24"/>
          </w:rPr>
          <w:t>32:6</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Actual</w:t>
      </w:r>
    </w:p>
    <w:p w14:paraId="1E2F3DE0" w14:textId="01FC75DE" w:rsidR="00C94893" w:rsidRPr="00C94893" w:rsidRDefault="00B64CB8" w:rsidP="00BC4E1D">
      <w:pPr>
        <w:spacing w:after="80"/>
        <w:rPr>
          <w:sz w:val="24"/>
          <w:szCs w:val="24"/>
        </w:rPr>
      </w:pPr>
      <w:hyperlink w:anchor="a32_07" w:history="1">
        <w:r w:rsidR="00E318F2" w:rsidRPr="00E713D3">
          <w:rPr>
            <w:rStyle w:val="Hyperlink"/>
            <w:sz w:val="24"/>
            <w:szCs w:val="24"/>
          </w:rPr>
          <w:t>32:7</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Statutory</w:t>
      </w:r>
    </w:p>
    <w:p w14:paraId="15658229" w14:textId="77777777" w:rsidR="00C94893" w:rsidRDefault="00C94893" w:rsidP="00C94893">
      <w:pPr>
        <w:rPr>
          <w:rFonts w:eastAsia="Times New Roman"/>
          <w:b/>
          <w:sz w:val="24"/>
          <w:szCs w:val="24"/>
        </w:rPr>
      </w:pPr>
    </w:p>
    <w:p w14:paraId="723F12D1" w14:textId="77777777" w:rsidR="00C94893" w:rsidRPr="00057E62" w:rsidRDefault="00C94893" w:rsidP="00057E62">
      <w:pPr>
        <w:ind w:left="720" w:hanging="720"/>
        <w:rPr>
          <w:rFonts w:eastAsia="Times New Roman"/>
          <w:sz w:val="24"/>
          <w:szCs w:val="24"/>
        </w:rPr>
      </w:pPr>
    </w:p>
    <w:p w14:paraId="78C1D768" w14:textId="77777777" w:rsidR="00C94893" w:rsidRDefault="00C94893">
      <w:pPr>
        <w:spacing w:after="200" w:line="276" w:lineRule="auto"/>
        <w:rPr>
          <w:rFonts w:eastAsia="Times New Roman"/>
          <w:b/>
          <w:sz w:val="24"/>
          <w:szCs w:val="24"/>
        </w:rPr>
      </w:pPr>
      <w:r>
        <w:rPr>
          <w:rFonts w:eastAsia="Times New Roman"/>
          <w:b/>
          <w:sz w:val="24"/>
          <w:szCs w:val="24"/>
        </w:rPr>
        <w:br w:type="page"/>
      </w:r>
    </w:p>
    <w:p w14:paraId="3F7197CF" w14:textId="77777777" w:rsidR="00583762" w:rsidRDefault="00583762" w:rsidP="00A92E6B">
      <w:pPr>
        <w:spacing w:after="240"/>
        <w:ind w:left="720" w:hanging="720"/>
        <w:jc w:val="center"/>
        <w:rPr>
          <w:rFonts w:eastAsia="Times New Roman"/>
          <w:b/>
          <w:sz w:val="24"/>
          <w:szCs w:val="24"/>
        </w:rPr>
      </w:pPr>
      <w:bookmarkStart w:id="1" w:name="a32_01"/>
      <w:bookmarkEnd w:id="1"/>
      <w:r>
        <w:rPr>
          <w:rFonts w:eastAsia="Times New Roman"/>
          <w:b/>
          <w:sz w:val="24"/>
          <w:szCs w:val="24"/>
        </w:rPr>
        <w:lastRenderedPageBreak/>
        <w:t>A. CONVERSION</w:t>
      </w:r>
    </w:p>
    <w:p w14:paraId="515E7357" w14:textId="77777777" w:rsidR="003B4FFC" w:rsidRDefault="003B4FFC" w:rsidP="00E318F2">
      <w:pPr>
        <w:spacing w:after="240"/>
        <w:ind w:left="720" w:hanging="720"/>
        <w:rPr>
          <w:rFonts w:eastAsia="Times New Roman"/>
          <w:b/>
          <w:sz w:val="24"/>
          <w:szCs w:val="24"/>
        </w:rPr>
      </w:pPr>
      <w:r>
        <w:rPr>
          <w:rFonts w:eastAsia="Times New Roman"/>
          <w:b/>
          <w:sz w:val="24"/>
          <w:szCs w:val="24"/>
        </w:rPr>
        <w:t xml:space="preserve">32:1 </w:t>
      </w:r>
      <w:r>
        <w:rPr>
          <w:rFonts w:eastAsia="Times New Roman"/>
          <w:b/>
          <w:sz w:val="24"/>
          <w:szCs w:val="24"/>
        </w:rPr>
        <w:tab/>
        <w:t>ELEMENTS OF LIABILITY</w:t>
      </w:r>
    </w:p>
    <w:p w14:paraId="2F7BB649" w14:textId="420611F2" w:rsidR="003B4FFC" w:rsidRDefault="003B4FFC" w:rsidP="00E318F2">
      <w:pPr>
        <w:spacing w:after="240"/>
        <w:ind w:firstLine="720"/>
        <w:rPr>
          <w:b/>
          <w:sz w:val="24"/>
          <w:szCs w:val="24"/>
        </w:rPr>
      </w:pPr>
      <w:r>
        <w:rPr>
          <w:b/>
          <w:sz w:val="24"/>
          <w:szCs w:val="24"/>
        </w:rPr>
        <w:t xml:space="preserve">For the plaintiff, </w:t>
      </w:r>
      <w:r>
        <w:rPr>
          <w:i/>
          <w:sz w:val="24"/>
          <w:szCs w:val="24"/>
        </w:rPr>
        <w:t>(name)</w:t>
      </w:r>
      <w:r>
        <w:rPr>
          <w:b/>
          <w:sz w:val="24"/>
          <w:szCs w:val="24"/>
        </w:rPr>
        <w:t xml:space="preserve">, to recover from the defendant, </w:t>
      </w:r>
      <w:r>
        <w:rPr>
          <w:i/>
          <w:sz w:val="24"/>
          <w:szCs w:val="24"/>
        </w:rPr>
        <w:t>(name)</w:t>
      </w:r>
      <w:r>
        <w:rPr>
          <w:b/>
          <w:sz w:val="24"/>
          <w:szCs w:val="24"/>
        </w:rPr>
        <w:t>, on (his) (her) (its) claim of conversion of personal property, you must find that all of the following have been proved by a</w:t>
      </w:r>
      <w:r w:rsidR="008875B3">
        <w:rPr>
          <w:b/>
          <w:sz w:val="24"/>
          <w:szCs w:val="24"/>
        </w:rPr>
        <w:t xml:space="preserve"> preponderance of the evidence:</w:t>
      </w:r>
    </w:p>
    <w:p w14:paraId="6EA90591" w14:textId="77777777" w:rsidR="0059311C" w:rsidRDefault="003B4FFC" w:rsidP="0059311C">
      <w:pPr>
        <w:spacing w:after="240"/>
        <w:ind w:firstLine="720"/>
        <w:rPr>
          <w:b/>
          <w:sz w:val="24"/>
          <w:szCs w:val="24"/>
        </w:rPr>
      </w:pPr>
      <w:r>
        <w:rPr>
          <w:b/>
          <w:sz w:val="24"/>
          <w:szCs w:val="24"/>
        </w:rPr>
        <w:t xml:space="preserve">1. </w:t>
      </w:r>
      <w:r w:rsidR="00CE1103">
        <w:rPr>
          <w:b/>
          <w:sz w:val="24"/>
          <w:szCs w:val="24"/>
        </w:rPr>
        <w:t>The p</w:t>
      </w:r>
      <w:r>
        <w:rPr>
          <w:b/>
          <w:sz w:val="24"/>
          <w:szCs w:val="24"/>
        </w:rPr>
        <w:t xml:space="preserve">laintiff, </w:t>
      </w:r>
      <w:r>
        <w:rPr>
          <w:i/>
          <w:sz w:val="24"/>
          <w:szCs w:val="24"/>
        </w:rPr>
        <w:t>(name)</w:t>
      </w:r>
      <w:r>
        <w:rPr>
          <w:b/>
          <w:sz w:val="24"/>
          <w:szCs w:val="24"/>
        </w:rPr>
        <w:t xml:space="preserve">, (owned) (possessed) (had a right to possess) (a) (an) </w:t>
      </w:r>
      <w:r>
        <w:rPr>
          <w:i/>
          <w:sz w:val="24"/>
          <w:szCs w:val="24"/>
        </w:rPr>
        <w:t>(insert item of personal property)</w:t>
      </w:r>
      <w:r>
        <w:rPr>
          <w:b/>
          <w:sz w:val="24"/>
          <w:szCs w:val="24"/>
        </w:rPr>
        <w:t>;</w:t>
      </w:r>
    </w:p>
    <w:p w14:paraId="5F46E51B" w14:textId="32CC8B75" w:rsidR="003B4FFC" w:rsidRDefault="003B4FFC" w:rsidP="0059311C">
      <w:pPr>
        <w:spacing w:after="240"/>
        <w:ind w:firstLine="720"/>
        <w:rPr>
          <w:b/>
          <w:sz w:val="24"/>
          <w:szCs w:val="24"/>
        </w:rPr>
      </w:pPr>
      <w:r>
        <w:rPr>
          <w:b/>
          <w:sz w:val="24"/>
          <w:szCs w:val="24"/>
        </w:rPr>
        <w:t xml:space="preserve">2. </w:t>
      </w:r>
      <w:r w:rsidR="00CE1103">
        <w:rPr>
          <w:b/>
          <w:sz w:val="24"/>
          <w:szCs w:val="24"/>
        </w:rPr>
        <w:t>The d</w:t>
      </w:r>
      <w:r>
        <w:rPr>
          <w:b/>
          <w:sz w:val="24"/>
          <w:szCs w:val="24"/>
        </w:rPr>
        <w:t xml:space="preserve">efendant, </w:t>
      </w:r>
      <w:r>
        <w:rPr>
          <w:i/>
          <w:sz w:val="24"/>
          <w:szCs w:val="24"/>
        </w:rPr>
        <w:t>(name)</w:t>
      </w:r>
      <w:r>
        <w:rPr>
          <w:b/>
          <w:sz w:val="24"/>
          <w:szCs w:val="24"/>
        </w:rPr>
        <w:t xml:space="preserve">, intentionally and substantially interfered with </w:t>
      </w:r>
      <w:r w:rsidR="00CE1103">
        <w:rPr>
          <w:b/>
          <w:sz w:val="24"/>
          <w:szCs w:val="24"/>
        </w:rPr>
        <w:t xml:space="preserve">the </w:t>
      </w:r>
      <w:r>
        <w:rPr>
          <w:b/>
          <w:sz w:val="24"/>
          <w:szCs w:val="24"/>
        </w:rPr>
        <w:t>plaintiff’s</w:t>
      </w:r>
      <w:r w:rsidR="00D21335">
        <w:rPr>
          <w:b/>
          <w:sz w:val="24"/>
          <w:szCs w:val="24"/>
        </w:rPr>
        <w:t xml:space="preserve"> (ownership</w:t>
      </w:r>
      <w:r w:rsidR="005B418C">
        <w:rPr>
          <w:b/>
          <w:sz w:val="24"/>
          <w:szCs w:val="24"/>
        </w:rPr>
        <w:t xml:space="preserve"> of</w:t>
      </w:r>
      <w:r w:rsidR="00D21335">
        <w:rPr>
          <w:b/>
          <w:sz w:val="24"/>
          <w:szCs w:val="24"/>
        </w:rPr>
        <w:t>) (possession</w:t>
      </w:r>
      <w:r w:rsidR="005B418C">
        <w:rPr>
          <w:b/>
          <w:sz w:val="24"/>
          <w:szCs w:val="24"/>
        </w:rPr>
        <w:t xml:space="preserve"> of</w:t>
      </w:r>
      <w:r w:rsidR="00D21335">
        <w:rPr>
          <w:b/>
          <w:sz w:val="24"/>
          <w:szCs w:val="24"/>
        </w:rPr>
        <w:t>) (right to possess)</w:t>
      </w:r>
      <w:r w:rsidR="00810470">
        <w:rPr>
          <w:b/>
          <w:sz w:val="24"/>
          <w:szCs w:val="24"/>
        </w:rPr>
        <w:t xml:space="preserve"> </w:t>
      </w:r>
      <w:r>
        <w:rPr>
          <w:i/>
          <w:sz w:val="24"/>
          <w:szCs w:val="24"/>
        </w:rPr>
        <w:t>(insert item of personal property)</w:t>
      </w:r>
      <w:r>
        <w:rPr>
          <w:b/>
          <w:sz w:val="24"/>
          <w:szCs w:val="24"/>
        </w:rPr>
        <w:t xml:space="preserve"> by (taking possession of the </w:t>
      </w:r>
      <w:r>
        <w:rPr>
          <w:i/>
          <w:sz w:val="24"/>
          <w:szCs w:val="24"/>
        </w:rPr>
        <w:t>[insert item of personal property]</w:t>
      </w:r>
      <w:r>
        <w:rPr>
          <w:b/>
          <w:sz w:val="24"/>
          <w:szCs w:val="24"/>
        </w:rPr>
        <w:t xml:space="preserve">) (preventing </w:t>
      </w:r>
      <w:r w:rsidR="00CE1103">
        <w:rPr>
          <w:b/>
          <w:sz w:val="24"/>
          <w:szCs w:val="24"/>
        </w:rPr>
        <w:t xml:space="preserve">the </w:t>
      </w:r>
      <w:r>
        <w:rPr>
          <w:b/>
          <w:sz w:val="24"/>
          <w:szCs w:val="24"/>
        </w:rPr>
        <w:t xml:space="preserve">plaintiff from having access to the </w:t>
      </w:r>
      <w:r>
        <w:rPr>
          <w:i/>
          <w:sz w:val="24"/>
          <w:szCs w:val="24"/>
        </w:rPr>
        <w:t>[insert item of personal property]</w:t>
      </w:r>
      <w:r>
        <w:rPr>
          <w:b/>
          <w:sz w:val="24"/>
          <w:szCs w:val="24"/>
        </w:rPr>
        <w:t xml:space="preserve">) (destroying the </w:t>
      </w:r>
      <w:r>
        <w:rPr>
          <w:i/>
          <w:sz w:val="24"/>
          <w:szCs w:val="24"/>
        </w:rPr>
        <w:t>[insert item of personal property]</w:t>
      </w:r>
      <w:r>
        <w:rPr>
          <w:b/>
          <w:sz w:val="24"/>
          <w:szCs w:val="24"/>
        </w:rPr>
        <w:t xml:space="preserve">) (refusing to return the </w:t>
      </w:r>
      <w:r>
        <w:rPr>
          <w:i/>
          <w:sz w:val="24"/>
          <w:szCs w:val="24"/>
        </w:rPr>
        <w:t>[insert item of personal property]</w:t>
      </w:r>
      <w:r>
        <w:rPr>
          <w:b/>
          <w:sz w:val="24"/>
          <w:szCs w:val="24"/>
        </w:rPr>
        <w:t xml:space="preserve"> after </w:t>
      </w:r>
      <w:r w:rsidR="00CE1103">
        <w:rPr>
          <w:b/>
          <w:sz w:val="24"/>
          <w:szCs w:val="24"/>
        </w:rPr>
        <w:t xml:space="preserve">the </w:t>
      </w:r>
      <w:r>
        <w:rPr>
          <w:b/>
          <w:sz w:val="24"/>
          <w:szCs w:val="24"/>
        </w:rPr>
        <w:t xml:space="preserve">plaintiff demanded its return) (exceeding the extent and duration of authorized use of the </w:t>
      </w:r>
      <w:r>
        <w:rPr>
          <w:i/>
          <w:sz w:val="24"/>
          <w:szCs w:val="24"/>
        </w:rPr>
        <w:t>[insert item of personal property]</w:t>
      </w:r>
      <w:r>
        <w:rPr>
          <w:b/>
          <w:sz w:val="24"/>
          <w:szCs w:val="24"/>
        </w:rPr>
        <w:t>);</w:t>
      </w:r>
      <w:r w:rsidR="00CE1103">
        <w:rPr>
          <w:b/>
          <w:sz w:val="24"/>
          <w:szCs w:val="24"/>
        </w:rPr>
        <w:t xml:space="preserve"> and</w:t>
      </w:r>
    </w:p>
    <w:p w14:paraId="3DD01FDD" w14:textId="4DE7BDE5" w:rsidR="003B4FFC" w:rsidRDefault="003B4FFC" w:rsidP="00E318F2">
      <w:pPr>
        <w:spacing w:after="240"/>
        <w:ind w:firstLine="720"/>
        <w:rPr>
          <w:b/>
          <w:sz w:val="24"/>
          <w:szCs w:val="24"/>
        </w:rPr>
      </w:pPr>
      <w:r>
        <w:rPr>
          <w:b/>
          <w:sz w:val="24"/>
          <w:szCs w:val="24"/>
        </w:rPr>
        <w:t xml:space="preserve">3. </w:t>
      </w:r>
      <w:r w:rsidR="00CE1103">
        <w:rPr>
          <w:b/>
          <w:sz w:val="24"/>
          <w:szCs w:val="24"/>
        </w:rPr>
        <w:t>The p</w:t>
      </w:r>
      <w:r>
        <w:rPr>
          <w:b/>
          <w:sz w:val="24"/>
          <w:szCs w:val="24"/>
        </w:rPr>
        <w:t>laintiff did not consent</w:t>
      </w:r>
      <w:r w:rsidR="002A609C">
        <w:rPr>
          <w:b/>
          <w:sz w:val="24"/>
          <w:szCs w:val="24"/>
        </w:rPr>
        <w:t xml:space="preserve"> to the interference</w:t>
      </w:r>
      <w:r w:rsidR="00CE1103">
        <w:rPr>
          <w:b/>
          <w:sz w:val="24"/>
          <w:szCs w:val="24"/>
        </w:rPr>
        <w:t>.</w:t>
      </w:r>
    </w:p>
    <w:p w14:paraId="74634011" w14:textId="09759A94" w:rsidR="003B4FFC" w:rsidRDefault="003B4FFC" w:rsidP="00E318F2">
      <w:pPr>
        <w:spacing w:after="240"/>
        <w:ind w:firstLine="720"/>
        <w:rPr>
          <w:rFonts w:eastAsia="Times New Roman"/>
          <w:b/>
          <w:sz w:val="24"/>
          <w:szCs w:val="24"/>
        </w:rPr>
      </w:pPr>
      <w:r>
        <w:rPr>
          <w:rFonts w:eastAsia="Times New Roman"/>
          <w:b/>
          <w:sz w:val="24"/>
          <w:szCs w:val="24"/>
        </w:rPr>
        <w:t>If you find that any one or more of these st</w:t>
      </w:r>
      <w:r w:rsidR="00887BDF">
        <w:rPr>
          <w:rFonts w:eastAsia="Times New Roman"/>
          <w:b/>
          <w:sz w:val="24"/>
          <w:szCs w:val="24"/>
        </w:rPr>
        <w:t>atements has not been proved, then</w:t>
      </w:r>
      <w:r>
        <w:rPr>
          <w:rFonts w:eastAsia="Times New Roman"/>
          <w:b/>
          <w:sz w:val="24"/>
          <w:szCs w:val="24"/>
        </w:rPr>
        <w:t xml:space="preserve"> your verdict </w:t>
      </w:r>
      <w:r w:rsidR="00887BDF">
        <w:rPr>
          <w:rFonts w:eastAsia="Times New Roman"/>
          <w:b/>
          <w:sz w:val="24"/>
          <w:szCs w:val="24"/>
        </w:rPr>
        <w:t>must</w:t>
      </w:r>
      <w:r>
        <w:rPr>
          <w:rFonts w:eastAsia="Times New Roman"/>
          <w:b/>
          <w:sz w:val="24"/>
          <w:szCs w:val="24"/>
        </w:rPr>
        <w:t xml:space="preserve"> be for the defendant</w:t>
      </w:r>
      <w:r w:rsidR="00E713D3">
        <w:rPr>
          <w:rFonts w:eastAsia="Times New Roman"/>
          <w:b/>
          <w:sz w:val="24"/>
          <w:szCs w:val="24"/>
        </w:rPr>
        <w:t>.</w:t>
      </w:r>
      <w:r>
        <w:rPr>
          <w:rFonts w:eastAsia="Times New Roman"/>
          <w:b/>
          <w:sz w:val="24"/>
          <w:szCs w:val="24"/>
        </w:rPr>
        <w:t xml:space="preserve"> </w:t>
      </w:r>
    </w:p>
    <w:p w14:paraId="1E9DC3C4" w14:textId="77777777" w:rsidR="003B4FFC" w:rsidRDefault="003B4FFC" w:rsidP="00E318F2">
      <w:pPr>
        <w:spacing w:after="240"/>
        <w:ind w:firstLine="720"/>
        <w:rPr>
          <w:rFonts w:eastAsia="Times New Roman"/>
          <w:i/>
          <w:sz w:val="24"/>
          <w:szCs w:val="24"/>
        </w:rPr>
      </w:pPr>
      <w:r>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Pr>
          <w:rFonts w:eastAsia="Times New Roman"/>
          <w:i/>
          <w:sz w:val="24"/>
          <w:szCs w:val="24"/>
        </w:rPr>
        <w:t>[insert any affirmative defense that would be a complete defense to plaintiff’s claim]</w:t>
      </w:r>
      <w:r w:rsidRPr="008F7EC2">
        <w:rPr>
          <w:rFonts w:eastAsia="Times New Roman"/>
          <w:b/>
          <w:sz w:val="24"/>
          <w:szCs w:val="24"/>
        </w:rPr>
        <w:t>).</w:t>
      </w:r>
    </w:p>
    <w:p w14:paraId="256BE5C9" w14:textId="77777777" w:rsidR="003B4FFC" w:rsidRDefault="003B4FFC" w:rsidP="00E318F2">
      <w:pPr>
        <w:spacing w:after="240"/>
        <w:ind w:firstLine="720"/>
        <w:rPr>
          <w:rFonts w:eastAsia="Times New Roman"/>
          <w:b/>
          <w:sz w:val="24"/>
          <w:szCs w:val="24"/>
        </w:rPr>
      </w:pPr>
      <w:r>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75B109C" w14:textId="77777777" w:rsidR="003B4FFC" w:rsidRDefault="003B4FFC" w:rsidP="00E318F2">
      <w:pPr>
        <w:spacing w:after="240"/>
        <w:ind w:firstLine="720"/>
        <w:rPr>
          <w:rFonts w:eastAsia="Times New Roman"/>
          <w:b/>
          <w:sz w:val="24"/>
          <w:szCs w:val="24"/>
        </w:rPr>
      </w:pPr>
      <w:r>
        <w:rPr>
          <w:rFonts w:eastAsia="Times New Roman"/>
          <w:b/>
          <w:sz w:val="24"/>
          <w:szCs w:val="24"/>
        </w:rPr>
        <w:t>However, if you find that (this affirmative defense has</w:t>
      </w:r>
      <w:r w:rsidR="00887BDF">
        <w:rPr>
          <w:rFonts w:eastAsia="Times New Roman"/>
          <w:b/>
          <w:sz w:val="24"/>
          <w:szCs w:val="24"/>
        </w:rPr>
        <w:t xml:space="preserve"> not</w:t>
      </w:r>
      <w:r>
        <w:rPr>
          <w:rFonts w:eastAsia="Times New Roman"/>
          <w:b/>
          <w:sz w:val="24"/>
          <w:szCs w:val="24"/>
        </w:rPr>
        <w:t>) (</w:t>
      </w:r>
      <w:r w:rsidR="00AE782D">
        <w:rPr>
          <w:rFonts w:eastAsia="Times New Roman"/>
          <w:b/>
          <w:sz w:val="24"/>
          <w:szCs w:val="24"/>
        </w:rPr>
        <w:t>none</w:t>
      </w:r>
      <w:r>
        <w:rPr>
          <w:rFonts w:eastAsia="Times New Roman"/>
          <w:b/>
          <w:sz w:val="24"/>
          <w:szCs w:val="24"/>
        </w:rPr>
        <w:t xml:space="preserve"> of these affirmative defenses have) been proved, then your verdict must be for the plaintiff.</w:t>
      </w:r>
    </w:p>
    <w:p w14:paraId="3B98FA2D" w14:textId="77777777" w:rsidR="003B4FFC" w:rsidRDefault="003B4FFC" w:rsidP="003B4FFC">
      <w:pPr>
        <w:ind w:firstLine="720"/>
        <w:rPr>
          <w:rFonts w:eastAsia="Times New Roman"/>
          <w:sz w:val="24"/>
          <w:szCs w:val="24"/>
        </w:rPr>
      </w:pPr>
    </w:p>
    <w:p w14:paraId="76C27174" w14:textId="77777777" w:rsidR="003B4FFC" w:rsidRDefault="003B4FFC" w:rsidP="00E318F2">
      <w:pPr>
        <w:keepNext/>
        <w:spacing w:after="240"/>
        <w:jc w:val="center"/>
        <w:rPr>
          <w:rFonts w:eastAsia="Times New Roman"/>
          <w:b/>
          <w:sz w:val="24"/>
          <w:szCs w:val="24"/>
        </w:rPr>
      </w:pPr>
      <w:r>
        <w:rPr>
          <w:rFonts w:eastAsia="Times New Roman"/>
          <w:b/>
          <w:sz w:val="24"/>
          <w:szCs w:val="24"/>
        </w:rPr>
        <w:t>Notes on Use</w:t>
      </w:r>
    </w:p>
    <w:p w14:paraId="1C875891" w14:textId="77777777" w:rsidR="003B4FFC" w:rsidRDefault="003B4FFC" w:rsidP="00E318F2">
      <w:pPr>
        <w:spacing w:after="240"/>
        <w:ind w:firstLine="720"/>
        <w:rPr>
          <w:rFonts w:eastAsia="Times New Roman"/>
          <w:sz w:val="24"/>
          <w:szCs w:val="24"/>
        </w:rPr>
      </w:pPr>
      <w:r>
        <w:rPr>
          <w:rFonts w:eastAsia="Times New Roman"/>
          <w:sz w:val="24"/>
          <w:szCs w:val="24"/>
        </w:rPr>
        <w:t>1. Use whichever parenthesized phrases are most appropriate.</w:t>
      </w:r>
    </w:p>
    <w:p w14:paraId="0F5D7C09" w14:textId="3AF93C12" w:rsidR="00887BDF" w:rsidRDefault="003B4FFC" w:rsidP="00E318F2">
      <w:pPr>
        <w:spacing w:after="240"/>
        <w:ind w:firstLine="720"/>
        <w:rPr>
          <w:rFonts w:eastAsia="Times New Roman"/>
          <w:sz w:val="24"/>
          <w:szCs w:val="24"/>
        </w:rPr>
      </w:pPr>
      <w:r>
        <w:rPr>
          <w:rFonts w:eastAsia="Times New Roman"/>
          <w:sz w:val="24"/>
          <w:szCs w:val="24"/>
        </w:rPr>
        <w:t>2. Historically, interference with chattels was governed by writs at law for conversion, trespass to chattels, or replevin. The technical pleading distinctions of the writ system are now mostly irrelevant to the issues a jury must decide. The practical distinction between the three causes of action is in the remedy sought or awarded. In a conversion action</w:t>
      </w:r>
      <w:r w:rsidR="00B96F6A">
        <w:rPr>
          <w:rFonts w:eastAsia="Times New Roman"/>
          <w:sz w:val="24"/>
          <w:szCs w:val="24"/>
        </w:rPr>
        <w:t>,</w:t>
      </w:r>
      <w:r>
        <w:rPr>
          <w:rFonts w:eastAsia="Times New Roman"/>
          <w:sz w:val="24"/>
          <w:szCs w:val="24"/>
        </w:rPr>
        <w:t xml:space="preserve"> the allegation is that the defendant so substantially interfered with the property that the plaintiff is entitled to recover its market value at the time of the conversion. In a trespass action, the interference is less substantial and the plaintiff seeks damages for loss of use. In a replevin action</w:t>
      </w:r>
      <w:r w:rsidR="002602FC">
        <w:rPr>
          <w:rFonts w:eastAsia="Times New Roman"/>
          <w:sz w:val="24"/>
          <w:szCs w:val="24"/>
        </w:rPr>
        <w:t>,</w:t>
      </w:r>
      <w:r>
        <w:rPr>
          <w:rFonts w:eastAsia="Times New Roman"/>
          <w:sz w:val="24"/>
          <w:szCs w:val="24"/>
        </w:rPr>
        <w:t xml:space="preserve"> the plaintiff seeks </w:t>
      </w:r>
      <w:r>
        <w:rPr>
          <w:rFonts w:eastAsia="Times New Roman"/>
          <w:sz w:val="24"/>
          <w:szCs w:val="24"/>
        </w:rPr>
        <w:lastRenderedPageBreak/>
        <w:t>return of the property (an equitable remedy) and damages for loss of use (a legal claim). If the property cannot be returned, the relief awarded in replevin is the full value of the property.</w:t>
      </w:r>
    </w:p>
    <w:p w14:paraId="106C1214" w14:textId="4CD9048B" w:rsidR="003B4FFC" w:rsidRDefault="00887BDF" w:rsidP="00E318F2">
      <w:pPr>
        <w:spacing w:after="240"/>
        <w:ind w:firstLine="720"/>
        <w:rPr>
          <w:rFonts w:eastAsia="Times New Roman"/>
          <w:sz w:val="24"/>
          <w:szCs w:val="24"/>
        </w:rPr>
      </w:pPr>
      <w:r>
        <w:rPr>
          <w:rFonts w:eastAsia="Times New Roman"/>
          <w:sz w:val="24"/>
          <w:szCs w:val="24"/>
        </w:rPr>
        <w:t xml:space="preserve">3. Instruction 32:2 </w:t>
      </w:r>
      <w:r w:rsidR="00545A33">
        <w:rPr>
          <w:rFonts w:eastAsia="Times New Roman"/>
          <w:sz w:val="24"/>
          <w:szCs w:val="24"/>
        </w:rPr>
        <w:t xml:space="preserve">(defining intentional and substantial interference) </w:t>
      </w:r>
      <w:r>
        <w:rPr>
          <w:rFonts w:eastAsia="Times New Roman"/>
          <w:sz w:val="24"/>
          <w:szCs w:val="24"/>
        </w:rPr>
        <w:t>should be given with this instruction</w:t>
      </w:r>
      <w:r w:rsidR="00545A33">
        <w:rPr>
          <w:rFonts w:eastAsia="Times New Roman"/>
          <w:sz w:val="24"/>
          <w:szCs w:val="24"/>
        </w:rPr>
        <w:t xml:space="preserve"> when the issue of intent or the extent of interference is disputed</w:t>
      </w:r>
      <w:r w:rsidR="00E713D3">
        <w:rPr>
          <w:rFonts w:eastAsia="Times New Roman"/>
          <w:sz w:val="24"/>
          <w:szCs w:val="24"/>
        </w:rPr>
        <w:t>.</w:t>
      </w:r>
      <w:r w:rsidR="003B4FFC">
        <w:rPr>
          <w:rFonts w:eastAsia="Times New Roman"/>
          <w:sz w:val="24"/>
          <w:szCs w:val="24"/>
        </w:rPr>
        <w:t xml:space="preserve"> </w:t>
      </w:r>
    </w:p>
    <w:p w14:paraId="1CFE5492" w14:textId="77777777" w:rsidR="003B4FFC" w:rsidRDefault="003B4FFC" w:rsidP="00E318F2">
      <w:pPr>
        <w:keepNext/>
        <w:spacing w:after="240"/>
        <w:jc w:val="center"/>
        <w:rPr>
          <w:rFonts w:eastAsia="Times New Roman"/>
          <w:b/>
          <w:sz w:val="24"/>
          <w:szCs w:val="24"/>
        </w:rPr>
      </w:pPr>
      <w:r>
        <w:rPr>
          <w:rFonts w:eastAsia="Times New Roman"/>
          <w:b/>
          <w:sz w:val="24"/>
          <w:szCs w:val="24"/>
        </w:rPr>
        <w:t>Source and Authority</w:t>
      </w:r>
    </w:p>
    <w:p w14:paraId="63FF2D91" w14:textId="62197CE8" w:rsidR="00E318F2" w:rsidRDefault="003B4FFC" w:rsidP="00E318F2">
      <w:pPr>
        <w:spacing w:after="240"/>
        <w:ind w:firstLine="720"/>
        <w:rPr>
          <w:rFonts w:eastAsia="Times New Roman"/>
          <w:bCs/>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3, 419 P.3d 975, 978 (“Farm Credit alleged that Mason used or disposed of crops, farm products, and machinery that Farm Credit held as collateral without remitting the proceeds to Farm Credit”); </w:t>
      </w:r>
      <w:r>
        <w:rPr>
          <w:rFonts w:eastAsia="Times New Roman"/>
          <w:b/>
          <w:bCs/>
          <w:sz w:val="24"/>
          <w:szCs w:val="24"/>
        </w:rPr>
        <w:t>Itin v. Ungar</w:t>
      </w:r>
      <w:r>
        <w:rPr>
          <w:rFonts w:eastAsia="Times New Roman"/>
          <w:bCs/>
          <w:sz w:val="24"/>
          <w:szCs w:val="24"/>
        </w:rPr>
        <w:t>, 17 P.3d 129, 135 n.10 (Colo. 20</w:t>
      </w:r>
      <w:r w:rsidR="00105F57">
        <w:rPr>
          <w:rFonts w:eastAsia="Times New Roman"/>
          <w:bCs/>
          <w:sz w:val="24"/>
          <w:szCs w:val="24"/>
        </w:rPr>
        <w:t>00) (“Common-law conversion . . </w:t>
      </w:r>
      <w:r>
        <w:rPr>
          <w:rFonts w:eastAsia="Times New Roman"/>
          <w:bCs/>
          <w:sz w:val="24"/>
          <w:szCs w:val="24"/>
        </w:rPr>
        <w:t xml:space="preserve">. is distinct from the crime of theft in that it does not require that a wrongdoer act with the specific intent to permanently deprive the owner of his property.”); </w:t>
      </w:r>
      <w:r>
        <w:rPr>
          <w:rFonts w:eastAsia="Times New Roman"/>
          <w:b/>
          <w:bCs/>
          <w:sz w:val="24"/>
          <w:szCs w:val="24"/>
        </w:rPr>
        <w:t>Maryland Casualty Co. v. Messina</w:t>
      </w:r>
      <w:r>
        <w:rPr>
          <w:rFonts w:eastAsia="Times New Roman"/>
          <w:bCs/>
          <w:sz w:val="24"/>
          <w:szCs w:val="24"/>
        </w:rPr>
        <w:t xml:space="preserve">, 874 P.2d 1058 (Colo. 1994) (quoting the elements of conversion claim from the </w:t>
      </w:r>
      <w:r>
        <w:rPr>
          <w:rFonts w:eastAsia="Times New Roman"/>
          <w:bCs/>
          <w:smallCaps/>
          <w:sz w:val="24"/>
          <w:szCs w:val="24"/>
        </w:rPr>
        <w:t>Restatement (Second) of Torts § 222A (1965)</w:t>
      </w:r>
      <w:r>
        <w:rPr>
          <w:rFonts w:eastAsia="Times New Roman"/>
          <w:bCs/>
          <w:sz w:val="24"/>
          <w:szCs w:val="24"/>
        </w:rPr>
        <w:t xml:space="preserve">); </w:t>
      </w:r>
      <w:r>
        <w:rPr>
          <w:rFonts w:eastAsia="Times New Roman"/>
          <w:b/>
          <w:bCs/>
          <w:sz w:val="24"/>
          <w:szCs w:val="24"/>
        </w:rPr>
        <w:t>Schmidt v. Cowen Transfer &amp; Storage Co</w:t>
      </w:r>
      <w:r w:rsidRPr="00105F57">
        <w:rPr>
          <w:rFonts w:eastAsia="Times New Roman"/>
          <w:b/>
          <w:bCs/>
          <w:sz w:val="24"/>
          <w:szCs w:val="24"/>
        </w:rPr>
        <w:t>.</w:t>
      </w:r>
      <w:r>
        <w:rPr>
          <w:rFonts w:eastAsia="Times New Roman"/>
          <w:bCs/>
          <w:sz w:val="24"/>
          <w:szCs w:val="24"/>
        </w:rPr>
        <w:t>, 170 Colo. 550, 554, 463 P.2d 445, 447 (1970)</w:t>
      </w:r>
      <w:r w:rsidR="002A609C">
        <w:rPr>
          <w:rFonts w:eastAsia="Times New Roman"/>
          <w:bCs/>
          <w:sz w:val="24"/>
          <w:szCs w:val="24"/>
        </w:rPr>
        <w:t xml:space="preserve"> </w:t>
      </w:r>
      <w:r>
        <w:rPr>
          <w:rFonts w:eastAsia="Times New Roman"/>
          <w:bCs/>
          <w:sz w:val="24"/>
          <w:szCs w:val="24"/>
        </w:rPr>
        <w:t xml:space="preserve">(“demand is not essential where conversion is otherwise shown or where demand would be unavailing”); </w:t>
      </w:r>
      <w:r>
        <w:rPr>
          <w:rFonts w:eastAsia="Times New Roman"/>
          <w:b/>
          <w:bCs/>
          <w:sz w:val="24"/>
          <w:szCs w:val="24"/>
        </w:rPr>
        <w:t>Finance Corp. v King</w:t>
      </w:r>
      <w:r>
        <w:rPr>
          <w:rFonts w:eastAsia="Times New Roman"/>
          <w:bCs/>
          <w:sz w:val="24"/>
          <w:szCs w:val="24"/>
        </w:rPr>
        <w:t xml:space="preserve">, 150 Colo. 13, 370 P.2d 432, 435 (1962) (“where possession of the property has been lawfully acquired and the defendant has not asserted title to it nor dealt with it in a manner inconsistent with the rights of the owner, there must be a demand and refusal before an action for conversion will lie”); </w:t>
      </w:r>
      <w:r>
        <w:rPr>
          <w:rFonts w:eastAsia="Times New Roman"/>
          <w:b/>
          <w:bCs/>
          <w:sz w:val="24"/>
          <w:szCs w:val="24"/>
        </w:rPr>
        <w:t>Byron v. York Investment Co.</w:t>
      </w:r>
      <w:r>
        <w:rPr>
          <w:rFonts w:eastAsia="Times New Roman"/>
          <w:bCs/>
          <w:sz w:val="24"/>
          <w:szCs w:val="24"/>
        </w:rPr>
        <w:t xml:space="preserve">, 133 Colo. 418, 424, 296 P.2d 742, 745 (1956) (a plaintiff must have “had a general or special property in the personalty converted, coupled with possession or the immediate right thereto”); </w:t>
      </w:r>
      <w:r>
        <w:rPr>
          <w:rFonts w:eastAsia="Times New Roman"/>
          <w:b/>
          <w:bCs/>
          <w:sz w:val="24"/>
          <w:szCs w:val="24"/>
        </w:rPr>
        <w:t>Herbertson v. Cohen</w:t>
      </w:r>
      <w:r w:rsidRPr="006F788B">
        <w:rPr>
          <w:rFonts w:eastAsia="Times New Roman"/>
          <w:bCs/>
          <w:sz w:val="24"/>
          <w:szCs w:val="24"/>
        </w:rPr>
        <w:t>,</w:t>
      </w:r>
      <w:r w:rsidRPr="005E102F">
        <w:rPr>
          <w:rFonts w:eastAsia="Times New Roman"/>
          <w:bCs/>
          <w:sz w:val="24"/>
          <w:szCs w:val="24"/>
        </w:rPr>
        <w:t xml:space="preserve"> </w:t>
      </w:r>
      <w:r>
        <w:rPr>
          <w:rFonts w:eastAsia="Times New Roman"/>
          <w:bCs/>
          <w:sz w:val="24"/>
          <w:szCs w:val="24"/>
        </w:rPr>
        <w:t>132 Colo. 231, 234, 287 P.2d 47, 48 (1955) (mortgagee under a valid chattel mortgage “had a sufficient title to maintain the [conversion] action”);</w:t>
      </w:r>
      <w:r>
        <w:rPr>
          <w:rFonts w:eastAsia="Times New Roman"/>
          <w:b/>
          <w:bCs/>
          <w:sz w:val="24"/>
          <w:szCs w:val="24"/>
        </w:rPr>
        <w:t xml:space="preserve"> Knapp v. Hurd</w:t>
      </w:r>
      <w:r w:rsidRPr="005E102F">
        <w:rPr>
          <w:rFonts w:eastAsia="Times New Roman"/>
          <w:bCs/>
          <w:sz w:val="24"/>
          <w:szCs w:val="24"/>
        </w:rPr>
        <w:t xml:space="preserve">, </w:t>
      </w:r>
      <w:r>
        <w:rPr>
          <w:rFonts w:eastAsia="Times New Roman"/>
          <w:bCs/>
          <w:sz w:val="24"/>
          <w:szCs w:val="24"/>
        </w:rPr>
        <w:t xml:space="preserve">100 Colo. 537, 68 P.2d 557 (1937) (no action for conversion lies because there was never a completed sale of automobile to plaintiff); </w:t>
      </w:r>
      <w:r>
        <w:rPr>
          <w:rFonts w:eastAsia="Times New Roman"/>
          <w:b/>
          <w:bCs/>
          <w:sz w:val="24"/>
          <w:szCs w:val="24"/>
        </w:rPr>
        <w:t>Dorris v. San Luis Valley Finance Co.</w:t>
      </w:r>
      <w:r>
        <w:rPr>
          <w:rFonts w:eastAsia="Times New Roman"/>
          <w:bCs/>
          <w:sz w:val="24"/>
          <w:szCs w:val="24"/>
        </w:rPr>
        <w:t xml:space="preserve">, 90 Colo. 209, 212, 7 P.2d 407, 409 (1932) (“Any evidence tending to deny plaintiff’s ownership or right of possession [is] competent.”); </w:t>
      </w:r>
      <w:r>
        <w:rPr>
          <w:rFonts w:eastAsia="Times New Roman"/>
          <w:b/>
          <w:bCs/>
          <w:sz w:val="24"/>
          <w:szCs w:val="24"/>
        </w:rPr>
        <w:t>McCormick v. First National Bank of Mead</w:t>
      </w:r>
      <w:r>
        <w:rPr>
          <w:rFonts w:eastAsia="Times New Roman"/>
          <w:bCs/>
          <w:sz w:val="24"/>
          <w:szCs w:val="24"/>
        </w:rPr>
        <w:t xml:space="preserve">, 88 Colo. 599, 602, 299 P. 7, 9 (1931) (“Even if the plaintiff in trover has title to, or a right of property in, a chattel, this will not alone support an action in trover. It must be united with actual possession or a right of immediate possession.”); </w:t>
      </w:r>
      <w:r>
        <w:rPr>
          <w:rFonts w:eastAsia="Times New Roman"/>
          <w:b/>
          <w:bCs/>
          <w:sz w:val="24"/>
          <w:szCs w:val="24"/>
        </w:rPr>
        <w:t>Ferguson v. Turner</w:t>
      </w:r>
      <w:r>
        <w:rPr>
          <w:rFonts w:eastAsia="Times New Roman"/>
          <w:bCs/>
          <w:sz w:val="24"/>
          <w:szCs w:val="24"/>
        </w:rPr>
        <w:t xml:space="preserve">, 69 Colo. 504, 506-07, 194 P. 1103, 1103 (1921) (“An action in conversion lies where there has been an appropriation by an agent of the proceeds of a sale.”); </w:t>
      </w:r>
      <w:r>
        <w:rPr>
          <w:rFonts w:eastAsia="Times New Roman"/>
          <w:b/>
          <w:bCs/>
          <w:sz w:val="24"/>
          <w:szCs w:val="24"/>
        </w:rPr>
        <w:t>Dutton Hotel Co. v. Fitzpatrick</w:t>
      </w:r>
      <w:r>
        <w:rPr>
          <w:rFonts w:eastAsia="Times New Roman"/>
          <w:bCs/>
          <w:sz w:val="24"/>
          <w:szCs w:val="24"/>
        </w:rPr>
        <w:t xml:space="preserve">, 69 Colo. 229, 231, 193 P. 549, 550 (1920) (“The remedy against a holder of a chattel under a lien is to tender satisfaction of the lien and demand possession. Upon refusal, which would amount to conversion, trover lies.”); </w:t>
      </w:r>
      <w:r>
        <w:rPr>
          <w:rFonts w:eastAsia="Times New Roman"/>
          <w:b/>
          <w:bCs/>
          <w:sz w:val="24"/>
          <w:szCs w:val="24"/>
        </w:rPr>
        <w:t>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589, 101 P. 68, 72 (1909) (“If this exercise is not inconsistent with plaintiff’s right or title, or if plaintiff consents or acquiesces therein, there is no conversion.”); </w:t>
      </w:r>
      <w:r>
        <w:rPr>
          <w:rFonts w:eastAsia="Times New Roman"/>
          <w:b/>
          <w:bCs/>
          <w:sz w:val="24"/>
          <w:szCs w:val="24"/>
        </w:rPr>
        <w:t>Austin v. Van Loon</w:t>
      </w:r>
      <w:r>
        <w:rPr>
          <w:rFonts w:eastAsia="Times New Roman"/>
          <w:bCs/>
          <w:sz w:val="24"/>
          <w:szCs w:val="24"/>
        </w:rPr>
        <w:t xml:space="preserve">, 36 Colo. 196, 198, 85 P. 183, 184 (1906) (“A conversion, in the sense of the law of trover, consists either in the appropriation of a chattel by a party to his own use and beneficial enjoyment, or in its destruction, or in exercising dominion over it to the exclusion or in defiance of the rights of the owner, or in withholding the possession from the owner under a claim of title inconsistent with the title of the latter.”); </w:t>
      </w:r>
      <w:r>
        <w:rPr>
          <w:rFonts w:eastAsia="Times New Roman"/>
          <w:b/>
          <w:bCs/>
          <w:sz w:val="24"/>
          <w:szCs w:val="24"/>
        </w:rPr>
        <w:t>Beaman v. Stewart</w:t>
      </w:r>
      <w:r>
        <w:rPr>
          <w:rFonts w:eastAsia="Times New Roman"/>
          <w:bCs/>
          <w:sz w:val="24"/>
          <w:szCs w:val="24"/>
        </w:rPr>
        <w:t xml:space="preserve">, 34 Colo. 356, 358, 83 P. 629, 629 (1905) (actions “for the wrongful conversion of personalty, demand therefor prior to the commencement of suit is unnecessary, where the taking or seizure was wrongful in the first instance”); </w:t>
      </w:r>
      <w:r>
        <w:rPr>
          <w:rFonts w:eastAsia="Times New Roman"/>
          <w:b/>
          <w:bCs/>
          <w:sz w:val="24"/>
          <w:szCs w:val="24"/>
        </w:rPr>
        <w:t>Murphy v. Hobbs</w:t>
      </w:r>
      <w:r>
        <w:rPr>
          <w:rFonts w:eastAsia="Times New Roman"/>
          <w:bCs/>
          <w:sz w:val="24"/>
          <w:szCs w:val="24"/>
        </w:rPr>
        <w:t xml:space="preserve">, 8 Colo. 17, 30, 5 P. 637, 638 (1884) (“Any distinct act of dominion” is conversion </w:t>
      </w:r>
      <w:r>
        <w:rPr>
          <w:rFonts w:eastAsia="Times New Roman"/>
          <w:bCs/>
          <w:sz w:val="24"/>
          <w:szCs w:val="24"/>
        </w:rPr>
        <w:lastRenderedPageBreak/>
        <w:t xml:space="preserve">“whether such wrongful dominion be exercised for the [trespasser’s] own, or for another’s, use.”); </w:t>
      </w:r>
      <w:r>
        <w:rPr>
          <w:rFonts w:eastAsia="Times New Roman"/>
          <w:b/>
          <w:bCs/>
          <w:sz w:val="24"/>
          <w:szCs w:val="24"/>
        </w:rPr>
        <w:t>Omaha &amp; Grant Smelting &amp; Refining Co. v. Tabor</w:t>
      </w:r>
      <w:r>
        <w:rPr>
          <w:rFonts w:eastAsia="Times New Roman"/>
          <w:bCs/>
          <w:sz w:val="24"/>
          <w:szCs w:val="24"/>
        </w:rPr>
        <w:t>, 13 Colo. 41, 54-55, 21 P. 925, 930 (1889) (“A conversion is defined to be any act of the defendant inconsistent with the plaintiff’s right of possession, or subversive of his right of property.”);</w:t>
      </w:r>
      <w:r>
        <w:rPr>
          <w:rFonts w:eastAsia="Times New Roman"/>
          <w:b/>
          <w:bCs/>
          <w:sz w:val="24"/>
          <w:szCs w:val="24"/>
        </w:rPr>
        <w:t xml:space="preserve"> Scott v. Scott</w:t>
      </w:r>
      <w:r>
        <w:rPr>
          <w:rFonts w:eastAsia="Times New Roman"/>
          <w:bCs/>
          <w:sz w:val="24"/>
          <w:szCs w:val="24"/>
        </w:rPr>
        <w:t xml:space="preserve">, 2018 COA 25, ¶¶ 31-33, 428 P.3d 626, 634 (“unlike civil theft, conversion does </w:t>
      </w:r>
      <w:r>
        <w:rPr>
          <w:rFonts w:eastAsia="Times New Roman"/>
          <w:bCs/>
          <w:i/>
          <w:sz w:val="24"/>
          <w:szCs w:val="24"/>
        </w:rPr>
        <w:t>not</w:t>
      </w:r>
      <w:r>
        <w:rPr>
          <w:rFonts w:eastAsia="Times New Roman"/>
          <w:bCs/>
          <w:sz w:val="24"/>
          <w:szCs w:val="24"/>
        </w:rPr>
        <w:t xml:space="preserve"> require that the converter act with specific intent to permanently deprive the owner of his or her property”); </w:t>
      </w:r>
      <w:r>
        <w:rPr>
          <w:rFonts w:eastAsia="Times New Roman"/>
          <w:b/>
          <w:bCs/>
          <w:sz w:val="24"/>
          <w:szCs w:val="24"/>
        </w:rPr>
        <w:t>Former TCHR, LLC v. First Hand Management LLC</w:t>
      </w:r>
      <w:r w:rsidRPr="006763A1">
        <w:rPr>
          <w:rFonts w:eastAsia="Times New Roman"/>
          <w:bCs/>
          <w:sz w:val="24"/>
          <w:szCs w:val="24"/>
        </w:rPr>
        <w:t>,</w:t>
      </w:r>
      <w:r>
        <w:rPr>
          <w:rFonts w:eastAsia="Times New Roman"/>
          <w:bCs/>
          <w:sz w:val="24"/>
          <w:szCs w:val="24"/>
        </w:rPr>
        <w:t xml:space="preserve"> 2012 COA 129, ¶ 38, 317 P.3d 1226, 1234 (“a secured party may bring a claim for conversion against a party who wrongfully obtained and sold property in which the secured party has a security interest, if the secured party’s interest has priority”); </w:t>
      </w:r>
      <w:r>
        <w:rPr>
          <w:rFonts w:eastAsia="Times New Roman"/>
          <w:b/>
          <w:bCs/>
          <w:sz w:val="24"/>
          <w:szCs w:val="24"/>
        </w:rPr>
        <w:t>Stauffer v. Stegemann</w:t>
      </w:r>
      <w:r>
        <w:rPr>
          <w:rFonts w:eastAsia="Times New Roman"/>
          <w:bCs/>
          <w:sz w:val="24"/>
          <w:szCs w:val="24"/>
        </w:rPr>
        <w:t xml:space="preserve">, 165 P.3d 713, 717 (Colo. App. 2006) (“conversion is an intentional exercise of dominion or control over a chattel which so seriously interferes with the right of another to control it that the actor may justly be required to pay the other the full value of the chattel” (quoting </w:t>
      </w:r>
      <w:r>
        <w:rPr>
          <w:rFonts w:eastAsia="Times New Roman"/>
          <w:bCs/>
          <w:smallCaps/>
          <w:sz w:val="24"/>
          <w:szCs w:val="24"/>
        </w:rPr>
        <w:t>Restatement § 222A(1)</w:t>
      </w:r>
      <w:r>
        <w:rPr>
          <w:rFonts w:eastAsia="Times New Roman"/>
          <w:bCs/>
          <w:sz w:val="24"/>
          <w:szCs w:val="24"/>
        </w:rPr>
        <w:t xml:space="preserve">)); </w:t>
      </w:r>
      <w:r>
        <w:rPr>
          <w:rFonts w:eastAsia="Times New Roman"/>
          <w:b/>
          <w:bCs/>
          <w:sz w:val="24"/>
          <w:szCs w:val="24"/>
        </w:rPr>
        <w:t>A-1 Auto Repair &amp; Detail, Inc. v. Bilunas-Hardy</w:t>
      </w:r>
      <w:r>
        <w:rPr>
          <w:rFonts w:eastAsia="Times New Roman"/>
          <w:bCs/>
          <w:sz w:val="24"/>
          <w:szCs w:val="24"/>
        </w:rPr>
        <w:t>, 93 P.3d 598 (Colo. App. 2004) (conviction of criminal theft under section 18-4-401, C.R.S.</w:t>
      </w:r>
      <w:r w:rsidR="00055BE9">
        <w:rPr>
          <w:rFonts w:eastAsia="Times New Roman"/>
          <w:bCs/>
          <w:sz w:val="24"/>
          <w:szCs w:val="24"/>
        </w:rPr>
        <w:t>,</w:t>
      </w:r>
      <w:r>
        <w:rPr>
          <w:rFonts w:eastAsia="Times New Roman"/>
          <w:bCs/>
          <w:sz w:val="24"/>
          <w:szCs w:val="24"/>
        </w:rPr>
        <w:t xml:space="preserve"> may be preclusive in subsequent civil action for conversion); </w:t>
      </w:r>
      <w:r>
        <w:rPr>
          <w:rFonts w:eastAsia="Times New Roman"/>
          <w:b/>
          <w:bCs/>
          <w:sz w:val="24"/>
          <w:szCs w:val="24"/>
        </w:rPr>
        <w:t>Carder, Inc. v. Cash</w:t>
      </w:r>
      <w:r>
        <w:rPr>
          <w:rFonts w:eastAsia="Times New Roman"/>
          <w:bCs/>
          <w:sz w:val="24"/>
          <w:szCs w:val="24"/>
        </w:rPr>
        <w:t xml:space="preserve">, 97 P.3d 174, 184 (Colo. App. 2003) (defendant “failed to present evidence that it attempted to mitigate its damages by either investigating alternative uses for the equipment or by requesting permission to remove it”); </w:t>
      </w:r>
      <w:r>
        <w:rPr>
          <w:rFonts w:eastAsia="Times New Roman"/>
          <w:b/>
          <w:bCs/>
          <w:sz w:val="24"/>
          <w:szCs w:val="24"/>
        </w:rPr>
        <w:t>Underwood v. Dillon Companies, Inc</w:t>
      </w:r>
      <w:r w:rsidRPr="00567ECB">
        <w:rPr>
          <w:rFonts w:eastAsia="Times New Roman"/>
          <w:b/>
          <w:bCs/>
          <w:sz w:val="24"/>
          <w:szCs w:val="24"/>
        </w:rPr>
        <w:t>.</w:t>
      </w:r>
      <w:r w:rsidR="00567ECB">
        <w:rPr>
          <w:rFonts w:eastAsia="Times New Roman"/>
          <w:bCs/>
          <w:sz w:val="24"/>
          <w:szCs w:val="24"/>
        </w:rPr>
        <w:t>,</w:t>
      </w:r>
      <w:r>
        <w:rPr>
          <w:rFonts w:eastAsia="Times New Roman"/>
          <w:bCs/>
          <w:sz w:val="24"/>
          <w:szCs w:val="24"/>
        </w:rPr>
        <w:t xml:space="preserve"> 936 P.2d 612 (Colo. App. 1997) (approving jury instructions that stated there could be no conversion if the plaintiff demanded return of property on conditions that varied from contract terms); </w:t>
      </w:r>
      <w:r>
        <w:rPr>
          <w:rFonts w:eastAsia="Times New Roman"/>
          <w:b/>
          <w:bCs/>
          <w:sz w:val="24"/>
          <w:szCs w:val="24"/>
        </w:rPr>
        <w:t>Montano v. Land Title Guarantee Co</w:t>
      </w:r>
      <w:r w:rsidRPr="00674BE4">
        <w:rPr>
          <w:rFonts w:eastAsia="Times New Roman"/>
          <w:b/>
          <w:bCs/>
          <w:sz w:val="24"/>
          <w:szCs w:val="24"/>
        </w:rPr>
        <w:t>.</w:t>
      </w:r>
      <w:r>
        <w:rPr>
          <w:rFonts w:eastAsia="Times New Roman"/>
          <w:bCs/>
          <w:sz w:val="24"/>
          <w:szCs w:val="24"/>
        </w:rPr>
        <w:t xml:space="preserve">, 778 P.2d 328, 330 (Colo. App. 1989) (“the wrongful disposition of personal property by a bailee constitutes a conversion”); </w:t>
      </w:r>
      <w:r>
        <w:rPr>
          <w:rFonts w:eastAsia="Times New Roman"/>
          <w:b/>
          <w:bCs/>
          <w:sz w:val="24"/>
          <w:szCs w:val="24"/>
        </w:rPr>
        <w:t>Amber Properties, Ltd. v. Howard Electrical and Mechanical Co.</w:t>
      </w:r>
      <w:r>
        <w:rPr>
          <w:rFonts w:eastAsia="Times New Roman"/>
          <w:bCs/>
          <w:sz w:val="24"/>
          <w:szCs w:val="24"/>
        </w:rPr>
        <w:t xml:space="preserve">, 775 P.2d 43, 47 (Colo. App. 1988) (“the simple taking of another’s property under an erroneous claim of right and over the protest of its possessor is insufficient to establish grounds for exemplary damages in a conversion action”); </w:t>
      </w:r>
      <w:r>
        <w:rPr>
          <w:rFonts w:eastAsia="Times New Roman"/>
          <w:b/>
          <w:bCs/>
          <w:sz w:val="24"/>
          <w:szCs w:val="24"/>
        </w:rPr>
        <w:t>Montgomery Ward &amp; Co. v. Andrews</w:t>
      </w:r>
      <w:r>
        <w:rPr>
          <w:rFonts w:eastAsia="Times New Roman"/>
          <w:bCs/>
          <w:sz w:val="24"/>
          <w:szCs w:val="24"/>
        </w:rPr>
        <w:t xml:space="preserve">, 736 P.2d 40, 46 (Colo. App. 1987) (“Where there is a wrongful taking, the tort of conversion is complete upon that taking; the victim does not have to demand return of the goods nor does the wrongdoer have to refuse such a demand.”); </w:t>
      </w:r>
      <w:r>
        <w:rPr>
          <w:rFonts w:eastAsia="Times New Roman"/>
          <w:b/>
          <w:bCs/>
          <w:sz w:val="24"/>
          <w:szCs w:val="24"/>
        </w:rPr>
        <w:t>Mari v. Wagner Equipment Co.</w:t>
      </w:r>
      <w:r w:rsidR="00F74716">
        <w:rPr>
          <w:rFonts w:eastAsia="Times New Roman"/>
          <w:bCs/>
          <w:sz w:val="24"/>
          <w:szCs w:val="24"/>
        </w:rPr>
        <w:t xml:space="preserve">, </w:t>
      </w:r>
      <w:r>
        <w:rPr>
          <w:rFonts w:eastAsia="Times New Roman"/>
          <w:bCs/>
          <w:sz w:val="24"/>
          <w:szCs w:val="24"/>
        </w:rPr>
        <w:t xml:space="preserve">721 P.2d 1208 (Colo. App. 1986) (evidence sufficient to submit to a jury plaintiff’s ownership of property and claim for conversion); </w:t>
      </w:r>
      <w:r>
        <w:rPr>
          <w:rFonts w:eastAsia="Times New Roman"/>
          <w:b/>
          <w:bCs/>
          <w:sz w:val="24"/>
          <w:szCs w:val="24"/>
        </w:rPr>
        <w:t>Glenn Arms Assocs. v. Century Mortg</w:t>
      </w:r>
      <w:r w:rsidR="00241073">
        <w:rPr>
          <w:rFonts w:eastAsia="Times New Roman"/>
          <w:b/>
          <w:bCs/>
          <w:sz w:val="24"/>
          <w:szCs w:val="24"/>
        </w:rPr>
        <w:t>age</w:t>
      </w:r>
      <w:r>
        <w:rPr>
          <w:rFonts w:eastAsia="Times New Roman"/>
          <w:b/>
          <w:bCs/>
          <w:sz w:val="24"/>
          <w:szCs w:val="24"/>
        </w:rPr>
        <w:t xml:space="preserve"> &amp; Inv. Corp</w:t>
      </w:r>
      <w:r w:rsidRPr="00E05EA1">
        <w:rPr>
          <w:rFonts w:eastAsia="Times New Roman"/>
          <w:b/>
          <w:bCs/>
          <w:sz w:val="24"/>
          <w:szCs w:val="24"/>
        </w:rPr>
        <w:t>.</w:t>
      </w:r>
      <w:r>
        <w:rPr>
          <w:rFonts w:eastAsia="Times New Roman"/>
          <w:bCs/>
          <w:sz w:val="24"/>
          <w:szCs w:val="24"/>
        </w:rPr>
        <w:t xml:space="preserve">, 680 P.2d 1315, 1317 (Colo. App. 1984) (“predicates to a successful claim for conversion are the owner’s demand for return of property, and the controlling party’s refusal to return it”); </w:t>
      </w:r>
      <w:r>
        <w:rPr>
          <w:rFonts w:eastAsia="Times New Roman"/>
          <w:b/>
          <w:bCs/>
          <w:sz w:val="24"/>
          <w:szCs w:val="24"/>
        </w:rPr>
        <w:t>Electrolux Corp. v. Lawson</w:t>
      </w:r>
      <w:r>
        <w:rPr>
          <w:rFonts w:eastAsia="Times New Roman"/>
          <w:bCs/>
          <w:sz w:val="24"/>
          <w:szCs w:val="24"/>
        </w:rPr>
        <w:t xml:space="preserve">, 654 P.2d 340, 342 (Colo. App. 1982) (“Electrolux [failed] to make demand [upon] Lawson to account for the allegedly converted property”); and </w:t>
      </w:r>
      <w:r>
        <w:rPr>
          <w:rFonts w:eastAsia="Times New Roman"/>
          <w:b/>
          <w:bCs/>
          <w:sz w:val="24"/>
          <w:szCs w:val="24"/>
        </w:rPr>
        <w:t>Pierce v. Ackerman</w:t>
      </w:r>
      <w:r>
        <w:rPr>
          <w:rFonts w:eastAsia="Times New Roman"/>
          <w:bCs/>
          <w:sz w:val="24"/>
          <w:szCs w:val="24"/>
        </w:rPr>
        <w:t>, 488 P.2d 1118, 1119 (Colo. App. 1971) (“It is elemental to the successful prosecution of a conversion action that the plaintiff establish his title or right of immediate possession to the property allegedly converted.”) (</w:t>
      </w:r>
      <w:proofErr w:type="gramStart"/>
      <w:r>
        <w:rPr>
          <w:rFonts w:eastAsia="Times New Roman"/>
          <w:bCs/>
          <w:sz w:val="24"/>
          <w:szCs w:val="24"/>
        </w:rPr>
        <w:t>not</w:t>
      </w:r>
      <w:proofErr w:type="gramEnd"/>
      <w:r>
        <w:rPr>
          <w:rFonts w:eastAsia="Times New Roman"/>
          <w:bCs/>
          <w:sz w:val="24"/>
          <w:szCs w:val="24"/>
        </w:rPr>
        <w:t xml:space="preserve"> published pursuant to C.A.R. 35(f)).</w:t>
      </w:r>
    </w:p>
    <w:p w14:paraId="4F840D49" w14:textId="77777777" w:rsidR="003B4FFC" w:rsidRDefault="003B4FFC" w:rsidP="00E318F2">
      <w:pPr>
        <w:spacing w:after="240"/>
        <w:ind w:firstLine="720"/>
        <w:rPr>
          <w:rFonts w:eastAsia="Times New Roman"/>
          <w:bCs/>
          <w:sz w:val="24"/>
          <w:szCs w:val="24"/>
        </w:rPr>
      </w:pPr>
      <w:r>
        <w:rPr>
          <w:rFonts w:eastAsia="Times New Roman"/>
          <w:bCs/>
          <w:sz w:val="24"/>
          <w:szCs w:val="24"/>
        </w:rPr>
        <w:br w:type="page"/>
      </w:r>
    </w:p>
    <w:p w14:paraId="17FE7BCB" w14:textId="41BE35C7" w:rsidR="003B4FFC" w:rsidRDefault="003B4FFC" w:rsidP="003B4FFC">
      <w:pPr>
        <w:rPr>
          <w:rFonts w:eastAsia="Times New Roman"/>
          <w:b/>
          <w:bCs/>
          <w:sz w:val="24"/>
          <w:szCs w:val="24"/>
        </w:rPr>
      </w:pPr>
      <w:bookmarkStart w:id="2" w:name="a32_02"/>
      <w:bookmarkEnd w:id="2"/>
      <w:proofErr w:type="gramStart"/>
      <w:r>
        <w:rPr>
          <w:rFonts w:eastAsia="Times New Roman"/>
          <w:b/>
          <w:bCs/>
          <w:sz w:val="24"/>
          <w:szCs w:val="24"/>
        </w:rPr>
        <w:lastRenderedPageBreak/>
        <w:t>32:2</w:t>
      </w:r>
      <w:r>
        <w:rPr>
          <w:rFonts w:eastAsia="Times New Roman"/>
          <w:b/>
          <w:bCs/>
          <w:sz w:val="24"/>
          <w:szCs w:val="24"/>
        </w:rPr>
        <w:tab/>
      </w:r>
      <w:r w:rsidR="00C94893">
        <w:rPr>
          <w:rFonts w:eastAsia="Times New Roman"/>
          <w:b/>
          <w:bCs/>
          <w:sz w:val="24"/>
          <w:szCs w:val="24"/>
        </w:rPr>
        <w:t xml:space="preserve">INTENTIONAL </w:t>
      </w:r>
      <w:r w:rsidR="00545A33">
        <w:rPr>
          <w:rFonts w:eastAsia="Times New Roman"/>
          <w:b/>
          <w:bCs/>
          <w:sz w:val="24"/>
          <w:szCs w:val="24"/>
        </w:rPr>
        <w:t xml:space="preserve">AND SUBSTANTIAL </w:t>
      </w:r>
      <w:r w:rsidR="00C94893">
        <w:rPr>
          <w:rFonts w:eastAsia="Times New Roman"/>
          <w:b/>
          <w:bCs/>
          <w:sz w:val="24"/>
          <w:szCs w:val="24"/>
        </w:rPr>
        <w:t>INTERFERENCE —</w:t>
      </w:r>
      <w:proofErr w:type="gramEnd"/>
      <w:r w:rsidR="00C94893">
        <w:rPr>
          <w:rFonts w:eastAsia="Times New Roman"/>
          <w:b/>
          <w:bCs/>
          <w:sz w:val="24"/>
          <w:szCs w:val="24"/>
        </w:rPr>
        <w:t xml:space="preserve"> </w:t>
      </w:r>
      <w:r>
        <w:rPr>
          <w:rFonts w:eastAsia="Times New Roman"/>
          <w:b/>
          <w:bCs/>
          <w:sz w:val="24"/>
          <w:szCs w:val="24"/>
        </w:rPr>
        <w:t>DEFINED</w:t>
      </w:r>
    </w:p>
    <w:p w14:paraId="18DFDF29" w14:textId="77777777" w:rsidR="003B4FFC" w:rsidRDefault="003B4FFC" w:rsidP="003B4FFC">
      <w:pPr>
        <w:ind w:firstLine="720"/>
        <w:rPr>
          <w:rFonts w:eastAsia="Times New Roman"/>
          <w:bCs/>
          <w:sz w:val="24"/>
          <w:szCs w:val="24"/>
        </w:rPr>
      </w:pPr>
    </w:p>
    <w:p w14:paraId="5F80D526"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In determining whether the interference was intentional and so substantial that the defendant should be required to pay the full value of </w:t>
      </w:r>
      <w:r>
        <w:rPr>
          <w:i/>
          <w:sz w:val="24"/>
          <w:szCs w:val="24"/>
        </w:rPr>
        <w:t>(insert item of personal property)</w:t>
      </w:r>
      <w:r>
        <w:rPr>
          <w:rFonts w:eastAsia="Times New Roman"/>
          <w:b/>
          <w:bCs/>
          <w:sz w:val="24"/>
          <w:szCs w:val="24"/>
        </w:rPr>
        <w:t>, the following factors may be considered:</w:t>
      </w:r>
    </w:p>
    <w:p w14:paraId="3A02988A" w14:textId="77777777" w:rsidR="003B4FFC" w:rsidRDefault="003B4FFC" w:rsidP="00FC5886">
      <w:pPr>
        <w:spacing w:after="240"/>
        <w:ind w:firstLine="720"/>
        <w:rPr>
          <w:rFonts w:eastAsia="Times New Roman"/>
          <w:b/>
          <w:bCs/>
          <w:sz w:val="24"/>
          <w:szCs w:val="24"/>
        </w:rPr>
      </w:pPr>
      <w:r>
        <w:rPr>
          <w:rFonts w:eastAsia="Times New Roman"/>
          <w:b/>
          <w:bCs/>
          <w:sz w:val="24"/>
          <w:szCs w:val="24"/>
        </w:rPr>
        <w:t>1. The extent and duration of the defendant’s possession or control;</w:t>
      </w:r>
    </w:p>
    <w:p w14:paraId="4E0A8C5F" w14:textId="77777777" w:rsidR="003B4FFC" w:rsidRDefault="003B4FFC" w:rsidP="00FC5886">
      <w:pPr>
        <w:spacing w:after="240"/>
        <w:ind w:firstLine="720"/>
        <w:rPr>
          <w:rFonts w:eastAsia="Times New Roman"/>
          <w:b/>
          <w:bCs/>
          <w:sz w:val="24"/>
          <w:szCs w:val="24"/>
        </w:rPr>
      </w:pPr>
      <w:r>
        <w:rPr>
          <w:rFonts w:eastAsia="Times New Roman"/>
          <w:b/>
          <w:bCs/>
          <w:sz w:val="24"/>
          <w:szCs w:val="24"/>
        </w:rPr>
        <w:t>2. The defendant’s intent to assert a right inconsistent with the plaintiff’s right of possession, control, or ownership;</w:t>
      </w:r>
    </w:p>
    <w:p w14:paraId="7CDEF81B" w14:textId="57C8DC57" w:rsidR="003B4FFC" w:rsidRDefault="003B4FFC" w:rsidP="00FC5886">
      <w:pPr>
        <w:spacing w:after="240"/>
        <w:ind w:firstLine="720"/>
        <w:rPr>
          <w:rFonts w:eastAsia="Times New Roman"/>
          <w:b/>
          <w:bCs/>
          <w:sz w:val="24"/>
          <w:szCs w:val="24"/>
        </w:rPr>
      </w:pPr>
      <w:r>
        <w:rPr>
          <w:rFonts w:eastAsia="Times New Roman"/>
          <w:b/>
          <w:bCs/>
          <w:sz w:val="24"/>
          <w:szCs w:val="24"/>
        </w:rPr>
        <w:t xml:space="preserve">3. </w:t>
      </w:r>
      <w:r w:rsidR="00B0569C">
        <w:rPr>
          <w:rFonts w:eastAsia="Times New Roman"/>
          <w:b/>
          <w:bCs/>
          <w:sz w:val="24"/>
          <w:szCs w:val="24"/>
        </w:rPr>
        <w:t>Whether</w:t>
      </w:r>
      <w:r>
        <w:rPr>
          <w:rFonts w:eastAsia="Times New Roman"/>
          <w:b/>
          <w:bCs/>
          <w:sz w:val="24"/>
          <w:szCs w:val="24"/>
        </w:rPr>
        <w:t xml:space="preserve"> the defendant com</w:t>
      </w:r>
      <w:r w:rsidR="00896200">
        <w:rPr>
          <w:rFonts w:eastAsia="Times New Roman"/>
          <w:b/>
          <w:bCs/>
          <w:sz w:val="24"/>
          <w:szCs w:val="24"/>
        </w:rPr>
        <w:t>m</w:t>
      </w:r>
      <w:r>
        <w:rPr>
          <w:rFonts w:eastAsia="Times New Roman"/>
          <w:b/>
          <w:bCs/>
          <w:sz w:val="24"/>
          <w:szCs w:val="24"/>
        </w:rPr>
        <w:t xml:space="preserve">ingled </w:t>
      </w:r>
      <w:r w:rsidR="005B418C">
        <w:rPr>
          <w:rFonts w:eastAsia="Times New Roman"/>
          <w:b/>
          <w:bCs/>
          <w:sz w:val="24"/>
          <w:szCs w:val="24"/>
        </w:rPr>
        <w:t xml:space="preserve">the </w:t>
      </w:r>
      <w:r>
        <w:rPr>
          <w:rFonts w:eastAsia="Times New Roman"/>
          <w:b/>
          <w:bCs/>
          <w:sz w:val="24"/>
          <w:szCs w:val="24"/>
        </w:rPr>
        <w:t xml:space="preserve">plaintiff’s </w:t>
      </w:r>
      <w:r>
        <w:rPr>
          <w:rFonts w:eastAsia="Times New Roman"/>
          <w:bCs/>
          <w:i/>
          <w:sz w:val="24"/>
          <w:szCs w:val="24"/>
        </w:rPr>
        <w:t>(insert item of personal property)</w:t>
      </w:r>
      <w:r>
        <w:rPr>
          <w:rFonts w:eastAsia="Times New Roman"/>
          <w:b/>
          <w:bCs/>
          <w:sz w:val="24"/>
          <w:szCs w:val="24"/>
        </w:rPr>
        <w:t xml:space="preserve"> with other property;</w:t>
      </w:r>
    </w:p>
    <w:p w14:paraId="26E1E7D7" w14:textId="77777777" w:rsidR="003B4FFC" w:rsidRDefault="003B4FFC" w:rsidP="00FC5886">
      <w:pPr>
        <w:spacing w:after="240"/>
        <w:ind w:firstLine="720"/>
        <w:rPr>
          <w:rFonts w:eastAsia="Times New Roman"/>
          <w:b/>
          <w:bCs/>
          <w:sz w:val="24"/>
          <w:szCs w:val="24"/>
        </w:rPr>
      </w:pPr>
      <w:r>
        <w:rPr>
          <w:rFonts w:eastAsia="Times New Roman"/>
          <w:b/>
          <w:bCs/>
          <w:sz w:val="24"/>
          <w:szCs w:val="24"/>
        </w:rPr>
        <w:t>4. The extent and duration of the resulting interference with the plaintiff’s right of possession, control, or ownership;</w:t>
      </w:r>
    </w:p>
    <w:p w14:paraId="50E05A07"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5. The harm done to </w:t>
      </w:r>
      <w:r>
        <w:rPr>
          <w:i/>
          <w:sz w:val="24"/>
          <w:szCs w:val="24"/>
        </w:rPr>
        <w:t>(insert item of personal property)</w:t>
      </w:r>
      <w:r>
        <w:rPr>
          <w:rFonts w:eastAsia="Times New Roman"/>
          <w:b/>
          <w:bCs/>
          <w:sz w:val="24"/>
          <w:szCs w:val="24"/>
        </w:rPr>
        <w:t xml:space="preserve">; and </w:t>
      </w:r>
    </w:p>
    <w:p w14:paraId="49910601" w14:textId="77777777" w:rsidR="003B4FFC" w:rsidRDefault="003B4FFC" w:rsidP="00FC5886">
      <w:pPr>
        <w:spacing w:after="240"/>
        <w:ind w:firstLine="720"/>
        <w:rPr>
          <w:rFonts w:eastAsia="Times New Roman"/>
          <w:b/>
          <w:bCs/>
          <w:sz w:val="24"/>
          <w:szCs w:val="24"/>
        </w:rPr>
      </w:pPr>
      <w:r>
        <w:rPr>
          <w:rFonts w:eastAsia="Times New Roman"/>
          <w:b/>
          <w:bCs/>
          <w:sz w:val="24"/>
          <w:szCs w:val="24"/>
        </w:rPr>
        <w:t>6. The inconvenience and expense caused to the plaintiff.</w:t>
      </w:r>
    </w:p>
    <w:p w14:paraId="2AFF73BA"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The defendant’s act or omission may be intentional even if the defendant mistakenly believed (he) (she) (it) had a right to interfere with </w:t>
      </w:r>
      <w:r>
        <w:rPr>
          <w:i/>
          <w:sz w:val="24"/>
          <w:szCs w:val="24"/>
        </w:rPr>
        <w:t>(insert item of personal property)</w:t>
      </w:r>
      <w:r>
        <w:rPr>
          <w:rFonts w:eastAsia="Times New Roman"/>
          <w:b/>
          <w:bCs/>
          <w:sz w:val="24"/>
          <w:szCs w:val="24"/>
        </w:rPr>
        <w:t xml:space="preserve">, or was unaware of the plaintiff’s rights in </w:t>
      </w:r>
      <w:r>
        <w:rPr>
          <w:i/>
          <w:sz w:val="24"/>
          <w:szCs w:val="24"/>
        </w:rPr>
        <w:t>(insert item of personal property)</w:t>
      </w:r>
      <w:r>
        <w:rPr>
          <w:rFonts w:eastAsia="Times New Roman"/>
          <w:b/>
          <w:bCs/>
          <w:sz w:val="24"/>
          <w:szCs w:val="24"/>
        </w:rPr>
        <w:t>.</w:t>
      </w:r>
    </w:p>
    <w:p w14:paraId="25077EB0" w14:textId="77777777" w:rsidR="003B4FFC" w:rsidRDefault="003B4FFC" w:rsidP="003B4FFC">
      <w:pPr>
        <w:ind w:firstLine="720"/>
        <w:rPr>
          <w:rFonts w:eastAsia="Times New Roman"/>
          <w:b/>
          <w:bCs/>
          <w:sz w:val="24"/>
          <w:szCs w:val="24"/>
        </w:rPr>
      </w:pPr>
    </w:p>
    <w:p w14:paraId="658960D4" w14:textId="77777777" w:rsidR="003B4FFC" w:rsidRDefault="003B4FFC" w:rsidP="00FC5886">
      <w:pPr>
        <w:spacing w:after="240"/>
        <w:jc w:val="center"/>
        <w:rPr>
          <w:rFonts w:eastAsia="Times New Roman"/>
          <w:b/>
          <w:bCs/>
          <w:sz w:val="24"/>
          <w:szCs w:val="24"/>
        </w:rPr>
      </w:pPr>
      <w:r>
        <w:rPr>
          <w:rFonts w:eastAsia="Times New Roman"/>
          <w:b/>
          <w:bCs/>
          <w:sz w:val="24"/>
          <w:szCs w:val="24"/>
        </w:rPr>
        <w:t>Notes on Use</w:t>
      </w:r>
    </w:p>
    <w:p w14:paraId="614B09EF" w14:textId="77777777" w:rsidR="003B4FFC" w:rsidRDefault="003B4FFC" w:rsidP="00FC5886">
      <w:pPr>
        <w:spacing w:after="240"/>
        <w:rPr>
          <w:rFonts w:eastAsia="Times New Roman"/>
          <w:bCs/>
          <w:sz w:val="24"/>
          <w:szCs w:val="24"/>
        </w:rPr>
      </w:pPr>
      <w:r>
        <w:rPr>
          <w:rFonts w:eastAsia="Times New Roman"/>
          <w:b/>
          <w:bCs/>
          <w:sz w:val="24"/>
          <w:szCs w:val="24"/>
        </w:rPr>
        <w:tab/>
      </w:r>
      <w:r w:rsidR="00887BDF">
        <w:rPr>
          <w:rFonts w:eastAsia="Times New Roman"/>
          <w:bCs/>
          <w:sz w:val="24"/>
          <w:szCs w:val="24"/>
        </w:rPr>
        <w:t>This instruction should be given with Instruction 32:1 (elements of liability for conversion)</w:t>
      </w:r>
      <w:r w:rsidR="00545A33">
        <w:rPr>
          <w:rFonts w:eastAsia="Times New Roman"/>
          <w:bCs/>
          <w:sz w:val="24"/>
          <w:szCs w:val="24"/>
        </w:rPr>
        <w:t xml:space="preserve"> when the issue of intent or the extent of interference is disputed</w:t>
      </w:r>
      <w:r w:rsidR="00887BDF">
        <w:rPr>
          <w:rFonts w:eastAsia="Times New Roman"/>
          <w:bCs/>
          <w:sz w:val="24"/>
          <w:szCs w:val="24"/>
        </w:rPr>
        <w:t>.</w:t>
      </w:r>
    </w:p>
    <w:p w14:paraId="16C8EF5E" w14:textId="77777777" w:rsidR="003B4FFC" w:rsidRDefault="003B4FFC" w:rsidP="00FC5886">
      <w:pPr>
        <w:spacing w:after="240"/>
        <w:jc w:val="center"/>
        <w:rPr>
          <w:rFonts w:eastAsia="Times New Roman"/>
          <w:b/>
          <w:bCs/>
          <w:sz w:val="24"/>
          <w:szCs w:val="24"/>
        </w:rPr>
      </w:pPr>
      <w:r>
        <w:rPr>
          <w:rFonts w:eastAsia="Times New Roman"/>
          <w:b/>
          <w:bCs/>
          <w:sz w:val="24"/>
          <w:szCs w:val="24"/>
        </w:rPr>
        <w:t>Source and Authority</w:t>
      </w:r>
    </w:p>
    <w:p w14:paraId="7B4593C9" w14:textId="7EA51FDA" w:rsidR="003B4FFC" w:rsidRDefault="003B4FFC" w:rsidP="00FC5886">
      <w:pPr>
        <w:spacing w:after="240"/>
        <w:ind w:firstLine="720"/>
        <w:rPr>
          <w:sz w:val="24"/>
          <w:szCs w:val="24"/>
        </w:rPr>
      </w:pPr>
      <w:r>
        <w:rPr>
          <w:sz w:val="24"/>
          <w:szCs w:val="24"/>
        </w:rPr>
        <w:t xml:space="preserve">1. This instruction is supported by </w:t>
      </w:r>
      <w:r>
        <w:rPr>
          <w:rFonts w:eastAsia="Times New Roman"/>
          <w:b/>
          <w:bCs/>
          <w:sz w:val="24"/>
          <w:szCs w:val="24"/>
        </w:rPr>
        <w:t>Maryland Casualty Co. v. Messina</w:t>
      </w:r>
      <w:r>
        <w:rPr>
          <w:rFonts w:eastAsia="Times New Roman"/>
          <w:bCs/>
          <w:sz w:val="24"/>
          <w:szCs w:val="24"/>
        </w:rPr>
        <w:t xml:space="preserve">, 874 P.2d 1058 (Colo. 1994) </w:t>
      </w:r>
      <w:r>
        <w:rPr>
          <w:sz w:val="24"/>
          <w:szCs w:val="24"/>
        </w:rPr>
        <w:t xml:space="preserve">(citing </w:t>
      </w:r>
      <w:r>
        <w:rPr>
          <w:rFonts w:eastAsia="Times New Roman"/>
          <w:smallCaps/>
          <w:sz w:val="24"/>
          <w:szCs w:val="24"/>
        </w:rPr>
        <w:t>Restatement (Second) of Torts</w:t>
      </w:r>
      <w:r>
        <w:rPr>
          <w:rFonts w:eastAsia="Times New Roman"/>
          <w:sz w:val="24"/>
          <w:szCs w:val="24"/>
        </w:rPr>
        <w:t xml:space="preserve"> § 222A</w:t>
      </w:r>
      <w:r>
        <w:rPr>
          <w:sz w:val="24"/>
          <w:szCs w:val="24"/>
        </w:rPr>
        <w:t xml:space="preserve"> (1965)); </w:t>
      </w:r>
      <w:r>
        <w:rPr>
          <w:rFonts w:eastAsia="Times New Roman"/>
          <w:b/>
          <w:bCs/>
          <w:sz w:val="24"/>
          <w:szCs w:val="24"/>
        </w:rPr>
        <w:t xml:space="preserve">Rosenthal v. Whitehead, </w:t>
      </w:r>
      <w:r>
        <w:rPr>
          <w:rFonts w:eastAsia="Times New Roman"/>
          <w:bCs/>
          <w:sz w:val="24"/>
          <w:szCs w:val="24"/>
        </w:rPr>
        <w:t xml:space="preserve">159 Colo. 565, 570, 413 P.2d 909, 912 (1966) (defendant had “no lawful right, title, or interest in the tractor” and was liable for conversion as a matter of law); </w:t>
      </w:r>
      <w:r>
        <w:rPr>
          <w:b/>
          <w:sz w:val="24"/>
          <w:szCs w:val="24"/>
        </w:rPr>
        <w:t>McCartney v. Foster</w:t>
      </w:r>
      <w:r>
        <w:rPr>
          <w:sz w:val="24"/>
          <w:szCs w:val="24"/>
        </w:rPr>
        <w:t xml:space="preserve">, 150 Colo. 537, 539, 374 P.2d 704, 705 (1962) (“there is no competent evidence that the property was wrongfully taken into [defendant’s] possession, nor was any demand made by McCartney for the return of the property”); </w:t>
      </w:r>
      <w:r>
        <w:rPr>
          <w:b/>
          <w:sz w:val="24"/>
          <w:szCs w:val="24"/>
        </w:rPr>
        <w:t>Davis v. American National Bank of Denver</w:t>
      </w:r>
      <w:r>
        <w:rPr>
          <w:sz w:val="24"/>
          <w:szCs w:val="24"/>
        </w:rPr>
        <w:t xml:space="preserve">, 149 Colo. 34, 37, 367 P.2d 325, 326 (1961) (“where possession of the property has been lawfully acquired and the defendant has not asserted title to it nor dealt with it in a manner inconsistent with the rights of the owner, there must be a demand and refusal before an action for conversion will lie”); </w:t>
      </w:r>
      <w:r>
        <w:rPr>
          <w:b/>
          <w:sz w:val="24"/>
          <w:szCs w:val="24"/>
        </w:rPr>
        <w:t>Schlittenhardt v. Bernasky</w:t>
      </w:r>
      <w:r>
        <w:rPr>
          <w:sz w:val="24"/>
          <w:szCs w:val="24"/>
        </w:rPr>
        <w:t xml:space="preserve">, 147 Colo. 601, 604, 364 P.2d 586, 587 (1961) (“Only in cases in which possession has been lawfully acquired in the first instance by the person who allegedly thereafter converts it to his own use, may the question of qualified refusal be submitted to the jury.”); </w:t>
      </w:r>
      <w:r>
        <w:rPr>
          <w:rFonts w:eastAsia="Times New Roman"/>
          <w:b/>
          <w:bCs/>
          <w:sz w:val="24"/>
          <w:szCs w:val="24"/>
        </w:rPr>
        <w:t>Colorado Kenworth Corp. v. Whitworth</w:t>
      </w:r>
      <w:r>
        <w:rPr>
          <w:rFonts w:eastAsia="Times New Roman"/>
          <w:bCs/>
          <w:sz w:val="24"/>
          <w:szCs w:val="24"/>
        </w:rPr>
        <w:t xml:space="preserve">, 144 Colo. 541, 548, 357 P.2d 626, 631 (Colo. 1960) (“for the purposes of an action for unlawful conversion, demand and refusal are </w:t>
      </w:r>
      <w:r>
        <w:rPr>
          <w:rFonts w:eastAsia="Times New Roman"/>
          <w:bCs/>
          <w:sz w:val="24"/>
          <w:szCs w:val="24"/>
        </w:rPr>
        <w:lastRenderedPageBreak/>
        <w:t xml:space="preserve">never necessary, except to furnish evidence of the conversion, and when, without these, the circumstances are sufficient to prove the conversion, they are superfluous”); </w:t>
      </w:r>
      <w:r>
        <w:rPr>
          <w:rFonts w:eastAsia="Times New Roman"/>
          <w:b/>
          <w:bCs/>
          <w:sz w:val="24"/>
          <w:szCs w:val="24"/>
        </w:rPr>
        <w:t>Byron v. York Investment Co.</w:t>
      </w:r>
      <w:r>
        <w:rPr>
          <w:rFonts w:eastAsia="Times New Roman"/>
          <w:bCs/>
          <w:sz w:val="24"/>
          <w:szCs w:val="24"/>
        </w:rPr>
        <w:t xml:space="preserve">, 133 Colo. 418, 427, 296 P.2d 742, 746 (1956) (holding on the facts of the case that temporary exclusion of possession by owner did not constitute conversion: “a man may be compelled by threats, or even by physical coercion, to forego the full exercise of his own dominion as owner, yet if the wrongful act falls short of a disseisin of the property, the wrongdoer is not guilty of a conversion”); </w:t>
      </w:r>
      <w:r>
        <w:rPr>
          <w:rFonts w:eastAsia="Times New Roman"/>
          <w:b/>
          <w:bCs/>
          <w:sz w:val="24"/>
          <w:szCs w:val="24"/>
        </w:rPr>
        <w:t>Kranz v. Rubush</w:t>
      </w:r>
      <w:r>
        <w:rPr>
          <w:rFonts w:eastAsia="Times New Roman"/>
          <w:bCs/>
          <w:sz w:val="24"/>
          <w:szCs w:val="24"/>
        </w:rPr>
        <w:t xml:space="preserve">, 120 Colo. 264, 268, 209 P.2d 555, 557 (1949) (“a vendor who retakes his chattel on default of conditional sale is not liable in conversion for not tendering back the payment made on the purchase price”); </w:t>
      </w:r>
      <w:r>
        <w:rPr>
          <w:rFonts w:eastAsia="Times New Roman"/>
          <w:b/>
          <w:bCs/>
          <w:sz w:val="24"/>
          <w:szCs w:val="24"/>
        </w:rPr>
        <w:t>International Harvester Co. v. Lawrence Inv</w:t>
      </w:r>
      <w:r w:rsidR="00E71932">
        <w:rPr>
          <w:rFonts w:eastAsia="Times New Roman"/>
          <w:b/>
          <w:bCs/>
          <w:sz w:val="24"/>
          <w:szCs w:val="24"/>
        </w:rPr>
        <w:t>estment</w:t>
      </w:r>
      <w:r>
        <w:rPr>
          <w:rFonts w:eastAsia="Times New Roman"/>
          <w:b/>
          <w:bCs/>
          <w:sz w:val="24"/>
          <w:szCs w:val="24"/>
        </w:rPr>
        <w:t xml:space="preserve"> Co.</w:t>
      </w:r>
      <w:r w:rsidRPr="00E71932">
        <w:rPr>
          <w:rFonts w:eastAsia="Times New Roman"/>
          <w:bCs/>
          <w:sz w:val="24"/>
          <w:szCs w:val="24"/>
        </w:rPr>
        <w:t xml:space="preserve">, </w:t>
      </w:r>
      <w:r>
        <w:rPr>
          <w:rFonts w:eastAsia="Times New Roman"/>
          <w:bCs/>
          <w:sz w:val="24"/>
          <w:szCs w:val="24"/>
        </w:rPr>
        <w:t xml:space="preserve">95 Colo. 523, 525, 37 P.2d 529, 530 (1934) (“an action for trover and conversion does not lie in Colorado at the instance of a mortgagor of chattels merely because the mortgagee has taken possession in compliance with the terms of the mortgage”); </w:t>
      </w:r>
      <w:r>
        <w:rPr>
          <w:rFonts w:eastAsia="Times New Roman"/>
          <w:b/>
          <w:bCs/>
          <w:sz w:val="24"/>
          <w:szCs w:val="24"/>
        </w:rPr>
        <w:t>Lutz v. Becker</w:t>
      </w:r>
      <w:r>
        <w:rPr>
          <w:rFonts w:eastAsia="Times New Roman"/>
          <w:bCs/>
          <w:sz w:val="24"/>
          <w:szCs w:val="24"/>
        </w:rPr>
        <w:t xml:space="preserve">, 89 Colo. 360, 364, 2 P.2d 1081, 1082 (1931) (“When one admittedly has in his possession goods and chattels belonging to another, something more than a mere offer to permit the owner to repossess himself of his own property is necessary, if he desires to avoid an action in conversion for damages.”); </w:t>
      </w:r>
      <w:r>
        <w:rPr>
          <w:rFonts w:eastAsia="Times New Roman"/>
          <w:b/>
          <w:bCs/>
          <w:sz w:val="24"/>
          <w:szCs w:val="24"/>
        </w:rPr>
        <w:t>Lininger Implement Co. v. Queen City Foundry Co</w:t>
      </w:r>
      <w:r w:rsidRPr="00AC6CDC">
        <w:rPr>
          <w:rFonts w:eastAsia="Times New Roman"/>
          <w:b/>
          <w:bCs/>
          <w:sz w:val="24"/>
          <w:szCs w:val="24"/>
        </w:rPr>
        <w:t>.</w:t>
      </w:r>
      <w:r>
        <w:rPr>
          <w:rFonts w:eastAsia="Times New Roman"/>
          <w:bCs/>
          <w:sz w:val="24"/>
          <w:szCs w:val="24"/>
        </w:rPr>
        <w:t>, 73 Colo. 412, 21</w:t>
      </w:r>
      <w:r w:rsidR="00936B88">
        <w:rPr>
          <w:rFonts w:eastAsia="Times New Roman"/>
          <w:bCs/>
          <w:sz w:val="24"/>
          <w:szCs w:val="24"/>
        </w:rPr>
        <w:t>6</w:t>
      </w:r>
      <w:r>
        <w:rPr>
          <w:rFonts w:eastAsia="Times New Roman"/>
          <w:bCs/>
          <w:sz w:val="24"/>
          <w:szCs w:val="24"/>
        </w:rPr>
        <w:t xml:space="preserve"> P. 527 (1923) (no conversion could lie where defendant “always and persistently, so far as the evidence shows, recognized the plaintiff’s right to the beet pullers”); </w:t>
      </w:r>
      <w:r>
        <w:rPr>
          <w:rFonts w:eastAsia="Times New Roman"/>
          <w:b/>
          <w:bCs/>
          <w:sz w:val="24"/>
          <w:szCs w:val="24"/>
        </w:rPr>
        <w:t>Platt v. Walker</w:t>
      </w:r>
      <w:r>
        <w:rPr>
          <w:rFonts w:eastAsia="Times New Roman"/>
          <w:bCs/>
          <w:sz w:val="24"/>
          <w:szCs w:val="24"/>
        </w:rPr>
        <w:t xml:space="preserve">, 69 Colo. 584, 587, 196 P. 190, 191 (1921) (“It is immaterial in an action of conversion whether the property be converted innocently or knowingly. The gist of the action is the unauthorized appropriation of one’s property.”); </w:t>
      </w:r>
      <w:r>
        <w:rPr>
          <w:b/>
          <w:sz w:val="24"/>
          <w:szCs w:val="24"/>
        </w:rPr>
        <w:t>Worley v. Sancetta</w:t>
      </w:r>
      <w:r>
        <w:rPr>
          <w:sz w:val="24"/>
          <w:szCs w:val="24"/>
        </w:rPr>
        <w:t>, 540 P.2d 355, 357-58 (Colo. App. 1975)</w:t>
      </w:r>
      <w:r w:rsidR="00C5348A" w:rsidRPr="00C5348A">
        <w:rPr>
          <w:sz w:val="24"/>
          <w:szCs w:val="24"/>
        </w:rPr>
        <w:t xml:space="preserve"> </w:t>
      </w:r>
      <w:r w:rsidR="00C5348A">
        <w:rPr>
          <w:sz w:val="24"/>
          <w:szCs w:val="24"/>
        </w:rPr>
        <w:t>(not published pursuant to C.A.R. 35(f))</w:t>
      </w:r>
      <w:r>
        <w:rPr>
          <w:sz w:val="24"/>
          <w:szCs w:val="24"/>
        </w:rPr>
        <w:t xml:space="preserve"> (</w:t>
      </w:r>
      <w:r w:rsidR="00810470">
        <w:rPr>
          <w:sz w:val="24"/>
          <w:szCs w:val="24"/>
        </w:rPr>
        <w:t>“</w:t>
      </w:r>
      <w:r>
        <w:rPr>
          <w:sz w:val="24"/>
          <w:szCs w:val="24"/>
        </w:rPr>
        <w:t xml:space="preserve">at the inception [defendant] had a right to [the property’s] possession . . . [therefore] a demand for the return of the property and refusal to comply therewith were prerequisites to [a right] to recover under a conversion theory”); </w:t>
      </w:r>
      <w:r>
        <w:rPr>
          <w:b/>
          <w:sz w:val="24"/>
          <w:szCs w:val="24"/>
        </w:rPr>
        <w:t>Beneficial Finance Co. of Arvada v. Sullivan</w:t>
      </w:r>
      <w:r>
        <w:rPr>
          <w:sz w:val="24"/>
          <w:szCs w:val="24"/>
        </w:rPr>
        <w:t>, 534 P.2d 1226, 1228 (Colo. App. 1975)</w:t>
      </w:r>
      <w:r w:rsidR="00323CF7" w:rsidRPr="00323CF7">
        <w:rPr>
          <w:sz w:val="24"/>
          <w:szCs w:val="24"/>
        </w:rPr>
        <w:t xml:space="preserve"> </w:t>
      </w:r>
      <w:r w:rsidR="00323CF7">
        <w:rPr>
          <w:sz w:val="24"/>
          <w:szCs w:val="24"/>
        </w:rPr>
        <w:t>(not published pursuant to C.A.R. 35(f))</w:t>
      </w:r>
      <w:r>
        <w:rPr>
          <w:sz w:val="24"/>
          <w:szCs w:val="24"/>
        </w:rPr>
        <w:t xml:space="preserve"> (“lists of customers, bakery routes, or laundry routes are not property subject to conversion”); </w:t>
      </w:r>
      <w:r>
        <w:rPr>
          <w:b/>
          <w:sz w:val="24"/>
          <w:szCs w:val="24"/>
        </w:rPr>
        <w:t>Aetna Casualty &amp; Surety Co. v. Chisman</w:t>
      </w:r>
      <w:r>
        <w:rPr>
          <w:sz w:val="24"/>
          <w:szCs w:val="24"/>
        </w:rPr>
        <w:t>, 528 P.2d 1317, 1318 (Colo. App. 1974)</w:t>
      </w:r>
      <w:r w:rsidR="00323CF7" w:rsidRPr="00323CF7">
        <w:rPr>
          <w:sz w:val="24"/>
          <w:szCs w:val="24"/>
        </w:rPr>
        <w:t xml:space="preserve"> </w:t>
      </w:r>
      <w:r w:rsidR="00323CF7">
        <w:rPr>
          <w:sz w:val="24"/>
          <w:szCs w:val="24"/>
        </w:rPr>
        <w:t>(not published pursuant to C.A.R. 35(f))</w:t>
      </w:r>
      <w:r>
        <w:rPr>
          <w:sz w:val="24"/>
          <w:szCs w:val="24"/>
        </w:rPr>
        <w:t xml:space="preserve"> (“because [defendant’s] initial possession of the automobile was unauthorized, no demand for possession was necessary to perfect Aetna’s claim for relief for conversion”); </w:t>
      </w:r>
      <w:r>
        <w:rPr>
          <w:b/>
          <w:sz w:val="24"/>
          <w:szCs w:val="24"/>
        </w:rPr>
        <w:t>Shockley v. Wigton</w:t>
      </w:r>
      <w:r>
        <w:rPr>
          <w:sz w:val="24"/>
          <w:szCs w:val="24"/>
        </w:rPr>
        <w:t>, 490 P.2d 77, 78 (Colo. App. 1971)</w:t>
      </w:r>
      <w:r w:rsidR="00323CF7" w:rsidRPr="00323CF7">
        <w:rPr>
          <w:sz w:val="24"/>
          <w:szCs w:val="24"/>
        </w:rPr>
        <w:t xml:space="preserve"> </w:t>
      </w:r>
      <w:r w:rsidR="00323CF7">
        <w:rPr>
          <w:sz w:val="24"/>
          <w:szCs w:val="24"/>
        </w:rPr>
        <w:t>(not published pursuant to C.A.R. 35(f))</w:t>
      </w:r>
      <w:r>
        <w:rPr>
          <w:sz w:val="24"/>
          <w:szCs w:val="24"/>
        </w:rPr>
        <w:t xml:space="preserve"> (where plaintiff failed for two years to retrieve repaired car, held no conversion when defendant demanded “two years’ storage on the automobile”); and </w:t>
      </w:r>
      <w:r>
        <w:rPr>
          <w:b/>
          <w:sz w:val="24"/>
          <w:szCs w:val="24"/>
        </w:rPr>
        <w:t>Deeb v. Canniff</w:t>
      </w:r>
      <w:r>
        <w:rPr>
          <w:sz w:val="24"/>
          <w:szCs w:val="24"/>
        </w:rPr>
        <w:t>, 29 Colo. App. 510, 488 P.2d 93, 96 (1971) (conversion exists as a matter of law where “a landlord evicted his tenant prior to termination of the lease, locked the tenant out, and refused to permit the tenant’s chattels to be removed”).</w:t>
      </w:r>
    </w:p>
    <w:p w14:paraId="328A0103" w14:textId="6C0ED38E" w:rsidR="003B4FFC" w:rsidRDefault="003B4FFC" w:rsidP="00FC5886">
      <w:pPr>
        <w:spacing w:after="240"/>
        <w:ind w:firstLine="720"/>
        <w:rPr>
          <w:rFonts w:eastAsia="Times New Roman"/>
          <w:bCs/>
          <w:sz w:val="24"/>
          <w:szCs w:val="24"/>
        </w:rPr>
      </w:pPr>
      <w:r>
        <w:rPr>
          <w:rFonts w:eastAsia="Times New Roman"/>
          <w:bCs/>
          <w:sz w:val="24"/>
          <w:szCs w:val="24"/>
        </w:rPr>
        <w:t xml:space="preserve">2. </w:t>
      </w:r>
      <w:r>
        <w:rPr>
          <w:sz w:val="24"/>
          <w:szCs w:val="24"/>
        </w:rPr>
        <w:t xml:space="preserve">An interference that is less substantial and for which a plaintiff seeks only recovery of damages for loss of use may support a claim for trespass to chattels. </w:t>
      </w:r>
      <w:r>
        <w:rPr>
          <w:i/>
          <w:sz w:val="24"/>
          <w:szCs w:val="24"/>
        </w:rPr>
        <w:t>See</w:t>
      </w:r>
      <w:r>
        <w:rPr>
          <w:sz w:val="24"/>
          <w:szCs w:val="24"/>
        </w:rPr>
        <w:t xml:space="preserve"> </w:t>
      </w:r>
      <w:r>
        <w:rPr>
          <w:rFonts w:eastAsia="Times New Roman"/>
          <w:b/>
          <w:bCs/>
          <w:sz w:val="24"/>
          <w:szCs w:val="24"/>
        </w:rPr>
        <w:t>Mountain States Tel. &amp; Tel. Co. v. Horn Tower Constr. Co.</w:t>
      </w:r>
      <w:r>
        <w:rPr>
          <w:rFonts w:eastAsia="Times New Roman"/>
          <w:bCs/>
          <w:sz w:val="24"/>
          <w:szCs w:val="24"/>
        </w:rPr>
        <w:t xml:space="preserve">, 147 Colo. 166, 170, 363 P.2d 166, 177 (1961) (“Trespass to chattels is defined as the intentional interference with the possession, or physical condition of a chattel in the possession of another, without justification.”); </w:t>
      </w:r>
      <w:r>
        <w:rPr>
          <w:rFonts w:eastAsia="Times New Roman"/>
          <w:b/>
          <w:bCs/>
          <w:sz w:val="24"/>
          <w:szCs w:val="24"/>
        </w:rPr>
        <w:t xml:space="preserve">Rifle Prod. </w:t>
      </w:r>
      <w:proofErr w:type="gramStart"/>
      <w:r>
        <w:rPr>
          <w:rFonts w:eastAsia="Times New Roman"/>
          <w:b/>
          <w:bCs/>
          <w:sz w:val="24"/>
          <w:szCs w:val="24"/>
        </w:rPr>
        <w:t>Credit Ass’n v. Wagner</w:t>
      </w:r>
      <w:r>
        <w:rPr>
          <w:rFonts w:eastAsia="Times New Roman"/>
          <w:bCs/>
          <w:sz w:val="24"/>
          <w:szCs w:val="24"/>
        </w:rPr>
        <w:t>, 543 P.2d 91 (Colo. App. 1975)</w:t>
      </w:r>
      <w:r>
        <w:rPr>
          <w:sz w:val="24"/>
          <w:szCs w:val="24"/>
        </w:rPr>
        <w:t xml:space="preserve"> (not published pursuant to C.A.R. 35(f))</w:t>
      </w:r>
      <w:r>
        <w:rPr>
          <w:rFonts w:eastAsia="Times New Roman"/>
          <w:bCs/>
          <w:sz w:val="24"/>
          <w:szCs w:val="24"/>
        </w:rPr>
        <w:t>.</w:t>
      </w:r>
      <w:proofErr w:type="gramEnd"/>
    </w:p>
    <w:p w14:paraId="7355A1C2" w14:textId="77777777" w:rsidR="003B4FFC" w:rsidRDefault="003B4FFC" w:rsidP="003B4FFC">
      <w:pPr>
        <w:spacing w:after="200" w:line="276" w:lineRule="auto"/>
        <w:rPr>
          <w:sz w:val="24"/>
          <w:szCs w:val="24"/>
        </w:rPr>
      </w:pPr>
      <w:r>
        <w:rPr>
          <w:sz w:val="24"/>
          <w:szCs w:val="24"/>
        </w:rPr>
        <w:br w:type="page"/>
      </w:r>
    </w:p>
    <w:p w14:paraId="372B8F3B" w14:textId="77777777" w:rsidR="003B4FFC" w:rsidRDefault="003B4FFC" w:rsidP="003B4FFC">
      <w:pPr>
        <w:rPr>
          <w:rFonts w:eastAsia="Times New Roman"/>
          <w:b/>
          <w:bCs/>
          <w:sz w:val="24"/>
          <w:szCs w:val="24"/>
        </w:rPr>
      </w:pPr>
      <w:bookmarkStart w:id="3" w:name="a32_03"/>
      <w:bookmarkEnd w:id="3"/>
      <w:r>
        <w:rPr>
          <w:rFonts w:eastAsia="Times New Roman"/>
          <w:b/>
          <w:bCs/>
          <w:sz w:val="24"/>
          <w:szCs w:val="24"/>
        </w:rPr>
        <w:lastRenderedPageBreak/>
        <w:t>32:3</w:t>
      </w:r>
      <w:r>
        <w:rPr>
          <w:rFonts w:eastAsia="Times New Roman"/>
          <w:b/>
          <w:bCs/>
          <w:sz w:val="24"/>
          <w:szCs w:val="24"/>
        </w:rPr>
        <w:tab/>
        <w:t>DAMAGES</w:t>
      </w:r>
    </w:p>
    <w:p w14:paraId="1D2298BC" w14:textId="77777777" w:rsidR="003B4FFC" w:rsidRDefault="003B4FFC" w:rsidP="003B4FFC">
      <w:pPr>
        <w:rPr>
          <w:rFonts w:eastAsia="Times New Roman"/>
          <w:bCs/>
          <w:sz w:val="24"/>
          <w:szCs w:val="24"/>
        </w:rPr>
      </w:pPr>
    </w:p>
    <w:p w14:paraId="534A3704" w14:textId="5168085F" w:rsidR="003B4FFC" w:rsidRDefault="003B4FFC" w:rsidP="00C078A8">
      <w:pPr>
        <w:spacing w:after="240"/>
        <w:ind w:firstLine="720"/>
        <w:rPr>
          <w:rFonts w:eastAsia="Times New Roman"/>
          <w:b/>
          <w:bCs/>
          <w:sz w:val="24"/>
          <w:szCs w:val="24"/>
        </w:rPr>
      </w:pPr>
      <w:r>
        <w:rPr>
          <w:rFonts w:eastAsia="Times New Roman"/>
          <w:b/>
          <w:bCs/>
          <w:sz w:val="24"/>
          <w:szCs w:val="24"/>
        </w:rPr>
        <w:t>If you find in favor of the plaintiff, you shall award as (his)</w:t>
      </w:r>
      <w:r w:rsidR="000E4942">
        <w:rPr>
          <w:rFonts w:eastAsia="Times New Roman"/>
          <w:b/>
          <w:bCs/>
          <w:sz w:val="24"/>
          <w:szCs w:val="24"/>
        </w:rPr>
        <w:t xml:space="preserve"> </w:t>
      </w:r>
      <w:r w:rsidR="00C94893">
        <w:rPr>
          <w:rFonts w:eastAsia="Times New Roman"/>
          <w:b/>
          <w:bCs/>
          <w:sz w:val="24"/>
          <w:szCs w:val="24"/>
        </w:rPr>
        <w:t>(</w:t>
      </w:r>
      <w:r>
        <w:rPr>
          <w:rFonts w:eastAsia="Times New Roman"/>
          <w:b/>
          <w:bCs/>
          <w:sz w:val="24"/>
          <w:szCs w:val="24"/>
        </w:rPr>
        <w:t xml:space="preserve">her) </w:t>
      </w:r>
      <w:r w:rsidR="005B418C">
        <w:rPr>
          <w:rFonts w:eastAsia="Times New Roman"/>
          <w:b/>
          <w:bCs/>
          <w:sz w:val="24"/>
          <w:szCs w:val="24"/>
        </w:rPr>
        <w:t xml:space="preserve">(its) </w:t>
      </w:r>
      <w:r>
        <w:rPr>
          <w:rFonts w:eastAsia="Times New Roman"/>
          <w:b/>
          <w:bCs/>
          <w:sz w:val="24"/>
          <w:szCs w:val="24"/>
        </w:rPr>
        <w:t xml:space="preserve">damages the </w:t>
      </w:r>
      <w:r w:rsidR="00B0569C">
        <w:rPr>
          <w:rFonts w:eastAsia="Times New Roman"/>
          <w:b/>
          <w:bCs/>
          <w:sz w:val="24"/>
          <w:szCs w:val="24"/>
        </w:rPr>
        <w:t xml:space="preserve">full </w:t>
      </w:r>
      <w:r>
        <w:rPr>
          <w:rFonts w:eastAsia="Times New Roman"/>
          <w:b/>
          <w:bCs/>
          <w:sz w:val="24"/>
          <w:szCs w:val="24"/>
        </w:rPr>
        <w:t xml:space="preserve">value of the </w:t>
      </w:r>
      <w:r w:rsidRPr="000E4942">
        <w:rPr>
          <w:rFonts w:eastAsia="Times New Roman"/>
          <w:bCs/>
          <w:i/>
          <w:sz w:val="24"/>
          <w:szCs w:val="24"/>
        </w:rPr>
        <w:t>(insert item of personal property)</w:t>
      </w:r>
      <w:r>
        <w:rPr>
          <w:rFonts w:eastAsia="Times New Roman"/>
          <w:b/>
          <w:bCs/>
          <w:sz w:val="24"/>
          <w:szCs w:val="24"/>
        </w:rPr>
        <w:t xml:space="preserve"> at the time of the interference.</w:t>
      </w:r>
    </w:p>
    <w:p w14:paraId="2D636AFC" w14:textId="77777777" w:rsidR="00C078A8" w:rsidRDefault="00C078A8" w:rsidP="00C078A8">
      <w:pPr>
        <w:rPr>
          <w:rFonts w:eastAsia="Times New Roman"/>
          <w:bCs/>
          <w:sz w:val="24"/>
          <w:szCs w:val="24"/>
        </w:rPr>
      </w:pPr>
    </w:p>
    <w:p w14:paraId="18B30706" w14:textId="77777777" w:rsidR="003B4FFC" w:rsidRDefault="003B4FFC" w:rsidP="000F6CA1">
      <w:pPr>
        <w:spacing w:after="240"/>
        <w:jc w:val="center"/>
        <w:rPr>
          <w:rFonts w:eastAsia="Times New Roman"/>
          <w:b/>
          <w:bCs/>
          <w:sz w:val="24"/>
          <w:szCs w:val="24"/>
        </w:rPr>
      </w:pPr>
      <w:r>
        <w:rPr>
          <w:rFonts w:eastAsia="Times New Roman"/>
          <w:b/>
          <w:bCs/>
          <w:sz w:val="24"/>
          <w:szCs w:val="24"/>
        </w:rPr>
        <w:t>Notes on Use</w:t>
      </w:r>
    </w:p>
    <w:p w14:paraId="3F905B4C" w14:textId="77777777" w:rsidR="003B4FFC" w:rsidRPr="003B4FFC" w:rsidRDefault="003B4FFC" w:rsidP="000F6CA1">
      <w:pPr>
        <w:spacing w:after="240"/>
        <w:ind w:firstLine="720"/>
        <w:rPr>
          <w:rFonts w:eastAsia="Times New Roman"/>
          <w:bCs/>
          <w:sz w:val="24"/>
          <w:szCs w:val="24"/>
        </w:rPr>
      </w:pPr>
      <w:r>
        <w:rPr>
          <w:rFonts w:eastAsia="Times New Roman"/>
          <w:bCs/>
          <w:sz w:val="24"/>
          <w:szCs w:val="24"/>
        </w:rPr>
        <w:t xml:space="preserve">1. </w:t>
      </w:r>
      <w:r>
        <w:rPr>
          <w:rFonts w:eastAsia="Times New Roman"/>
          <w:sz w:val="24"/>
          <w:szCs w:val="24"/>
        </w:rPr>
        <w:t xml:space="preserve">A plaintiff may not receive the </w:t>
      </w:r>
      <w:r w:rsidR="000A5B2F">
        <w:rPr>
          <w:rFonts w:eastAsia="Times New Roman"/>
          <w:sz w:val="24"/>
          <w:szCs w:val="24"/>
        </w:rPr>
        <w:t xml:space="preserve">property </w:t>
      </w:r>
      <w:r>
        <w:rPr>
          <w:rFonts w:eastAsia="Times New Roman"/>
          <w:sz w:val="24"/>
          <w:szCs w:val="24"/>
        </w:rPr>
        <w:t xml:space="preserve">and at the same time recover its full value. A plaintiff may not be compelled to receive the </w:t>
      </w:r>
      <w:r w:rsidR="000A5B2F">
        <w:rPr>
          <w:rFonts w:eastAsia="Times New Roman"/>
          <w:sz w:val="24"/>
          <w:szCs w:val="24"/>
        </w:rPr>
        <w:t xml:space="preserve">property </w:t>
      </w:r>
      <w:r>
        <w:rPr>
          <w:rFonts w:eastAsia="Times New Roman"/>
          <w:sz w:val="24"/>
          <w:szCs w:val="24"/>
        </w:rPr>
        <w:t xml:space="preserve">in mitigation of damages, but if he does so, his recovery will be reduced accordingly. </w:t>
      </w:r>
    </w:p>
    <w:p w14:paraId="69E2E794" w14:textId="4A543076" w:rsidR="003B4FFC" w:rsidRDefault="003B4FFC" w:rsidP="000F6CA1">
      <w:pPr>
        <w:spacing w:after="240"/>
        <w:ind w:firstLine="720"/>
        <w:rPr>
          <w:rFonts w:eastAsia="Times New Roman"/>
          <w:sz w:val="24"/>
          <w:szCs w:val="24"/>
        </w:rPr>
      </w:pPr>
      <w:r>
        <w:rPr>
          <w:rFonts w:eastAsia="Times New Roman"/>
          <w:bCs/>
          <w:sz w:val="24"/>
          <w:szCs w:val="24"/>
        </w:rPr>
        <w:t xml:space="preserve">2. </w:t>
      </w:r>
      <w:r>
        <w:rPr>
          <w:rFonts w:eastAsia="Times New Roman"/>
          <w:sz w:val="24"/>
          <w:szCs w:val="24"/>
        </w:rPr>
        <w:t>If the plaintiff has recovered and is in possession of the property</w:t>
      </w:r>
      <w:r w:rsidR="00C078A8">
        <w:rPr>
          <w:rFonts w:eastAsia="Times New Roman"/>
          <w:sz w:val="24"/>
          <w:szCs w:val="24"/>
        </w:rPr>
        <w:t>,</w:t>
      </w:r>
      <w:r>
        <w:rPr>
          <w:rFonts w:eastAsia="Times New Roman"/>
          <w:sz w:val="24"/>
          <w:szCs w:val="24"/>
        </w:rPr>
        <w:t xml:space="preserve"> the measure of damages is the difference in the value of the property before and after the </w:t>
      </w:r>
      <w:proofErr w:type="gramStart"/>
      <w:r>
        <w:rPr>
          <w:rFonts w:eastAsia="Times New Roman"/>
          <w:sz w:val="24"/>
          <w:szCs w:val="24"/>
        </w:rPr>
        <w:t>interference,</w:t>
      </w:r>
      <w:proofErr w:type="gramEnd"/>
      <w:r>
        <w:rPr>
          <w:rFonts w:eastAsia="Times New Roman"/>
          <w:sz w:val="24"/>
          <w:szCs w:val="24"/>
        </w:rPr>
        <w:t xml:space="preserve"> or the cost of repair minus any remaining diminution of value after the repair. </w:t>
      </w:r>
      <w:r w:rsidRPr="00912FD6">
        <w:rPr>
          <w:rFonts w:eastAsia="Times New Roman"/>
          <w:i/>
          <w:sz w:val="24"/>
          <w:szCs w:val="24"/>
        </w:rPr>
        <w:t>See</w:t>
      </w:r>
      <w:r>
        <w:rPr>
          <w:rFonts w:eastAsia="Times New Roman"/>
          <w:sz w:val="24"/>
          <w:szCs w:val="24"/>
        </w:rPr>
        <w:t xml:space="preserve"> </w:t>
      </w:r>
      <w:r w:rsidR="00166BC8">
        <w:rPr>
          <w:rFonts w:eastAsia="Times New Roman"/>
          <w:sz w:val="24"/>
          <w:szCs w:val="24"/>
        </w:rPr>
        <w:t xml:space="preserve">Instruction </w:t>
      </w:r>
      <w:r>
        <w:rPr>
          <w:rFonts w:eastAsia="Times New Roman"/>
          <w:sz w:val="24"/>
          <w:szCs w:val="24"/>
        </w:rPr>
        <w:t>6:12.</w:t>
      </w:r>
    </w:p>
    <w:p w14:paraId="3073929A" w14:textId="435382A8" w:rsidR="003B4FFC" w:rsidRPr="00AB5088" w:rsidRDefault="00166BC8" w:rsidP="000F6CA1">
      <w:pPr>
        <w:spacing w:after="240"/>
        <w:ind w:firstLine="720"/>
        <w:rPr>
          <w:rFonts w:eastAsia="Times New Roman"/>
          <w:bCs/>
          <w:sz w:val="24"/>
          <w:szCs w:val="24"/>
        </w:rPr>
      </w:pPr>
      <w:r>
        <w:rPr>
          <w:rFonts w:eastAsia="Times New Roman"/>
          <w:sz w:val="24"/>
          <w:szCs w:val="24"/>
        </w:rPr>
        <w:t xml:space="preserve">3. </w:t>
      </w:r>
      <w:r w:rsidR="003B4FFC">
        <w:rPr>
          <w:rFonts w:eastAsia="Times New Roman"/>
          <w:sz w:val="24"/>
          <w:szCs w:val="24"/>
        </w:rPr>
        <w:t>Special and consequential damages</w:t>
      </w:r>
      <w:r w:rsidR="000A5B2F">
        <w:rPr>
          <w:rFonts w:eastAsia="Times New Roman"/>
          <w:sz w:val="24"/>
          <w:szCs w:val="24"/>
        </w:rPr>
        <w:t xml:space="preserve"> are not ordinarily awarded in conversion cases</w:t>
      </w:r>
      <w:r w:rsidR="003B4FFC">
        <w:rPr>
          <w:rFonts w:eastAsia="Times New Roman"/>
          <w:sz w:val="24"/>
          <w:szCs w:val="24"/>
        </w:rPr>
        <w:t xml:space="preserve">. </w:t>
      </w:r>
      <w:r w:rsidR="000A5B2F" w:rsidRPr="000A5B2F">
        <w:rPr>
          <w:rFonts w:eastAsia="Times New Roman"/>
          <w:i/>
          <w:sz w:val="24"/>
          <w:szCs w:val="24"/>
        </w:rPr>
        <w:t>But s</w:t>
      </w:r>
      <w:r w:rsidR="003B4FFC" w:rsidRPr="00912FD6">
        <w:rPr>
          <w:rFonts w:eastAsia="Times New Roman"/>
          <w:i/>
          <w:sz w:val="24"/>
          <w:szCs w:val="24"/>
        </w:rPr>
        <w:t>ee</w:t>
      </w:r>
      <w:r w:rsidR="003B4FFC">
        <w:rPr>
          <w:rFonts w:eastAsia="Times New Roman"/>
          <w:sz w:val="24"/>
          <w:szCs w:val="24"/>
        </w:rPr>
        <w:t xml:space="preserve"> </w:t>
      </w:r>
      <w:r w:rsidR="003B4FFC" w:rsidRPr="00912FD6">
        <w:rPr>
          <w:b/>
          <w:sz w:val="24"/>
          <w:szCs w:val="24"/>
        </w:rPr>
        <w:t>Rosen Novak Auto. Co. v. Hartog</w:t>
      </w:r>
      <w:r w:rsidR="003B4FFC">
        <w:rPr>
          <w:sz w:val="24"/>
          <w:szCs w:val="24"/>
        </w:rPr>
        <w:t xml:space="preserve">, 168 Colo. 536, </w:t>
      </w:r>
      <w:r w:rsidR="004963FB">
        <w:rPr>
          <w:sz w:val="24"/>
          <w:szCs w:val="24"/>
        </w:rPr>
        <w:t xml:space="preserve">538, </w:t>
      </w:r>
      <w:r w:rsidR="003B4FFC">
        <w:rPr>
          <w:sz w:val="24"/>
          <w:szCs w:val="24"/>
        </w:rPr>
        <w:t>454 P.2d 932</w:t>
      </w:r>
      <w:r w:rsidR="004963FB">
        <w:rPr>
          <w:sz w:val="24"/>
          <w:szCs w:val="24"/>
        </w:rPr>
        <w:t>, 933</w:t>
      </w:r>
      <w:r w:rsidR="003B4FFC">
        <w:rPr>
          <w:sz w:val="24"/>
          <w:szCs w:val="24"/>
        </w:rPr>
        <w:t xml:space="preserve"> (1969)</w:t>
      </w:r>
      <w:r>
        <w:rPr>
          <w:sz w:val="24"/>
          <w:szCs w:val="24"/>
        </w:rPr>
        <w:t xml:space="preserve"> </w:t>
      </w:r>
      <w:r w:rsidR="003B4FFC">
        <w:rPr>
          <w:sz w:val="24"/>
          <w:szCs w:val="24"/>
        </w:rPr>
        <w:t>(affirming jury verdict for plaintiff in conversion action awarding special damages for “shock to their nerves and nervous system, great humiliation and embarrassment, loss or impairment of their credit, loss of use of their car, and loss of sleep and time</w:t>
      </w:r>
      <w:r w:rsidR="00E713D3">
        <w:rPr>
          <w:sz w:val="24"/>
          <w:szCs w:val="24"/>
        </w:rPr>
        <w:t>”).</w:t>
      </w:r>
    </w:p>
    <w:p w14:paraId="180D4A46" w14:textId="77777777" w:rsidR="003B4FFC" w:rsidRDefault="003B4FFC" w:rsidP="000F6CA1">
      <w:pPr>
        <w:spacing w:after="240"/>
        <w:ind w:firstLine="720"/>
        <w:rPr>
          <w:rFonts w:eastAsia="Times New Roman"/>
          <w:bCs/>
          <w:sz w:val="24"/>
          <w:szCs w:val="24"/>
        </w:rPr>
      </w:pPr>
      <w:r>
        <w:rPr>
          <w:rFonts w:eastAsia="Times New Roman"/>
          <w:bCs/>
          <w:sz w:val="24"/>
          <w:szCs w:val="24"/>
        </w:rPr>
        <w:t>4. Where a jury concludes that property was converted, legal interest is allowed and should be awarded by the court from the time of conversion to the time of trial.</w:t>
      </w:r>
    </w:p>
    <w:p w14:paraId="4AB08CC2" w14:textId="77777777" w:rsidR="003B4FFC" w:rsidRDefault="003B4FFC" w:rsidP="000F6CA1">
      <w:pPr>
        <w:spacing w:after="240"/>
        <w:ind w:firstLine="720"/>
        <w:rPr>
          <w:rFonts w:eastAsia="Times New Roman"/>
          <w:bCs/>
          <w:sz w:val="24"/>
          <w:szCs w:val="24"/>
        </w:rPr>
      </w:pPr>
      <w:r>
        <w:rPr>
          <w:rFonts w:eastAsia="Times New Roman"/>
          <w:bCs/>
          <w:sz w:val="24"/>
          <w:szCs w:val="24"/>
        </w:rPr>
        <w:t xml:space="preserve">5. Exemplary damages may be awarded upon a proper showing. </w:t>
      </w:r>
      <w:proofErr w:type="gramStart"/>
      <w:r>
        <w:rPr>
          <w:b/>
          <w:sz w:val="24"/>
          <w:szCs w:val="24"/>
        </w:rPr>
        <w:t>Montgomery v. Tufford</w:t>
      </w:r>
      <w:r>
        <w:rPr>
          <w:sz w:val="24"/>
          <w:szCs w:val="24"/>
        </w:rPr>
        <w:t>, 165 Colo. 18, 437 P.2d 36 (1968).</w:t>
      </w:r>
      <w:proofErr w:type="gramEnd"/>
    </w:p>
    <w:p w14:paraId="202AD60F" w14:textId="77777777" w:rsidR="003B4FFC" w:rsidRDefault="003B4FFC" w:rsidP="000F6CA1">
      <w:pPr>
        <w:spacing w:after="240"/>
        <w:jc w:val="center"/>
        <w:rPr>
          <w:rFonts w:eastAsia="Times New Roman"/>
          <w:b/>
          <w:bCs/>
          <w:sz w:val="24"/>
          <w:szCs w:val="24"/>
        </w:rPr>
      </w:pPr>
      <w:r>
        <w:rPr>
          <w:rFonts w:eastAsia="Times New Roman"/>
          <w:b/>
          <w:bCs/>
          <w:sz w:val="24"/>
          <w:szCs w:val="24"/>
        </w:rPr>
        <w:t>Source and Authority</w:t>
      </w:r>
    </w:p>
    <w:p w14:paraId="3751D5EB" w14:textId="3FED573C" w:rsidR="003B4FFC" w:rsidRDefault="003B4FFC" w:rsidP="00C078A8">
      <w:pPr>
        <w:spacing w:after="240"/>
        <w:ind w:firstLine="720"/>
        <w:rPr>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29, 419 P.3d 975, 983 (“Actions for conversion often, if not always, seek money damages equivalent to the value of the personal property that was converted.”); </w:t>
      </w:r>
      <w:r>
        <w:rPr>
          <w:b/>
          <w:sz w:val="24"/>
          <w:szCs w:val="24"/>
        </w:rPr>
        <w:t>Masterson v. McCroskie</w:t>
      </w:r>
      <w:r>
        <w:rPr>
          <w:sz w:val="24"/>
          <w:szCs w:val="24"/>
        </w:rPr>
        <w:t xml:space="preserve">, 194 Colo. 460, 465, 573 P.2d 547, 551 (1978) (“Generally, the measure of damages for conversion is the value of the converted property at the time and place of the misappropriation plus legal interest from the time of the conversion to the time of trial.”); </w:t>
      </w:r>
      <w:r>
        <w:rPr>
          <w:rFonts w:eastAsia="Times New Roman"/>
          <w:b/>
          <w:bCs/>
          <w:sz w:val="24"/>
          <w:szCs w:val="24"/>
        </w:rPr>
        <w:t xml:space="preserve">Rosenthal v. Whitehead, </w:t>
      </w:r>
      <w:r w:rsidR="00DC44C9">
        <w:rPr>
          <w:rFonts w:eastAsia="Times New Roman"/>
          <w:bCs/>
          <w:sz w:val="24"/>
          <w:szCs w:val="24"/>
        </w:rPr>
        <w:t xml:space="preserve">171 </w:t>
      </w:r>
      <w:r>
        <w:rPr>
          <w:rFonts w:eastAsia="Times New Roman"/>
          <w:bCs/>
          <w:sz w:val="24"/>
          <w:szCs w:val="24"/>
        </w:rPr>
        <w:t>Colo. 347, 348, 467 P.2d 831, 831 (1970) (the measure of damages was “the value of the tractor in question as of the time of conversion”);</w:t>
      </w:r>
      <w:r>
        <w:rPr>
          <w:rFonts w:eastAsia="Times New Roman"/>
          <w:b/>
          <w:bCs/>
          <w:sz w:val="24"/>
          <w:szCs w:val="24"/>
        </w:rPr>
        <w:t xml:space="preserve"> </w:t>
      </w:r>
      <w:r>
        <w:rPr>
          <w:b/>
          <w:sz w:val="24"/>
          <w:szCs w:val="24"/>
        </w:rPr>
        <w:t>Rosen Novak Auto Co. v. Hartog</w:t>
      </w:r>
      <w:r>
        <w:rPr>
          <w:sz w:val="24"/>
          <w:szCs w:val="24"/>
        </w:rPr>
        <w:t xml:space="preserve">, 168 Colo. 536, 454 P.2d 932 (1969) (jury verdict for plaintiff in conversion action awarded damages for emotional distress, humiliation and embarrassment, impairment of credit, loss of use of car, and loss of sleep and time); </w:t>
      </w:r>
      <w:r>
        <w:rPr>
          <w:b/>
          <w:sz w:val="24"/>
          <w:szCs w:val="24"/>
        </w:rPr>
        <w:t>Montgomery</w:t>
      </w:r>
      <w:r>
        <w:rPr>
          <w:sz w:val="24"/>
          <w:szCs w:val="24"/>
        </w:rPr>
        <w:t>, 165 Colo. at 27, 437 P.2d at 41 (“one whose property is converted is entitled, as part of his damages, to interest at the legal rate from the time of the conversion on the amount found to be the value of the property converted”);</w:t>
      </w:r>
      <w:r>
        <w:rPr>
          <w:rFonts w:eastAsia="Times New Roman"/>
          <w:b/>
          <w:bCs/>
          <w:sz w:val="24"/>
          <w:szCs w:val="24"/>
        </w:rPr>
        <w:t xml:space="preserve"> Gates Factory Store v. Coleman</w:t>
      </w:r>
      <w:r>
        <w:rPr>
          <w:rFonts w:eastAsia="Times New Roman"/>
          <w:bCs/>
          <w:sz w:val="24"/>
          <w:szCs w:val="24"/>
        </w:rPr>
        <w:t>,</w:t>
      </w:r>
      <w:r>
        <w:rPr>
          <w:rFonts w:eastAsia="Times New Roman"/>
          <w:b/>
          <w:bCs/>
          <w:sz w:val="24"/>
          <w:szCs w:val="24"/>
        </w:rPr>
        <w:t xml:space="preserve"> </w:t>
      </w:r>
      <w:r>
        <w:rPr>
          <w:rFonts w:eastAsia="Times New Roman"/>
          <w:bCs/>
          <w:sz w:val="24"/>
          <w:szCs w:val="24"/>
        </w:rPr>
        <w:t>142 Colo. 246, 249, 350 P.2d 559, 560 (1960) (jury verdict reversed because “there was no evidence offered as to the value of the tires taken at the time and place of their conversion,” and “the value of the property taken, plus an additional amount equal to the legal rate of interest upon such value from the time of conversion to the time of the trial, is the proper measure of damages in trover and conversion actions”);</w:t>
      </w:r>
      <w:r>
        <w:rPr>
          <w:rFonts w:eastAsia="Times New Roman"/>
          <w:b/>
          <w:bCs/>
          <w:sz w:val="24"/>
          <w:szCs w:val="24"/>
        </w:rPr>
        <w:t xml:space="preserve"> Colorado </w:t>
      </w:r>
      <w:r>
        <w:rPr>
          <w:rFonts w:eastAsia="Times New Roman"/>
          <w:b/>
          <w:bCs/>
          <w:sz w:val="24"/>
          <w:szCs w:val="24"/>
        </w:rPr>
        <w:lastRenderedPageBreak/>
        <w:t>Kenworth Corp. v. Whitworth</w:t>
      </w:r>
      <w:r>
        <w:rPr>
          <w:rFonts w:eastAsia="Times New Roman"/>
          <w:bCs/>
          <w:sz w:val="24"/>
          <w:szCs w:val="24"/>
        </w:rPr>
        <w:t>, 144 Colo. 541, 357 P.2d 626 (Colo. 1960) (the mere taking of property under a claim of right over the protest o</w:t>
      </w:r>
      <w:r w:rsidR="00896200">
        <w:rPr>
          <w:rFonts w:eastAsia="Times New Roman"/>
          <w:bCs/>
          <w:sz w:val="24"/>
          <w:szCs w:val="24"/>
        </w:rPr>
        <w:t>f</w:t>
      </w:r>
      <w:r>
        <w:rPr>
          <w:rFonts w:eastAsia="Times New Roman"/>
          <w:bCs/>
          <w:sz w:val="24"/>
          <w:szCs w:val="24"/>
        </w:rPr>
        <w:t xml:space="preserve"> one in possession is not sufficient to establish grounds for exemplary damages in a conversion action); </w:t>
      </w:r>
      <w:r>
        <w:rPr>
          <w:rFonts w:eastAsia="Times New Roman"/>
          <w:b/>
          <w:bCs/>
          <w:sz w:val="24"/>
          <w:szCs w:val="24"/>
        </w:rPr>
        <w:t>Byron v. York Investment Co.</w:t>
      </w:r>
      <w:r>
        <w:rPr>
          <w:rFonts w:eastAsia="Times New Roman"/>
          <w:bCs/>
          <w:sz w:val="24"/>
          <w:szCs w:val="24"/>
        </w:rPr>
        <w:t>, 133 Colo. 418, 428, 296 P.2d 742, 747 (1956) (“The cost price of chattel must be related to the condition of the property at the time of the alleged conversion.”);</w:t>
      </w:r>
      <w:r>
        <w:rPr>
          <w:rFonts w:eastAsia="Times New Roman"/>
          <w:b/>
          <w:bCs/>
          <w:sz w:val="24"/>
          <w:szCs w:val="24"/>
        </w:rPr>
        <w:t xml:space="preserve"> 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583, 101 P. 68, 70 (1909) (“in trover the measure of damages is the fair market value of the property converted at the time of conversion, and in this jurisdiction an additional amount equal to the legal rate of interest upon such value from the time of conversion to the time of trial”); </w:t>
      </w:r>
      <w:r>
        <w:rPr>
          <w:rFonts w:eastAsia="Times New Roman"/>
          <w:b/>
          <w:bCs/>
          <w:sz w:val="24"/>
          <w:szCs w:val="24"/>
        </w:rPr>
        <w:t>Omaha &amp; Grant Smelting &amp; Refining Co. v. Tabor</w:t>
      </w:r>
      <w:r w:rsidR="00E713D3">
        <w:rPr>
          <w:rFonts w:eastAsia="Times New Roman"/>
          <w:bCs/>
          <w:sz w:val="24"/>
          <w:szCs w:val="24"/>
        </w:rPr>
        <w:t xml:space="preserve">, 13 Colo. 41, 58, 21 P. 925, </w:t>
      </w:r>
      <w:r>
        <w:rPr>
          <w:rFonts w:eastAsia="Times New Roman"/>
          <w:bCs/>
          <w:sz w:val="24"/>
          <w:szCs w:val="24"/>
        </w:rPr>
        <w:t>931 (1889) (“The general rule in trover is that the damages should embrace the value of the property at the time of the conversion, with the interest up to the time of judgment.”);</w:t>
      </w:r>
      <w:r>
        <w:rPr>
          <w:rFonts w:eastAsia="Times New Roman"/>
          <w:b/>
          <w:bCs/>
          <w:sz w:val="24"/>
          <w:szCs w:val="24"/>
        </w:rPr>
        <w:t xml:space="preserve"> Murphy v. Hobbs</w:t>
      </w:r>
      <w:r>
        <w:rPr>
          <w:rFonts w:eastAsia="Times New Roman"/>
          <w:bCs/>
          <w:sz w:val="24"/>
          <w:szCs w:val="24"/>
        </w:rPr>
        <w:t xml:space="preserve">, 8 Colo. 17, 31, 5 P. 637, 638 (1884) (“appellant [is] answerable in this action for the value of the wagon when converted, less its value when recovered by appellee”); </w:t>
      </w:r>
      <w:r>
        <w:rPr>
          <w:rFonts w:eastAsia="Times New Roman"/>
          <w:b/>
          <w:bCs/>
          <w:sz w:val="24"/>
          <w:szCs w:val="24"/>
        </w:rPr>
        <w:t>Mercantile Financial Corp. v. Hami</w:t>
      </w:r>
      <w:r w:rsidR="00896200">
        <w:rPr>
          <w:rFonts w:eastAsia="Times New Roman"/>
          <w:b/>
          <w:bCs/>
          <w:sz w:val="24"/>
          <w:szCs w:val="24"/>
        </w:rPr>
        <w:t>t</w:t>
      </w:r>
      <w:r>
        <w:rPr>
          <w:rFonts w:eastAsia="Times New Roman"/>
          <w:b/>
          <w:bCs/>
          <w:sz w:val="24"/>
          <w:szCs w:val="24"/>
        </w:rPr>
        <w:t>t</w:t>
      </w:r>
      <w:r>
        <w:rPr>
          <w:rFonts w:eastAsia="Times New Roman"/>
          <w:bCs/>
          <w:sz w:val="24"/>
          <w:szCs w:val="24"/>
        </w:rPr>
        <w:t>, 680 P.2d 239, 241 (Colo. App. 1984) (“we conclude that Hamitt’s refusal to pay rental thereafter . . . was tantamount to . . . a conversion of Mercantile’s equipment [and] the appropriate measure of damages would be the fair market value of the property at the time the lease expired”);</w:t>
      </w:r>
      <w:r>
        <w:rPr>
          <w:b/>
          <w:sz w:val="24"/>
          <w:szCs w:val="24"/>
        </w:rPr>
        <w:t xml:space="preserve"> Payne v. Russ Vento Chevrolet, Inc</w:t>
      </w:r>
      <w:r w:rsidRPr="0053727E">
        <w:rPr>
          <w:b/>
          <w:sz w:val="24"/>
          <w:szCs w:val="24"/>
        </w:rPr>
        <w:t>.</w:t>
      </w:r>
      <w:r>
        <w:rPr>
          <w:sz w:val="24"/>
          <w:szCs w:val="24"/>
        </w:rPr>
        <w:t>, 528 P.2d 935, 938-39 (Colo. App. 1974)</w:t>
      </w:r>
      <w:r w:rsidR="0053727E">
        <w:rPr>
          <w:sz w:val="24"/>
          <w:szCs w:val="24"/>
        </w:rPr>
        <w:t xml:space="preserve"> (not published pursuant to C.A.R. 35(f)) </w:t>
      </w:r>
      <w:r>
        <w:rPr>
          <w:sz w:val="24"/>
          <w:szCs w:val="24"/>
        </w:rPr>
        <w:t xml:space="preserve">(“a wrong doer cannot, after his conversion of property has become complete, lessen the actual damages recoverable by tendering back the property”); </w:t>
      </w:r>
      <w:r>
        <w:rPr>
          <w:b/>
          <w:sz w:val="24"/>
          <w:szCs w:val="24"/>
        </w:rPr>
        <w:t>Fair Bowl, Inc. v. Brunswick Corp</w:t>
      </w:r>
      <w:r w:rsidRPr="008464BF">
        <w:rPr>
          <w:b/>
          <w:sz w:val="24"/>
          <w:szCs w:val="24"/>
        </w:rPr>
        <w:t>.</w:t>
      </w:r>
      <w:r>
        <w:rPr>
          <w:sz w:val="24"/>
          <w:szCs w:val="24"/>
        </w:rPr>
        <w:t>, 502 P.2d 957, 958 (Colo. App. 1972)</w:t>
      </w:r>
      <w:r w:rsidR="00EA6940" w:rsidRPr="00EA6940">
        <w:rPr>
          <w:sz w:val="24"/>
          <w:szCs w:val="24"/>
        </w:rPr>
        <w:t xml:space="preserve"> </w:t>
      </w:r>
      <w:r w:rsidR="00EA6940">
        <w:rPr>
          <w:sz w:val="24"/>
          <w:szCs w:val="24"/>
        </w:rPr>
        <w:t>(not published pursuant to C.A.R. 35(f))</w:t>
      </w:r>
      <w:r>
        <w:rPr>
          <w:sz w:val="24"/>
          <w:szCs w:val="24"/>
        </w:rPr>
        <w:t xml:space="preserve"> (“the proper measure of damages for the conversion of property is the value of that property at the time of conversion”).</w:t>
      </w:r>
    </w:p>
    <w:p w14:paraId="59887B80" w14:textId="77777777" w:rsidR="00057E62" w:rsidRDefault="00057E62">
      <w:pPr>
        <w:spacing w:after="200" w:line="276" w:lineRule="auto"/>
        <w:rPr>
          <w:rFonts w:eastAsia="Times New Roman"/>
          <w:b/>
          <w:sz w:val="24"/>
          <w:szCs w:val="24"/>
        </w:rPr>
      </w:pPr>
      <w:r>
        <w:rPr>
          <w:rFonts w:eastAsia="Times New Roman"/>
          <w:b/>
          <w:sz w:val="24"/>
          <w:szCs w:val="24"/>
        </w:rPr>
        <w:br w:type="page"/>
      </w:r>
    </w:p>
    <w:p w14:paraId="63F6C340" w14:textId="77777777" w:rsidR="00057E62" w:rsidRDefault="00057E62" w:rsidP="00A92E6B">
      <w:pPr>
        <w:spacing w:after="240"/>
        <w:jc w:val="center"/>
        <w:rPr>
          <w:rFonts w:eastAsia="Times New Roman"/>
          <w:b/>
          <w:sz w:val="24"/>
          <w:szCs w:val="24"/>
        </w:rPr>
      </w:pPr>
      <w:bookmarkStart w:id="4" w:name="a32_04"/>
      <w:bookmarkEnd w:id="4"/>
      <w:r>
        <w:rPr>
          <w:rFonts w:eastAsia="Times New Roman"/>
          <w:b/>
          <w:sz w:val="24"/>
          <w:szCs w:val="24"/>
        </w:rPr>
        <w:lastRenderedPageBreak/>
        <w:t>B. CIVIL THEFT</w:t>
      </w:r>
    </w:p>
    <w:p w14:paraId="728A7FCC" w14:textId="77777777" w:rsidR="00E75B12" w:rsidRDefault="00E75B12" w:rsidP="00A92E6B">
      <w:pPr>
        <w:spacing w:after="240"/>
        <w:rPr>
          <w:rFonts w:eastAsia="Times New Roman"/>
          <w:b/>
          <w:sz w:val="24"/>
          <w:szCs w:val="24"/>
        </w:rPr>
      </w:pPr>
      <w:r>
        <w:rPr>
          <w:rFonts w:eastAsia="Times New Roman"/>
          <w:b/>
          <w:sz w:val="24"/>
          <w:szCs w:val="24"/>
        </w:rPr>
        <w:t>32:4</w:t>
      </w:r>
      <w:r w:rsidRPr="00167A38">
        <w:rPr>
          <w:rFonts w:eastAsia="Times New Roman"/>
          <w:b/>
          <w:sz w:val="24"/>
          <w:szCs w:val="24"/>
        </w:rPr>
        <w:t xml:space="preserve"> </w:t>
      </w:r>
      <w:r w:rsidRPr="00167A38">
        <w:rPr>
          <w:rFonts w:eastAsia="Times New Roman"/>
          <w:b/>
          <w:sz w:val="24"/>
          <w:szCs w:val="24"/>
        </w:rPr>
        <w:tab/>
        <w:t>ELEMENTS OF LIABILITY</w:t>
      </w:r>
    </w:p>
    <w:p w14:paraId="5CC9C178" w14:textId="77777777" w:rsidR="00E75B12" w:rsidRDefault="00E75B12" w:rsidP="00A92E6B">
      <w:pPr>
        <w:spacing w:after="240"/>
        <w:ind w:firstLine="720"/>
        <w:rPr>
          <w:b/>
          <w:sz w:val="24"/>
          <w:szCs w:val="24"/>
        </w:rPr>
      </w:pPr>
      <w:r w:rsidRPr="00BB3D68">
        <w:rPr>
          <w:b/>
          <w:sz w:val="24"/>
          <w:szCs w:val="24"/>
        </w:rPr>
        <w:t xml:space="preserve">For the plaintiff, </w:t>
      </w:r>
      <w:r w:rsidRPr="00D43EFD">
        <w:rPr>
          <w:i/>
          <w:sz w:val="24"/>
          <w:szCs w:val="24"/>
        </w:rPr>
        <w:t>(name)</w:t>
      </w:r>
      <w:r w:rsidRPr="00BB3D68">
        <w:rPr>
          <w:b/>
          <w:sz w:val="24"/>
          <w:szCs w:val="24"/>
        </w:rPr>
        <w:t>, to recover from the defendant</w:t>
      </w:r>
      <w:r>
        <w:rPr>
          <w:b/>
          <w:sz w:val="24"/>
          <w:szCs w:val="24"/>
        </w:rPr>
        <w:t>,</w:t>
      </w:r>
      <w:r w:rsidRPr="00BB3D68">
        <w:rPr>
          <w:b/>
          <w:sz w:val="24"/>
          <w:szCs w:val="24"/>
        </w:rPr>
        <w:t xml:space="preserve"> </w:t>
      </w:r>
      <w:r w:rsidRPr="00D43EFD">
        <w:rPr>
          <w:i/>
          <w:sz w:val="24"/>
          <w:szCs w:val="24"/>
        </w:rPr>
        <w:t>(name)</w:t>
      </w:r>
      <w:r w:rsidRPr="00BB3D68">
        <w:rPr>
          <w:b/>
          <w:sz w:val="24"/>
          <w:szCs w:val="24"/>
        </w:rPr>
        <w:t>, on (his) (her) (its) claim of civil theft, you must find that all of the following have been proved by a preponderance of the evidence:</w:t>
      </w:r>
    </w:p>
    <w:p w14:paraId="583E6231" w14:textId="77777777" w:rsidR="00E75B12" w:rsidRDefault="00E75B12" w:rsidP="00A92E6B">
      <w:pPr>
        <w:spacing w:after="240"/>
        <w:ind w:firstLine="720"/>
        <w:rPr>
          <w:b/>
          <w:sz w:val="24"/>
          <w:szCs w:val="24"/>
        </w:rPr>
      </w:pPr>
      <w:r>
        <w:rPr>
          <w:b/>
          <w:sz w:val="24"/>
          <w:szCs w:val="24"/>
        </w:rPr>
        <w:t>1. The plaintiff (owned) (possessed) (had a</w:t>
      </w:r>
      <w:r w:rsidR="00562D18">
        <w:rPr>
          <w:b/>
          <w:sz w:val="24"/>
          <w:szCs w:val="24"/>
        </w:rPr>
        <w:t>n</w:t>
      </w:r>
      <w:r>
        <w:rPr>
          <w:b/>
          <w:sz w:val="24"/>
          <w:szCs w:val="24"/>
        </w:rPr>
        <w:t xml:space="preserve"> </w:t>
      </w:r>
      <w:r w:rsidR="00562D18">
        <w:rPr>
          <w:b/>
          <w:sz w:val="24"/>
          <w:szCs w:val="24"/>
        </w:rPr>
        <w:t xml:space="preserve">ownership </w:t>
      </w:r>
      <w:r>
        <w:rPr>
          <w:b/>
          <w:sz w:val="24"/>
          <w:szCs w:val="24"/>
        </w:rPr>
        <w:t xml:space="preserve">interest in) the </w:t>
      </w:r>
      <w:r w:rsidRPr="00D01895">
        <w:rPr>
          <w:i/>
          <w:sz w:val="24"/>
          <w:szCs w:val="24"/>
        </w:rPr>
        <w:t>(</w:t>
      </w:r>
      <w:r w:rsidRPr="00912FD6">
        <w:rPr>
          <w:i/>
          <w:sz w:val="24"/>
          <w:szCs w:val="24"/>
        </w:rPr>
        <w:t>insert thing of valu</w:t>
      </w:r>
      <w:r w:rsidRPr="00D01895">
        <w:rPr>
          <w:i/>
          <w:sz w:val="24"/>
          <w:szCs w:val="24"/>
        </w:rPr>
        <w:t>e)</w:t>
      </w:r>
      <w:r>
        <w:rPr>
          <w:b/>
          <w:sz w:val="24"/>
          <w:szCs w:val="24"/>
        </w:rPr>
        <w:t>;</w:t>
      </w:r>
    </w:p>
    <w:p w14:paraId="65780B5C" w14:textId="77777777" w:rsidR="00E75B12" w:rsidRDefault="00E75B12" w:rsidP="00A92E6B">
      <w:pPr>
        <w:spacing w:after="240"/>
        <w:ind w:firstLine="720"/>
        <w:rPr>
          <w:b/>
          <w:sz w:val="24"/>
          <w:szCs w:val="24"/>
        </w:rPr>
      </w:pPr>
      <w:r>
        <w:rPr>
          <w:b/>
          <w:sz w:val="24"/>
          <w:szCs w:val="24"/>
        </w:rPr>
        <w:t xml:space="preserve">2. The defendant knowingly (without authorization) (by threat) (by deception) (obtained) (retained) (exercised control over) the plaintiff’s </w:t>
      </w:r>
      <w:r w:rsidRPr="00D01895">
        <w:rPr>
          <w:i/>
          <w:sz w:val="24"/>
          <w:szCs w:val="24"/>
        </w:rPr>
        <w:t>(</w:t>
      </w:r>
      <w:r w:rsidRPr="00912FD6">
        <w:rPr>
          <w:i/>
          <w:sz w:val="24"/>
          <w:szCs w:val="24"/>
        </w:rPr>
        <w:t>insert thing of value</w:t>
      </w:r>
      <w:r w:rsidRPr="00D01895">
        <w:rPr>
          <w:i/>
          <w:sz w:val="24"/>
          <w:szCs w:val="24"/>
        </w:rPr>
        <w:t>)</w:t>
      </w:r>
      <w:r w:rsidRPr="00D01895">
        <w:rPr>
          <w:b/>
          <w:sz w:val="24"/>
          <w:szCs w:val="24"/>
        </w:rPr>
        <w:t xml:space="preserve">; </w:t>
      </w:r>
      <w:r>
        <w:rPr>
          <w:b/>
          <w:sz w:val="24"/>
          <w:szCs w:val="24"/>
        </w:rPr>
        <w:t xml:space="preserve">and </w:t>
      </w:r>
    </w:p>
    <w:p w14:paraId="6D7FFA85" w14:textId="77777777" w:rsidR="00E75B12" w:rsidRDefault="00E75B12" w:rsidP="00A92E6B">
      <w:pPr>
        <w:spacing w:after="240"/>
        <w:ind w:firstLine="720"/>
        <w:rPr>
          <w:b/>
          <w:sz w:val="24"/>
          <w:szCs w:val="24"/>
        </w:rPr>
      </w:pPr>
      <w:r>
        <w:rPr>
          <w:b/>
          <w:sz w:val="24"/>
          <w:szCs w:val="24"/>
        </w:rPr>
        <w:t xml:space="preserve">3. </w:t>
      </w:r>
      <w:r w:rsidRPr="00BB3D68">
        <w:rPr>
          <w:b/>
          <w:sz w:val="24"/>
          <w:szCs w:val="24"/>
        </w:rPr>
        <w:t xml:space="preserve">The defendant </w:t>
      </w:r>
      <w:r>
        <w:rPr>
          <w:b/>
          <w:sz w:val="24"/>
          <w:szCs w:val="24"/>
        </w:rPr>
        <w:t xml:space="preserve">did so with the intent to </w:t>
      </w:r>
      <w:r w:rsidRPr="00BB3D68">
        <w:rPr>
          <w:b/>
          <w:sz w:val="24"/>
          <w:szCs w:val="24"/>
        </w:rPr>
        <w:t xml:space="preserve">permanently </w:t>
      </w:r>
      <w:r>
        <w:rPr>
          <w:b/>
          <w:sz w:val="24"/>
          <w:szCs w:val="24"/>
        </w:rPr>
        <w:t xml:space="preserve">deprive the plaintiff </w:t>
      </w:r>
      <w:r w:rsidRPr="00BB3D68">
        <w:rPr>
          <w:b/>
          <w:sz w:val="24"/>
          <w:szCs w:val="24"/>
        </w:rPr>
        <w:t>of the use or benefit of the</w:t>
      </w:r>
      <w:r>
        <w:rPr>
          <w:b/>
          <w:sz w:val="24"/>
          <w:szCs w:val="24"/>
        </w:rPr>
        <w:t xml:space="preserve"> plaintiff’s </w:t>
      </w:r>
      <w:r w:rsidR="00562D18">
        <w:rPr>
          <w:rFonts w:eastAsia="Times New Roman"/>
          <w:bCs/>
          <w:i/>
          <w:sz w:val="24"/>
          <w:szCs w:val="24"/>
        </w:rPr>
        <w:t>(</w:t>
      </w:r>
      <w:r>
        <w:rPr>
          <w:rFonts w:eastAsia="Times New Roman"/>
          <w:bCs/>
          <w:i/>
          <w:sz w:val="24"/>
          <w:szCs w:val="24"/>
        </w:rPr>
        <w:t>insert thing of value</w:t>
      </w:r>
      <w:r w:rsidR="00562D18">
        <w:rPr>
          <w:rFonts w:eastAsia="Times New Roman"/>
          <w:bCs/>
          <w:i/>
          <w:sz w:val="24"/>
          <w:szCs w:val="24"/>
        </w:rPr>
        <w:t>)</w:t>
      </w:r>
      <w:r w:rsidRPr="00D01895">
        <w:rPr>
          <w:rFonts w:eastAsia="Times New Roman"/>
          <w:b/>
          <w:bCs/>
          <w:sz w:val="24"/>
          <w:szCs w:val="24"/>
        </w:rPr>
        <w:t>.</w:t>
      </w:r>
      <w:r>
        <w:rPr>
          <w:b/>
          <w:sz w:val="24"/>
          <w:szCs w:val="24"/>
        </w:rPr>
        <w:t xml:space="preserve"> </w:t>
      </w:r>
    </w:p>
    <w:p w14:paraId="5205DC41" w14:textId="77777777" w:rsidR="00E75B12" w:rsidRDefault="00E75B12" w:rsidP="00A92E6B">
      <w:pPr>
        <w:spacing w:after="240"/>
        <w:ind w:firstLine="720"/>
        <w:rPr>
          <w:b/>
          <w:sz w:val="24"/>
          <w:szCs w:val="24"/>
        </w:rPr>
      </w:pPr>
      <w:r w:rsidRPr="00BB3D68">
        <w:rPr>
          <w:b/>
          <w:sz w:val="24"/>
          <w:szCs w:val="24"/>
        </w:rPr>
        <w:t xml:space="preserve">If you find that </w:t>
      </w:r>
      <w:r w:rsidR="001D253E">
        <w:rPr>
          <w:b/>
          <w:sz w:val="24"/>
          <w:szCs w:val="24"/>
        </w:rPr>
        <w:t xml:space="preserve">any one or more of </w:t>
      </w:r>
      <w:r w:rsidRPr="00BB3D68">
        <w:rPr>
          <w:b/>
          <w:sz w:val="24"/>
          <w:szCs w:val="24"/>
        </w:rPr>
        <w:t xml:space="preserve">these </w:t>
      </w:r>
      <w:r w:rsidR="001D253E" w:rsidRPr="001D253E">
        <w:rPr>
          <w:i/>
          <w:sz w:val="24"/>
          <w:szCs w:val="24"/>
        </w:rPr>
        <w:t>(number)</w:t>
      </w:r>
      <w:r w:rsidR="001D253E">
        <w:rPr>
          <w:b/>
          <w:sz w:val="24"/>
          <w:szCs w:val="24"/>
        </w:rPr>
        <w:t xml:space="preserve"> </w:t>
      </w:r>
      <w:r w:rsidRPr="00BB3D68">
        <w:rPr>
          <w:b/>
          <w:sz w:val="24"/>
          <w:szCs w:val="24"/>
        </w:rPr>
        <w:t>statements have not been proved, then your verdict must be for the defendant.</w:t>
      </w:r>
    </w:p>
    <w:p w14:paraId="2E2403E3" w14:textId="77777777" w:rsidR="00E75B12" w:rsidRPr="00167A38" w:rsidRDefault="00E75B12" w:rsidP="00A92E6B">
      <w:pPr>
        <w:spacing w:after="240"/>
        <w:ind w:firstLine="720"/>
        <w:rPr>
          <w:rFonts w:eastAsia="Times New Roman"/>
          <w:i/>
          <w:sz w:val="24"/>
          <w:szCs w:val="24"/>
        </w:rPr>
      </w:pPr>
      <w:r w:rsidRPr="006D7E0E">
        <w:rPr>
          <w:rFonts w:eastAsia="Times New Roman"/>
          <w:b/>
          <w:sz w:val="24"/>
          <w:szCs w:val="24"/>
        </w:rPr>
        <w:t xml:space="preserve">On the other hand, if you find that all of these </w:t>
      </w:r>
      <w:r w:rsidR="007A0043" w:rsidRPr="001D253E">
        <w:rPr>
          <w:i/>
          <w:sz w:val="24"/>
          <w:szCs w:val="24"/>
        </w:rPr>
        <w:t>(number)</w:t>
      </w:r>
      <w:r w:rsidR="007A0043">
        <w:rPr>
          <w:b/>
          <w:sz w:val="24"/>
          <w:szCs w:val="24"/>
        </w:rPr>
        <w:t xml:space="preserve"> </w:t>
      </w:r>
      <w:r w:rsidRPr="006D7E0E">
        <w:rPr>
          <w:rFonts w:eastAsia="Times New Roman"/>
          <w:b/>
          <w:sz w:val="24"/>
          <w:szCs w:val="24"/>
        </w:rPr>
        <w:t xml:space="preserve">statements have been proved, </w:t>
      </w:r>
      <w:r w:rsidRPr="00167A38">
        <w:rPr>
          <w:rFonts w:eastAsia="Times New Roman"/>
          <w:b/>
          <w:sz w:val="24"/>
          <w:szCs w:val="24"/>
        </w:rPr>
        <w:t xml:space="preserve">(then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r w:rsidRPr="007A0043">
        <w:rPr>
          <w:rFonts w:eastAsia="Times New Roman"/>
          <w:b/>
          <w:sz w:val="24"/>
          <w:szCs w:val="24"/>
        </w:rPr>
        <w:t>).</w:t>
      </w:r>
    </w:p>
    <w:p w14:paraId="36B5E80B"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B93B9E5"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However, if you find that (this affirmative defense has</w:t>
      </w:r>
      <w:r>
        <w:rPr>
          <w:rFonts w:eastAsia="Times New Roman"/>
          <w:b/>
          <w:sz w:val="24"/>
          <w:szCs w:val="24"/>
        </w:rPr>
        <w:t xml:space="preserve"> not</w:t>
      </w:r>
      <w:r w:rsidRPr="00167A38">
        <w:rPr>
          <w:rFonts w:eastAsia="Times New Roman"/>
          <w:b/>
          <w:sz w:val="24"/>
          <w:szCs w:val="24"/>
        </w:rPr>
        <w:t>) (</w:t>
      </w:r>
      <w:r>
        <w:rPr>
          <w:rFonts w:eastAsia="Times New Roman"/>
          <w:b/>
          <w:sz w:val="24"/>
          <w:szCs w:val="24"/>
        </w:rPr>
        <w:t>none</w:t>
      </w:r>
      <w:r w:rsidRPr="00167A38">
        <w:rPr>
          <w:rFonts w:eastAsia="Times New Roman"/>
          <w:b/>
          <w:sz w:val="24"/>
          <w:szCs w:val="24"/>
        </w:rPr>
        <w:t xml:space="preserve"> of these affirmative defenses have) been proved, then your verdict must be for the plaintiff.</w:t>
      </w:r>
    </w:p>
    <w:p w14:paraId="6D4F8677" w14:textId="4DFDE05C" w:rsidR="00E75B12" w:rsidRDefault="00E75B12" w:rsidP="00A92E6B">
      <w:pPr>
        <w:jc w:val="center"/>
        <w:rPr>
          <w:rFonts w:eastAsia="Times New Roman"/>
          <w:sz w:val="24"/>
          <w:szCs w:val="24"/>
        </w:rPr>
      </w:pPr>
    </w:p>
    <w:p w14:paraId="1EE6823C" w14:textId="77777777" w:rsidR="00E75B12" w:rsidRDefault="00E75B12" w:rsidP="00A92E6B">
      <w:pPr>
        <w:keepNext/>
        <w:spacing w:after="240"/>
        <w:jc w:val="center"/>
        <w:rPr>
          <w:rFonts w:eastAsia="Times New Roman"/>
          <w:b/>
          <w:sz w:val="24"/>
          <w:szCs w:val="24"/>
        </w:rPr>
      </w:pPr>
      <w:r w:rsidRPr="0054263B">
        <w:rPr>
          <w:rFonts w:eastAsia="Times New Roman"/>
          <w:b/>
          <w:sz w:val="24"/>
          <w:szCs w:val="24"/>
        </w:rPr>
        <w:t>Notes on Use</w:t>
      </w:r>
    </w:p>
    <w:p w14:paraId="1E47F3A6" w14:textId="4073E5B7" w:rsidR="00E75B12" w:rsidRDefault="000610A3" w:rsidP="00A92E6B">
      <w:pPr>
        <w:spacing w:after="240"/>
        <w:ind w:firstLine="720"/>
        <w:rPr>
          <w:rFonts w:eastAsia="Times New Roman"/>
          <w:sz w:val="24"/>
          <w:szCs w:val="24"/>
        </w:rPr>
      </w:pPr>
      <w:r>
        <w:rPr>
          <w:rFonts w:eastAsia="Times New Roman"/>
          <w:sz w:val="24"/>
          <w:szCs w:val="24"/>
        </w:rPr>
        <w:t>1</w:t>
      </w:r>
      <w:r w:rsidR="00E75B12">
        <w:rPr>
          <w:rFonts w:eastAsia="Times New Roman"/>
          <w:sz w:val="24"/>
          <w:szCs w:val="24"/>
        </w:rPr>
        <w:t xml:space="preserve">. </w:t>
      </w:r>
      <w:r w:rsidR="008F655D">
        <w:rPr>
          <w:rFonts w:eastAsia="Times New Roman"/>
          <w:sz w:val="24"/>
          <w:szCs w:val="24"/>
        </w:rPr>
        <w:t xml:space="preserve">Paragraph </w:t>
      </w:r>
      <w:r w:rsidR="00E75B12">
        <w:rPr>
          <w:rFonts w:eastAsia="Times New Roman"/>
          <w:sz w:val="24"/>
          <w:szCs w:val="24"/>
        </w:rPr>
        <w:t xml:space="preserve">1 </w:t>
      </w:r>
      <w:r>
        <w:rPr>
          <w:rFonts w:eastAsia="Times New Roman"/>
          <w:sz w:val="24"/>
          <w:szCs w:val="24"/>
        </w:rPr>
        <w:t xml:space="preserve">of this instruction </w:t>
      </w:r>
      <w:r w:rsidR="00E75B12">
        <w:rPr>
          <w:rFonts w:eastAsia="Times New Roman"/>
          <w:sz w:val="24"/>
          <w:szCs w:val="24"/>
        </w:rPr>
        <w:t>requires the plaintiff to have a possessory or proprietary interest in a specific thing of value. § 18-4-401(1.5), C.R.S.</w:t>
      </w:r>
      <w:r w:rsidR="00A6239F">
        <w:rPr>
          <w:rFonts w:eastAsia="Times New Roman"/>
          <w:sz w:val="24"/>
          <w:szCs w:val="24"/>
        </w:rPr>
        <w:t>;</w:t>
      </w:r>
      <w:r w:rsidR="00E75B12">
        <w:rPr>
          <w:rFonts w:eastAsia="Times New Roman"/>
          <w:sz w:val="24"/>
          <w:szCs w:val="24"/>
        </w:rPr>
        <w:t xml:space="preserve"> </w:t>
      </w:r>
      <w:r w:rsidR="00E75B12" w:rsidRPr="00C80AFF">
        <w:rPr>
          <w:rFonts w:eastAsia="Times New Roman"/>
          <w:b/>
          <w:sz w:val="24"/>
          <w:szCs w:val="24"/>
        </w:rPr>
        <w:t>Tisch v. Tisch</w:t>
      </w:r>
      <w:r w:rsidR="00E75B12">
        <w:rPr>
          <w:rFonts w:eastAsia="Times New Roman"/>
          <w:sz w:val="24"/>
          <w:szCs w:val="24"/>
        </w:rPr>
        <w:t xml:space="preserve">, 2019 COA 41, </w:t>
      </w:r>
      <w:r w:rsidR="00E75B12" w:rsidRPr="00230084">
        <w:rPr>
          <w:sz w:val="24"/>
          <w:szCs w:val="24"/>
        </w:rPr>
        <w:t>¶</w:t>
      </w:r>
      <w:r w:rsidR="00E75B12">
        <w:rPr>
          <w:sz w:val="24"/>
          <w:szCs w:val="24"/>
        </w:rPr>
        <w:t xml:space="preserve"> </w:t>
      </w:r>
      <w:r w:rsidR="00E75B12">
        <w:rPr>
          <w:rFonts w:eastAsia="Times New Roman"/>
          <w:sz w:val="24"/>
          <w:szCs w:val="24"/>
        </w:rPr>
        <w:t xml:space="preserve">52, 439 P.3d 89, 103 (“‘interest’ is a legal or equitable claim to or right in property”; “‘ownership’ implies the right to possess a thing, regardless of actual or constructive control”). However, a plaintiff’s status as a mere creditor of a debtor defendant, without more, does not establish a proprietary interest in any specific property. </w:t>
      </w:r>
      <w:proofErr w:type="gramStart"/>
      <w:r w:rsidR="00E75B12" w:rsidRPr="00F50529">
        <w:rPr>
          <w:rFonts w:eastAsia="Times New Roman"/>
          <w:b/>
          <w:sz w:val="24"/>
          <w:szCs w:val="24"/>
        </w:rPr>
        <w:t>People v. Rotello</w:t>
      </w:r>
      <w:r w:rsidR="00E75B12" w:rsidRPr="00F50529">
        <w:rPr>
          <w:rFonts w:eastAsia="Times New Roman"/>
          <w:sz w:val="24"/>
          <w:szCs w:val="24"/>
        </w:rPr>
        <w:t>, 754 P.2d 765, 76</w:t>
      </w:r>
      <w:r w:rsidR="00E75B12">
        <w:rPr>
          <w:rFonts w:eastAsia="Times New Roman"/>
          <w:sz w:val="24"/>
          <w:szCs w:val="24"/>
        </w:rPr>
        <w:t>7</w:t>
      </w:r>
      <w:r w:rsidR="00E75B12" w:rsidRPr="00F50529">
        <w:rPr>
          <w:rFonts w:eastAsia="Times New Roman"/>
          <w:sz w:val="24"/>
          <w:szCs w:val="24"/>
        </w:rPr>
        <w:t xml:space="preserve"> (Colo. 1988) (</w:t>
      </w:r>
      <w:r w:rsidR="00E75B12">
        <w:rPr>
          <w:rFonts w:eastAsia="Times New Roman"/>
          <w:sz w:val="24"/>
          <w:szCs w:val="24"/>
        </w:rPr>
        <w:t xml:space="preserve">the </w:t>
      </w:r>
      <w:r w:rsidR="00E75B12" w:rsidRPr="00F50529">
        <w:rPr>
          <w:rFonts w:eastAsia="Times New Roman"/>
          <w:sz w:val="24"/>
          <w:szCs w:val="24"/>
        </w:rPr>
        <w:t>“county court correctly concluded that a mere debtor-creditor relationship was established in dismissing the four count information”).</w:t>
      </w:r>
      <w:proofErr w:type="gramEnd"/>
    </w:p>
    <w:p w14:paraId="40061F9E" w14:textId="77777777" w:rsidR="000610A3" w:rsidRPr="00BB7282" w:rsidRDefault="000610A3" w:rsidP="00A92E6B">
      <w:pPr>
        <w:spacing w:after="240"/>
        <w:ind w:firstLine="720"/>
        <w:rPr>
          <w:sz w:val="24"/>
          <w:szCs w:val="24"/>
        </w:rPr>
      </w:pPr>
      <w:r>
        <w:rPr>
          <w:rFonts w:eastAsia="Times New Roman"/>
          <w:sz w:val="24"/>
          <w:szCs w:val="24"/>
        </w:rPr>
        <w:t xml:space="preserve">2. Paragraph 3 of this instruction </w:t>
      </w:r>
      <w:r w:rsidR="00A023C9">
        <w:rPr>
          <w:rFonts w:eastAsia="Times New Roman"/>
          <w:sz w:val="24"/>
          <w:szCs w:val="24"/>
        </w:rPr>
        <w:t xml:space="preserve">describes the most common conduct that satisfies the third element. There are four </w:t>
      </w:r>
      <w:r w:rsidR="00A618EB">
        <w:rPr>
          <w:rFonts w:eastAsia="Times New Roman"/>
          <w:sz w:val="24"/>
          <w:szCs w:val="24"/>
        </w:rPr>
        <w:t>other</w:t>
      </w:r>
      <w:r w:rsidR="00A023C9">
        <w:rPr>
          <w:rFonts w:eastAsia="Times New Roman"/>
          <w:sz w:val="24"/>
          <w:szCs w:val="24"/>
        </w:rPr>
        <w:t xml:space="preserve"> ways in which </w:t>
      </w:r>
      <w:r w:rsidR="00A618EB">
        <w:rPr>
          <w:rFonts w:eastAsia="Times New Roman"/>
          <w:sz w:val="24"/>
          <w:szCs w:val="24"/>
        </w:rPr>
        <w:t>the third element of theft</w:t>
      </w:r>
      <w:r w:rsidR="00A023C9">
        <w:rPr>
          <w:rFonts w:eastAsia="Times New Roman"/>
          <w:sz w:val="24"/>
          <w:szCs w:val="24"/>
        </w:rPr>
        <w:t xml:space="preserve"> may be proven</w:t>
      </w:r>
      <w:r>
        <w:rPr>
          <w:rFonts w:eastAsia="Times New Roman"/>
          <w:sz w:val="24"/>
          <w:szCs w:val="24"/>
        </w:rPr>
        <w:t>.</w:t>
      </w:r>
      <w:r w:rsidRPr="006036E7">
        <w:rPr>
          <w:b/>
          <w:sz w:val="24"/>
          <w:szCs w:val="24"/>
        </w:rPr>
        <w:t xml:space="preserve"> </w:t>
      </w:r>
      <w:r>
        <w:rPr>
          <w:sz w:val="24"/>
          <w:szCs w:val="24"/>
        </w:rPr>
        <w:t>They are:</w:t>
      </w:r>
    </w:p>
    <w:p w14:paraId="4EE54E85" w14:textId="77777777" w:rsidR="000610A3" w:rsidRPr="001F1387" w:rsidRDefault="000610A3" w:rsidP="009B1B7B">
      <w:pPr>
        <w:spacing w:after="240"/>
        <w:ind w:left="720" w:right="720"/>
        <w:rPr>
          <w:sz w:val="24"/>
          <w:szCs w:val="24"/>
        </w:rPr>
      </w:pPr>
      <w:r w:rsidRPr="001F1387">
        <w:rPr>
          <w:sz w:val="24"/>
          <w:szCs w:val="24"/>
        </w:rPr>
        <w:lastRenderedPageBreak/>
        <w:t xml:space="preserve">(a. The defendant knowingly used, concealed, or abandoned the plaintiff’s </w:t>
      </w:r>
      <w:r w:rsidRPr="001F1387">
        <w:rPr>
          <w:i/>
          <w:sz w:val="24"/>
          <w:szCs w:val="24"/>
        </w:rPr>
        <w:t>[insert thing of value]</w:t>
      </w:r>
      <w:r w:rsidRPr="001F1387">
        <w:rPr>
          <w:sz w:val="24"/>
          <w:szCs w:val="24"/>
        </w:rPr>
        <w:t xml:space="preserve"> in such manner as to permanently deprive the plaintiff of the use or benefit of </w:t>
      </w:r>
      <w:r w:rsidRPr="001F1387">
        <w:rPr>
          <w:i/>
          <w:sz w:val="24"/>
          <w:szCs w:val="24"/>
        </w:rPr>
        <w:t>[insert thing of value]</w:t>
      </w:r>
      <w:r w:rsidRPr="001F1387">
        <w:rPr>
          <w:sz w:val="24"/>
          <w:szCs w:val="24"/>
        </w:rPr>
        <w:t>.)</w:t>
      </w:r>
    </w:p>
    <w:p w14:paraId="43C16564" w14:textId="77777777" w:rsidR="000610A3" w:rsidRPr="001F1387" w:rsidRDefault="000610A3" w:rsidP="009B1B7B">
      <w:pPr>
        <w:spacing w:after="240"/>
        <w:ind w:left="720" w:right="720"/>
        <w:rPr>
          <w:sz w:val="24"/>
          <w:szCs w:val="24"/>
        </w:rPr>
      </w:pPr>
      <w:r w:rsidRPr="001F1387">
        <w:rPr>
          <w:sz w:val="24"/>
          <w:szCs w:val="24"/>
        </w:rPr>
        <w:t xml:space="preserve">(b. The defendant used, concealed, or abandoned the plaintiff’s </w:t>
      </w:r>
      <w:r w:rsidRPr="001F1387">
        <w:rPr>
          <w:i/>
          <w:sz w:val="24"/>
          <w:szCs w:val="24"/>
        </w:rPr>
        <w:t>[insert thing of value]</w:t>
      </w:r>
      <w:r w:rsidRPr="001F1387">
        <w:rPr>
          <w:sz w:val="24"/>
          <w:szCs w:val="24"/>
        </w:rPr>
        <w:t xml:space="preserve"> intending that such use, concealment, or abandonment would permanently deprive the plaintiff of the use or benefit of the </w:t>
      </w:r>
      <w:r w:rsidRPr="001F1387">
        <w:rPr>
          <w:i/>
          <w:sz w:val="24"/>
          <w:szCs w:val="24"/>
        </w:rPr>
        <w:t>[insert thing of value]</w:t>
      </w:r>
      <w:r w:rsidRPr="001F1387">
        <w:rPr>
          <w:sz w:val="24"/>
          <w:szCs w:val="24"/>
        </w:rPr>
        <w:t xml:space="preserve">.) </w:t>
      </w:r>
    </w:p>
    <w:p w14:paraId="6B7FCCBD" w14:textId="36C56B7B" w:rsidR="000610A3" w:rsidRPr="001F1387" w:rsidRDefault="000610A3" w:rsidP="009B1B7B">
      <w:pPr>
        <w:spacing w:after="240"/>
        <w:ind w:left="720" w:right="720"/>
        <w:rPr>
          <w:sz w:val="24"/>
          <w:szCs w:val="24"/>
        </w:rPr>
      </w:pPr>
      <w:r w:rsidRPr="001F1387">
        <w:rPr>
          <w:sz w:val="24"/>
          <w:szCs w:val="24"/>
        </w:rPr>
        <w:t xml:space="preserve">(c. The defendant demanded </w:t>
      </w:r>
      <w:r w:rsidRPr="001F1387">
        <w:rPr>
          <w:i/>
          <w:sz w:val="24"/>
          <w:szCs w:val="24"/>
        </w:rPr>
        <w:t>[describe the thing demanded]</w:t>
      </w:r>
      <w:r w:rsidRPr="001F1387">
        <w:rPr>
          <w:sz w:val="24"/>
          <w:szCs w:val="24"/>
        </w:rPr>
        <w:t xml:space="preserve">, to which the defendant was not legally entitled as a condition of restoring </w:t>
      </w:r>
      <w:r w:rsidRPr="001F1387">
        <w:rPr>
          <w:i/>
          <w:sz w:val="24"/>
          <w:szCs w:val="24"/>
        </w:rPr>
        <w:t>[insert thing of value]</w:t>
      </w:r>
      <w:r w:rsidR="00E713D3">
        <w:rPr>
          <w:sz w:val="24"/>
          <w:szCs w:val="24"/>
        </w:rPr>
        <w:t xml:space="preserve"> to the plaintiff.)</w:t>
      </w:r>
    </w:p>
    <w:p w14:paraId="0E9AF9B1" w14:textId="77777777" w:rsidR="000610A3" w:rsidRPr="001F1387" w:rsidRDefault="000610A3" w:rsidP="009B1B7B">
      <w:pPr>
        <w:spacing w:after="240"/>
        <w:ind w:left="720" w:right="720"/>
        <w:rPr>
          <w:sz w:val="24"/>
          <w:szCs w:val="24"/>
        </w:rPr>
      </w:pPr>
      <w:r w:rsidRPr="001F1387">
        <w:rPr>
          <w:sz w:val="24"/>
          <w:szCs w:val="24"/>
        </w:rPr>
        <w:t xml:space="preserve">(d. The defendant knowingly retained the plaintiff’s </w:t>
      </w:r>
      <w:r w:rsidRPr="001F1387">
        <w:rPr>
          <w:i/>
          <w:sz w:val="24"/>
          <w:szCs w:val="24"/>
        </w:rPr>
        <w:t>[insert thing of value]</w:t>
      </w:r>
      <w:r w:rsidRPr="001F1387">
        <w:rPr>
          <w:sz w:val="24"/>
          <w:szCs w:val="24"/>
        </w:rPr>
        <w:t xml:space="preserve"> more than seventy-two hours after the agreed upon time for return in a lease or hire agreement.)</w:t>
      </w:r>
    </w:p>
    <w:p w14:paraId="763FD8FC" w14:textId="0F387CC1" w:rsidR="000610A3" w:rsidRDefault="000610A3" w:rsidP="00A92E6B">
      <w:pPr>
        <w:spacing w:after="240"/>
        <w:rPr>
          <w:rFonts w:eastAsia="Times New Roman"/>
          <w:sz w:val="24"/>
          <w:szCs w:val="24"/>
        </w:rPr>
      </w:pPr>
      <w:r>
        <w:rPr>
          <w:rFonts w:eastAsia="Times New Roman"/>
          <w:sz w:val="24"/>
          <w:szCs w:val="24"/>
        </w:rPr>
        <w:t>An</w:t>
      </w:r>
      <w:r w:rsidR="00A618EB">
        <w:rPr>
          <w:rFonts w:eastAsia="Times New Roman"/>
          <w:sz w:val="24"/>
          <w:szCs w:val="24"/>
        </w:rPr>
        <w:t xml:space="preserve">y one or any combination of these five ways of proving theft </w:t>
      </w:r>
      <w:r>
        <w:rPr>
          <w:rFonts w:eastAsia="Times New Roman"/>
          <w:sz w:val="24"/>
          <w:szCs w:val="24"/>
        </w:rPr>
        <w:t>may be considered by the jury where supported by the evidence. This instruction should be modified whe</w:t>
      </w:r>
      <w:r w:rsidR="00A618EB">
        <w:rPr>
          <w:rFonts w:eastAsia="Times New Roman"/>
          <w:sz w:val="24"/>
          <w:szCs w:val="24"/>
        </w:rPr>
        <w:t>n supported by the evidence</w:t>
      </w:r>
      <w:r>
        <w:rPr>
          <w:rFonts w:eastAsia="Times New Roman"/>
          <w:sz w:val="24"/>
          <w:szCs w:val="24"/>
        </w:rPr>
        <w:t>. If the jury is instructed to consider more than one</w:t>
      </w:r>
      <w:r w:rsidR="00A618EB">
        <w:rPr>
          <w:rFonts w:eastAsia="Times New Roman"/>
          <w:sz w:val="24"/>
          <w:szCs w:val="24"/>
        </w:rPr>
        <w:t xml:space="preserve"> circumstance</w:t>
      </w:r>
      <w:r>
        <w:rPr>
          <w:rFonts w:eastAsia="Times New Roman"/>
          <w:sz w:val="24"/>
          <w:szCs w:val="24"/>
        </w:rPr>
        <w:t xml:space="preserve">, care must be taken to </w:t>
      </w:r>
      <w:r w:rsidR="00896200">
        <w:rPr>
          <w:rFonts w:eastAsia="Times New Roman"/>
          <w:sz w:val="24"/>
          <w:szCs w:val="24"/>
        </w:rPr>
        <w:t>en</w:t>
      </w:r>
      <w:r>
        <w:rPr>
          <w:rFonts w:eastAsia="Times New Roman"/>
          <w:sz w:val="24"/>
          <w:szCs w:val="24"/>
        </w:rPr>
        <w:t xml:space="preserve">sure that the jury understands that proof of any one of the </w:t>
      </w:r>
      <w:r w:rsidR="00A618EB">
        <w:rPr>
          <w:rFonts w:eastAsia="Times New Roman"/>
          <w:sz w:val="24"/>
          <w:szCs w:val="24"/>
        </w:rPr>
        <w:t>five satisfies the third element of theft</w:t>
      </w:r>
      <w:r>
        <w:rPr>
          <w:rFonts w:eastAsia="Times New Roman"/>
          <w:sz w:val="24"/>
          <w:szCs w:val="24"/>
        </w:rPr>
        <w:t>. The jury may also be instructed under Instruction 6:14 that damages may be awarded only once for the same loss.</w:t>
      </w:r>
    </w:p>
    <w:p w14:paraId="25D20132" w14:textId="03DCD8C8" w:rsidR="00E75B12" w:rsidRDefault="00E75B12" w:rsidP="00A92E6B">
      <w:pPr>
        <w:spacing w:after="240"/>
        <w:ind w:firstLine="720"/>
        <w:rPr>
          <w:rFonts w:eastAsia="Times New Roman"/>
          <w:sz w:val="24"/>
          <w:szCs w:val="24"/>
        </w:rPr>
      </w:pPr>
      <w:r>
        <w:rPr>
          <w:rFonts w:eastAsia="Times New Roman"/>
          <w:sz w:val="24"/>
          <w:szCs w:val="24"/>
        </w:rPr>
        <w:t xml:space="preserve">3. </w:t>
      </w:r>
      <w:r w:rsidR="000610A3">
        <w:rPr>
          <w:rFonts w:eastAsia="Times New Roman"/>
          <w:sz w:val="24"/>
          <w:szCs w:val="24"/>
        </w:rPr>
        <w:t xml:space="preserve">This instruction should be modified in accordance with </w:t>
      </w:r>
      <w:r w:rsidR="00A840FA">
        <w:rPr>
          <w:rFonts w:eastAsia="Times New Roman"/>
          <w:sz w:val="24"/>
          <w:szCs w:val="24"/>
        </w:rPr>
        <w:t xml:space="preserve">section </w:t>
      </w:r>
      <w:r w:rsidR="000610A3">
        <w:rPr>
          <w:rFonts w:eastAsia="Times New Roman"/>
          <w:sz w:val="24"/>
          <w:szCs w:val="24"/>
        </w:rPr>
        <w:t>18-4-40</w:t>
      </w:r>
      <w:r w:rsidR="00FB3250">
        <w:rPr>
          <w:rFonts w:eastAsia="Times New Roman"/>
          <w:sz w:val="24"/>
          <w:szCs w:val="24"/>
        </w:rPr>
        <w:t>1</w:t>
      </w:r>
      <w:r w:rsidR="007A0043">
        <w:rPr>
          <w:rFonts w:eastAsia="Times New Roman"/>
          <w:sz w:val="24"/>
          <w:szCs w:val="24"/>
        </w:rPr>
        <w:t>(1)</w:t>
      </w:r>
      <w:r w:rsidR="000610A3">
        <w:rPr>
          <w:rFonts w:eastAsia="Times New Roman"/>
          <w:sz w:val="24"/>
          <w:szCs w:val="24"/>
        </w:rPr>
        <w:t>, C.R.S.</w:t>
      </w:r>
      <w:r w:rsidR="00A840FA">
        <w:rPr>
          <w:rFonts w:eastAsia="Times New Roman"/>
          <w:sz w:val="24"/>
          <w:szCs w:val="24"/>
        </w:rPr>
        <w:t>,</w:t>
      </w:r>
      <w:r w:rsidR="000610A3">
        <w:rPr>
          <w:rFonts w:eastAsia="Times New Roman"/>
          <w:sz w:val="24"/>
          <w:szCs w:val="24"/>
        </w:rPr>
        <w:t xml:space="preserve"> </w:t>
      </w:r>
      <w:r>
        <w:rPr>
          <w:rFonts w:eastAsia="Times New Roman"/>
          <w:sz w:val="24"/>
          <w:szCs w:val="24"/>
        </w:rPr>
        <w:t>where there is evidence that the defendant knowingly pawned, pledged, or disposed of stolen property.</w:t>
      </w:r>
    </w:p>
    <w:p w14:paraId="6DAB8C60" w14:textId="77777777" w:rsidR="00E75B12" w:rsidRDefault="00E75B12" w:rsidP="00A92E6B">
      <w:pPr>
        <w:keepNext/>
        <w:spacing w:after="240"/>
        <w:jc w:val="center"/>
        <w:rPr>
          <w:rFonts w:eastAsia="Times New Roman"/>
          <w:b/>
          <w:sz w:val="24"/>
          <w:szCs w:val="24"/>
        </w:rPr>
      </w:pPr>
      <w:r>
        <w:rPr>
          <w:rFonts w:eastAsia="Times New Roman"/>
          <w:b/>
          <w:sz w:val="24"/>
          <w:szCs w:val="24"/>
        </w:rPr>
        <w:t>Source and Authority</w:t>
      </w:r>
    </w:p>
    <w:p w14:paraId="38A82C1F" w14:textId="4A9A4629" w:rsidR="00E75B12" w:rsidRDefault="00E75B12" w:rsidP="00A92E6B">
      <w:pPr>
        <w:spacing w:after="240"/>
        <w:ind w:firstLine="720"/>
        <w:rPr>
          <w:rFonts w:eastAsia="Times New Roman"/>
          <w:bCs/>
          <w:sz w:val="24"/>
          <w:szCs w:val="24"/>
        </w:rPr>
      </w:pPr>
      <w:r>
        <w:rPr>
          <w:sz w:val="24"/>
          <w:szCs w:val="24"/>
        </w:rPr>
        <w:t xml:space="preserve">1. This instruction is supported by </w:t>
      </w:r>
      <w:r w:rsidR="000610A3">
        <w:rPr>
          <w:sz w:val="24"/>
          <w:szCs w:val="24"/>
        </w:rPr>
        <w:t>section 18-4-40</w:t>
      </w:r>
      <w:r w:rsidR="00E216CE">
        <w:rPr>
          <w:sz w:val="24"/>
          <w:szCs w:val="24"/>
        </w:rPr>
        <w:t>1</w:t>
      </w:r>
      <w:r w:rsidR="000610A3">
        <w:rPr>
          <w:sz w:val="24"/>
          <w:szCs w:val="24"/>
        </w:rPr>
        <w:t xml:space="preserve">; </w:t>
      </w:r>
      <w:r w:rsidRPr="00912FD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w:t>
      </w:r>
      <w:r w:rsidRPr="00912FD6">
        <w:rPr>
          <w:b/>
          <w:sz w:val="24"/>
          <w:szCs w:val="24"/>
        </w:rPr>
        <w:t>Van Rees v. Unleaded Software, Inc</w:t>
      </w:r>
      <w:r w:rsidRPr="00A35F97">
        <w:rPr>
          <w:b/>
          <w:sz w:val="24"/>
          <w:szCs w:val="24"/>
        </w:rPr>
        <w:t>.</w:t>
      </w:r>
      <w:r>
        <w:rPr>
          <w:sz w:val="24"/>
          <w:szCs w:val="24"/>
        </w:rPr>
        <w:t xml:space="preserve">, 2016 CO 51, ¶ 23, 373 P.3d 603, 608 (“We therefore find that Van Rees’s complaint fails to allege the knowing deprivation of a thing of value.”); </w:t>
      </w:r>
      <w:r w:rsidRPr="00BB3D68">
        <w:rPr>
          <w:rFonts w:eastAsia="Times New Roman"/>
          <w:b/>
          <w:bCs/>
          <w:sz w:val="24"/>
          <w:szCs w:val="24"/>
        </w:rPr>
        <w:t>Steward Software Co</w:t>
      </w:r>
      <w:r>
        <w:rPr>
          <w:rFonts w:eastAsia="Times New Roman"/>
          <w:b/>
          <w:bCs/>
          <w:sz w:val="24"/>
          <w:szCs w:val="24"/>
        </w:rPr>
        <w:t>.</w:t>
      </w:r>
      <w:r w:rsidRPr="00BB3D68">
        <w:rPr>
          <w:rFonts w:eastAsia="Times New Roman"/>
          <w:b/>
          <w:bCs/>
          <w:sz w:val="24"/>
          <w:szCs w:val="24"/>
        </w:rPr>
        <w:t xml:space="preserve"> v. Kopcho</w:t>
      </w:r>
      <w:r w:rsidRPr="00E148EB">
        <w:rPr>
          <w:rFonts w:eastAsia="Times New Roman"/>
          <w:bCs/>
          <w:sz w:val="24"/>
          <w:szCs w:val="24"/>
        </w:rPr>
        <w:t>, 266 P.3d 1085</w:t>
      </w:r>
      <w:r>
        <w:rPr>
          <w:rFonts w:eastAsia="Times New Roman"/>
          <w:bCs/>
          <w:sz w:val="24"/>
          <w:szCs w:val="24"/>
        </w:rPr>
        <w:t>, 1086</w:t>
      </w:r>
      <w:r w:rsidRPr="00E148EB">
        <w:rPr>
          <w:rFonts w:eastAsia="Times New Roman"/>
          <w:bCs/>
          <w:sz w:val="24"/>
          <w:szCs w:val="24"/>
        </w:rPr>
        <w:t xml:space="preserve"> (Colo. 2011)</w:t>
      </w:r>
      <w:r>
        <w:rPr>
          <w:rFonts w:eastAsia="Times New Roman"/>
          <w:bCs/>
          <w:sz w:val="24"/>
          <w:szCs w:val="24"/>
        </w:rPr>
        <w:t xml:space="preserve"> (concluding that “federal copyright law does not apply to a claim under Colorado law for civil theft of a work”);</w:t>
      </w:r>
      <w:r w:rsidRPr="00C84E7A">
        <w:rPr>
          <w:rFonts w:eastAsia="Times New Roman"/>
          <w:b/>
          <w:bCs/>
          <w:sz w:val="24"/>
          <w:szCs w:val="24"/>
        </w:rPr>
        <w:t xml:space="preserve"> </w:t>
      </w:r>
      <w:r>
        <w:rPr>
          <w:rFonts w:eastAsia="Times New Roman"/>
          <w:b/>
          <w:bCs/>
          <w:sz w:val="24"/>
          <w:szCs w:val="24"/>
        </w:rPr>
        <w:t>Itin v. Ungar</w:t>
      </w:r>
      <w:r>
        <w:rPr>
          <w:rFonts w:eastAsia="Times New Roman"/>
          <w:bCs/>
          <w:sz w:val="24"/>
          <w:szCs w:val="24"/>
        </w:rPr>
        <w:t xml:space="preserve">, 17 P.3d 129, 133 (Colo. 2000) (“the General Assembly intended for this statute to require proof of the commission of a criminal act, but not proof of a prior conviction of the defendant as a condition for recovery of treble damages”); </w:t>
      </w:r>
      <w:r w:rsidRPr="00912FD6">
        <w:rPr>
          <w:rFonts w:eastAsia="Times New Roman"/>
          <w:b/>
          <w:bCs/>
          <w:sz w:val="24"/>
          <w:szCs w:val="24"/>
        </w:rPr>
        <w:t>Tisch</w:t>
      </w:r>
      <w:r>
        <w:rPr>
          <w:rFonts w:eastAsia="Times New Roman"/>
          <w:bCs/>
          <w:sz w:val="24"/>
          <w:szCs w:val="24"/>
        </w:rPr>
        <w:t>, 2019 COA 41,</w:t>
      </w:r>
      <w:r w:rsidR="002128B5">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65, 439 P.3d at 106 (“we conclude that whether the diverted profits constituted a distribution in which the Tisch siblings had a proprietary interest was a question for the jury”); </w:t>
      </w:r>
      <w:r w:rsidRPr="00912FD6">
        <w:rPr>
          <w:rFonts w:eastAsia="Times New Roman"/>
          <w:b/>
          <w:bCs/>
          <w:sz w:val="24"/>
          <w:szCs w:val="24"/>
        </w:rPr>
        <w:t xml:space="preserve">Franklin Drilling </w:t>
      </w:r>
      <w:r w:rsidR="002128B5">
        <w:rPr>
          <w:rFonts w:eastAsia="Times New Roman"/>
          <w:b/>
          <w:bCs/>
          <w:sz w:val="24"/>
          <w:szCs w:val="24"/>
        </w:rPr>
        <w:t>&amp;</w:t>
      </w:r>
      <w:r w:rsidRPr="00912FD6">
        <w:rPr>
          <w:rFonts w:eastAsia="Times New Roman"/>
          <w:b/>
          <w:bCs/>
          <w:sz w:val="24"/>
          <w:szCs w:val="24"/>
        </w:rPr>
        <w:t xml:space="preserve"> Blasting Inc. v. Lawrence Const</w:t>
      </w:r>
      <w:r>
        <w:rPr>
          <w:rFonts w:eastAsia="Times New Roman"/>
          <w:b/>
          <w:bCs/>
          <w:sz w:val="24"/>
          <w:szCs w:val="24"/>
        </w:rPr>
        <w:t>ruction</w:t>
      </w:r>
      <w:r w:rsidRPr="00912FD6">
        <w:rPr>
          <w:rFonts w:eastAsia="Times New Roman"/>
          <w:b/>
          <w:bCs/>
          <w:sz w:val="24"/>
          <w:szCs w:val="24"/>
        </w:rPr>
        <w:t xml:space="preserve"> Co</w:t>
      </w:r>
      <w:r w:rsidRPr="002128B5">
        <w:rPr>
          <w:rFonts w:eastAsia="Times New Roman"/>
          <w:b/>
          <w:bCs/>
          <w:sz w:val="24"/>
          <w:szCs w:val="24"/>
        </w:rPr>
        <w:t>.</w:t>
      </w:r>
      <w:r>
        <w:rPr>
          <w:rFonts w:eastAsia="Times New Roman"/>
          <w:bCs/>
          <w:sz w:val="24"/>
          <w:szCs w:val="24"/>
        </w:rPr>
        <w:t xml:space="preserve">, 2018 COA 59, </w:t>
      </w:r>
      <w:r w:rsidRPr="00C31E67">
        <w:rPr>
          <w:rFonts w:eastAsia="Times New Roman"/>
          <w:bCs/>
          <w:sz w:val="24"/>
          <w:szCs w:val="24"/>
        </w:rPr>
        <w:t>¶</w:t>
      </w:r>
      <w:r>
        <w:rPr>
          <w:rFonts w:eastAsia="Times New Roman"/>
          <w:bCs/>
          <w:sz w:val="24"/>
          <w:szCs w:val="24"/>
        </w:rPr>
        <w:t xml:space="preserve"> 18</w:t>
      </w:r>
      <w:r w:rsidR="008607BE">
        <w:rPr>
          <w:rFonts w:eastAsia="Times New Roman"/>
          <w:bCs/>
          <w:sz w:val="24"/>
          <w:szCs w:val="24"/>
        </w:rPr>
        <w:t>, 463 P.3d 883, 887</w:t>
      </w:r>
      <w:r>
        <w:rPr>
          <w:rFonts w:eastAsia="Times New Roman"/>
          <w:bCs/>
          <w:sz w:val="24"/>
          <w:szCs w:val="24"/>
        </w:rPr>
        <w:t xml:space="preserve"> (“To prove civil theft a plaintiff must prove that the defendant ‘knowingly obtains, retains, or exercises control over anything of value of another without authorization’ </w:t>
      </w:r>
      <w:r w:rsidRPr="00583178">
        <w:rPr>
          <w:rFonts w:eastAsia="Times New Roman"/>
          <w:bCs/>
          <w:i/>
          <w:sz w:val="24"/>
          <w:szCs w:val="24"/>
        </w:rPr>
        <w:t>and</w:t>
      </w:r>
      <w:r>
        <w:rPr>
          <w:rFonts w:eastAsia="Times New Roman"/>
          <w:bCs/>
          <w:sz w:val="24"/>
          <w:szCs w:val="24"/>
        </w:rPr>
        <w:t xml:space="preserve"> must prove one of five alternative culpable mental states[.]”); </w:t>
      </w:r>
      <w:r w:rsidRPr="00912FD6">
        <w:rPr>
          <w:rFonts w:eastAsia="Times New Roman"/>
          <w:b/>
          <w:bCs/>
          <w:sz w:val="24"/>
          <w:szCs w:val="24"/>
        </w:rPr>
        <w:t>Scott v. Scott</w:t>
      </w:r>
      <w:r>
        <w:rPr>
          <w:rFonts w:eastAsia="Times New Roman"/>
          <w:bCs/>
          <w:sz w:val="24"/>
          <w:szCs w:val="24"/>
        </w:rPr>
        <w:t xml:space="preserve">, 2018 COA 25, </w:t>
      </w:r>
      <w:r w:rsidRPr="002A71DB">
        <w:rPr>
          <w:rFonts w:eastAsia="Times New Roman"/>
          <w:bCs/>
          <w:sz w:val="24"/>
          <w:szCs w:val="24"/>
        </w:rPr>
        <w:t>¶</w:t>
      </w:r>
      <w:r>
        <w:rPr>
          <w:rFonts w:eastAsia="Times New Roman"/>
          <w:bCs/>
          <w:sz w:val="24"/>
          <w:szCs w:val="24"/>
        </w:rPr>
        <w:t xml:space="preserve"> 29, 428 P.3d 626, 634 (defendant’s “refusal to return the funds was simply based on her assertion that she was legally entitled to the funds as the named beneficiary </w:t>
      </w:r>
      <w:r>
        <w:rPr>
          <w:rFonts w:eastAsia="Times New Roman"/>
          <w:bCs/>
          <w:sz w:val="24"/>
          <w:szCs w:val="24"/>
        </w:rPr>
        <w:lastRenderedPageBreak/>
        <w:t xml:space="preserve">under the policy; we do not view her conduct as articulating her intent to permanently deprive” the plaintiff of the proceeds); </w:t>
      </w:r>
      <w:r w:rsidRPr="00746986">
        <w:rPr>
          <w:b/>
          <w:sz w:val="24"/>
          <w:szCs w:val="24"/>
        </w:rPr>
        <w:t>Black v. Black</w:t>
      </w:r>
      <w:r>
        <w:rPr>
          <w:sz w:val="24"/>
          <w:szCs w:val="24"/>
        </w:rPr>
        <w:t xml:space="preserve">, 2018 COA 7, </w:t>
      </w:r>
      <w:r w:rsidRPr="00307579">
        <w:rPr>
          <w:sz w:val="24"/>
          <w:szCs w:val="24"/>
        </w:rPr>
        <w:t>¶</w:t>
      </w:r>
      <w:r>
        <w:rPr>
          <w:sz w:val="24"/>
          <w:szCs w:val="24"/>
        </w:rPr>
        <w:t xml:space="preserve"> 95, 422 P.3d 592, 608 (“A finding of deception requires proof that the defendant made misrepresentations to the victim.”); </w:t>
      </w:r>
      <w:r w:rsidRPr="00912FD6">
        <w:rPr>
          <w:b/>
          <w:sz w:val="24"/>
          <w:szCs w:val="24"/>
        </w:rPr>
        <w:t>Huffman v. Westmoreland Coal Co</w:t>
      </w:r>
      <w:r w:rsidRPr="009D1DC4">
        <w:rPr>
          <w:b/>
          <w:sz w:val="24"/>
          <w:szCs w:val="24"/>
        </w:rPr>
        <w:t>.</w:t>
      </w:r>
      <w:r>
        <w:rPr>
          <w:sz w:val="24"/>
          <w:szCs w:val="24"/>
        </w:rPr>
        <w:t xml:space="preserve">, 205 P.3d 501, 510 (Colo. App. 2009) (concluding that “the stock options were not property and that plaintiff failed to present evidence that defendant intended to permanently deprive him of them”); </w:t>
      </w:r>
      <w:r w:rsidRPr="00912FD6">
        <w:rPr>
          <w:b/>
          <w:sz w:val="24"/>
          <w:szCs w:val="24"/>
        </w:rPr>
        <w:t>Rhino Fund</w:t>
      </w:r>
      <w:r>
        <w:rPr>
          <w:b/>
          <w:sz w:val="24"/>
          <w:szCs w:val="24"/>
        </w:rPr>
        <w:t>,</w:t>
      </w:r>
      <w:r w:rsidRPr="00912FD6">
        <w:rPr>
          <w:b/>
          <w:sz w:val="24"/>
          <w:szCs w:val="24"/>
        </w:rPr>
        <w:t xml:space="preserve"> LLLP v. Hutchins</w:t>
      </w:r>
      <w:r>
        <w:rPr>
          <w:sz w:val="24"/>
          <w:szCs w:val="24"/>
        </w:rPr>
        <w:t xml:space="preserve">, 215 P.3d 1186, 1196 (Colo. App. 2008) (“Hutchins’s action in diverting the proceeds of the [nonperforming loans] for his own use also established the elements of civil theft”); </w:t>
      </w:r>
      <w:r w:rsidRPr="00746986">
        <w:rPr>
          <w:b/>
          <w:sz w:val="24"/>
          <w:szCs w:val="24"/>
        </w:rPr>
        <w:t>Becker &amp; Tenenbaum v. Eagle Restaurant Co.</w:t>
      </w:r>
      <w:r w:rsidR="00A03A69">
        <w:rPr>
          <w:sz w:val="24"/>
          <w:szCs w:val="24"/>
        </w:rPr>
        <w:t xml:space="preserve">, </w:t>
      </w:r>
      <w:r>
        <w:rPr>
          <w:sz w:val="24"/>
          <w:szCs w:val="24"/>
        </w:rPr>
        <w:t xml:space="preserve">946 P.2d 600, 602 (Colo. App. 1997) (affirming civil theft judgment where “the funds represented by the check were disbursed to pay Eagle’s other creditors during the period the check was wrongfully withheld, and plaintiffs were, thus, deprived of the use or benefit of the value of the check by the withholding”); and </w:t>
      </w:r>
      <w:r w:rsidRPr="00F50529">
        <w:rPr>
          <w:b/>
          <w:sz w:val="24"/>
          <w:szCs w:val="24"/>
        </w:rPr>
        <w:t>Cedar Lan</w:t>
      </w:r>
      <w:r>
        <w:rPr>
          <w:b/>
          <w:sz w:val="24"/>
          <w:szCs w:val="24"/>
        </w:rPr>
        <w:t>e</w:t>
      </w:r>
      <w:r w:rsidRPr="00F50529">
        <w:rPr>
          <w:b/>
          <w:sz w:val="24"/>
          <w:szCs w:val="24"/>
        </w:rPr>
        <w:t xml:space="preserve"> Investments v. American Roofing Supply of Colorado Springs, Inc</w:t>
      </w:r>
      <w:r w:rsidRPr="00B21611">
        <w:rPr>
          <w:b/>
          <w:sz w:val="24"/>
          <w:szCs w:val="24"/>
        </w:rPr>
        <w:t>.</w:t>
      </w:r>
      <w:r w:rsidRPr="00F50529">
        <w:rPr>
          <w:sz w:val="24"/>
          <w:szCs w:val="24"/>
        </w:rPr>
        <w:t>, 919 P.2d 879, 882 (Colo. App. 1996) (</w:t>
      </w:r>
      <w:r>
        <w:rPr>
          <w:sz w:val="24"/>
          <w:szCs w:val="24"/>
        </w:rPr>
        <w:t xml:space="preserve">summary judgment properly granted in favor of Cedar Lane because it </w:t>
      </w:r>
      <w:r w:rsidRPr="00F50529">
        <w:rPr>
          <w:sz w:val="24"/>
          <w:szCs w:val="24"/>
        </w:rPr>
        <w:t xml:space="preserve">no longer </w:t>
      </w:r>
      <w:r>
        <w:rPr>
          <w:sz w:val="24"/>
          <w:szCs w:val="24"/>
        </w:rPr>
        <w:t>had</w:t>
      </w:r>
      <w:r w:rsidRPr="00F50529">
        <w:rPr>
          <w:sz w:val="24"/>
          <w:szCs w:val="24"/>
        </w:rPr>
        <w:t xml:space="preserve"> </w:t>
      </w:r>
      <w:r>
        <w:rPr>
          <w:sz w:val="24"/>
          <w:szCs w:val="24"/>
        </w:rPr>
        <w:t>“</w:t>
      </w:r>
      <w:r w:rsidRPr="00F50529">
        <w:rPr>
          <w:sz w:val="24"/>
          <w:szCs w:val="24"/>
        </w:rPr>
        <w:t>possession of the money, having used it for matters relat</w:t>
      </w:r>
      <w:r>
        <w:rPr>
          <w:sz w:val="24"/>
          <w:szCs w:val="24"/>
        </w:rPr>
        <w:t>ing</w:t>
      </w:r>
      <w:r w:rsidRPr="00F50529">
        <w:rPr>
          <w:sz w:val="24"/>
          <w:szCs w:val="24"/>
        </w:rPr>
        <w:t xml:space="preserve"> to its business”).</w:t>
      </w:r>
    </w:p>
    <w:p w14:paraId="1A976F84" w14:textId="4AC5423B" w:rsidR="00527A9A" w:rsidRDefault="00E75B12" w:rsidP="003A393E">
      <w:pPr>
        <w:spacing w:after="240"/>
        <w:ind w:firstLine="720"/>
        <w:rPr>
          <w:rFonts w:eastAsia="Times New Roman"/>
          <w:color w:val="000000"/>
          <w:sz w:val="24"/>
          <w:szCs w:val="24"/>
        </w:rPr>
      </w:pPr>
      <w:r>
        <w:rPr>
          <w:rFonts w:eastAsia="Times New Roman"/>
          <w:bCs/>
          <w:sz w:val="24"/>
          <w:szCs w:val="24"/>
        </w:rPr>
        <w:t xml:space="preserve">2. </w:t>
      </w:r>
      <w:r w:rsidR="00527A9A" w:rsidRPr="00AE4F75">
        <w:rPr>
          <w:rFonts w:eastAsia="Times New Roman"/>
          <w:color w:val="000000"/>
          <w:sz w:val="24"/>
          <w:szCs w:val="24"/>
        </w:rPr>
        <w:t>The civil theft statute (section 18-4-405</w:t>
      </w:r>
      <w:r w:rsidR="00527A9A">
        <w:rPr>
          <w:rFonts w:eastAsia="Times New Roman"/>
          <w:color w:val="000000"/>
          <w:sz w:val="24"/>
          <w:szCs w:val="24"/>
        </w:rPr>
        <w:t>, C.R.S.</w:t>
      </w:r>
      <w:r w:rsidR="00527A9A" w:rsidRPr="00817247">
        <w:rPr>
          <w:rFonts w:eastAsia="Times New Roman"/>
          <w:color w:val="000000"/>
          <w:sz w:val="24"/>
          <w:szCs w:val="24"/>
        </w:rPr>
        <w:t xml:space="preserve">) creates a private cause of action </w:t>
      </w:r>
      <w:r w:rsidR="00FF3E5C">
        <w:rPr>
          <w:rFonts w:eastAsia="Times New Roman"/>
          <w:color w:val="000000"/>
          <w:sz w:val="24"/>
          <w:szCs w:val="24"/>
        </w:rPr>
        <w:t xml:space="preserve">only </w:t>
      </w:r>
      <w:r w:rsidR="00527A9A" w:rsidRPr="00817247">
        <w:rPr>
          <w:rFonts w:eastAsia="Times New Roman"/>
          <w:color w:val="000000"/>
          <w:sz w:val="24"/>
          <w:szCs w:val="24"/>
        </w:rPr>
        <w:t xml:space="preserve">for thefts </w:t>
      </w:r>
      <w:r w:rsidR="00527A9A" w:rsidRPr="00A54523">
        <w:rPr>
          <w:rFonts w:eastAsia="Times New Roman"/>
          <w:color w:val="000000"/>
          <w:sz w:val="24"/>
          <w:szCs w:val="24"/>
        </w:rPr>
        <w:t>encompassed by the criminal th</w:t>
      </w:r>
      <w:r w:rsidR="00527A9A">
        <w:rPr>
          <w:rFonts w:eastAsia="Times New Roman"/>
          <w:color w:val="000000"/>
          <w:sz w:val="24"/>
          <w:szCs w:val="24"/>
        </w:rPr>
        <w:t xml:space="preserve">eft statute, section 18-4-401. </w:t>
      </w:r>
      <w:r w:rsidR="00527A9A" w:rsidRPr="00A54523">
        <w:rPr>
          <w:rFonts w:eastAsia="Times New Roman"/>
          <w:color w:val="000000"/>
          <w:sz w:val="24"/>
          <w:szCs w:val="24"/>
        </w:rPr>
        <w:t xml:space="preserve">Other statutorily </w:t>
      </w:r>
      <w:r w:rsidR="00527A9A">
        <w:rPr>
          <w:rFonts w:eastAsia="Times New Roman"/>
          <w:color w:val="000000"/>
          <w:sz w:val="24"/>
          <w:szCs w:val="24"/>
        </w:rPr>
        <w:t>define</w:t>
      </w:r>
      <w:r w:rsidR="00527A9A" w:rsidRPr="00AE4F75">
        <w:rPr>
          <w:rFonts w:eastAsia="Times New Roman"/>
          <w:color w:val="000000"/>
          <w:sz w:val="24"/>
          <w:szCs w:val="24"/>
        </w:rPr>
        <w:t xml:space="preserve">d </w:t>
      </w:r>
      <w:r w:rsidR="00527A9A">
        <w:rPr>
          <w:rFonts w:eastAsia="Times New Roman"/>
          <w:color w:val="000000"/>
          <w:sz w:val="24"/>
          <w:szCs w:val="24"/>
        </w:rPr>
        <w:t>forms</w:t>
      </w:r>
      <w:r w:rsidR="00527A9A" w:rsidRPr="00AE4F75">
        <w:rPr>
          <w:rFonts w:eastAsia="Times New Roman"/>
          <w:color w:val="000000"/>
          <w:sz w:val="24"/>
          <w:szCs w:val="24"/>
        </w:rPr>
        <w:t xml:space="preserve"> of theft, such as theft of medical records</w:t>
      </w:r>
      <w:r w:rsidR="00527A9A">
        <w:rPr>
          <w:rFonts w:eastAsia="Times New Roman"/>
          <w:color w:val="000000"/>
          <w:sz w:val="24"/>
          <w:szCs w:val="24"/>
        </w:rPr>
        <w:t xml:space="preserve">, </w:t>
      </w:r>
      <w:r w:rsidR="00527A9A">
        <w:rPr>
          <w:sz w:val="24"/>
          <w:szCs w:val="24"/>
        </w:rPr>
        <w:t>cable services, and trade secrets</w:t>
      </w:r>
      <w:r w:rsidR="008246D3">
        <w:rPr>
          <w:sz w:val="24"/>
          <w:szCs w:val="24"/>
        </w:rPr>
        <w:t>,</w:t>
      </w:r>
      <w:r w:rsidR="00527A9A">
        <w:rPr>
          <w:rFonts w:eastAsia="Times New Roman"/>
          <w:color w:val="000000"/>
          <w:sz w:val="24"/>
          <w:szCs w:val="24"/>
        </w:rPr>
        <w:t xml:space="preserve"> are not actionable</w:t>
      </w:r>
      <w:r w:rsidR="00FF3E5C">
        <w:rPr>
          <w:rFonts w:eastAsia="Times New Roman"/>
          <w:color w:val="000000"/>
          <w:sz w:val="24"/>
          <w:szCs w:val="24"/>
        </w:rPr>
        <w:t xml:space="preserve"> under section 18-4-405</w:t>
      </w:r>
      <w:r w:rsidR="00527A9A">
        <w:rPr>
          <w:rFonts w:eastAsia="Times New Roman"/>
          <w:color w:val="000000"/>
          <w:sz w:val="24"/>
          <w:szCs w:val="24"/>
        </w:rPr>
        <w:t xml:space="preserve">. </w:t>
      </w:r>
      <w:proofErr w:type="gramStart"/>
      <w:r w:rsidR="00527A9A" w:rsidRPr="00817247">
        <w:rPr>
          <w:rFonts w:eastAsia="Times New Roman"/>
          <w:b/>
          <w:bCs/>
          <w:color w:val="000000"/>
          <w:sz w:val="24"/>
          <w:szCs w:val="24"/>
        </w:rPr>
        <w:t>Winninger</w:t>
      </w:r>
      <w:r w:rsidR="00527A9A" w:rsidRPr="00A54523">
        <w:rPr>
          <w:rFonts w:eastAsia="Times New Roman"/>
          <w:b/>
          <w:bCs/>
          <w:color w:val="000000"/>
          <w:sz w:val="24"/>
          <w:szCs w:val="24"/>
        </w:rPr>
        <w:t xml:space="preserve"> v. Kirchner</w:t>
      </w:r>
      <w:r w:rsidR="00527A9A" w:rsidRPr="00A54523">
        <w:rPr>
          <w:rFonts w:eastAsia="Times New Roman"/>
          <w:color w:val="000000"/>
          <w:sz w:val="24"/>
          <w:szCs w:val="24"/>
        </w:rPr>
        <w:t>, 2021 CO 47, ¶¶</w:t>
      </w:r>
      <w:r w:rsidR="00527A9A" w:rsidRPr="007629B8">
        <w:rPr>
          <w:sz w:val="24"/>
          <w:szCs w:val="24"/>
        </w:rPr>
        <w:t> 35-41, 488 P.3d 1091</w:t>
      </w:r>
      <w:r w:rsidR="00527A9A" w:rsidRPr="00AE4F75">
        <w:rPr>
          <w:rFonts w:eastAsia="Times New Roman"/>
          <w:color w:val="000000"/>
          <w:sz w:val="24"/>
          <w:szCs w:val="24"/>
        </w:rPr>
        <w:t>.</w:t>
      </w:r>
      <w:proofErr w:type="gramEnd"/>
    </w:p>
    <w:p w14:paraId="6E2D7B3C" w14:textId="6A54391F" w:rsidR="00247EA8" w:rsidRDefault="00527A9A" w:rsidP="003A393E">
      <w:pPr>
        <w:spacing w:after="240"/>
        <w:ind w:firstLine="720"/>
        <w:rPr>
          <w:rFonts w:eastAsia="Times New Roman"/>
          <w:bCs/>
          <w:sz w:val="24"/>
          <w:szCs w:val="24"/>
        </w:rPr>
      </w:pPr>
      <w:r>
        <w:rPr>
          <w:rFonts w:eastAsia="Times New Roman"/>
          <w:color w:val="000000"/>
          <w:sz w:val="24"/>
          <w:szCs w:val="24"/>
        </w:rPr>
        <w:t xml:space="preserve">3. </w:t>
      </w:r>
      <w:r w:rsidR="00247EA8">
        <w:rPr>
          <w:rFonts w:eastAsia="Times New Roman"/>
          <w:bCs/>
          <w:sz w:val="24"/>
          <w:szCs w:val="24"/>
        </w:rPr>
        <w:t xml:space="preserve">The owner of stolen property </w:t>
      </w:r>
      <w:r w:rsidR="00B2034B">
        <w:rPr>
          <w:rFonts w:eastAsia="Times New Roman"/>
          <w:bCs/>
          <w:sz w:val="24"/>
          <w:szCs w:val="24"/>
        </w:rPr>
        <w:t xml:space="preserve">who brings </w:t>
      </w:r>
      <w:r w:rsidR="00247EA8">
        <w:rPr>
          <w:rFonts w:eastAsia="Times New Roman"/>
          <w:bCs/>
          <w:sz w:val="24"/>
          <w:szCs w:val="24"/>
        </w:rPr>
        <w:t xml:space="preserve">a civil action for theft must prove all elements of criminal theft by a preponderance of the evidence. </w:t>
      </w:r>
      <w:r w:rsidR="00247EA8" w:rsidRPr="00247EA8">
        <w:rPr>
          <w:rFonts w:eastAsia="Times New Roman"/>
          <w:b/>
          <w:bCs/>
          <w:sz w:val="24"/>
          <w:szCs w:val="24"/>
        </w:rPr>
        <w:t>Dep’t of Nat. Res</w:t>
      </w:r>
      <w:r w:rsidR="00C54097">
        <w:rPr>
          <w:rFonts w:eastAsia="Times New Roman"/>
          <w:b/>
          <w:bCs/>
          <w:sz w:val="24"/>
          <w:szCs w:val="24"/>
        </w:rPr>
        <w:t>.</w:t>
      </w:r>
      <w:r w:rsidR="00247EA8" w:rsidRPr="00247EA8">
        <w:rPr>
          <w:rFonts w:eastAsia="Times New Roman"/>
          <w:b/>
          <w:bCs/>
          <w:sz w:val="24"/>
          <w:szCs w:val="24"/>
        </w:rPr>
        <w:t xml:space="preserve"> v. 5 Star Feedlot, Inc.</w:t>
      </w:r>
      <w:r w:rsidR="00247EA8">
        <w:rPr>
          <w:rFonts w:eastAsia="Times New Roman"/>
          <w:bCs/>
          <w:sz w:val="24"/>
          <w:szCs w:val="24"/>
        </w:rPr>
        <w:t xml:space="preserve">, 2019 COA 162M, ¶ </w:t>
      </w:r>
      <w:r w:rsidR="00C54097">
        <w:rPr>
          <w:rFonts w:eastAsia="Times New Roman"/>
          <w:bCs/>
          <w:sz w:val="24"/>
          <w:szCs w:val="24"/>
        </w:rPr>
        <w:t>14</w:t>
      </w:r>
      <w:r>
        <w:rPr>
          <w:rFonts w:eastAsia="Times New Roman"/>
          <w:bCs/>
          <w:sz w:val="24"/>
          <w:szCs w:val="24"/>
        </w:rPr>
        <w:t xml:space="preserve">, 487 P.3d 1183, </w:t>
      </w:r>
      <w:r w:rsidRPr="00E97B32">
        <w:rPr>
          <w:rFonts w:eastAsia="Times New Roman"/>
          <w:bCs/>
          <w:i/>
          <w:sz w:val="24"/>
          <w:szCs w:val="24"/>
        </w:rPr>
        <w:t>aff’d</w:t>
      </w:r>
      <w:r>
        <w:rPr>
          <w:rFonts w:eastAsia="Times New Roman"/>
          <w:bCs/>
          <w:sz w:val="24"/>
          <w:szCs w:val="24"/>
        </w:rPr>
        <w:t>, 2021 CO 27, 486 P.3d 250</w:t>
      </w:r>
      <w:r w:rsidR="00C54097">
        <w:rPr>
          <w:rFonts w:eastAsia="Times New Roman"/>
          <w:bCs/>
          <w:sz w:val="24"/>
          <w:szCs w:val="24"/>
        </w:rPr>
        <w:t>.</w:t>
      </w:r>
    </w:p>
    <w:p w14:paraId="023C8114" w14:textId="3C205106" w:rsidR="00E75B12" w:rsidRDefault="00527A9A" w:rsidP="003A393E">
      <w:pPr>
        <w:spacing w:after="240"/>
        <w:ind w:firstLine="720"/>
        <w:rPr>
          <w:sz w:val="24"/>
          <w:szCs w:val="24"/>
        </w:rPr>
      </w:pPr>
      <w:r>
        <w:rPr>
          <w:rFonts w:eastAsia="Times New Roman"/>
          <w:bCs/>
          <w:sz w:val="24"/>
          <w:szCs w:val="24"/>
        </w:rPr>
        <w:t>4</w:t>
      </w:r>
      <w:r w:rsidR="00247EA8">
        <w:rPr>
          <w:rFonts w:eastAsia="Times New Roman"/>
          <w:bCs/>
          <w:sz w:val="24"/>
          <w:szCs w:val="24"/>
        </w:rPr>
        <w:t xml:space="preserve">. </w:t>
      </w:r>
      <w:r w:rsidR="00E75B12">
        <w:rPr>
          <w:rFonts w:eastAsia="Times New Roman"/>
          <w:bCs/>
          <w:sz w:val="24"/>
          <w:szCs w:val="24"/>
        </w:rPr>
        <w:t xml:space="preserve">A claim for civil theft is not barred by the economic loss rule. </w:t>
      </w:r>
      <w:r w:rsidR="00E75B12" w:rsidRPr="006C748A">
        <w:rPr>
          <w:b/>
          <w:sz w:val="24"/>
          <w:szCs w:val="24"/>
        </w:rPr>
        <w:t>Bermel</w:t>
      </w:r>
      <w:r w:rsidR="00E75B12" w:rsidRPr="00CE0E6F">
        <w:rPr>
          <w:sz w:val="24"/>
          <w:szCs w:val="24"/>
        </w:rPr>
        <w:t>,</w:t>
      </w:r>
      <w:r w:rsidR="00E75B12">
        <w:rPr>
          <w:sz w:val="24"/>
          <w:szCs w:val="24"/>
        </w:rPr>
        <w:t xml:space="preserve"> 2019 CO 31, </w:t>
      </w:r>
      <w:r w:rsidR="00E75B12" w:rsidRPr="00230084">
        <w:rPr>
          <w:sz w:val="24"/>
          <w:szCs w:val="24"/>
        </w:rPr>
        <w:t>¶</w:t>
      </w:r>
      <w:r w:rsidR="00E75B12">
        <w:rPr>
          <w:sz w:val="24"/>
          <w:szCs w:val="24"/>
        </w:rPr>
        <w:t xml:space="preserve"> 43, 440 P.3d at 1159 (“we hold that the judge-made economic loss rule cannot bar BlueRadios’ statutory counterclaim for civil theft”).</w:t>
      </w:r>
    </w:p>
    <w:p w14:paraId="66308806" w14:textId="3ED12933" w:rsidR="00E75B12" w:rsidRDefault="00527A9A" w:rsidP="003A393E">
      <w:pPr>
        <w:spacing w:after="240"/>
        <w:ind w:firstLine="720"/>
        <w:rPr>
          <w:sz w:val="24"/>
          <w:szCs w:val="24"/>
        </w:rPr>
      </w:pPr>
      <w:r>
        <w:rPr>
          <w:sz w:val="24"/>
          <w:szCs w:val="24"/>
        </w:rPr>
        <w:t>5</w:t>
      </w:r>
      <w:r w:rsidR="00E75B12">
        <w:rPr>
          <w:sz w:val="24"/>
          <w:szCs w:val="24"/>
        </w:rPr>
        <w:t>. The intent to permanently deprive another of the use and benefit of his property may be inferred from the defendant</w:t>
      </w:r>
      <w:r w:rsidR="00B1427B">
        <w:rPr>
          <w:sz w:val="24"/>
          <w:szCs w:val="24"/>
        </w:rPr>
        <w:t>’</w:t>
      </w:r>
      <w:r w:rsidR="00E75B12">
        <w:rPr>
          <w:sz w:val="24"/>
          <w:szCs w:val="24"/>
        </w:rPr>
        <w:t xml:space="preserve">s conduct and circumstances. </w:t>
      </w:r>
      <w:r w:rsidR="00E75B12" w:rsidRPr="00912FD6">
        <w:rPr>
          <w:b/>
          <w:sz w:val="24"/>
          <w:szCs w:val="24"/>
        </w:rPr>
        <w:t>Huffman</w:t>
      </w:r>
      <w:r w:rsidR="00E75B12">
        <w:rPr>
          <w:sz w:val="24"/>
          <w:szCs w:val="24"/>
        </w:rPr>
        <w:t>, 205 P.3d at 509 (“The intent permanently to deprive the owner of the use or benefit of a thing of value may be inferred from the defendant’s conduct and the circumstances of the case, but requires proof of a knowing use by the defendant inconsistent with the owner’s permanent use and benefit.”)</w:t>
      </w:r>
      <w:r w:rsidR="00FB4BE5">
        <w:rPr>
          <w:sz w:val="24"/>
          <w:szCs w:val="24"/>
        </w:rPr>
        <w:t>.</w:t>
      </w:r>
    </w:p>
    <w:p w14:paraId="6EDF2B04" w14:textId="79265115" w:rsidR="00E75B12" w:rsidRDefault="00527A9A" w:rsidP="003A393E">
      <w:pPr>
        <w:spacing w:after="240"/>
        <w:ind w:firstLine="720"/>
        <w:rPr>
          <w:sz w:val="24"/>
          <w:szCs w:val="24"/>
        </w:rPr>
      </w:pPr>
      <w:r>
        <w:rPr>
          <w:sz w:val="24"/>
          <w:szCs w:val="24"/>
        </w:rPr>
        <w:t>6</w:t>
      </w:r>
      <w:r w:rsidR="00E75B12">
        <w:rPr>
          <w:sz w:val="24"/>
          <w:szCs w:val="24"/>
        </w:rPr>
        <w:t xml:space="preserve">. Defendant’s ownership of the thing of value is a defense to the claim. </w:t>
      </w:r>
      <w:r w:rsidR="00E75B12" w:rsidRPr="00912FD6">
        <w:rPr>
          <w:b/>
          <w:sz w:val="24"/>
          <w:szCs w:val="24"/>
        </w:rPr>
        <w:t>Steward Software Co.</w:t>
      </w:r>
      <w:r w:rsidR="00E75B12" w:rsidRPr="00C774D0">
        <w:rPr>
          <w:sz w:val="24"/>
          <w:szCs w:val="24"/>
        </w:rPr>
        <w:t>,</w:t>
      </w:r>
      <w:r w:rsidR="00E75B12">
        <w:rPr>
          <w:sz w:val="24"/>
          <w:szCs w:val="24"/>
        </w:rPr>
        <w:t xml:space="preserve"> 266 P.3d at 1087 (“Because a person must commit theft of the property </w:t>
      </w:r>
      <w:r w:rsidR="00E75B12" w:rsidRPr="00583178">
        <w:rPr>
          <w:i/>
          <w:sz w:val="24"/>
          <w:szCs w:val="24"/>
        </w:rPr>
        <w:t>of another</w:t>
      </w:r>
      <w:r w:rsidR="00E75B12">
        <w:rPr>
          <w:sz w:val="24"/>
          <w:szCs w:val="24"/>
        </w:rPr>
        <w:t xml:space="preserve">, ownership of the property at issue </w:t>
      </w:r>
      <w:r w:rsidR="00FB4BE5">
        <w:rPr>
          <w:sz w:val="24"/>
          <w:szCs w:val="24"/>
        </w:rPr>
        <w:t>is a defense to civil theft.”).</w:t>
      </w:r>
    </w:p>
    <w:p w14:paraId="5C56B397" w14:textId="4E017E60" w:rsidR="003A393E" w:rsidRDefault="00527A9A" w:rsidP="003A393E">
      <w:pPr>
        <w:spacing w:after="240"/>
        <w:ind w:firstLine="720"/>
        <w:rPr>
          <w:sz w:val="24"/>
          <w:szCs w:val="24"/>
        </w:rPr>
      </w:pPr>
      <w:r>
        <w:rPr>
          <w:sz w:val="24"/>
          <w:szCs w:val="24"/>
        </w:rPr>
        <w:t>7</w:t>
      </w:r>
      <w:r w:rsidR="00E75B12">
        <w:rPr>
          <w:sz w:val="24"/>
          <w:szCs w:val="24"/>
        </w:rPr>
        <w:t>. A claim for civil theft must be brought within two years after the “date both the injury and its cause are known or should have been known by the exer</w:t>
      </w:r>
      <w:r w:rsidR="00131237">
        <w:rPr>
          <w:sz w:val="24"/>
          <w:szCs w:val="24"/>
        </w:rPr>
        <w:t xml:space="preserve">cise of reasonable diligence.” </w:t>
      </w:r>
      <w:r w:rsidR="00E75B12" w:rsidRPr="00912FD6">
        <w:rPr>
          <w:b/>
          <w:sz w:val="24"/>
          <w:szCs w:val="24"/>
        </w:rPr>
        <w:t>Black</w:t>
      </w:r>
      <w:r w:rsidR="00E75B12">
        <w:rPr>
          <w:sz w:val="24"/>
          <w:szCs w:val="24"/>
        </w:rPr>
        <w:t xml:space="preserve">, 2018 COA 7, </w:t>
      </w:r>
      <w:r w:rsidR="00E75B12" w:rsidRPr="00307579">
        <w:rPr>
          <w:sz w:val="24"/>
          <w:szCs w:val="24"/>
        </w:rPr>
        <w:t>¶</w:t>
      </w:r>
      <w:r w:rsidR="00E75B12">
        <w:rPr>
          <w:sz w:val="24"/>
          <w:szCs w:val="24"/>
        </w:rPr>
        <w:t xml:space="preserve"> 87, 422 P.3d at 607 (q</w:t>
      </w:r>
      <w:r w:rsidR="00FB4BE5">
        <w:rPr>
          <w:sz w:val="24"/>
          <w:szCs w:val="24"/>
        </w:rPr>
        <w:t>uoting § 13-80-108(1), C.R.S.).</w:t>
      </w:r>
    </w:p>
    <w:p w14:paraId="02822B53" w14:textId="0430B9DB" w:rsidR="00E75B12" w:rsidRDefault="00E75B12" w:rsidP="00A92E6B">
      <w:pPr>
        <w:spacing w:after="240" w:line="276" w:lineRule="auto"/>
        <w:rPr>
          <w:rFonts w:eastAsia="Times New Roman"/>
          <w:bCs/>
          <w:sz w:val="24"/>
          <w:szCs w:val="24"/>
        </w:rPr>
      </w:pPr>
      <w:r>
        <w:rPr>
          <w:rFonts w:eastAsia="Times New Roman"/>
          <w:bCs/>
          <w:sz w:val="24"/>
          <w:szCs w:val="24"/>
        </w:rPr>
        <w:br w:type="page"/>
      </w:r>
    </w:p>
    <w:p w14:paraId="56C4ADCC" w14:textId="77777777" w:rsidR="00E75B12" w:rsidRPr="00C84E7A" w:rsidRDefault="00E75B12" w:rsidP="006C44F9">
      <w:pPr>
        <w:spacing w:after="240"/>
        <w:ind w:left="720" w:hanging="720"/>
        <w:rPr>
          <w:rFonts w:eastAsia="Times New Roman"/>
          <w:b/>
          <w:sz w:val="24"/>
          <w:szCs w:val="24"/>
        </w:rPr>
      </w:pPr>
      <w:bookmarkStart w:id="5" w:name="a32_05"/>
      <w:bookmarkEnd w:id="5"/>
      <w:r>
        <w:rPr>
          <w:rFonts w:eastAsia="Times New Roman"/>
          <w:b/>
          <w:sz w:val="24"/>
          <w:szCs w:val="24"/>
        </w:rPr>
        <w:lastRenderedPageBreak/>
        <w:t>32:5</w:t>
      </w:r>
      <w:r w:rsidRPr="00C84E7A">
        <w:rPr>
          <w:rFonts w:eastAsia="Times New Roman"/>
          <w:b/>
          <w:sz w:val="24"/>
          <w:szCs w:val="24"/>
        </w:rPr>
        <w:t xml:space="preserve"> </w:t>
      </w:r>
      <w:r w:rsidRPr="00C84E7A">
        <w:rPr>
          <w:rFonts w:eastAsia="Times New Roman"/>
          <w:b/>
          <w:sz w:val="24"/>
          <w:szCs w:val="24"/>
        </w:rPr>
        <w:tab/>
      </w:r>
      <w:r>
        <w:rPr>
          <w:rFonts w:eastAsia="Times New Roman"/>
          <w:b/>
          <w:sz w:val="24"/>
          <w:szCs w:val="24"/>
        </w:rPr>
        <w:t xml:space="preserve">INTENTIONAL AND KNOWINGLY </w:t>
      </w:r>
      <w:r>
        <w:rPr>
          <w:rFonts w:eastAsia="Times New Roman"/>
          <w:sz w:val="24"/>
          <w:szCs w:val="24"/>
        </w:rPr>
        <w:t>—</w:t>
      </w:r>
      <w:r>
        <w:rPr>
          <w:rFonts w:eastAsia="Times New Roman"/>
          <w:b/>
          <w:sz w:val="24"/>
          <w:szCs w:val="24"/>
        </w:rPr>
        <w:t xml:space="preserve"> DEFINED</w:t>
      </w:r>
    </w:p>
    <w:p w14:paraId="54AA53AF" w14:textId="77777777" w:rsidR="00E75B12" w:rsidRDefault="00E75B12" w:rsidP="006C44F9">
      <w:pPr>
        <w:spacing w:after="240"/>
        <w:ind w:firstLine="720"/>
        <w:rPr>
          <w:b/>
          <w:sz w:val="24"/>
          <w:szCs w:val="24"/>
        </w:rPr>
      </w:pPr>
      <w:r>
        <w:rPr>
          <w:b/>
          <w:sz w:val="24"/>
          <w:szCs w:val="24"/>
        </w:rPr>
        <w:t>A person acts with intent when (his) (her) conscious objective is to cause a specific result.</w:t>
      </w:r>
    </w:p>
    <w:p w14:paraId="69AD16FD" w14:textId="0516B76E" w:rsidR="00E75B12" w:rsidRDefault="00E75B12" w:rsidP="006C44F9">
      <w:pPr>
        <w:spacing w:after="240"/>
        <w:ind w:firstLine="720"/>
        <w:rPr>
          <w:b/>
          <w:sz w:val="24"/>
          <w:szCs w:val="24"/>
        </w:rPr>
      </w:pPr>
      <w:r>
        <w:rPr>
          <w:b/>
          <w:sz w:val="24"/>
          <w:szCs w:val="24"/>
        </w:rPr>
        <w:t xml:space="preserve">A person acts knowingly with respect to conduct or to a circumstance when (he) (she) is aware that (his) (her) conduct is of such nature or that such circumstance exists. A person acts knowingly with respect to a result of (his) (her) conduct when (he) (she) is aware that (his) (her) conduct is practically certain to cause the result. </w:t>
      </w:r>
    </w:p>
    <w:p w14:paraId="3057E651" w14:textId="77777777" w:rsidR="00E75B12" w:rsidRDefault="00E75B12" w:rsidP="006C44F9">
      <w:pPr>
        <w:ind w:firstLine="720"/>
        <w:rPr>
          <w:b/>
          <w:sz w:val="24"/>
          <w:szCs w:val="24"/>
        </w:rPr>
      </w:pPr>
    </w:p>
    <w:p w14:paraId="372B7550" w14:textId="77777777" w:rsidR="00E75B12" w:rsidRDefault="00E75B12" w:rsidP="006C44F9">
      <w:pPr>
        <w:keepNext/>
        <w:spacing w:after="240"/>
        <w:jc w:val="center"/>
        <w:rPr>
          <w:rFonts w:eastAsia="Times New Roman"/>
          <w:b/>
          <w:sz w:val="24"/>
          <w:szCs w:val="24"/>
        </w:rPr>
      </w:pPr>
      <w:r w:rsidRPr="0054263B">
        <w:rPr>
          <w:rFonts w:eastAsia="Times New Roman"/>
          <w:b/>
          <w:sz w:val="24"/>
          <w:szCs w:val="24"/>
        </w:rPr>
        <w:t>Notes on Use</w:t>
      </w:r>
    </w:p>
    <w:p w14:paraId="51FAE74D" w14:textId="77777777" w:rsidR="00E75B12" w:rsidRDefault="00E75B12" w:rsidP="006C44F9">
      <w:pPr>
        <w:spacing w:after="240"/>
        <w:ind w:firstLine="720"/>
        <w:rPr>
          <w:rFonts w:eastAsia="Times New Roman"/>
          <w:sz w:val="24"/>
          <w:szCs w:val="24"/>
        </w:rPr>
      </w:pPr>
      <w:r>
        <w:rPr>
          <w:rFonts w:eastAsia="Times New Roman"/>
          <w:sz w:val="24"/>
          <w:szCs w:val="24"/>
        </w:rPr>
        <w:t>This should be given with instruction 32:4</w:t>
      </w:r>
      <w:r w:rsidR="00562D18">
        <w:rPr>
          <w:rFonts w:eastAsia="Times New Roman"/>
          <w:sz w:val="24"/>
          <w:szCs w:val="24"/>
        </w:rPr>
        <w:t>.</w:t>
      </w:r>
    </w:p>
    <w:p w14:paraId="0452DE1A" w14:textId="77777777" w:rsidR="00E75B12" w:rsidRDefault="00E75B12" w:rsidP="006C44F9">
      <w:pPr>
        <w:keepNext/>
        <w:spacing w:after="240"/>
        <w:jc w:val="center"/>
        <w:rPr>
          <w:rFonts w:eastAsia="Times New Roman"/>
          <w:b/>
          <w:sz w:val="24"/>
          <w:szCs w:val="24"/>
        </w:rPr>
      </w:pPr>
      <w:r>
        <w:rPr>
          <w:rFonts w:eastAsia="Times New Roman"/>
          <w:b/>
          <w:sz w:val="24"/>
          <w:szCs w:val="24"/>
        </w:rPr>
        <w:t>Source and Authority</w:t>
      </w:r>
    </w:p>
    <w:p w14:paraId="1BCEF4A2" w14:textId="77777777" w:rsidR="00E75B12" w:rsidRDefault="00E75B12" w:rsidP="006C44F9">
      <w:pPr>
        <w:spacing w:after="240"/>
        <w:ind w:firstLine="720"/>
        <w:rPr>
          <w:rFonts w:eastAsia="Times New Roman"/>
          <w:sz w:val="24"/>
          <w:szCs w:val="24"/>
        </w:rPr>
      </w:pPr>
      <w:r>
        <w:rPr>
          <w:sz w:val="24"/>
          <w:szCs w:val="24"/>
        </w:rPr>
        <w:t xml:space="preserve">This instruction is supported by </w:t>
      </w:r>
      <w:r w:rsidRPr="0074698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section 18-1-501(5), C.R.S. (“</w:t>
      </w:r>
      <w:r>
        <w:rPr>
          <w:rFonts w:eastAsia="Times New Roman"/>
          <w:sz w:val="24"/>
          <w:szCs w:val="24"/>
        </w:rPr>
        <w:t xml:space="preserve">A person acts ‘intentionally’ or ‘with intent’ when his conscious objective is to cause the specific result proscribed by the statute defining the offense.”); and section 18-1-501(6), C.R.S.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conduct or to a circumstance described by a statute defining an offense when he is aware that his conduct is of such nature or that such circumstance exists.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a result of his conduct, when he is aware that his conduct is practically certain to cause the result.”)</w:t>
      </w:r>
      <w:r w:rsidR="00D867CC">
        <w:rPr>
          <w:rFonts w:eastAsia="Times New Roman"/>
          <w:sz w:val="24"/>
          <w:szCs w:val="24"/>
        </w:rPr>
        <w:t>.</w:t>
      </w:r>
    </w:p>
    <w:p w14:paraId="6D8BAB83" w14:textId="77777777" w:rsidR="00E75B12" w:rsidRDefault="00E75B12" w:rsidP="00E75B12">
      <w:pPr>
        <w:spacing w:after="200" w:line="276" w:lineRule="auto"/>
        <w:rPr>
          <w:rFonts w:eastAsia="Times New Roman"/>
          <w:sz w:val="24"/>
          <w:szCs w:val="24"/>
        </w:rPr>
      </w:pPr>
      <w:r>
        <w:rPr>
          <w:rFonts w:eastAsia="Times New Roman"/>
          <w:sz w:val="24"/>
          <w:szCs w:val="24"/>
        </w:rPr>
        <w:br w:type="page"/>
      </w:r>
    </w:p>
    <w:p w14:paraId="223FB76E" w14:textId="77777777" w:rsidR="00E75B12" w:rsidRPr="00051F4B" w:rsidRDefault="00E75B12" w:rsidP="0037307E">
      <w:pPr>
        <w:spacing w:after="240"/>
        <w:rPr>
          <w:b/>
          <w:sz w:val="24"/>
          <w:szCs w:val="24"/>
        </w:rPr>
      </w:pPr>
      <w:bookmarkStart w:id="6" w:name="a32_06"/>
      <w:bookmarkEnd w:id="6"/>
      <w:r>
        <w:rPr>
          <w:b/>
          <w:sz w:val="24"/>
          <w:szCs w:val="24"/>
        </w:rPr>
        <w:lastRenderedPageBreak/>
        <w:t>32:6</w:t>
      </w:r>
      <w:r>
        <w:rPr>
          <w:b/>
          <w:sz w:val="24"/>
          <w:szCs w:val="24"/>
        </w:rPr>
        <w:tab/>
      </w:r>
      <w:r w:rsidRPr="00051F4B">
        <w:rPr>
          <w:b/>
          <w:sz w:val="24"/>
          <w:szCs w:val="24"/>
        </w:rPr>
        <w:t xml:space="preserve">DAMAGES </w:t>
      </w:r>
      <w:r>
        <w:rPr>
          <w:rFonts w:eastAsia="Times New Roman"/>
          <w:sz w:val="24"/>
          <w:szCs w:val="24"/>
        </w:rPr>
        <w:t>—</w:t>
      </w:r>
      <w:r w:rsidRPr="00051F4B">
        <w:rPr>
          <w:b/>
          <w:sz w:val="24"/>
          <w:szCs w:val="24"/>
        </w:rPr>
        <w:t xml:space="preserve"> ACTUAL</w:t>
      </w:r>
    </w:p>
    <w:p w14:paraId="4151D6AB" w14:textId="77777777" w:rsidR="00E75B12" w:rsidRPr="00817514" w:rsidRDefault="005B418C" w:rsidP="0037307E">
      <w:pPr>
        <w:spacing w:after="240"/>
        <w:ind w:firstLine="720"/>
        <w:rPr>
          <w:rFonts w:eastAsia="Times New Roman"/>
          <w:b/>
          <w:bCs/>
          <w:sz w:val="24"/>
          <w:szCs w:val="24"/>
        </w:rPr>
      </w:pPr>
      <w:r>
        <w:rPr>
          <w:rFonts w:eastAsia="Times New Roman"/>
          <w:b/>
          <w:bCs/>
          <w:sz w:val="24"/>
          <w:szCs w:val="24"/>
        </w:rPr>
        <w:t>The p</w:t>
      </w:r>
      <w:r w:rsidR="00E75B12" w:rsidRPr="00817514">
        <w:rPr>
          <w:b/>
          <w:sz w:val="24"/>
          <w:szCs w:val="24"/>
        </w:rPr>
        <w:t xml:space="preserve">laintiff has the burden of proving by a preponderance of the evidence the nature and extent of (his) (her) </w:t>
      </w:r>
      <w:r>
        <w:rPr>
          <w:b/>
          <w:sz w:val="24"/>
          <w:szCs w:val="24"/>
        </w:rPr>
        <w:t xml:space="preserve">(its) </w:t>
      </w:r>
      <w:r w:rsidR="00E75B12" w:rsidRPr="00912FD6">
        <w:rPr>
          <w:rFonts w:eastAsia="Times New Roman"/>
          <w:b/>
          <w:bCs/>
          <w:sz w:val="24"/>
          <w:szCs w:val="24"/>
        </w:rPr>
        <w:t xml:space="preserve">damages. If you find in favor of the plaintiff, you must determine the total dollar amount </w:t>
      </w:r>
      <w:r w:rsidR="00153CC5">
        <w:rPr>
          <w:rFonts w:eastAsia="Times New Roman"/>
          <w:b/>
          <w:bCs/>
          <w:sz w:val="24"/>
          <w:szCs w:val="24"/>
        </w:rPr>
        <w:t xml:space="preserve">of </w:t>
      </w:r>
      <w:r w:rsidR="007A0043">
        <w:rPr>
          <w:rFonts w:eastAsia="Times New Roman"/>
          <w:b/>
          <w:bCs/>
          <w:sz w:val="24"/>
          <w:szCs w:val="24"/>
        </w:rPr>
        <w:t xml:space="preserve">the </w:t>
      </w:r>
      <w:r w:rsidR="00153CC5">
        <w:rPr>
          <w:rFonts w:eastAsia="Times New Roman"/>
          <w:b/>
          <w:bCs/>
          <w:sz w:val="24"/>
          <w:szCs w:val="24"/>
        </w:rPr>
        <w:t xml:space="preserve">plaintiff’s </w:t>
      </w:r>
      <w:r w:rsidR="00E75B12" w:rsidRPr="00912FD6">
        <w:rPr>
          <w:rFonts w:eastAsia="Times New Roman"/>
          <w:b/>
          <w:bCs/>
          <w:sz w:val="24"/>
          <w:szCs w:val="24"/>
        </w:rPr>
        <w:t>damages, if any, that were caused by the defendant’s theft</w:t>
      </w:r>
      <w:r w:rsidR="00E75B12" w:rsidRPr="00912FD6">
        <w:rPr>
          <w:b/>
          <w:i/>
          <w:sz w:val="24"/>
          <w:szCs w:val="24"/>
        </w:rPr>
        <w:t>.</w:t>
      </w:r>
    </w:p>
    <w:p w14:paraId="0DE1E42D" w14:textId="77777777" w:rsidR="00E75B12" w:rsidRPr="00912FD6" w:rsidRDefault="00E75B12" w:rsidP="0037307E">
      <w:pPr>
        <w:spacing w:after="240"/>
        <w:rPr>
          <w:rFonts w:eastAsia="Times New Roman"/>
          <w:b/>
          <w:bCs/>
          <w:sz w:val="24"/>
          <w:szCs w:val="24"/>
        </w:rPr>
      </w:pPr>
      <w:r w:rsidRPr="00912FD6">
        <w:rPr>
          <w:rFonts w:eastAsia="Times New Roman"/>
          <w:b/>
          <w:bCs/>
          <w:sz w:val="24"/>
          <w:szCs w:val="24"/>
        </w:rPr>
        <w:tab/>
        <w:t>In determining such damages, you shall consider the following:</w:t>
      </w:r>
    </w:p>
    <w:p w14:paraId="1DEBA7B8" w14:textId="77777777" w:rsidR="000610A3" w:rsidRDefault="00E75B12" w:rsidP="0037307E">
      <w:pPr>
        <w:spacing w:after="240"/>
        <w:ind w:firstLine="720"/>
        <w:rPr>
          <w:rFonts w:eastAsia="Times New Roman"/>
          <w:b/>
          <w:bCs/>
          <w:sz w:val="24"/>
          <w:szCs w:val="24"/>
        </w:rPr>
      </w:pPr>
      <w:r w:rsidRPr="00912FD6">
        <w:rPr>
          <w:rFonts w:eastAsia="Times New Roman"/>
          <w:b/>
          <w:bCs/>
          <w:sz w:val="24"/>
          <w:szCs w:val="24"/>
        </w:rPr>
        <w:t>1. Any economic loss</w:t>
      </w:r>
      <w:r w:rsidR="000610A3">
        <w:rPr>
          <w:rFonts w:eastAsia="Times New Roman"/>
          <w:b/>
          <w:bCs/>
          <w:sz w:val="24"/>
          <w:szCs w:val="24"/>
        </w:rPr>
        <w:t>es</w:t>
      </w:r>
      <w:r w:rsidRPr="00912FD6">
        <w:rPr>
          <w:rFonts w:eastAsia="Times New Roman"/>
          <w:b/>
          <w:bCs/>
          <w:sz w:val="24"/>
          <w:szCs w:val="24"/>
        </w:rPr>
        <w:t xml:space="preserve"> which the plaintiff had or will probably have in the future, including</w:t>
      </w:r>
      <w:r w:rsidR="000610A3">
        <w:rPr>
          <w:rFonts w:eastAsia="Times New Roman"/>
          <w:b/>
          <w:bCs/>
          <w:sz w:val="24"/>
          <w:szCs w:val="24"/>
        </w:rPr>
        <w:t xml:space="preserve"> </w:t>
      </w:r>
      <w:r w:rsidR="000610A3" w:rsidRPr="000610A3">
        <w:rPr>
          <w:rFonts w:eastAsia="Times New Roman"/>
          <w:bCs/>
          <w:i/>
          <w:sz w:val="24"/>
          <w:szCs w:val="24"/>
        </w:rPr>
        <w:t>(</w:t>
      </w:r>
      <w:r w:rsidR="000610A3" w:rsidRPr="000611E0">
        <w:rPr>
          <w:rFonts w:eastAsia="Times New Roman"/>
          <w:bCs/>
          <w:i/>
          <w:sz w:val="24"/>
          <w:szCs w:val="24"/>
        </w:rPr>
        <w:t>insert recoverable economic</w:t>
      </w:r>
      <w:r w:rsidR="000610A3">
        <w:rPr>
          <w:rFonts w:eastAsia="Times New Roman"/>
          <w:bCs/>
          <w:i/>
          <w:sz w:val="24"/>
          <w:szCs w:val="24"/>
        </w:rPr>
        <w:t xml:space="preserve"> losses, e.g.</w:t>
      </w:r>
      <w:r w:rsidR="00F30B5D">
        <w:rPr>
          <w:rFonts w:eastAsia="Times New Roman"/>
          <w:bCs/>
          <w:i/>
          <w:sz w:val="24"/>
          <w:szCs w:val="24"/>
        </w:rPr>
        <w:t>,</w:t>
      </w:r>
      <w:r w:rsidR="000610A3">
        <w:rPr>
          <w:rFonts w:eastAsia="Times New Roman"/>
          <w:bCs/>
          <w:i/>
          <w:sz w:val="24"/>
          <w:szCs w:val="24"/>
        </w:rPr>
        <w:t xml:space="preserve"> the value of lost property,</w:t>
      </w:r>
      <w:r w:rsidR="000610A3" w:rsidRPr="000611E0">
        <w:rPr>
          <w:rFonts w:eastAsia="Times New Roman"/>
          <w:bCs/>
          <w:i/>
          <w:sz w:val="24"/>
          <w:szCs w:val="24"/>
        </w:rPr>
        <w:t xml:space="preserve"> for which there is sufficient evidence</w:t>
      </w:r>
      <w:r w:rsidR="000610A3">
        <w:rPr>
          <w:rFonts w:eastAsia="Times New Roman"/>
          <w:bCs/>
          <w:i/>
          <w:sz w:val="24"/>
          <w:szCs w:val="24"/>
        </w:rPr>
        <w:t>)</w:t>
      </w:r>
      <w:r w:rsidR="000610A3" w:rsidRPr="0069523D">
        <w:rPr>
          <w:rFonts w:eastAsia="Times New Roman"/>
          <w:b/>
          <w:bCs/>
          <w:sz w:val="24"/>
          <w:szCs w:val="24"/>
        </w:rPr>
        <w:t xml:space="preserve">; </w:t>
      </w:r>
      <w:r w:rsidR="000610A3" w:rsidRPr="009D6B4E">
        <w:rPr>
          <w:rFonts w:eastAsia="Times New Roman"/>
          <w:b/>
          <w:bCs/>
          <w:sz w:val="24"/>
          <w:szCs w:val="24"/>
        </w:rPr>
        <w:t>and</w:t>
      </w:r>
    </w:p>
    <w:p w14:paraId="089178DF" w14:textId="77777777" w:rsidR="000610A3" w:rsidRDefault="000610A3" w:rsidP="0037307E">
      <w:pPr>
        <w:spacing w:after="240"/>
        <w:ind w:firstLine="720"/>
        <w:rPr>
          <w:rFonts w:eastAsia="Times New Roman"/>
          <w:b/>
          <w:bCs/>
          <w:sz w:val="24"/>
          <w:szCs w:val="24"/>
        </w:rPr>
      </w:pPr>
      <w:r>
        <w:rPr>
          <w:rFonts w:eastAsia="Times New Roman"/>
          <w:b/>
          <w:bCs/>
          <w:sz w:val="24"/>
          <w:szCs w:val="24"/>
        </w:rPr>
        <w:t xml:space="preserve">2. Any noneconomic losses or injuries which the plaintiff has had or will have in the future, including </w:t>
      </w:r>
      <w:r>
        <w:rPr>
          <w:rFonts w:eastAsia="Times New Roman"/>
          <w:bCs/>
          <w:i/>
          <w:sz w:val="24"/>
          <w:szCs w:val="24"/>
        </w:rPr>
        <w:t xml:space="preserve">(insert </w:t>
      </w:r>
      <w:r w:rsidRPr="000611E0">
        <w:rPr>
          <w:rFonts w:eastAsia="Times New Roman"/>
          <w:bCs/>
          <w:i/>
          <w:sz w:val="24"/>
          <w:szCs w:val="24"/>
        </w:rPr>
        <w:t>recoverable noneconomic losses</w:t>
      </w:r>
      <w:r>
        <w:rPr>
          <w:rFonts w:eastAsia="Times New Roman"/>
          <w:bCs/>
          <w:i/>
          <w:sz w:val="24"/>
          <w:szCs w:val="24"/>
        </w:rPr>
        <w:t>, e.g.</w:t>
      </w:r>
      <w:r w:rsidR="00F30B5D">
        <w:rPr>
          <w:rFonts w:eastAsia="Times New Roman"/>
          <w:bCs/>
          <w:i/>
          <w:sz w:val="24"/>
          <w:szCs w:val="24"/>
        </w:rPr>
        <w:t>,</w:t>
      </w:r>
      <w:r>
        <w:rPr>
          <w:rFonts w:eastAsia="Times New Roman"/>
          <w:bCs/>
          <w:i/>
          <w:sz w:val="24"/>
          <w:szCs w:val="24"/>
        </w:rPr>
        <w:t xml:space="preserve"> pain and suffering, </w:t>
      </w:r>
      <w:r w:rsidRPr="000610A3">
        <w:rPr>
          <w:i/>
          <w:sz w:val="24"/>
        </w:rPr>
        <w:t>emotional distress</w:t>
      </w:r>
      <w:r>
        <w:rPr>
          <w:rFonts w:eastAsia="Times New Roman"/>
          <w:bCs/>
          <w:i/>
          <w:sz w:val="24"/>
          <w:szCs w:val="24"/>
        </w:rPr>
        <w:t xml:space="preserve">, </w:t>
      </w:r>
      <w:r w:rsidR="00F30B5D">
        <w:rPr>
          <w:rFonts w:eastAsia="Times New Roman"/>
          <w:bCs/>
          <w:i/>
          <w:sz w:val="24"/>
          <w:szCs w:val="24"/>
        </w:rPr>
        <w:t xml:space="preserve">and </w:t>
      </w:r>
      <w:r>
        <w:rPr>
          <w:rFonts w:eastAsia="Times New Roman"/>
          <w:bCs/>
          <w:i/>
          <w:sz w:val="24"/>
          <w:szCs w:val="24"/>
        </w:rPr>
        <w:t>inconvenience,</w:t>
      </w:r>
      <w:r w:rsidRPr="000611E0">
        <w:rPr>
          <w:rFonts w:eastAsia="Times New Roman"/>
          <w:bCs/>
          <w:i/>
          <w:sz w:val="24"/>
          <w:szCs w:val="24"/>
        </w:rPr>
        <w:t xml:space="preserve"> for which there is sufficient evidence</w:t>
      </w:r>
      <w:r>
        <w:rPr>
          <w:rFonts w:eastAsia="Times New Roman"/>
          <w:bCs/>
          <w:i/>
          <w:sz w:val="24"/>
          <w:szCs w:val="24"/>
        </w:rPr>
        <w:t>)</w:t>
      </w:r>
      <w:r>
        <w:rPr>
          <w:rFonts w:eastAsia="Times New Roman"/>
          <w:b/>
          <w:bCs/>
          <w:sz w:val="24"/>
          <w:szCs w:val="24"/>
        </w:rPr>
        <w:t>.</w:t>
      </w:r>
    </w:p>
    <w:p w14:paraId="7DCA0C8F" w14:textId="77777777" w:rsidR="00E75B12" w:rsidRPr="00C84E7A" w:rsidRDefault="00E75B12" w:rsidP="0037307E">
      <w:pPr>
        <w:rPr>
          <w:sz w:val="24"/>
          <w:szCs w:val="24"/>
        </w:rPr>
      </w:pPr>
    </w:p>
    <w:p w14:paraId="4B50BC37"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Notes on Use</w:t>
      </w:r>
    </w:p>
    <w:p w14:paraId="147500B5" w14:textId="792CB348" w:rsidR="00E75B12" w:rsidRDefault="00E75B12" w:rsidP="0037307E">
      <w:pPr>
        <w:spacing w:after="240"/>
        <w:ind w:firstLine="720"/>
        <w:rPr>
          <w:rFonts w:eastAsia="Times New Roman"/>
          <w:bCs/>
          <w:sz w:val="24"/>
          <w:szCs w:val="24"/>
        </w:rPr>
      </w:pPr>
      <w:r>
        <w:rPr>
          <w:rFonts w:eastAsia="Times New Roman"/>
          <w:bCs/>
          <w:sz w:val="24"/>
          <w:szCs w:val="24"/>
        </w:rPr>
        <w:t xml:space="preserve">1. If the jury awards actual damages, the amount should by trebled by the court after the jury verdict in the final judgment. § 18-4-405, C.R.S.; </w:t>
      </w:r>
      <w:r w:rsidRPr="00746986">
        <w:rPr>
          <w:rFonts w:eastAsia="Times New Roman"/>
          <w:b/>
          <w:bCs/>
          <w:sz w:val="24"/>
          <w:szCs w:val="24"/>
        </w:rPr>
        <w:t>Tisch v.</w:t>
      </w:r>
      <w:r w:rsidR="00B87B4C">
        <w:rPr>
          <w:rFonts w:eastAsia="Times New Roman"/>
          <w:b/>
          <w:bCs/>
          <w:sz w:val="24"/>
          <w:szCs w:val="24"/>
        </w:rPr>
        <w:t xml:space="preserve"> </w:t>
      </w:r>
      <w:r w:rsidRPr="00746986">
        <w:rPr>
          <w:rFonts w:eastAsia="Times New Roman"/>
          <w:b/>
          <w:bCs/>
          <w:sz w:val="24"/>
          <w:szCs w:val="24"/>
        </w:rPr>
        <w:t>Tisch</w:t>
      </w:r>
      <w:r>
        <w:rPr>
          <w:rFonts w:eastAsia="Times New Roman"/>
          <w:bCs/>
          <w:sz w:val="24"/>
          <w:szCs w:val="24"/>
        </w:rPr>
        <w:t>, 2019 COA 41,</w:t>
      </w:r>
      <w:r w:rsidR="00D867CC">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1, 439 P.3d 89. </w:t>
      </w:r>
    </w:p>
    <w:p w14:paraId="516EDF1B" w14:textId="77777777" w:rsidR="00E75B12" w:rsidRDefault="00E75B12" w:rsidP="0037307E">
      <w:pPr>
        <w:tabs>
          <w:tab w:val="left" w:pos="720"/>
          <w:tab w:val="left" w:pos="1440"/>
        </w:tabs>
        <w:spacing w:after="240"/>
        <w:rPr>
          <w:rFonts w:eastAsia="Times New Roman"/>
          <w:bCs/>
          <w:sz w:val="24"/>
          <w:szCs w:val="24"/>
        </w:rPr>
      </w:pPr>
      <w:r>
        <w:rPr>
          <w:rFonts w:eastAsia="Times New Roman"/>
          <w:bCs/>
          <w:sz w:val="24"/>
          <w:szCs w:val="24"/>
        </w:rPr>
        <w:tab/>
        <w:t>2. Plaintiffs awarded actual or statutory damages are entitled to reasonable attorney’s fees in addition to actual or statutory damages, to be awarded by the court after the verdict.</w:t>
      </w:r>
    </w:p>
    <w:p w14:paraId="208C1C3C"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Source and Authority</w:t>
      </w:r>
    </w:p>
    <w:p w14:paraId="0E8A857B" w14:textId="668FD09F" w:rsidR="00E75B12" w:rsidRDefault="00E75B12" w:rsidP="0037307E">
      <w:pPr>
        <w:spacing w:after="240"/>
        <w:ind w:firstLine="720"/>
        <w:rPr>
          <w:sz w:val="24"/>
          <w:szCs w:val="24"/>
        </w:rPr>
      </w:pPr>
      <w:r>
        <w:rPr>
          <w:sz w:val="24"/>
          <w:szCs w:val="24"/>
        </w:rPr>
        <w:t xml:space="preserve">1. </w:t>
      </w:r>
      <w:r w:rsidRPr="00C84E7A">
        <w:rPr>
          <w:sz w:val="24"/>
          <w:szCs w:val="24"/>
        </w:rPr>
        <w:t xml:space="preserve">This instruction </w:t>
      </w:r>
      <w:r>
        <w:rPr>
          <w:sz w:val="24"/>
          <w:szCs w:val="24"/>
        </w:rPr>
        <w:t xml:space="preserve">is </w:t>
      </w:r>
      <w:r w:rsidRPr="00C84E7A">
        <w:rPr>
          <w:sz w:val="24"/>
          <w:szCs w:val="24"/>
        </w:rPr>
        <w:t>supported by</w:t>
      </w:r>
      <w:r>
        <w:rPr>
          <w:sz w:val="24"/>
          <w:szCs w:val="24"/>
        </w:rPr>
        <w:t xml:space="preserve"> </w:t>
      </w:r>
      <w:r w:rsidRPr="00C84E7A">
        <w:rPr>
          <w:b/>
          <w:sz w:val="24"/>
          <w:szCs w:val="24"/>
        </w:rPr>
        <w:t>Gorsich v. Double B Trading Co.</w:t>
      </w:r>
      <w:r w:rsidRPr="00C84E7A">
        <w:rPr>
          <w:sz w:val="24"/>
          <w:szCs w:val="24"/>
        </w:rPr>
        <w:t xml:space="preserve">, 893 </w:t>
      </w:r>
      <w:r>
        <w:rPr>
          <w:sz w:val="24"/>
          <w:szCs w:val="24"/>
        </w:rPr>
        <w:t>P.2d</w:t>
      </w:r>
      <w:r w:rsidRPr="00C84E7A">
        <w:rPr>
          <w:sz w:val="24"/>
          <w:szCs w:val="24"/>
        </w:rPr>
        <w:t xml:space="preserve"> 1357</w:t>
      </w:r>
      <w:r>
        <w:rPr>
          <w:sz w:val="24"/>
          <w:szCs w:val="24"/>
        </w:rPr>
        <w:t>, 1363</w:t>
      </w:r>
      <w:r w:rsidRPr="00C84E7A">
        <w:rPr>
          <w:sz w:val="24"/>
          <w:szCs w:val="24"/>
        </w:rPr>
        <w:t xml:space="preserve"> (</w:t>
      </w:r>
      <w:r>
        <w:rPr>
          <w:sz w:val="24"/>
          <w:szCs w:val="24"/>
        </w:rPr>
        <w:t xml:space="preserve">Colo. App. </w:t>
      </w:r>
      <w:r w:rsidRPr="00C84E7A">
        <w:rPr>
          <w:sz w:val="24"/>
          <w:szCs w:val="24"/>
        </w:rPr>
        <w:t>1994)</w:t>
      </w:r>
      <w:r>
        <w:rPr>
          <w:sz w:val="24"/>
          <w:szCs w:val="24"/>
        </w:rPr>
        <w:t xml:space="preserve"> (“‘Actual damages’ include non-economic damages as well as economic damages”</w:t>
      </w:r>
      <w:r w:rsidR="0008082E">
        <w:rPr>
          <w:sz w:val="24"/>
          <w:szCs w:val="24"/>
        </w:rPr>
        <w:t>;</w:t>
      </w:r>
      <w:r w:rsidR="0008082E" w:rsidRPr="0008082E">
        <w:rPr>
          <w:sz w:val="24"/>
          <w:szCs w:val="24"/>
        </w:rPr>
        <w:t xml:space="preserve"> </w:t>
      </w:r>
      <w:r w:rsidR="0008082E">
        <w:rPr>
          <w:sz w:val="24"/>
          <w:szCs w:val="24"/>
        </w:rPr>
        <w:t>approving jury instruction allowing jury to consider pain and suffering, inconvenience, and emotional distress.</w:t>
      </w:r>
      <w:r w:rsidR="00981D66">
        <w:rPr>
          <w:sz w:val="24"/>
          <w:szCs w:val="24"/>
        </w:rPr>
        <w:t>).</w:t>
      </w:r>
    </w:p>
    <w:p w14:paraId="015E5B2B" w14:textId="04DB3170" w:rsidR="00E75B12" w:rsidRDefault="00E75B12" w:rsidP="0037307E">
      <w:pPr>
        <w:spacing w:after="240"/>
        <w:ind w:firstLine="720"/>
        <w:rPr>
          <w:rFonts w:eastAsia="Times New Roman"/>
          <w:bCs/>
          <w:sz w:val="24"/>
          <w:szCs w:val="24"/>
        </w:rPr>
      </w:pPr>
      <w:r>
        <w:rPr>
          <w:sz w:val="24"/>
          <w:szCs w:val="24"/>
        </w:rPr>
        <w:t>2. The treble damages component of section 18-4-405 is a statutory penalty subject to C.R.C.P. 98’s requirement that the action be tried in the</w:t>
      </w:r>
      <w:r w:rsidR="00131237">
        <w:rPr>
          <w:sz w:val="24"/>
          <w:szCs w:val="24"/>
        </w:rPr>
        <w:t xml:space="preserve"> county where the claim arose. </w:t>
      </w:r>
      <w:r w:rsidRPr="00746986">
        <w:rPr>
          <w:b/>
          <w:sz w:val="24"/>
          <w:szCs w:val="24"/>
        </w:rPr>
        <w:t>Ehrlich Feedlot, Inc. v. Oldenburg</w:t>
      </w:r>
      <w:r>
        <w:rPr>
          <w:sz w:val="24"/>
          <w:szCs w:val="24"/>
        </w:rPr>
        <w:t>, 140 P.3d 265, 270 (Colo. App. 2006) (“We therefore conclude the treble damages provision of section 18-4-405 imposes a statutory penalty governed by C.R.C.P. 98.”)</w:t>
      </w:r>
      <w:r w:rsidR="00380B71">
        <w:rPr>
          <w:sz w:val="24"/>
          <w:szCs w:val="24"/>
        </w:rPr>
        <w:t>.</w:t>
      </w:r>
    </w:p>
    <w:p w14:paraId="6C28D956" w14:textId="1F388B09" w:rsidR="00E75B12" w:rsidRDefault="00E75B12" w:rsidP="0037307E">
      <w:pPr>
        <w:spacing w:after="240"/>
        <w:ind w:firstLine="720"/>
        <w:rPr>
          <w:sz w:val="24"/>
          <w:szCs w:val="24"/>
        </w:rPr>
      </w:pPr>
      <w:r>
        <w:rPr>
          <w:sz w:val="24"/>
          <w:szCs w:val="24"/>
        </w:rPr>
        <w:t xml:space="preserve">3. </w:t>
      </w:r>
      <w:r w:rsidR="00F30B5D">
        <w:rPr>
          <w:sz w:val="24"/>
          <w:szCs w:val="24"/>
        </w:rPr>
        <w:t>Prejudgment i</w:t>
      </w:r>
      <w:r>
        <w:rPr>
          <w:sz w:val="24"/>
          <w:szCs w:val="24"/>
        </w:rPr>
        <w:t xml:space="preserve">nterest </w:t>
      </w:r>
      <w:r w:rsidR="0008082E">
        <w:rPr>
          <w:sz w:val="24"/>
          <w:szCs w:val="24"/>
        </w:rPr>
        <w:t>should</w:t>
      </w:r>
      <w:r>
        <w:rPr>
          <w:sz w:val="24"/>
          <w:szCs w:val="24"/>
        </w:rPr>
        <w:t xml:space="preserve"> not be awarded on the treble damages portion of a judgment. </w:t>
      </w:r>
      <w:proofErr w:type="gramStart"/>
      <w:r w:rsidRPr="00912FD6">
        <w:rPr>
          <w:b/>
          <w:sz w:val="24"/>
          <w:szCs w:val="24"/>
        </w:rPr>
        <w:t>Becker &amp; Tenenbaum v. Eagle Rest</w:t>
      </w:r>
      <w:r>
        <w:rPr>
          <w:b/>
          <w:sz w:val="24"/>
          <w:szCs w:val="24"/>
        </w:rPr>
        <w:t>.</w:t>
      </w:r>
      <w:proofErr w:type="gramEnd"/>
      <w:r w:rsidRPr="00912FD6">
        <w:rPr>
          <w:b/>
          <w:sz w:val="24"/>
          <w:szCs w:val="24"/>
        </w:rPr>
        <w:t xml:space="preserve"> Co.</w:t>
      </w:r>
      <w:r w:rsidR="00900236">
        <w:rPr>
          <w:sz w:val="24"/>
          <w:szCs w:val="24"/>
        </w:rPr>
        <w:t xml:space="preserve">, </w:t>
      </w:r>
      <w:r>
        <w:rPr>
          <w:sz w:val="24"/>
          <w:szCs w:val="24"/>
        </w:rPr>
        <w:t>946 P.2d 600, 603 (Colo. App. 1997) (“treble damages portion of the award was not properly subject to prejudgment interest”).</w:t>
      </w:r>
    </w:p>
    <w:p w14:paraId="565A4B6B" w14:textId="610C1DBD" w:rsidR="00AB4B98" w:rsidRDefault="00247EA8" w:rsidP="00AB4B98">
      <w:pPr>
        <w:shd w:val="clear" w:color="auto" w:fill="FFFFFF"/>
        <w:ind w:firstLine="720"/>
        <w:rPr>
          <w:rFonts w:eastAsia="Times New Roman"/>
          <w:color w:val="000000"/>
          <w:sz w:val="24"/>
          <w:szCs w:val="24"/>
        </w:rPr>
      </w:pPr>
      <w:r w:rsidRPr="00E94CE4">
        <w:rPr>
          <w:sz w:val="24"/>
          <w:szCs w:val="24"/>
        </w:rPr>
        <w:t xml:space="preserve">4. </w:t>
      </w:r>
      <w:r w:rsidR="00E94CE4" w:rsidRPr="00E94CE4">
        <w:rPr>
          <w:sz w:val="24"/>
          <w:szCs w:val="24"/>
        </w:rPr>
        <w:t xml:space="preserve">“[I]f attorney fees and costs are a component of damages for a statutory claim, a judgment for damages on such a claim is not appealable until the amount of the attorney fees and costs has been set.” </w:t>
      </w:r>
      <w:r w:rsidR="00E94CE4" w:rsidRPr="00247EA8">
        <w:rPr>
          <w:b/>
          <w:sz w:val="24"/>
          <w:szCs w:val="24"/>
        </w:rPr>
        <w:t>Chavez v. Chavez</w:t>
      </w:r>
      <w:r w:rsidR="00C6295B">
        <w:rPr>
          <w:sz w:val="24"/>
          <w:szCs w:val="24"/>
        </w:rPr>
        <w:t xml:space="preserve">, 2020 COA 70, </w:t>
      </w:r>
      <w:r w:rsidR="00E94CE4">
        <w:rPr>
          <w:sz w:val="24"/>
          <w:szCs w:val="24"/>
        </w:rPr>
        <w:t xml:space="preserve">¶ 28, 465 P.3d 133 (quoting </w:t>
      </w:r>
      <w:r w:rsidR="00C6295B" w:rsidRPr="00C6295B">
        <w:rPr>
          <w:rFonts w:eastAsia="Times New Roman"/>
          <w:b/>
          <w:color w:val="000000"/>
          <w:sz w:val="24"/>
          <w:szCs w:val="24"/>
        </w:rPr>
        <w:t>Hall v. Am. Standard Ins. Co.</w:t>
      </w:r>
      <w:r w:rsidR="00C6295B" w:rsidRPr="00C6295B">
        <w:rPr>
          <w:rFonts w:eastAsia="Times New Roman"/>
          <w:color w:val="000000"/>
          <w:sz w:val="24"/>
          <w:szCs w:val="24"/>
        </w:rPr>
        <w:t>, 2012 COA 201, ¶ 14, 292 P.3d 1196, 1200</w:t>
      </w:r>
      <w:r w:rsidR="00C6295B">
        <w:rPr>
          <w:rFonts w:eastAsia="Times New Roman"/>
          <w:color w:val="000000"/>
          <w:sz w:val="24"/>
          <w:szCs w:val="24"/>
        </w:rPr>
        <w:t>).</w:t>
      </w:r>
      <w:r w:rsidR="00AB4B98">
        <w:rPr>
          <w:rFonts w:eastAsia="Times New Roman"/>
          <w:color w:val="000000"/>
          <w:sz w:val="24"/>
          <w:szCs w:val="24"/>
        </w:rPr>
        <w:br w:type="page"/>
      </w:r>
    </w:p>
    <w:p w14:paraId="43B46F56" w14:textId="77777777" w:rsidR="00E75B12" w:rsidRDefault="00E75B12" w:rsidP="006061DA">
      <w:pPr>
        <w:spacing w:after="240"/>
        <w:rPr>
          <w:b/>
          <w:sz w:val="24"/>
          <w:szCs w:val="24"/>
        </w:rPr>
      </w:pPr>
      <w:bookmarkStart w:id="7" w:name="a32_07"/>
      <w:bookmarkEnd w:id="7"/>
      <w:r>
        <w:rPr>
          <w:b/>
          <w:sz w:val="24"/>
          <w:szCs w:val="24"/>
        </w:rPr>
        <w:lastRenderedPageBreak/>
        <w:t>32:7</w:t>
      </w:r>
      <w:r>
        <w:rPr>
          <w:b/>
          <w:sz w:val="24"/>
          <w:szCs w:val="24"/>
        </w:rPr>
        <w:tab/>
        <w:t xml:space="preserve">DAMAGES </w:t>
      </w:r>
      <w:r>
        <w:rPr>
          <w:rFonts w:eastAsia="Times New Roman"/>
          <w:sz w:val="24"/>
          <w:szCs w:val="24"/>
        </w:rPr>
        <w:t>—</w:t>
      </w:r>
      <w:r>
        <w:rPr>
          <w:b/>
          <w:sz w:val="24"/>
          <w:szCs w:val="24"/>
        </w:rPr>
        <w:t xml:space="preserve"> STATUTORY</w:t>
      </w:r>
    </w:p>
    <w:p w14:paraId="74D68A25" w14:textId="77777777" w:rsidR="00E75B12" w:rsidRDefault="00E75B12" w:rsidP="006061DA">
      <w:pPr>
        <w:spacing w:after="240"/>
        <w:ind w:firstLine="720"/>
        <w:rPr>
          <w:rFonts w:eastAsia="Times New Roman"/>
          <w:b/>
          <w:bCs/>
          <w:sz w:val="24"/>
          <w:szCs w:val="24"/>
        </w:rPr>
      </w:pPr>
      <w:r>
        <w:rPr>
          <w:rFonts w:eastAsia="Times New Roman"/>
          <w:b/>
          <w:bCs/>
          <w:sz w:val="24"/>
          <w:szCs w:val="24"/>
        </w:rPr>
        <w:t>If you find in favor of the plaintiff, but do not award any actual damages, you shall award the plaintiff statutory damages in the amount of $200.</w:t>
      </w:r>
    </w:p>
    <w:p w14:paraId="441E0FA0" w14:textId="77777777" w:rsidR="00E75B12" w:rsidRPr="00C84E7A" w:rsidRDefault="00E75B12" w:rsidP="006061DA">
      <w:pPr>
        <w:rPr>
          <w:sz w:val="24"/>
          <w:szCs w:val="24"/>
        </w:rPr>
      </w:pPr>
    </w:p>
    <w:p w14:paraId="504A4098"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Notes on Use</w:t>
      </w:r>
    </w:p>
    <w:p w14:paraId="5E727719" w14:textId="77777777" w:rsidR="00E75B12" w:rsidRDefault="00E75B12" w:rsidP="006061DA">
      <w:pPr>
        <w:spacing w:after="240"/>
        <w:ind w:firstLine="720"/>
        <w:rPr>
          <w:rFonts w:eastAsia="Times New Roman"/>
          <w:bCs/>
          <w:sz w:val="24"/>
          <w:szCs w:val="24"/>
        </w:rPr>
      </w:pPr>
      <w:proofErr w:type="gramStart"/>
      <w:r>
        <w:rPr>
          <w:rFonts w:eastAsia="Times New Roman"/>
          <w:bCs/>
          <w:sz w:val="24"/>
          <w:szCs w:val="24"/>
        </w:rPr>
        <w:t>None.</w:t>
      </w:r>
      <w:proofErr w:type="gramEnd"/>
    </w:p>
    <w:p w14:paraId="5E7E1CFC"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Source and Authority</w:t>
      </w:r>
    </w:p>
    <w:p w14:paraId="312BD93D" w14:textId="77777777" w:rsidR="00E75B12" w:rsidRDefault="00E75B12" w:rsidP="006061DA">
      <w:pPr>
        <w:spacing w:after="240"/>
        <w:ind w:firstLine="720"/>
        <w:rPr>
          <w:sz w:val="24"/>
          <w:szCs w:val="24"/>
        </w:rPr>
      </w:pPr>
      <w:r>
        <w:rPr>
          <w:sz w:val="24"/>
          <w:szCs w:val="24"/>
        </w:rPr>
        <w:t xml:space="preserve">This instruction </w:t>
      </w:r>
      <w:r w:rsidRPr="00C84E7A">
        <w:rPr>
          <w:sz w:val="24"/>
          <w:szCs w:val="24"/>
        </w:rPr>
        <w:t xml:space="preserve">is </w:t>
      </w:r>
      <w:r>
        <w:rPr>
          <w:sz w:val="24"/>
          <w:szCs w:val="24"/>
        </w:rPr>
        <w:t>supported by</w:t>
      </w:r>
      <w:r w:rsidRPr="00C84E7A">
        <w:rPr>
          <w:sz w:val="24"/>
          <w:szCs w:val="24"/>
        </w:rPr>
        <w:t xml:space="preserve"> </w:t>
      </w:r>
      <w:r>
        <w:rPr>
          <w:sz w:val="24"/>
          <w:szCs w:val="24"/>
        </w:rPr>
        <w:t>section</w:t>
      </w:r>
      <w:r w:rsidRPr="00C84E7A">
        <w:rPr>
          <w:sz w:val="24"/>
          <w:szCs w:val="24"/>
        </w:rPr>
        <w:t xml:space="preserve"> 18-4-405, C.R.S.</w:t>
      </w:r>
    </w:p>
    <w:sectPr w:rsidR="00E75B12" w:rsidSect="00BC4E1D">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2A15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2A15FE" w16cid:durableId="257846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EE69B" w14:textId="77777777" w:rsidR="00B64CB8" w:rsidRDefault="00B64CB8" w:rsidP="00BC4E1D">
      <w:r>
        <w:separator/>
      </w:r>
    </w:p>
  </w:endnote>
  <w:endnote w:type="continuationSeparator" w:id="0">
    <w:p w14:paraId="24D429D3" w14:textId="77777777" w:rsidR="00B64CB8" w:rsidRDefault="00B64CB8" w:rsidP="00BC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796951"/>
      <w:docPartObj>
        <w:docPartGallery w:val="Page Numbers (Bottom of Page)"/>
        <w:docPartUnique/>
      </w:docPartObj>
    </w:sdtPr>
    <w:sdtEndPr>
      <w:rPr>
        <w:noProof/>
      </w:rPr>
    </w:sdtEndPr>
    <w:sdtContent>
      <w:p w14:paraId="59C4F8D0" w14:textId="77777777" w:rsidR="00E216CE" w:rsidRDefault="00E216CE">
        <w:pPr>
          <w:pStyle w:val="Footer"/>
          <w:jc w:val="center"/>
        </w:pPr>
        <w:r>
          <w:fldChar w:fldCharType="begin"/>
        </w:r>
        <w:r>
          <w:instrText xml:space="preserve"> PAGE   \* MERGEFORMAT </w:instrText>
        </w:r>
        <w:r>
          <w:fldChar w:fldCharType="separate"/>
        </w:r>
        <w:r w:rsidR="00EE137F">
          <w:rPr>
            <w:noProof/>
          </w:rPr>
          <w:t>11</w:t>
        </w:r>
        <w:r>
          <w:rPr>
            <w:noProof/>
          </w:rPr>
          <w:fldChar w:fldCharType="end"/>
        </w:r>
      </w:p>
    </w:sdtContent>
  </w:sdt>
  <w:p w14:paraId="748A203F" w14:textId="77777777" w:rsidR="00E216CE" w:rsidRDefault="00E21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520E3" w14:textId="77777777" w:rsidR="00B64CB8" w:rsidRDefault="00B64CB8" w:rsidP="00BC4E1D">
      <w:r>
        <w:separator/>
      </w:r>
    </w:p>
  </w:footnote>
  <w:footnote w:type="continuationSeparator" w:id="0">
    <w:p w14:paraId="13CE7CB9" w14:textId="77777777" w:rsidR="00B64CB8" w:rsidRDefault="00B64CB8" w:rsidP="00BC4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FC"/>
    <w:rsid w:val="00003EE2"/>
    <w:rsid w:val="00031C73"/>
    <w:rsid w:val="000327DE"/>
    <w:rsid w:val="00055BE9"/>
    <w:rsid w:val="00057B78"/>
    <w:rsid w:val="00057E62"/>
    <w:rsid w:val="000610A3"/>
    <w:rsid w:val="0008082E"/>
    <w:rsid w:val="000A5B2F"/>
    <w:rsid w:val="000C0405"/>
    <w:rsid w:val="000C78EA"/>
    <w:rsid w:val="000E3000"/>
    <w:rsid w:val="000E4942"/>
    <w:rsid w:val="000F1149"/>
    <w:rsid w:val="000F6CA1"/>
    <w:rsid w:val="001025A5"/>
    <w:rsid w:val="00105C32"/>
    <w:rsid w:val="00105F57"/>
    <w:rsid w:val="001275AB"/>
    <w:rsid w:val="00131237"/>
    <w:rsid w:val="001464C9"/>
    <w:rsid w:val="00147140"/>
    <w:rsid w:val="00153CC5"/>
    <w:rsid w:val="00166BC8"/>
    <w:rsid w:val="001D253E"/>
    <w:rsid w:val="001F1387"/>
    <w:rsid w:val="002128B5"/>
    <w:rsid w:val="0023490B"/>
    <w:rsid w:val="00235E49"/>
    <w:rsid w:val="00241073"/>
    <w:rsid w:val="00243E1F"/>
    <w:rsid w:val="00247EA8"/>
    <w:rsid w:val="002602FC"/>
    <w:rsid w:val="00273F73"/>
    <w:rsid w:val="00295ACE"/>
    <w:rsid w:val="002A31DB"/>
    <w:rsid w:val="002A609C"/>
    <w:rsid w:val="002D49FB"/>
    <w:rsid w:val="002E5F78"/>
    <w:rsid w:val="002F414C"/>
    <w:rsid w:val="00323CF7"/>
    <w:rsid w:val="003405CB"/>
    <w:rsid w:val="003525DC"/>
    <w:rsid w:val="0037307E"/>
    <w:rsid w:val="00380B71"/>
    <w:rsid w:val="00381678"/>
    <w:rsid w:val="00384E2D"/>
    <w:rsid w:val="003A393E"/>
    <w:rsid w:val="003B4FFC"/>
    <w:rsid w:val="00414467"/>
    <w:rsid w:val="00415533"/>
    <w:rsid w:val="00456D54"/>
    <w:rsid w:val="004670EB"/>
    <w:rsid w:val="00483EDE"/>
    <w:rsid w:val="004963FB"/>
    <w:rsid w:val="0049789B"/>
    <w:rsid w:val="004F35CE"/>
    <w:rsid w:val="00527A9A"/>
    <w:rsid w:val="0053727E"/>
    <w:rsid w:val="00545A33"/>
    <w:rsid w:val="00562D18"/>
    <w:rsid w:val="00567ECB"/>
    <w:rsid w:val="00583762"/>
    <w:rsid w:val="0059311C"/>
    <w:rsid w:val="005B418C"/>
    <w:rsid w:val="005C21E2"/>
    <w:rsid w:val="005E102F"/>
    <w:rsid w:val="005F0DA7"/>
    <w:rsid w:val="006061DA"/>
    <w:rsid w:val="006158A4"/>
    <w:rsid w:val="00624BE4"/>
    <w:rsid w:val="00642386"/>
    <w:rsid w:val="00657608"/>
    <w:rsid w:val="00674BE4"/>
    <w:rsid w:val="006763A1"/>
    <w:rsid w:val="0069523D"/>
    <w:rsid w:val="00696E5A"/>
    <w:rsid w:val="006B1305"/>
    <w:rsid w:val="006B27D0"/>
    <w:rsid w:val="006C44F9"/>
    <w:rsid w:val="006E5343"/>
    <w:rsid w:val="006E6473"/>
    <w:rsid w:val="006F788B"/>
    <w:rsid w:val="00744981"/>
    <w:rsid w:val="00767CB6"/>
    <w:rsid w:val="007A0043"/>
    <w:rsid w:val="007A6A82"/>
    <w:rsid w:val="007A7C1B"/>
    <w:rsid w:val="00810470"/>
    <w:rsid w:val="00813947"/>
    <w:rsid w:val="008246D3"/>
    <w:rsid w:val="00827082"/>
    <w:rsid w:val="00836BFE"/>
    <w:rsid w:val="00845B5E"/>
    <w:rsid w:val="008464BF"/>
    <w:rsid w:val="00850773"/>
    <w:rsid w:val="00851E7D"/>
    <w:rsid w:val="008607BE"/>
    <w:rsid w:val="0088479E"/>
    <w:rsid w:val="008875B3"/>
    <w:rsid w:val="00887BDF"/>
    <w:rsid w:val="00896200"/>
    <w:rsid w:val="008A4C32"/>
    <w:rsid w:val="008B0984"/>
    <w:rsid w:val="008C5AD8"/>
    <w:rsid w:val="008F655D"/>
    <w:rsid w:val="008F7353"/>
    <w:rsid w:val="008F7EC2"/>
    <w:rsid w:val="00900236"/>
    <w:rsid w:val="00936B88"/>
    <w:rsid w:val="00945DB3"/>
    <w:rsid w:val="00981D66"/>
    <w:rsid w:val="009844FD"/>
    <w:rsid w:val="00985A67"/>
    <w:rsid w:val="009874C3"/>
    <w:rsid w:val="009B1B7B"/>
    <w:rsid w:val="009B53AB"/>
    <w:rsid w:val="009E3E18"/>
    <w:rsid w:val="00A023C9"/>
    <w:rsid w:val="00A03A69"/>
    <w:rsid w:val="00A35F97"/>
    <w:rsid w:val="00A60324"/>
    <w:rsid w:val="00A618EB"/>
    <w:rsid w:val="00A6239F"/>
    <w:rsid w:val="00A70881"/>
    <w:rsid w:val="00A840FA"/>
    <w:rsid w:val="00A92E6B"/>
    <w:rsid w:val="00A94370"/>
    <w:rsid w:val="00AA4139"/>
    <w:rsid w:val="00AB4B98"/>
    <w:rsid w:val="00AC6CDC"/>
    <w:rsid w:val="00AD54F9"/>
    <w:rsid w:val="00AD6996"/>
    <w:rsid w:val="00AE782D"/>
    <w:rsid w:val="00B0569C"/>
    <w:rsid w:val="00B1427B"/>
    <w:rsid w:val="00B14400"/>
    <w:rsid w:val="00B16D34"/>
    <w:rsid w:val="00B2034B"/>
    <w:rsid w:val="00B21611"/>
    <w:rsid w:val="00B462F3"/>
    <w:rsid w:val="00B64CB8"/>
    <w:rsid w:val="00B70915"/>
    <w:rsid w:val="00B87B4C"/>
    <w:rsid w:val="00B90938"/>
    <w:rsid w:val="00B96F6A"/>
    <w:rsid w:val="00BA59AA"/>
    <w:rsid w:val="00BA72DC"/>
    <w:rsid w:val="00BC4E1D"/>
    <w:rsid w:val="00C01BAD"/>
    <w:rsid w:val="00C078A8"/>
    <w:rsid w:val="00C32C00"/>
    <w:rsid w:val="00C46CDD"/>
    <w:rsid w:val="00C5348A"/>
    <w:rsid w:val="00C54097"/>
    <w:rsid w:val="00C6198C"/>
    <w:rsid w:val="00C6295B"/>
    <w:rsid w:val="00C62D84"/>
    <w:rsid w:val="00C76333"/>
    <w:rsid w:val="00C83A7A"/>
    <w:rsid w:val="00C94893"/>
    <w:rsid w:val="00CB53C4"/>
    <w:rsid w:val="00CB59B4"/>
    <w:rsid w:val="00CD5F48"/>
    <w:rsid w:val="00CE1103"/>
    <w:rsid w:val="00CF68D4"/>
    <w:rsid w:val="00D21335"/>
    <w:rsid w:val="00D53B6F"/>
    <w:rsid w:val="00D6488D"/>
    <w:rsid w:val="00D867CC"/>
    <w:rsid w:val="00DC44C9"/>
    <w:rsid w:val="00DD6727"/>
    <w:rsid w:val="00E05EA1"/>
    <w:rsid w:val="00E06C1B"/>
    <w:rsid w:val="00E16BE4"/>
    <w:rsid w:val="00E216CE"/>
    <w:rsid w:val="00E21ACD"/>
    <w:rsid w:val="00E318F2"/>
    <w:rsid w:val="00E3385E"/>
    <w:rsid w:val="00E3586D"/>
    <w:rsid w:val="00E627AC"/>
    <w:rsid w:val="00E670AA"/>
    <w:rsid w:val="00E713D3"/>
    <w:rsid w:val="00E71932"/>
    <w:rsid w:val="00E75B12"/>
    <w:rsid w:val="00E94CE4"/>
    <w:rsid w:val="00EA6940"/>
    <w:rsid w:val="00ED1F0F"/>
    <w:rsid w:val="00EE137F"/>
    <w:rsid w:val="00EE150C"/>
    <w:rsid w:val="00F06103"/>
    <w:rsid w:val="00F30B5D"/>
    <w:rsid w:val="00F51224"/>
    <w:rsid w:val="00F536BC"/>
    <w:rsid w:val="00F636C8"/>
    <w:rsid w:val="00F74716"/>
    <w:rsid w:val="00F814D5"/>
    <w:rsid w:val="00F834F5"/>
    <w:rsid w:val="00FA2F57"/>
    <w:rsid w:val="00FB3250"/>
    <w:rsid w:val="00FB4BE5"/>
    <w:rsid w:val="00FB764A"/>
    <w:rsid w:val="00FC5886"/>
    <w:rsid w:val="00FD370F"/>
    <w:rsid w:val="00FE502C"/>
    <w:rsid w:val="00FF1A00"/>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F2"/>
    <w:pPr>
      <w:spacing w:after="0" w:line="240" w:lineRule="auto"/>
    </w:pPr>
    <w:rPr>
      <w:rFonts w:ascii="Times New Roman" w:eastAsia="Calibri" w:hAnsi="Times New Roman" w:cs="Times New Roman"/>
      <w:szCs w:val="26"/>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sz w:val="24"/>
      <w:szCs w:val="22"/>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sz w:val="24"/>
      <w:szCs w:val="22"/>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sz w:val="24"/>
      <w:szCs w:val="22"/>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sz w:val="24"/>
      <w:szCs w:val="22"/>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sz w:val="24"/>
      <w:szCs w:val="22"/>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 w:val="24"/>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sz w:val="24"/>
      <w:szCs w:val="22"/>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sz w:val="24"/>
      <w:szCs w:val="22"/>
    </w:rPr>
  </w:style>
  <w:style w:type="paragraph" w:customStyle="1" w:styleId="FBDBodyTextIndentSgl">
    <w:name w:val="FBD Body Text Indent Sgl"/>
    <w:basedOn w:val="Normal"/>
    <w:qFormat/>
    <w:rsid w:val="00AD54F9"/>
    <w:pPr>
      <w:spacing w:after="240"/>
      <w:ind w:firstLine="1440"/>
    </w:pPr>
    <w:rPr>
      <w:rFonts w:eastAsia="Copperplate Gothic Light"/>
      <w:sz w:val="24"/>
      <w:szCs w:val="22"/>
    </w:rPr>
  </w:style>
  <w:style w:type="paragraph" w:customStyle="1" w:styleId="FBDBodyTextSgl">
    <w:name w:val="FBD Body Text Sgl"/>
    <w:basedOn w:val="Normal"/>
    <w:qFormat/>
    <w:rsid w:val="00AD54F9"/>
    <w:pPr>
      <w:spacing w:after="240"/>
    </w:pPr>
    <w:rPr>
      <w:rFonts w:eastAsia="Copperplate Gothic Light"/>
      <w:sz w:val="24"/>
      <w:szCs w:val="22"/>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sz w:val="24"/>
      <w:szCs w:val="22"/>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b/>
      <w:sz w:val="24"/>
      <w:szCs w:val="22"/>
    </w:rPr>
  </w:style>
  <w:style w:type="paragraph" w:customStyle="1" w:styleId="FBDHeading2">
    <w:name w:val="FBD Heading 2"/>
    <w:basedOn w:val="Normal"/>
    <w:next w:val="Normal"/>
    <w:qFormat/>
    <w:rsid w:val="00AD54F9"/>
    <w:pPr>
      <w:keepNext/>
      <w:keepLines/>
      <w:spacing w:after="240"/>
      <w:outlineLvl w:val="1"/>
    </w:pPr>
    <w:rPr>
      <w:rFonts w:eastAsia="Copperplate Gothic Light"/>
      <w:b/>
      <w:sz w:val="24"/>
      <w:szCs w:val="22"/>
    </w:rPr>
  </w:style>
  <w:style w:type="paragraph" w:customStyle="1" w:styleId="FBDHeading3">
    <w:name w:val="FBD Heading 3"/>
    <w:basedOn w:val="Normal"/>
    <w:next w:val="Normal"/>
    <w:qFormat/>
    <w:rsid w:val="00AD54F9"/>
    <w:pPr>
      <w:keepNext/>
      <w:keepLines/>
      <w:spacing w:after="240"/>
      <w:jc w:val="center"/>
    </w:pPr>
    <w:rPr>
      <w:rFonts w:eastAsia="Copperplate Gothic Light"/>
      <w:sz w:val="24"/>
      <w:szCs w:val="22"/>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sz w:val="24"/>
      <w:szCs w:val="22"/>
      <w:u w:val="single"/>
    </w:rPr>
  </w:style>
  <w:style w:type="paragraph" w:customStyle="1" w:styleId="FBDQuote">
    <w:name w:val="FBD Quote"/>
    <w:basedOn w:val="Normal"/>
    <w:next w:val="Normal"/>
    <w:qFormat/>
    <w:rsid w:val="00AD54F9"/>
    <w:pPr>
      <w:spacing w:after="240"/>
      <w:ind w:left="1440" w:right="1440"/>
    </w:pPr>
    <w:rPr>
      <w:rFonts w:eastAsia="Copperplate Gothic Light"/>
      <w:sz w:val="24"/>
      <w:szCs w:val="22"/>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sz w:val="24"/>
      <w:szCs w:val="22"/>
    </w:rPr>
  </w:style>
  <w:style w:type="paragraph" w:customStyle="1" w:styleId="FBDTitle">
    <w:name w:val="FBD Title"/>
    <w:basedOn w:val="Normal"/>
    <w:next w:val="Normal"/>
    <w:qFormat/>
    <w:rsid w:val="00AD54F9"/>
    <w:pPr>
      <w:keepNext/>
      <w:spacing w:after="240"/>
      <w:jc w:val="center"/>
    </w:pPr>
    <w:rPr>
      <w:rFonts w:eastAsia="Copperplate Gothic Light"/>
      <w:b/>
      <w:sz w:val="24"/>
      <w:szCs w:val="22"/>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E318F2"/>
    <w:rPr>
      <w:rFonts w:cs="Tahoma"/>
      <w:sz w:val="24"/>
      <w:szCs w:val="16"/>
    </w:rPr>
  </w:style>
  <w:style w:type="character" w:customStyle="1" w:styleId="BalloonTextChar">
    <w:name w:val="Balloon Text Char"/>
    <w:basedOn w:val="DefaultParagraphFont"/>
    <w:link w:val="BalloonText"/>
    <w:uiPriority w:val="99"/>
    <w:semiHidden/>
    <w:rsid w:val="00E318F2"/>
    <w:rPr>
      <w:rFonts w:ascii="Times New Roman" w:eastAsia="Calibri" w:hAnsi="Times New Roman" w:cs="Tahoma"/>
      <w:sz w:val="24"/>
      <w:szCs w:val="16"/>
    </w:rPr>
  </w:style>
  <w:style w:type="paragraph" w:styleId="Header">
    <w:name w:val="header"/>
    <w:basedOn w:val="Normal"/>
    <w:link w:val="HeaderChar"/>
    <w:uiPriority w:val="99"/>
    <w:unhideWhenUsed/>
    <w:rsid w:val="00BC4E1D"/>
    <w:pPr>
      <w:tabs>
        <w:tab w:val="center" w:pos="4680"/>
        <w:tab w:val="right" w:pos="9360"/>
      </w:tabs>
    </w:pPr>
  </w:style>
  <w:style w:type="character" w:customStyle="1" w:styleId="HeaderChar">
    <w:name w:val="Header Char"/>
    <w:basedOn w:val="DefaultParagraphFont"/>
    <w:link w:val="Header"/>
    <w:uiPriority w:val="99"/>
    <w:rsid w:val="00BC4E1D"/>
    <w:rPr>
      <w:rFonts w:ascii="Times New Roman" w:eastAsia="Calibri" w:hAnsi="Times New Roman" w:cs="Times New Roman"/>
      <w:szCs w:val="26"/>
    </w:rPr>
  </w:style>
  <w:style w:type="paragraph" w:styleId="Footer">
    <w:name w:val="footer"/>
    <w:basedOn w:val="Normal"/>
    <w:link w:val="FooterChar"/>
    <w:uiPriority w:val="99"/>
    <w:unhideWhenUsed/>
    <w:rsid w:val="00BC4E1D"/>
    <w:pPr>
      <w:tabs>
        <w:tab w:val="center" w:pos="4680"/>
        <w:tab w:val="right" w:pos="9360"/>
      </w:tabs>
    </w:pPr>
  </w:style>
  <w:style w:type="character" w:customStyle="1" w:styleId="FooterChar">
    <w:name w:val="Footer Char"/>
    <w:basedOn w:val="DefaultParagraphFont"/>
    <w:link w:val="Footer"/>
    <w:uiPriority w:val="99"/>
    <w:rsid w:val="00BC4E1D"/>
    <w:rPr>
      <w:rFonts w:ascii="Times New Roman" w:eastAsia="Calibri" w:hAnsi="Times New Roman" w:cs="Times New Roman"/>
      <w:szCs w:val="26"/>
    </w:rPr>
  </w:style>
  <w:style w:type="character" w:styleId="CommentReference">
    <w:name w:val="annotation reference"/>
    <w:basedOn w:val="DefaultParagraphFont"/>
    <w:uiPriority w:val="99"/>
    <w:semiHidden/>
    <w:unhideWhenUsed/>
    <w:rsid w:val="000610A3"/>
    <w:rPr>
      <w:sz w:val="16"/>
      <w:szCs w:val="16"/>
    </w:rPr>
  </w:style>
  <w:style w:type="paragraph" w:styleId="CommentText">
    <w:name w:val="annotation text"/>
    <w:basedOn w:val="Normal"/>
    <w:link w:val="CommentTextChar"/>
    <w:uiPriority w:val="99"/>
    <w:semiHidden/>
    <w:unhideWhenUsed/>
    <w:rsid w:val="000610A3"/>
    <w:rPr>
      <w:sz w:val="20"/>
      <w:szCs w:val="20"/>
    </w:rPr>
  </w:style>
  <w:style w:type="character" w:customStyle="1" w:styleId="CommentTextChar">
    <w:name w:val="Comment Text Char"/>
    <w:basedOn w:val="DefaultParagraphFont"/>
    <w:link w:val="CommentText"/>
    <w:uiPriority w:val="99"/>
    <w:semiHidden/>
    <w:rsid w:val="000610A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0A3"/>
    <w:rPr>
      <w:b/>
      <w:bCs/>
    </w:rPr>
  </w:style>
  <w:style w:type="character" w:customStyle="1" w:styleId="CommentSubjectChar">
    <w:name w:val="Comment Subject Char"/>
    <w:basedOn w:val="CommentTextChar"/>
    <w:link w:val="CommentSubject"/>
    <w:uiPriority w:val="99"/>
    <w:semiHidden/>
    <w:rsid w:val="000610A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713D3"/>
    <w:rPr>
      <w:color w:val="0000FF" w:themeColor="hyperlink"/>
      <w:u w:val="single"/>
    </w:rPr>
  </w:style>
  <w:style w:type="character" w:customStyle="1" w:styleId="UnresolvedMention1">
    <w:name w:val="Unresolved Mention1"/>
    <w:basedOn w:val="DefaultParagraphFont"/>
    <w:uiPriority w:val="99"/>
    <w:semiHidden/>
    <w:unhideWhenUsed/>
    <w:rsid w:val="00E713D3"/>
    <w:rPr>
      <w:color w:val="808080"/>
      <w:shd w:val="clear" w:color="auto" w:fill="E6E6E6"/>
    </w:rPr>
  </w:style>
  <w:style w:type="character" w:styleId="FollowedHyperlink">
    <w:name w:val="FollowedHyperlink"/>
    <w:basedOn w:val="DefaultParagraphFont"/>
    <w:uiPriority w:val="99"/>
    <w:semiHidden/>
    <w:unhideWhenUsed/>
    <w:rsid w:val="00E713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F2"/>
    <w:pPr>
      <w:spacing w:after="0" w:line="240" w:lineRule="auto"/>
    </w:pPr>
    <w:rPr>
      <w:rFonts w:ascii="Times New Roman" w:eastAsia="Calibri" w:hAnsi="Times New Roman" w:cs="Times New Roman"/>
      <w:szCs w:val="26"/>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sz w:val="24"/>
      <w:szCs w:val="22"/>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sz w:val="24"/>
      <w:szCs w:val="22"/>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sz w:val="24"/>
      <w:szCs w:val="22"/>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sz w:val="24"/>
      <w:szCs w:val="22"/>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sz w:val="24"/>
      <w:szCs w:val="22"/>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 w:val="24"/>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sz w:val="24"/>
      <w:szCs w:val="22"/>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sz w:val="24"/>
      <w:szCs w:val="22"/>
    </w:rPr>
  </w:style>
  <w:style w:type="paragraph" w:customStyle="1" w:styleId="FBDBodyTextIndentSgl">
    <w:name w:val="FBD Body Text Indent Sgl"/>
    <w:basedOn w:val="Normal"/>
    <w:qFormat/>
    <w:rsid w:val="00AD54F9"/>
    <w:pPr>
      <w:spacing w:after="240"/>
      <w:ind w:firstLine="1440"/>
    </w:pPr>
    <w:rPr>
      <w:rFonts w:eastAsia="Copperplate Gothic Light"/>
      <w:sz w:val="24"/>
      <w:szCs w:val="22"/>
    </w:rPr>
  </w:style>
  <w:style w:type="paragraph" w:customStyle="1" w:styleId="FBDBodyTextSgl">
    <w:name w:val="FBD Body Text Sgl"/>
    <w:basedOn w:val="Normal"/>
    <w:qFormat/>
    <w:rsid w:val="00AD54F9"/>
    <w:pPr>
      <w:spacing w:after="240"/>
    </w:pPr>
    <w:rPr>
      <w:rFonts w:eastAsia="Copperplate Gothic Light"/>
      <w:sz w:val="24"/>
      <w:szCs w:val="22"/>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sz w:val="24"/>
      <w:szCs w:val="22"/>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b/>
      <w:sz w:val="24"/>
      <w:szCs w:val="22"/>
    </w:rPr>
  </w:style>
  <w:style w:type="paragraph" w:customStyle="1" w:styleId="FBDHeading2">
    <w:name w:val="FBD Heading 2"/>
    <w:basedOn w:val="Normal"/>
    <w:next w:val="Normal"/>
    <w:qFormat/>
    <w:rsid w:val="00AD54F9"/>
    <w:pPr>
      <w:keepNext/>
      <w:keepLines/>
      <w:spacing w:after="240"/>
      <w:outlineLvl w:val="1"/>
    </w:pPr>
    <w:rPr>
      <w:rFonts w:eastAsia="Copperplate Gothic Light"/>
      <w:b/>
      <w:sz w:val="24"/>
      <w:szCs w:val="22"/>
    </w:rPr>
  </w:style>
  <w:style w:type="paragraph" w:customStyle="1" w:styleId="FBDHeading3">
    <w:name w:val="FBD Heading 3"/>
    <w:basedOn w:val="Normal"/>
    <w:next w:val="Normal"/>
    <w:qFormat/>
    <w:rsid w:val="00AD54F9"/>
    <w:pPr>
      <w:keepNext/>
      <w:keepLines/>
      <w:spacing w:after="240"/>
      <w:jc w:val="center"/>
    </w:pPr>
    <w:rPr>
      <w:rFonts w:eastAsia="Copperplate Gothic Light"/>
      <w:sz w:val="24"/>
      <w:szCs w:val="22"/>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sz w:val="24"/>
      <w:szCs w:val="22"/>
      <w:u w:val="single"/>
    </w:rPr>
  </w:style>
  <w:style w:type="paragraph" w:customStyle="1" w:styleId="FBDQuote">
    <w:name w:val="FBD Quote"/>
    <w:basedOn w:val="Normal"/>
    <w:next w:val="Normal"/>
    <w:qFormat/>
    <w:rsid w:val="00AD54F9"/>
    <w:pPr>
      <w:spacing w:after="240"/>
      <w:ind w:left="1440" w:right="1440"/>
    </w:pPr>
    <w:rPr>
      <w:rFonts w:eastAsia="Copperplate Gothic Light"/>
      <w:sz w:val="24"/>
      <w:szCs w:val="22"/>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sz w:val="24"/>
      <w:szCs w:val="22"/>
    </w:rPr>
  </w:style>
  <w:style w:type="paragraph" w:customStyle="1" w:styleId="FBDTitle">
    <w:name w:val="FBD Title"/>
    <w:basedOn w:val="Normal"/>
    <w:next w:val="Normal"/>
    <w:qFormat/>
    <w:rsid w:val="00AD54F9"/>
    <w:pPr>
      <w:keepNext/>
      <w:spacing w:after="240"/>
      <w:jc w:val="center"/>
    </w:pPr>
    <w:rPr>
      <w:rFonts w:eastAsia="Copperplate Gothic Light"/>
      <w:b/>
      <w:sz w:val="24"/>
      <w:szCs w:val="22"/>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E318F2"/>
    <w:rPr>
      <w:rFonts w:cs="Tahoma"/>
      <w:sz w:val="24"/>
      <w:szCs w:val="16"/>
    </w:rPr>
  </w:style>
  <w:style w:type="character" w:customStyle="1" w:styleId="BalloonTextChar">
    <w:name w:val="Balloon Text Char"/>
    <w:basedOn w:val="DefaultParagraphFont"/>
    <w:link w:val="BalloonText"/>
    <w:uiPriority w:val="99"/>
    <w:semiHidden/>
    <w:rsid w:val="00E318F2"/>
    <w:rPr>
      <w:rFonts w:ascii="Times New Roman" w:eastAsia="Calibri" w:hAnsi="Times New Roman" w:cs="Tahoma"/>
      <w:sz w:val="24"/>
      <w:szCs w:val="16"/>
    </w:rPr>
  </w:style>
  <w:style w:type="paragraph" w:styleId="Header">
    <w:name w:val="header"/>
    <w:basedOn w:val="Normal"/>
    <w:link w:val="HeaderChar"/>
    <w:uiPriority w:val="99"/>
    <w:unhideWhenUsed/>
    <w:rsid w:val="00BC4E1D"/>
    <w:pPr>
      <w:tabs>
        <w:tab w:val="center" w:pos="4680"/>
        <w:tab w:val="right" w:pos="9360"/>
      </w:tabs>
    </w:pPr>
  </w:style>
  <w:style w:type="character" w:customStyle="1" w:styleId="HeaderChar">
    <w:name w:val="Header Char"/>
    <w:basedOn w:val="DefaultParagraphFont"/>
    <w:link w:val="Header"/>
    <w:uiPriority w:val="99"/>
    <w:rsid w:val="00BC4E1D"/>
    <w:rPr>
      <w:rFonts w:ascii="Times New Roman" w:eastAsia="Calibri" w:hAnsi="Times New Roman" w:cs="Times New Roman"/>
      <w:szCs w:val="26"/>
    </w:rPr>
  </w:style>
  <w:style w:type="paragraph" w:styleId="Footer">
    <w:name w:val="footer"/>
    <w:basedOn w:val="Normal"/>
    <w:link w:val="FooterChar"/>
    <w:uiPriority w:val="99"/>
    <w:unhideWhenUsed/>
    <w:rsid w:val="00BC4E1D"/>
    <w:pPr>
      <w:tabs>
        <w:tab w:val="center" w:pos="4680"/>
        <w:tab w:val="right" w:pos="9360"/>
      </w:tabs>
    </w:pPr>
  </w:style>
  <w:style w:type="character" w:customStyle="1" w:styleId="FooterChar">
    <w:name w:val="Footer Char"/>
    <w:basedOn w:val="DefaultParagraphFont"/>
    <w:link w:val="Footer"/>
    <w:uiPriority w:val="99"/>
    <w:rsid w:val="00BC4E1D"/>
    <w:rPr>
      <w:rFonts w:ascii="Times New Roman" w:eastAsia="Calibri" w:hAnsi="Times New Roman" w:cs="Times New Roman"/>
      <w:szCs w:val="26"/>
    </w:rPr>
  </w:style>
  <w:style w:type="character" w:styleId="CommentReference">
    <w:name w:val="annotation reference"/>
    <w:basedOn w:val="DefaultParagraphFont"/>
    <w:uiPriority w:val="99"/>
    <w:semiHidden/>
    <w:unhideWhenUsed/>
    <w:rsid w:val="000610A3"/>
    <w:rPr>
      <w:sz w:val="16"/>
      <w:szCs w:val="16"/>
    </w:rPr>
  </w:style>
  <w:style w:type="paragraph" w:styleId="CommentText">
    <w:name w:val="annotation text"/>
    <w:basedOn w:val="Normal"/>
    <w:link w:val="CommentTextChar"/>
    <w:uiPriority w:val="99"/>
    <w:semiHidden/>
    <w:unhideWhenUsed/>
    <w:rsid w:val="000610A3"/>
    <w:rPr>
      <w:sz w:val="20"/>
      <w:szCs w:val="20"/>
    </w:rPr>
  </w:style>
  <w:style w:type="character" w:customStyle="1" w:styleId="CommentTextChar">
    <w:name w:val="Comment Text Char"/>
    <w:basedOn w:val="DefaultParagraphFont"/>
    <w:link w:val="CommentText"/>
    <w:uiPriority w:val="99"/>
    <w:semiHidden/>
    <w:rsid w:val="000610A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0A3"/>
    <w:rPr>
      <w:b/>
      <w:bCs/>
    </w:rPr>
  </w:style>
  <w:style w:type="character" w:customStyle="1" w:styleId="CommentSubjectChar">
    <w:name w:val="Comment Subject Char"/>
    <w:basedOn w:val="CommentTextChar"/>
    <w:link w:val="CommentSubject"/>
    <w:uiPriority w:val="99"/>
    <w:semiHidden/>
    <w:rsid w:val="000610A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713D3"/>
    <w:rPr>
      <w:color w:val="0000FF" w:themeColor="hyperlink"/>
      <w:u w:val="single"/>
    </w:rPr>
  </w:style>
  <w:style w:type="character" w:customStyle="1" w:styleId="UnresolvedMention1">
    <w:name w:val="Unresolved Mention1"/>
    <w:basedOn w:val="DefaultParagraphFont"/>
    <w:uiPriority w:val="99"/>
    <w:semiHidden/>
    <w:unhideWhenUsed/>
    <w:rsid w:val="00E713D3"/>
    <w:rPr>
      <w:color w:val="808080"/>
      <w:shd w:val="clear" w:color="auto" w:fill="E6E6E6"/>
    </w:rPr>
  </w:style>
  <w:style w:type="character" w:styleId="FollowedHyperlink">
    <w:name w:val="FollowedHyperlink"/>
    <w:basedOn w:val="DefaultParagraphFont"/>
    <w:uiPriority w:val="99"/>
    <w:semiHidden/>
    <w:unhideWhenUsed/>
    <w:rsid w:val="00E71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6259">
      <w:bodyDiv w:val="1"/>
      <w:marLeft w:val="0"/>
      <w:marRight w:val="0"/>
      <w:marTop w:val="0"/>
      <w:marBottom w:val="0"/>
      <w:divBdr>
        <w:top w:val="none" w:sz="0" w:space="0" w:color="auto"/>
        <w:left w:val="none" w:sz="0" w:space="0" w:color="auto"/>
        <w:bottom w:val="none" w:sz="0" w:space="0" w:color="auto"/>
        <w:right w:val="none" w:sz="0" w:space="0" w:color="auto"/>
      </w:divBdr>
      <w:divsChild>
        <w:div w:id="2050836765">
          <w:marLeft w:val="0"/>
          <w:marRight w:val="0"/>
          <w:marTop w:val="0"/>
          <w:marBottom w:val="0"/>
          <w:divBdr>
            <w:top w:val="none" w:sz="0" w:space="0" w:color="auto"/>
            <w:left w:val="none" w:sz="0" w:space="0" w:color="auto"/>
            <w:bottom w:val="none" w:sz="0" w:space="0" w:color="auto"/>
            <w:right w:val="none" w:sz="0" w:space="0" w:color="auto"/>
          </w:divBdr>
          <w:divsChild>
            <w:div w:id="1832333632">
              <w:marLeft w:val="0"/>
              <w:marRight w:val="0"/>
              <w:marTop w:val="0"/>
              <w:marBottom w:val="0"/>
              <w:divBdr>
                <w:top w:val="none" w:sz="0" w:space="0" w:color="auto"/>
                <w:left w:val="none" w:sz="0" w:space="0" w:color="auto"/>
                <w:bottom w:val="none" w:sz="0" w:space="0" w:color="auto"/>
                <w:right w:val="none" w:sz="0" w:space="0" w:color="auto"/>
              </w:divBdr>
              <w:divsChild>
                <w:div w:id="21127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5681">
      <w:bodyDiv w:val="1"/>
      <w:marLeft w:val="0"/>
      <w:marRight w:val="0"/>
      <w:marTop w:val="0"/>
      <w:marBottom w:val="0"/>
      <w:divBdr>
        <w:top w:val="none" w:sz="0" w:space="0" w:color="auto"/>
        <w:left w:val="none" w:sz="0" w:space="0" w:color="auto"/>
        <w:bottom w:val="none" w:sz="0" w:space="0" w:color="auto"/>
        <w:right w:val="none" w:sz="0" w:space="0" w:color="auto"/>
      </w:divBdr>
    </w:div>
    <w:div w:id="9168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A84B-A836-45DB-8493-56C26DB9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5238</Words>
  <Characters>29859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2</cp:revision>
  <dcterms:created xsi:type="dcterms:W3CDTF">2022-01-12T17:08:00Z</dcterms:created>
  <dcterms:modified xsi:type="dcterms:W3CDTF">2022-01-12T17:08:00Z</dcterms:modified>
</cp:coreProperties>
</file>