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9B658" w14:textId="6BF2854F" w:rsidR="00CD7635" w:rsidRPr="00A42829" w:rsidRDefault="002B55EB" w:rsidP="00661977">
      <w:pPr>
        <w:spacing w:after="240"/>
        <w:jc w:val="center"/>
        <w:rPr>
          <w:b/>
        </w:rPr>
      </w:pPr>
      <w:bookmarkStart w:id="0" w:name="_GoBack"/>
      <w:bookmarkEnd w:id="0"/>
      <w:r w:rsidRPr="008D48D8">
        <w:rPr>
          <w:b/>
        </w:rPr>
        <w:t>GENERAL DIRECTIONS FOR USE</w:t>
      </w:r>
    </w:p>
    <w:p w14:paraId="76C52FAC" w14:textId="77777777" w:rsidR="008D48D8" w:rsidRPr="008D48D8" w:rsidRDefault="002B55EB" w:rsidP="008D48D8">
      <w:pPr>
        <w:spacing w:after="240"/>
        <w:ind w:firstLine="720"/>
      </w:pPr>
      <w:r w:rsidRPr="008D48D8">
        <w:t xml:space="preserve">1. Rules 51.1 and 351.1 of the Colorado Rules of Civil Procedure state that in instructing the jury in a civil case, “the court </w:t>
      </w:r>
      <w:r w:rsidRPr="004633EA">
        <w:t>shall</w:t>
      </w:r>
      <w:r w:rsidRPr="008D48D8">
        <w:t xml:space="preserve"> use such instructions as are contained in Colorado Jury Instruction (CJI) </w:t>
      </w:r>
      <w:r w:rsidRPr="004633EA">
        <w:t>as are applicable to the evidence and the prevailing law</w:t>
      </w:r>
      <w:r w:rsidR="00B0612F">
        <w:t>.</w:t>
      </w:r>
      <w:r>
        <w:t>”</w:t>
      </w:r>
      <w:r w:rsidRPr="008D48D8">
        <w:t xml:space="preserve"> </w:t>
      </w:r>
      <w:r w:rsidRPr="008D48D8">
        <w:rPr>
          <w:i/>
        </w:rPr>
        <w:t>See also</w:t>
      </w:r>
      <w:r w:rsidRPr="008D48D8">
        <w:t xml:space="preserve"> </w:t>
      </w:r>
      <w:r w:rsidRPr="008D48D8">
        <w:rPr>
          <w:b/>
        </w:rPr>
        <w:t>Krueger v. Ary</w:t>
      </w:r>
      <w:r w:rsidRPr="008D48D8">
        <w:t xml:space="preserve">, 205 P.3d 1150 (Colo. 2009) (a pattern instruction should be modified, or not used, if it does not reflect the prevailing law). </w:t>
      </w:r>
    </w:p>
    <w:p w14:paraId="05C2D44C" w14:textId="77777777" w:rsidR="008D48D8" w:rsidRPr="008D48D8" w:rsidRDefault="002B55EB" w:rsidP="008D48D8">
      <w:pPr>
        <w:spacing w:after="240"/>
        <w:ind w:firstLine="720"/>
      </w:pPr>
      <w:r w:rsidRPr="008D48D8">
        <w:t>2. In using the instructions, keep in mind the following principles:</w:t>
      </w:r>
    </w:p>
    <w:p w14:paraId="1E571000" w14:textId="77777777" w:rsidR="008D48D8" w:rsidRPr="008D48D8" w:rsidRDefault="002B55EB" w:rsidP="008D48D8">
      <w:pPr>
        <w:spacing w:after="240"/>
        <w:ind w:firstLine="720"/>
      </w:pPr>
      <w:r w:rsidRPr="008D48D8">
        <w:t>a. These instructions are neither a restatement nor an encyc</w:t>
      </w:r>
      <w:r>
        <w:t xml:space="preserve">lopedia of the prevailing law. </w:t>
      </w:r>
      <w:r w:rsidRPr="008D48D8">
        <w:t xml:space="preserve">The intent is to provide forms of instructions for specific subjects that are frequently litigated. </w:t>
      </w:r>
    </w:p>
    <w:p w14:paraId="0D0D7FCF" w14:textId="77777777" w:rsidR="008D48D8" w:rsidRPr="008D48D8" w:rsidRDefault="002B55EB" w:rsidP="008D48D8">
      <w:pPr>
        <w:spacing w:after="240"/>
        <w:ind w:firstLine="720"/>
      </w:pPr>
      <w:r w:rsidRPr="008D48D8">
        <w:t>b. These instructions are not all-inclusive. Where these instructions do not cover a relevant legal principle or the particular factual situation presented, the court shall instruct the jury as to the prevailing law applicable to the evidence in a manner that is clear, unambiguous, impartial, and free from argument, using these instructions as models as t</w:t>
      </w:r>
      <w:r>
        <w:t xml:space="preserve">o the form so far as possible. </w:t>
      </w:r>
      <w:r w:rsidRPr="000B235F">
        <w:rPr>
          <w:i/>
        </w:rPr>
        <w:t>See</w:t>
      </w:r>
      <w:r w:rsidRPr="008D48D8">
        <w:t xml:space="preserve"> C.R.C.P. 51.1(2); </w:t>
      </w:r>
      <w:r w:rsidRPr="000B235F">
        <w:rPr>
          <w:i/>
        </w:rPr>
        <w:t>see also</w:t>
      </w:r>
      <w:r w:rsidRPr="008D48D8">
        <w:t xml:space="preserve"> </w:t>
      </w:r>
      <w:r w:rsidRPr="009E07C1">
        <w:rPr>
          <w:b/>
        </w:rPr>
        <w:t>Gasteazoro v. Catholic Health Initiatives Colo.</w:t>
      </w:r>
      <w:r w:rsidRPr="008D48D8">
        <w:t>,</w:t>
      </w:r>
      <w:r w:rsidRPr="009E07C1">
        <w:t xml:space="preserve"> </w:t>
      </w:r>
      <w:r w:rsidRPr="008D48D8">
        <w:t>2014 COA 134</w:t>
      </w:r>
      <w:r>
        <w:t>,</w:t>
      </w:r>
      <w:r w:rsidRPr="008D48D8">
        <w:t xml:space="preserve"> ¶ 14 (“</w:t>
      </w:r>
      <w:r>
        <w:t xml:space="preserve">A </w:t>
      </w:r>
      <w:r w:rsidRPr="008D48D8">
        <w:t xml:space="preserve">trial court may depart from CJI where ‘the factual situation or changes in the law warrant a departure from the CJI instructions.’”); </w:t>
      </w:r>
      <w:r w:rsidRPr="009E07C1">
        <w:rPr>
          <w:b/>
        </w:rPr>
        <w:t>Short v. Kinkade</w:t>
      </w:r>
      <w:r w:rsidRPr="008D48D8">
        <w:t>, 685 P.2d 210, 211 (Colo. App. 1983) (reversing trial court’s refusal to modify pattern instruction, although absence of Colorado precedent required that prevailing law be derived from secondary authority).</w:t>
      </w:r>
    </w:p>
    <w:p w14:paraId="59ECD754" w14:textId="77777777" w:rsidR="008D48D8" w:rsidRPr="008D48D8" w:rsidRDefault="002B55EB" w:rsidP="008D48D8">
      <w:pPr>
        <w:spacing w:after="240"/>
        <w:ind w:firstLine="720"/>
      </w:pPr>
      <w:r w:rsidRPr="008D48D8">
        <w:t xml:space="preserve">c. A compilation of these instructions is published annually, and reflects the law effective as of August 1 of the year preceding the edition date. To the extent the relevant law has been modified by statute or appellate decisions after this effective date, these instructions </w:t>
      </w:r>
      <w:r w:rsidRPr="009E07C1">
        <w:rPr>
          <w:i/>
        </w:rPr>
        <w:t>must</w:t>
      </w:r>
      <w:r w:rsidRPr="008D48D8">
        <w:t xml:space="preserve"> be modified accordingly. </w:t>
      </w:r>
      <w:r w:rsidRPr="008D48D8">
        <w:rPr>
          <w:b/>
        </w:rPr>
        <w:t>Short</w:t>
      </w:r>
      <w:r w:rsidRPr="008D48D8">
        <w:t>, 685 P.2d at 211 (a “pattern jury instruction is intended as a model and will yield to prevailing law”).</w:t>
      </w:r>
    </w:p>
    <w:p w14:paraId="6E0D9505" w14:textId="77777777" w:rsidR="008D48D8" w:rsidRPr="008D48D8" w:rsidRDefault="002B55EB" w:rsidP="008D48D8">
      <w:pPr>
        <w:spacing w:after="240"/>
        <w:ind w:firstLine="720"/>
      </w:pPr>
      <w:r w:rsidRPr="008D48D8">
        <w:t xml:space="preserve">d. So long as the court correctly instructs the jury on the law applicable to the evidence presented, the court retains broad discretion over the form and style of the instructions. </w:t>
      </w:r>
      <w:r w:rsidRPr="008D48D8">
        <w:rPr>
          <w:b/>
        </w:rPr>
        <w:t>Patterson v. BP Am. Prod. Co.</w:t>
      </w:r>
      <w:r w:rsidRPr="008D48D8">
        <w:t xml:space="preserve">, 2015 COA 28 ¶ 67; </w:t>
      </w:r>
      <w:r w:rsidRPr="008D48D8">
        <w:rPr>
          <w:b/>
        </w:rPr>
        <w:t>Krueger v. Ary</w:t>
      </w:r>
      <w:r w:rsidRPr="008D48D8">
        <w:t>, 205 P.3d 1150, 1157 (Colo. 2009).</w:t>
      </w:r>
    </w:p>
    <w:p w14:paraId="1A1AC30D" w14:textId="77777777" w:rsidR="008D48D8" w:rsidRPr="008D48D8" w:rsidRDefault="002B55EB" w:rsidP="008D48D8">
      <w:pPr>
        <w:spacing w:after="240"/>
        <w:ind w:firstLine="720"/>
      </w:pPr>
      <w:r w:rsidRPr="008D48D8">
        <w:t>3. Generally, the instructions have been drafted in the singu</w:t>
      </w:r>
      <w:r>
        <w:t xml:space="preserve">lar. </w:t>
      </w:r>
      <w:r w:rsidRPr="008D48D8">
        <w:t>Names of the parties should be used wherever possible.</w:t>
      </w:r>
    </w:p>
    <w:p w14:paraId="0FB9824C" w14:textId="77777777" w:rsidR="008D48D8" w:rsidRPr="008D48D8" w:rsidRDefault="002B55EB" w:rsidP="008D48D8">
      <w:pPr>
        <w:spacing w:after="240"/>
        <w:ind w:firstLine="720"/>
      </w:pPr>
      <w:r w:rsidRPr="008D48D8">
        <w:t>4. In many instances, alternatives have been included in parentheses or brackets. Where alternatives are indicated, the more appropriate one, in the light of the evidence and the theo</w:t>
      </w:r>
      <w:r>
        <w:t>ry of the case, should be used.</w:t>
      </w:r>
    </w:p>
    <w:p w14:paraId="5AC85667" w14:textId="77777777" w:rsidR="008D48D8" w:rsidRPr="008D48D8" w:rsidRDefault="002B55EB" w:rsidP="008D48D8">
      <w:pPr>
        <w:spacing w:after="240"/>
        <w:ind w:firstLine="720"/>
      </w:pPr>
      <w:r w:rsidRPr="008D48D8">
        <w:t>5. Notes on Use following each instruction contain cross-references, directions, and cautions with respect to the use of the instructions.</w:t>
      </w:r>
    </w:p>
    <w:p w14:paraId="52A7A17B" w14:textId="77777777" w:rsidR="008D48D8" w:rsidRPr="008D48D8" w:rsidRDefault="002B55EB" w:rsidP="008D48D8">
      <w:pPr>
        <w:spacing w:after="240"/>
        <w:ind w:firstLine="720"/>
      </w:pPr>
      <w:r w:rsidRPr="008D48D8">
        <w:t>6. Each party is entitled to instructions as to that party's theory or theories of the case, if supported by the evidence.</w:t>
      </w:r>
      <w:r>
        <w:t xml:space="preserve"> </w:t>
      </w:r>
      <w:r w:rsidRPr="008D48D8">
        <w:rPr>
          <w:b/>
        </w:rPr>
        <w:t>Hansen v. State Farm Mut. Auto. Ins. Co.</w:t>
      </w:r>
      <w:r w:rsidRPr="008D48D8">
        <w:t>, 957 P.2d 1380, 1384 (Colo. 1998).</w:t>
      </w:r>
    </w:p>
    <w:p w14:paraId="03EAD363" w14:textId="77777777" w:rsidR="008D48D8" w:rsidRPr="008D48D8" w:rsidRDefault="002B55EB" w:rsidP="008D48D8">
      <w:pPr>
        <w:spacing w:after="240"/>
        <w:ind w:firstLine="720"/>
      </w:pPr>
      <w:r w:rsidRPr="008D48D8">
        <w:lastRenderedPageBreak/>
        <w:t>7. With respect to each claim for relief, the jury should be instructed as to the elements of liability for such claim and the requirements to establish any applicable affirmative defenses.</w:t>
      </w:r>
    </w:p>
    <w:p w14:paraId="62BC3F6D" w14:textId="77777777" w:rsidR="008D48D8" w:rsidRPr="008D48D8" w:rsidRDefault="002B55EB" w:rsidP="008D48D8">
      <w:pPr>
        <w:spacing w:after="240"/>
        <w:ind w:firstLine="720"/>
      </w:pPr>
      <w:r w:rsidRPr="008D48D8">
        <w:t>8. The court may give identical copies of the instructions to e</w:t>
      </w:r>
      <w:r>
        <w:t xml:space="preserve">ach juror. </w:t>
      </w:r>
      <w:r w:rsidRPr="008D48D8">
        <w:t>However, only the original, and no copies, of the verdict forms should be submitted to the jury.</w:t>
      </w:r>
    </w:p>
    <w:p w14:paraId="6ADA16DB" w14:textId="77777777" w:rsidR="00CD7635" w:rsidRDefault="002B55EB" w:rsidP="00353F29">
      <w:pPr>
        <w:spacing w:after="240"/>
        <w:ind w:firstLine="720"/>
      </w:pPr>
      <w:r w:rsidRPr="008D48D8">
        <w:t>9. When the instructions are read or given to the jury, the title, Notes on Use, and Source and Authority must be omitted.</w:t>
      </w:r>
    </w:p>
    <w:p w14:paraId="4BABBCBB" w14:textId="77777777" w:rsidR="00A57839" w:rsidRDefault="002B55EB" w:rsidP="00C820AD">
      <w:pPr>
        <w:spacing w:after="240"/>
        <w:ind w:firstLine="720"/>
      </w:pPr>
      <w:r>
        <w:t xml:space="preserve">10. The pronouns used in these instructions </w:t>
      </w:r>
      <w:r w:rsidR="00C71FB9">
        <w:t>may</w:t>
      </w:r>
      <w:r>
        <w:t xml:space="preserve"> be modified to reflect the pronoun with which a party identifies, e.g., she/hers, he/his, they/the</w:t>
      </w:r>
      <w:r w:rsidR="004633EA">
        <w:t>m/theirs.</w:t>
      </w:r>
    </w:p>
    <w:sectPr w:rsidR="00A57839" w:rsidSect="00353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E2FE4" w14:textId="77777777" w:rsidR="0075152A" w:rsidRDefault="0075152A">
      <w:r>
        <w:separator/>
      </w:r>
    </w:p>
  </w:endnote>
  <w:endnote w:type="continuationSeparator" w:id="0">
    <w:p w14:paraId="5C7EA33D" w14:textId="77777777" w:rsidR="0075152A" w:rsidRDefault="0075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013F5" w14:textId="77777777" w:rsidR="0075152A" w:rsidRDefault="0075152A">
      <w:r>
        <w:separator/>
      </w:r>
    </w:p>
  </w:footnote>
  <w:footnote w:type="continuationSeparator" w:id="0">
    <w:p w14:paraId="0C0CC00A" w14:textId="77777777" w:rsidR="0075152A" w:rsidRDefault="00751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2F"/>
    <w:rsid w:val="00164C37"/>
    <w:rsid w:val="002B55EB"/>
    <w:rsid w:val="003F20D0"/>
    <w:rsid w:val="003F6B1D"/>
    <w:rsid w:val="004633EA"/>
    <w:rsid w:val="00621849"/>
    <w:rsid w:val="006268CE"/>
    <w:rsid w:val="0075152A"/>
    <w:rsid w:val="00773BD3"/>
    <w:rsid w:val="00793348"/>
    <w:rsid w:val="008268E9"/>
    <w:rsid w:val="009929D7"/>
    <w:rsid w:val="00B0612F"/>
    <w:rsid w:val="00BA606D"/>
    <w:rsid w:val="00C71FB9"/>
    <w:rsid w:val="00C8495D"/>
    <w:rsid w:val="00DD6767"/>
    <w:rsid w:val="00F1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4F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48D8"/>
    <w:rPr>
      <w:rFonts w:cs="Tahoma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3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8D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8D8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F29"/>
    <w:rPr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E56F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FA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6F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F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48D8"/>
    <w:rPr>
      <w:rFonts w:cs="Tahoma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3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8D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8D8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F29"/>
    <w:rPr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E56F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FA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6F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F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Directions for Use - KNB Edit - 8.19.2019 (03642797).DOCX</vt:lpstr>
    </vt:vector>
  </TitlesOfParts>
  <Company>Judicial User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Directions for Use - KNB Edit - 8.19.2019 (03642797).DOCX</dc:title>
  <dc:subject>03642797 / 1</dc:subject>
  <dc:creator>bap30jcm</dc:creator>
  <cp:lastModifiedBy>Krista Schelhaas</cp:lastModifiedBy>
  <cp:revision>2</cp:revision>
  <dcterms:created xsi:type="dcterms:W3CDTF">2020-12-05T16:15:00Z</dcterms:created>
  <dcterms:modified xsi:type="dcterms:W3CDTF">2020-12-05T16:15:00Z</dcterms:modified>
</cp:coreProperties>
</file>