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942D4A" w14:textId="77777777" w:rsidR="00CA41CC" w:rsidRPr="00914128" w:rsidRDefault="0068336D" w:rsidP="00914128">
      <w:pPr>
        <w:pStyle w:val="Heading1"/>
      </w:pPr>
      <w:r>
        <w:t xml:space="preserve">CHAPTER </w:t>
      </w:r>
      <w:r w:rsidR="00DA1796">
        <w:t>11</w:t>
      </w:r>
    </w:p>
    <w:p w14:paraId="479A6585" w14:textId="77777777" w:rsidR="00EC7C98" w:rsidRPr="00914128" w:rsidRDefault="00DA1796" w:rsidP="00914128">
      <w:pPr>
        <w:pStyle w:val="Heading1"/>
      </w:pPr>
      <w:r>
        <w:t>motor vehicles and highway traffic</w:t>
      </w:r>
    </w:p>
    <w:p w14:paraId="09357FE7" w14:textId="77777777" w:rsidR="0022134E" w:rsidRPr="009B6746" w:rsidRDefault="0022134E" w:rsidP="00F658E5">
      <w:pPr>
        <w:pStyle w:val="Heading1"/>
        <w:keepNext/>
        <w:jc w:val="left"/>
        <w:rPr>
          <w:b w:val="0"/>
        </w:rPr>
      </w:pPr>
      <w:r w:rsidRPr="009B6746">
        <w:rPr>
          <w:b w:val="0"/>
        </w:rPr>
        <w:t xml:space="preserve">A. </w:t>
      </w:r>
      <w:r w:rsidR="00A92C18" w:rsidRPr="002547C3">
        <w:rPr>
          <w:b w:val="0"/>
        </w:rPr>
        <w:t>DUTY OF CARE</w:t>
      </w:r>
    </w:p>
    <w:p w14:paraId="64787990" w14:textId="77777777" w:rsidR="00EC7C98" w:rsidRDefault="000F63B0" w:rsidP="00914128">
      <w:pPr>
        <w:pStyle w:val="ToC"/>
      </w:pPr>
      <w:hyperlink w:anchor="a11_01" w:history="1">
        <w:r w:rsidR="00A82D0A" w:rsidRPr="00792028">
          <w:rPr>
            <w:rStyle w:val="Hyperlink"/>
          </w:rPr>
          <w:t>11:1</w:t>
        </w:r>
      </w:hyperlink>
      <w:r w:rsidR="00A82D0A" w:rsidRPr="00792028">
        <w:t xml:space="preserve"> </w:t>
      </w:r>
      <w:r w:rsidR="00A82D0A" w:rsidRPr="00792028">
        <w:tab/>
        <w:t xml:space="preserve">Duty </w:t>
      </w:r>
      <w:r w:rsidR="00A82D0A">
        <w:t>t</w:t>
      </w:r>
      <w:r w:rsidR="00A82D0A" w:rsidRPr="00792028">
        <w:t>o Maintain Lookout</w:t>
      </w:r>
    </w:p>
    <w:p w14:paraId="7CDC6F70" w14:textId="77777777" w:rsidR="00792028" w:rsidRDefault="000F63B0" w:rsidP="00914128">
      <w:pPr>
        <w:pStyle w:val="ToC"/>
      </w:pPr>
      <w:hyperlink w:anchor="a11_02" w:history="1">
        <w:r w:rsidR="00A82D0A" w:rsidRPr="00792028">
          <w:rPr>
            <w:rStyle w:val="Hyperlink"/>
          </w:rPr>
          <w:t>11:2</w:t>
        </w:r>
      </w:hyperlink>
      <w:r w:rsidR="00A82D0A" w:rsidRPr="00792028">
        <w:t xml:space="preserve"> </w:t>
      </w:r>
      <w:r w:rsidR="00A82D0A" w:rsidRPr="00792028">
        <w:tab/>
        <w:t xml:space="preserve">Duty </w:t>
      </w:r>
      <w:r w:rsidR="00A82D0A">
        <w:t>o</w:t>
      </w:r>
      <w:r w:rsidR="00A82D0A" w:rsidRPr="00792028">
        <w:t xml:space="preserve">f Care </w:t>
      </w:r>
      <w:r w:rsidR="00A82D0A">
        <w:t>o</w:t>
      </w:r>
      <w:r w:rsidR="00A82D0A" w:rsidRPr="00792028">
        <w:t xml:space="preserve">f Driver Having Right </w:t>
      </w:r>
      <w:r w:rsidR="00A82D0A">
        <w:t>o</w:t>
      </w:r>
      <w:r w:rsidR="00A82D0A" w:rsidRPr="00792028">
        <w:t>f Way</w:t>
      </w:r>
    </w:p>
    <w:p w14:paraId="2FAC0BA2" w14:textId="77777777" w:rsidR="00792028" w:rsidRDefault="000F63B0" w:rsidP="00914128">
      <w:pPr>
        <w:pStyle w:val="ToC"/>
      </w:pPr>
      <w:hyperlink w:anchor="a11_03" w:history="1">
        <w:r w:rsidR="00A82D0A" w:rsidRPr="00792028">
          <w:rPr>
            <w:rStyle w:val="Hyperlink"/>
          </w:rPr>
          <w:t>11:3</w:t>
        </w:r>
      </w:hyperlink>
      <w:r w:rsidR="00A82D0A" w:rsidRPr="00792028">
        <w:t xml:space="preserve"> </w:t>
      </w:r>
      <w:r w:rsidR="00A82D0A" w:rsidRPr="00792028">
        <w:tab/>
        <w:t xml:space="preserve">Duty </w:t>
      </w:r>
      <w:r w:rsidR="00A82D0A">
        <w:t>o</w:t>
      </w:r>
      <w:r w:rsidR="00A82D0A" w:rsidRPr="00792028">
        <w:t xml:space="preserve">f </w:t>
      </w:r>
      <w:r w:rsidR="00A82D0A">
        <w:t>C</w:t>
      </w:r>
      <w:r w:rsidR="00A82D0A" w:rsidRPr="00792028">
        <w:t xml:space="preserve">are </w:t>
      </w:r>
      <w:r w:rsidR="00A82D0A">
        <w:t>o</w:t>
      </w:r>
      <w:r w:rsidR="00A82D0A" w:rsidRPr="00792028">
        <w:t xml:space="preserve">f Pedestrian </w:t>
      </w:r>
      <w:r w:rsidR="00A82D0A">
        <w:t>o</w:t>
      </w:r>
      <w:r w:rsidR="00A82D0A" w:rsidRPr="00792028">
        <w:t xml:space="preserve">r Bicycle Operator Having Right </w:t>
      </w:r>
      <w:r w:rsidR="00A82D0A">
        <w:t>o</w:t>
      </w:r>
      <w:r w:rsidR="00A82D0A" w:rsidRPr="00792028">
        <w:t>f Way</w:t>
      </w:r>
    </w:p>
    <w:p w14:paraId="764707B6" w14:textId="77777777" w:rsidR="00792028" w:rsidRDefault="000F63B0" w:rsidP="00914128">
      <w:pPr>
        <w:pStyle w:val="ToC"/>
      </w:pPr>
      <w:hyperlink w:anchor="a11_04" w:history="1">
        <w:r w:rsidR="00A82D0A" w:rsidRPr="00792028">
          <w:rPr>
            <w:rStyle w:val="Hyperlink"/>
          </w:rPr>
          <w:t>11:4</w:t>
        </w:r>
      </w:hyperlink>
      <w:r w:rsidR="00A82D0A" w:rsidRPr="00792028">
        <w:t xml:space="preserve"> </w:t>
      </w:r>
      <w:r w:rsidR="00A82D0A" w:rsidRPr="00792028">
        <w:tab/>
        <w:t xml:space="preserve">Pedestrian </w:t>
      </w:r>
      <w:r w:rsidR="00A82D0A">
        <w:t>i</w:t>
      </w:r>
      <w:r w:rsidR="00A82D0A" w:rsidRPr="00792028">
        <w:t>n Crosswalk</w:t>
      </w:r>
    </w:p>
    <w:p w14:paraId="1DFFC45C" w14:textId="77777777" w:rsidR="00792028" w:rsidRDefault="000F63B0" w:rsidP="00914128">
      <w:pPr>
        <w:pStyle w:val="ToC"/>
      </w:pPr>
      <w:hyperlink w:anchor="a11_05" w:history="1">
        <w:r w:rsidR="00A82D0A" w:rsidRPr="00792028">
          <w:rPr>
            <w:rStyle w:val="Hyperlink"/>
          </w:rPr>
          <w:t>11:5</w:t>
        </w:r>
      </w:hyperlink>
      <w:r w:rsidR="00A82D0A" w:rsidRPr="00792028">
        <w:t xml:space="preserve"> </w:t>
      </w:r>
      <w:r w:rsidR="00A82D0A" w:rsidRPr="00792028">
        <w:tab/>
        <w:t xml:space="preserve">Duty </w:t>
      </w:r>
      <w:r w:rsidR="00A82D0A">
        <w:t>of</w:t>
      </w:r>
      <w:r w:rsidR="00A82D0A" w:rsidRPr="00792028">
        <w:t xml:space="preserve"> Care </w:t>
      </w:r>
      <w:r w:rsidR="00A82D0A">
        <w:t>of</w:t>
      </w:r>
      <w:r w:rsidR="00A82D0A" w:rsidRPr="00792028">
        <w:t xml:space="preserve"> Minor Operating Motor Vehicle</w:t>
      </w:r>
    </w:p>
    <w:p w14:paraId="781CBEFB" w14:textId="77777777" w:rsidR="00792028" w:rsidRDefault="000F63B0" w:rsidP="00914128">
      <w:pPr>
        <w:pStyle w:val="ToC"/>
      </w:pPr>
      <w:hyperlink w:anchor="a11_06" w:history="1">
        <w:r w:rsidR="00A82D0A" w:rsidRPr="00792028">
          <w:rPr>
            <w:rStyle w:val="Hyperlink"/>
          </w:rPr>
          <w:t>11:6</w:t>
        </w:r>
      </w:hyperlink>
      <w:r w:rsidR="00A82D0A" w:rsidRPr="00792028">
        <w:t xml:space="preserve"> </w:t>
      </w:r>
      <w:r w:rsidR="00A82D0A" w:rsidRPr="00792028">
        <w:tab/>
        <w:t xml:space="preserve">Duty </w:t>
      </w:r>
      <w:r w:rsidR="00A82D0A">
        <w:t>of</w:t>
      </w:r>
      <w:r w:rsidR="00A82D0A" w:rsidRPr="00792028">
        <w:t xml:space="preserve"> Care </w:t>
      </w:r>
      <w:r w:rsidR="00A82D0A">
        <w:t>of</w:t>
      </w:r>
      <w:r w:rsidR="00A82D0A" w:rsidRPr="00792028">
        <w:t xml:space="preserve"> Physically </w:t>
      </w:r>
      <w:r w:rsidR="00A82D0A">
        <w:t>or</w:t>
      </w:r>
      <w:r w:rsidR="00A82D0A" w:rsidRPr="00792028">
        <w:t xml:space="preserve"> Mentally Handicapped Driver</w:t>
      </w:r>
    </w:p>
    <w:p w14:paraId="01D7A0EB" w14:textId="77777777" w:rsidR="00792028" w:rsidRDefault="000F63B0" w:rsidP="00914128">
      <w:pPr>
        <w:pStyle w:val="ToC"/>
      </w:pPr>
      <w:hyperlink w:anchor="a11_07" w:history="1">
        <w:r w:rsidR="00A82D0A" w:rsidRPr="00792028">
          <w:rPr>
            <w:rStyle w:val="Hyperlink"/>
          </w:rPr>
          <w:t>11:7</w:t>
        </w:r>
      </w:hyperlink>
      <w:r w:rsidR="00A82D0A" w:rsidRPr="00792028">
        <w:t xml:space="preserve"> </w:t>
      </w:r>
      <w:r w:rsidR="00A82D0A" w:rsidRPr="00792028">
        <w:tab/>
        <w:t xml:space="preserve">Duty </w:t>
      </w:r>
      <w:r w:rsidR="00A82D0A">
        <w:t>of</w:t>
      </w:r>
      <w:r w:rsidR="00A82D0A" w:rsidRPr="00792028">
        <w:t xml:space="preserve"> Care </w:t>
      </w:r>
      <w:r w:rsidR="00A82D0A">
        <w:t>of</w:t>
      </w:r>
      <w:r w:rsidR="00A82D0A" w:rsidRPr="00792028">
        <w:t xml:space="preserve"> Unlicensed Driver</w:t>
      </w:r>
    </w:p>
    <w:p w14:paraId="4845030E" w14:textId="77777777" w:rsidR="00792028" w:rsidRDefault="000F63B0" w:rsidP="00914128">
      <w:pPr>
        <w:pStyle w:val="ToC"/>
      </w:pPr>
      <w:hyperlink w:anchor="a11_08" w:history="1">
        <w:r w:rsidR="00A82D0A" w:rsidRPr="00792028">
          <w:rPr>
            <w:rStyle w:val="Hyperlink"/>
          </w:rPr>
          <w:t>11:8</w:t>
        </w:r>
      </w:hyperlink>
      <w:r w:rsidR="00A82D0A" w:rsidRPr="00792028">
        <w:t xml:space="preserve"> </w:t>
      </w:r>
      <w:r w:rsidR="00A82D0A" w:rsidRPr="00792028">
        <w:tab/>
        <w:t xml:space="preserve">Duty </w:t>
      </w:r>
      <w:r w:rsidR="00A82D0A">
        <w:t>of</w:t>
      </w:r>
      <w:r w:rsidR="00A82D0A" w:rsidRPr="00792028">
        <w:t xml:space="preserve"> Care </w:t>
      </w:r>
      <w:r w:rsidR="00A82D0A">
        <w:t>as</w:t>
      </w:r>
      <w:r w:rsidR="00A82D0A" w:rsidRPr="00792028">
        <w:t xml:space="preserve"> </w:t>
      </w:r>
      <w:r w:rsidR="00A82D0A">
        <w:t>to</w:t>
      </w:r>
      <w:r w:rsidR="00A82D0A" w:rsidRPr="00792028">
        <w:t xml:space="preserve"> Speed </w:t>
      </w:r>
      <w:r w:rsidR="00A82D0A">
        <w:t>of</w:t>
      </w:r>
      <w:r w:rsidR="00A82D0A" w:rsidRPr="00792028">
        <w:t xml:space="preserve"> Vehicle</w:t>
      </w:r>
    </w:p>
    <w:p w14:paraId="1A9305F5" w14:textId="77777777" w:rsidR="00792028" w:rsidRDefault="000F63B0" w:rsidP="00914128">
      <w:pPr>
        <w:pStyle w:val="ToC"/>
      </w:pPr>
      <w:hyperlink w:anchor="a11_09" w:history="1">
        <w:r w:rsidR="00A82D0A" w:rsidRPr="00792028">
          <w:rPr>
            <w:rStyle w:val="Hyperlink"/>
          </w:rPr>
          <w:t>11:9</w:t>
        </w:r>
      </w:hyperlink>
      <w:r w:rsidR="00A82D0A" w:rsidRPr="00792028">
        <w:t xml:space="preserve"> </w:t>
      </w:r>
      <w:r w:rsidR="00A82D0A" w:rsidRPr="00792028">
        <w:tab/>
        <w:t xml:space="preserve">Right </w:t>
      </w:r>
      <w:r w:rsidR="00A82D0A">
        <w:t>to</w:t>
      </w:r>
      <w:r w:rsidR="00A82D0A" w:rsidRPr="00792028">
        <w:t xml:space="preserve"> Assume Others Will Obey </w:t>
      </w:r>
      <w:r w:rsidR="00C94C5E">
        <w:t>t</w:t>
      </w:r>
      <w:r w:rsidR="00A82D0A" w:rsidRPr="00792028">
        <w:t>he Law</w:t>
      </w:r>
    </w:p>
    <w:p w14:paraId="155858A1" w14:textId="77777777" w:rsidR="00792028" w:rsidRDefault="000F63B0" w:rsidP="00914128">
      <w:pPr>
        <w:pStyle w:val="ToC"/>
      </w:pPr>
      <w:hyperlink w:anchor="a11_10" w:history="1">
        <w:r w:rsidR="00A82D0A" w:rsidRPr="00792028">
          <w:rPr>
            <w:rStyle w:val="Hyperlink"/>
          </w:rPr>
          <w:t>11:10</w:t>
        </w:r>
      </w:hyperlink>
      <w:r w:rsidR="00A82D0A" w:rsidRPr="00792028">
        <w:tab/>
        <w:t xml:space="preserve">Driving </w:t>
      </w:r>
      <w:r w:rsidR="00C94C5E">
        <w:t>o</w:t>
      </w:r>
      <w:r w:rsidR="00A82D0A" w:rsidRPr="00792028">
        <w:t xml:space="preserve">n Wrong Side </w:t>
      </w:r>
      <w:r w:rsidR="00A82D0A">
        <w:t>of</w:t>
      </w:r>
      <w:r w:rsidR="00A82D0A" w:rsidRPr="00792028">
        <w:t xml:space="preserve"> Road </w:t>
      </w:r>
      <w:r w:rsidR="00A82D0A">
        <w:t>as</w:t>
      </w:r>
      <w:r w:rsidR="00A82D0A" w:rsidRPr="00792028">
        <w:t xml:space="preserve"> Negligence</w:t>
      </w:r>
    </w:p>
    <w:p w14:paraId="794CDD0B" w14:textId="77777777" w:rsidR="00792028" w:rsidRDefault="000F63B0" w:rsidP="00914128">
      <w:pPr>
        <w:pStyle w:val="ToC"/>
      </w:pPr>
      <w:hyperlink w:anchor="a11_11" w:history="1">
        <w:r w:rsidR="00A82D0A" w:rsidRPr="00792028">
          <w:rPr>
            <w:rStyle w:val="Hyperlink"/>
          </w:rPr>
          <w:t>11:11</w:t>
        </w:r>
      </w:hyperlink>
      <w:r w:rsidR="00A82D0A" w:rsidRPr="00792028">
        <w:t xml:space="preserve"> </w:t>
      </w:r>
      <w:r w:rsidR="00A82D0A" w:rsidRPr="00792028">
        <w:tab/>
        <w:t xml:space="preserve">Right </w:t>
      </w:r>
      <w:r w:rsidR="00A82D0A">
        <w:t>to</w:t>
      </w:r>
      <w:r w:rsidR="00A82D0A" w:rsidRPr="00792028">
        <w:t xml:space="preserve"> Assume That Driver </w:t>
      </w:r>
      <w:r w:rsidR="00A82D0A">
        <w:t>on</w:t>
      </w:r>
      <w:r w:rsidR="00A82D0A" w:rsidRPr="00792028">
        <w:t xml:space="preserve"> Wrong Side </w:t>
      </w:r>
      <w:r w:rsidR="00A82D0A">
        <w:t>of</w:t>
      </w:r>
      <w:r w:rsidR="00A82D0A" w:rsidRPr="00792028">
        <w:t xml:space="preserve"> Road Will Return</w:t>
      </w:r>
    </w:p>
    <w:p w14:paraId="14C8F6EB" w14:textId="77777777" w:rsidR="00792028" w:rsidRDefault="000F63B0" w:rsidP="00914128">
      <w:pPr>
        <w:pStyle w:val="ToC"/>
      </w:pPr>
      <w:hyperlink w:anchor="a11_12" w:history="1">
        <w:r w:rsidR="00A82D0A" w:rsidRPr="00792028">
          <w:rPr>
            <w:rStyle w:val="Hyperlink"/>
          </w:rPr>
          <w:t>11:12</w:t>
        </w:r>
      </w:hyperlink>
      <w:r w:rsidR="00A82D0A" w:rsidRPr="00792028">
        <w:t xml:space="preserve"> </w:t>
      </w:r>
      <w:r w:rsidR="00A82D0A" w:rsidRPr="00792028">
        <w:tab/>
        <w:t xml:space="preserve">Rear-End Collision — Presumption </w:t>
      </w:r>
      <w:r w:rsidR="00A82D0A">
        <w:t>of</w:t>
      </w:r>
      <w:r w:rsidR="00A82D0A" w:rsidRPr="00792028">
        <w:t xml:space="preserve"> Negligence</w:t>
      </w:r>
    </w:p>
    <w:p w14:paraId="7CB55C06" w14:textId="77777777" w:rsidR="00345533" w:rsidRDefault="000F63B0" w:rsidP="00914128">
      <w:pPr>
        <w:pStyle w:val="ToC"/>
      </w:pPr>
      <w:hyperlink w:anchor="a11_13" w:history="1">
        <w:r w:rsidR="00A82D0A" w:rsidRPr="00345533">
          <w:rPr>
            <w:rStyle w:val="Hyperlink"/>
          </w:rPr>
          <w:t>11:13</w:t>
        </w:r>
      </w:hyperlink>
      <w:r w:rsidR="00A82D0A" w:rsidRPr="00345533">
        <w:t xml:space="preserve"> </w:t>
      </w:r>
      <w:r w:rsidR="00A82D0A" w:rsidRPr="00345533">
        <w:tab/>
        <w:t xml:space="preserve">Brake </w:t>
      </w:r>
      <w:r w:rsidR="00A82D0A">
        <w:t>or</w:t>
      </w:r>
      <w:r w:rsidR="00A82D0A" w:rsidRPr="00345533">
        <w:t xml:space="preserve"> Other Equipment Failure</w:t>
      </w:r>
    </w:p>
    <w:p w14:paraId="54985D65" w14:textId="77777777" w:rsidR="00345533" w:rsidRDefault="000F63B0" w:rsidP="00914128">
      <w:pPr>
        <w:pStyle w:val="ToC"/>
      </w:pPr>
      <w:hyperlink w:anchor="a11_14" w:history="1">
        <w:r w:rsidR="00A82D0A" w:rsidRPr="00345533">
          <w:rPr>
            <w:rStyle w:val="Hyperlink"/>
          </w:rPr>
          <w:t>11:14</w:t>
        </w:r>
      </w:hyperlink>
      <w:r w:rsidR="00A82D0A" w:rsidRPr="00345533">
        <w:t xml:space="preserve"> </w:t>
      </w:r>
      <w:r w:rsidR="00A82D0A" w:rsidRPr="00345533">
        <w:tab/>
        <w:t xml:space="preserve">Driving Under </w:t>
      </w:r>
      <w:r w:rsidR="00C94C5E">
        <w:t>t</w:t>
      </w:r>
      <w:r w:rsidR="00A82D0A" w:rsidRPr="00345533">
        <w:t>he Influence — Defined</w:t>
      </w:r>
    </w:p>
    <w:p w14:paraId="7443D869" w14:textId="77777777" w:rsidR="003E472A" w:rsidRDefault="003E472A" w:rsidP="003E472A">
      <w:pPr>
        <w:pStyle w:val="ToC"/>
      </w:pPr>
    </w:p>
    <w:p w14:paraId="69D2237C" w14:textId="77777777" w:rsidR="003E472A" w:rsidRPr="009B6746" w:rsidRDefault="003E472A" w:rsidP="00F658E5">
      <w:pPr>
        <w:pStyle w:val="Heading1"/>
        <w:keepNext/>
        <w:jc w:val="left"/>
        <w:rPr>
          <w:b w:val="0"/>
        </w:rPr>
      </w:pPr>
      <w:r w:rsidRPr="00973884">
        <w:rPr>
          <w:b w:val="0"/>
        </w:rPr>
        <w:t xml:space="preserve">B. </w:t>
      </w:r>
      <w:r w:rsidR="00DA1796">
        <w:rPr>
          <w:b w:val="0"/>
        </w:rPr>
        <w:t>reserved for future use</w:t>
      </w:r>
    </w:p>
    <w:p w14:paraId="3DA84941" w14:textId="77777777" w:rsidR="00273777" w:rsidRDefault="00273777" w:rsidP="00914128">
      <w:pPr>
        <w:pStyle w:val="ToC"/>
      </w:pPr>
    </w:p>
    <w:p w14:paraId="7C0F0A17" w14:textId="77777777" w:rsidR="0068336D" w:rsidRPr="009B6746" w:rsidRDefault="008A475A" w:rsidP="00F658E5">
      <w:pPr>
        <w:pStyle w:val="Heading1"/>
        <w:keepNext/>
        <w:jc w:val="left"/>
        <w:rPr>
          <w:b w:val="0"/>
        </w:rPr>
      </w:pPr>
      <w:r>
        <w:rPr>
          <w:b w:val="0"/>
        </w:rPr>
        <w:t>C</w:t>
      </w:r>
      <w:r w:rsidR="00973884" w:rsidRPr="00973884">
        <w:rPr>
          <w:b w:val="0"/>
        </w:rPr>
        <w:t xml:space="preserve">. </w:t>
      </w:r>
      <w:r w:rsidR="00DA1796" w:rsidRPr="00DA1796">
        <w:rPr>
          <w:b w:val="0"/>
        </w:rPr>
        <w:t>VICARIOUS LIABILITY — MOTOR VEHICLES</w:t>
      </w:r>
    </w:p>
    <w:p w14:paraId="68031F7F" w14:textId="77777777" w:rsidR="00B80FD1" w:rsidRDefault="000F63B0" w:rsidP="0068336D">
      <w:pPr>
        <w:pStyle w:val="ToC"/>
      </w:pPr>
      <w:hyperlink w:anchor="a11_15" w:history="1">
        <w:r w:rsidR="00112C8E" w:rsidRPr="00345533">
          <w:rPr>
            <w:rStyle w:val="Hyperlink"/>
          </w:rPr>
          <w:t>11:15</w:t>
        </w:r>
      </w:hyperlink>
      <w:r w:rsidR="00112C8E" w:rsidRPr="00345533">
        <w:t xml:space="preserve"> </w:t>
      </w:r>
      <w:r w:rsidR="00112C8E" w:rsidRPr="00345533">
        <w:tab/>
        <w:t>Family Car Doctrine</w:t>
      </w:r>
    </w:p>
    <w:p w14:paraId="5ADC30D0" w14:textId="77777777" w:rsidR="00345533" w:rsidRDefault="000F63B0" w:rsidP="0068336D">
      <w:pPr>
        <w:pStyle w:val="ToC"/>
      </w:pPr>
      <w:hyperlink w:anchor="a11_16" w:history="1">
        <w:r w:rsidR="00112C8E" w:rsidRPr="00345533">
          <w:rPr>
            <w:rStyle w:val="Hyperlink"/>
          </w:rPr>
          <w:t>11:16</w:t>
        </w:r>
      </w:hyperlink>
      <w:r w:rsidR="00112C8E" w:rsidRPr="00345533">
        <w:t xml:space="preserve"> </w:t>
      </w:r>
      <w:r w:rsidR="00112C8E" w:rsidRPr="00345533">
        <w:tab/>
        <w:t xml:space="preserve">Head </w:t>
      </w:r>
      <w:r w:rsidR="00112C8E">
        <w:t>o</w:t>
      </w:r>
      <w:r w:rsidR="00112C8E" w:rsidRPr="00345533">
        <w:t>f Household — Defined</w:t>
      </w:r>
    </w:p>
    <w:p w14:paraId="4C49880F" w14:textId="77777777" w:rsidR="00345533" w:rsidRDefault="000F63B0" w:rsidP="0068336D">
      <w:pPr>
        <w:pStyle w:val="ToC"/>
      </w:pPr>
      <w:hyperlink w:anchor="a11_17" w:history="1">
        <w:r w:rsidR="00112C8E" w:rsidRPr="00345533">
          <w:rPr>
            <w:rStyle w:val="Hyperlink"/>
          </w:rPr>
          <w:t>11:17</w:t>
        </w:r>
      </w:hyperlink>
      <w:r w:rsidR="00112C8E" w:rsidRPr="00345533">
        <w:t xml:space="preserve"> </w:t>
      </w:r>
      <w:r w:rsidR="00112C8E" w:rsidRPr="00345533">
        <w:tab/>
        <w:t xml:space="preserve">Household </w:t>
      </w:r>
      <w:r w:rsidR="00112C8E">
        <w:t>o</w:t>
      </w:r>
      <w:r w:rsidR="00112C8E" w:rsidRPr="00345533">
        <w:t>r Family — Defined</w:t>
      </w:r>
    </w:p>
    <w:p w14:paraId="3BF581E3" w14:textId="77777777" w:rsidR="00345533" w:rsidRDefault="000F63B0" w:rsidP="0068336D">
      <w:pPr>
        <w:pStyle w:val="ToC"/>
      </w:pPr>
      <w:hyperlink w:anchor="a11_18" w:history="1">
        <w:r w:rsidR="00112C8E" w:rsidRPr="00345533">
          <w:rPr>
            <w:rStyle w:val="Hyperlink"/>
          </w:rPr>
          <w:t>11:18</w:t>
        </w:r>
      </w:hyperlink>
      <w:r w:rsidR="00112C8E" w:rsidRPr="00345533">
        <w:t xml:space="preserve"> </w:t>
      </w:r>
      <w:r w:rsidR="00112C8E" w:rsidRPr="00345533">
        <w:tab/>
        <w:t xml:space="preserve">Imputation </w:t>
      </w:r>
      <w:r w:rsidR="00112C8E">
        <w:t>o</w:t>
      </w:r>
      <w:r w:rsidR="00112C8E" w:rsidRPr="00345533">
        <w:t xml:space="preserve">f Driver’s Negligence </w:t>
      </w:r>
      <w:r w:rsidR="00112C8E">
        <w:t>t</w:t>
      </w:r>
      <w:r w:rsidR="00112C8E" w:rsidRPr="00345533">
        <w:t xml:space="preserve">o Owner </w:t>
      </w:r>
      <w:r w:rsidR="00112C8E">
        <w:t>o</w:t>
      </w:r>
      <w:r w:rsidR="00112C8E" w:rsidRPr="00345533">
        <w:t xml:space="preserve">r Co-Owner — Presumption </w:t>
      </w:r>
      <w:r w:rsidR="00112C8E">
        <w:t>o</w:t>
      </w:r>
      <w:r w:rsidR="00112C8E" w:rsidRPr="00345533">
        <w:t>f Control</w:t>
      </w:r>
    </w:p>
    <w:p w14:paraId="5484C485" w14:textId="77777777" w:rsidR="00352111" w:rsidRPr="00352111" w:rsidRDefault="00352111">
      <w:pPr>
        <w:rPr>
          <w:rFonts w:eastAsia="Times New Roman"/>
          <w:sz w:val="24"/>
          <w:szCs w:val="24"/>
        </w:rPr>
      </w:pPr>
      <w:r w:rsidRPr="00352111">
        <w:rPr>
          <w:rFonts w:eastAsia="Times New Roman"/>
          <w:sz w:val="24"/>
          <w:szCs w:val="24"/>
        </w:rPr>
        <w:br w:type="page"/>
      </w:r>
    </w:p>
    <w:p w14:paraId="0474011B" w14:textId="77777777" w:rsidR="009E3DA4" w:rsidRDefault="002547C3" w:rsidP="009E3DA4">
      <w:pPr>
        <w:spacing w:after="240"/>
        <w:jc w:val="center"/>
        <w:rPr>
          <w:rFonts w:eastAsia="Times New Roman"/>
          <w:b/>
          <w:sz w:val="24"/>
          <w:szCs w:val="24"/>
        </w:rPr>
      </w:pPr>
      <w:r w:rsidRPr="002547C3">
        <w:rPr>
          <w:rFonts w:eastAsia="Times New Roman"/>
          <w:b/>
          <w:sz w:val="24"/>
          <w:szCs w:val="24"/>
        </w:rPr>
        <w:lastRenderedPageBreak/>
        <w:t xml:space="preserve">A. </w:t>
      </w:r>
      <w:r w:rsidR="00DA1796" w:rsidRPr="00DA1796">
        <w:rPr>
          <w:rFonts w:eastAsia="Times New Roman"/>
          <w:b/>
          <w:sz w:val="24"/>
          <w:szCs w:val="24"/>
        </w:rPr>
        <w:t>DUTY OF CARE</w:t>
      </w:r>
    </w:p>
    <w:p w14:paraId="715B13AA" w14:textId="77777777" w:rsidR="009E3DA4" w:rsidRPr="009E3DA4" w:rsidRDefault="00DA1796" w:rsidP="00CC0502">
      <w:pPr>
        <w:spacing w:after="240"/>
        <w:ind w:left="720" w:hanging="720"/>
        <w:rPr>
          <w:rFonts w:eastAsia="Times New Roman"/>
          <w:b/>
          <w:sz w:val="24"/>
          <w:szCs w:val="24"/>
        </w:rPr>
      </w:pPr>
      <w:bookmarkStart w:id="0" w:name="a11_01"/>
      <w:bookmarkEnd w:id="0"/>
      <w:r w:rsidRPr="00DA1796">
        <w:rPr>
          <w:rFonts w:eastAsia="Times New Roman"/>
          <w:b/>
          <w:sz w:val="24"/>
          <w:szCs w:val="24"/>
        </w:rPr>
        <w:t xml:space="preserve">11:1 </w:t>
      </w:r>
      <w:r w:rsidRPr="00DA1796">
        <w:rPr>
          <w:rFonts w:eastAsia="Times New Roman"/>
          <w:b/>
          <w:sz w:val="24"/>
          <w:szCs w:val="24"/>
        </w:rPr>
        <w:tab/>
        <w:t>DUTY TO MAINTAIN LOOKOUT</w:t>
      </w:r>
    </w:p>
    <w:p w14:paraId="4E0E5D10" w14:textId="77777777" w:rsidR="00DA1796" w:rsidRPr="00DA1796" w:rsidRDefault="00DA1796" w:rsidP="00DA1796">
      <w:pPr>
        <w:spacing w:after="240"/>
        <w:ind w:firstLine="720"/>
        <w:rPr>
          <w:rFonts w:eastAsia="Times New Roman"/>
          <w:b/>
          <w:sz w:val="24"/>
          <w:szCs w:val="24"/>
        </w:rPr>
      </w:pPr>
      <w:r w:rsidRPr="00DA1796">
        <w:rPr>
          <w:rFonts w:eastAsia="Times New Roman"/>
          <w:b/>
          <w:sz w:val="24"/>
          <w:szCs w:val="24"/>
        </w:rPr>
        <w:t>A driver must maintain a proper lookout to see what that driver could and should have seen in the exercise of reasonable care.</w:t>
      </w:r>
    </w:p>
    <w:p w14:paraId="181515D7" w14:textId="77777777" w:rsidR="00832DB4" w:rsidRDefault="00832DB4" w:rsidP="0054263B">
      <w:pPr>
        <w:jc w:val="center"/>
        <w:rPr>
          <w:rFonts w:eastAsia="Times New Roman"/>
          <w:sz w:val="24"/>
          <w:szCs w:val="24"/>
        </w:rPr>
      </w:pPr>
    </w:p>
    <w:p w14:paraId="7BF3A993" w14:textId="77777777" w:rsidR="0054263B" w:rsidRPr="0054263B" w:rsidRDefault="0054263B" w:rsidP="00BE654D">
      <w:pPr>
        <w:keepNext/>
        <w:spacing w:after="240"/>
        <w:jc w:val="center"/>
        <w:rPr>
          <w:rFonts w:eastAsia="Times New Roman"/>
          <w:b/>
          <w:sz w:val="24"/>
          <w:szCs w:val="24"/>
        </w:rPr>
      </w:pPr>
      <w:r w:rsidRPr="0054263B">
        <w:rPr>
          <w:rFonts w:eastAsia="Times New Roman"/>
          <w:b/>
          <w:sz w:val="24"/>
          <w:szCs w:val="24"/>
        </w:rPr>
        <w:t>Notes on Use</w:t>
      </w:r>
    </w:p>
    <w:p w14:paraId="4DBD6FC0" w14:textId="77777777" w:rsidR="00DA1796" w:rsidRPr="00DA1796" w:rsidRDefault="00DA1796" w:rsidP="00DA1796">
      <w:pPr>
        <w:spacing w:after="240"/>
        <w:ind w:firstLine="720"/>
        <w:rPr>
          <w:rFonts w:eastAsia="Times New Roman"/>
          <w:sz w:val="24"/>
          <w:szCs w:val="24"/>
        </w:rPr>
      </w:pPr>
      <w:r w:rsidRPr="00DA1796">
        <w:rPr>
          <w:rFonts w:eastAsia="Times New Roman"/>
          <w:sz w:val="24"/>
          <w:szCs w:val="24"/>
        </w:rPr>
        <w:t>1. When this instruction is given, Instruction 9:8, defining “reasonable care,” should also be given.</w:t>
      </w:r>
    </w:p>
    <w:p w14:paraId="7775029F" w14:textId="77777777" w:rsidR="00DA1796" w:rsidRPr="00DA1796" w:rsidRDefault="00DA1796" w:rsidP="00DA1796">
      <w:pPr>
        <w:spacing w:after="240"/>
        <w:ind w:firstLine="720"/>
        <w:rPr>
          <w:rFonts w:eastAsia="Times New Roman"/>
          <w:sz w:val="24"/>
          <w:szCs w:val="24"/>
        </w:rPr>
      </w:pPr>
      <w:r w:rsidRPr="00DA1796">
        <w:rPr>
          <w:rFonts w:eastAsia="Times New Roman"/>
          <w:sz w:val="24"/>
          <w:szCs w:val="24"/>
        </w:rPr>
        <w:t xml:space="preserve">2. The giving of this instruction does not preclude giving Instruction 9:13. </w:t>
      </w:r>
      <w:r w:rsidRPr="00DA1796">
        <w:rPr>
          <w:rFonts w:eastAsia="Times New Roman"/>
          <w:b/>
          <w:sz w:val="24"/>
          <w:szCs w:val="24"/>
        </w:rPr>
        <w:t>Horton v. Mondragon</w:t>
      </w:r>
      <w:r w:rsidRPr="00DA1796">
        <w:rPr>
          <w:rFonts w:eastAsia="Times New Roman"/>
          <w:sz w:val="24"/>
          <w:szCs w:val="24"/>
        </w:rPr>
        <w:t>, 705 P.2d 977 (Colo. App. 1984).</w:t>
      </w:r>
    </w:p>
    <w:p w14:paraId="5EF280DA" w14:textId="77777777" w:rsidR="00352111" w:rsidRPr="0054263B" w:rsidRDefault="00352111" w:rsidP="00875064">
      <w:pPr>
        <w:keepNext/>
        <w:spacing w:after="240"/>
        <w:jc w:val="center"/>
        <w:rPr>
          <w:rFonts w:eastAsia="Times New Roman"/>
          <w:b/>
          <w:sz w:val="24"/>
          <w:szCs w:val="24"/>
        </w:rPr>
      </w:pPr>
      <w:r>
        <w:rPr>
          <w:rFonts w:eastAsia="Times New Roman"/>
          <w:b/>
          <w:sz w:val="24"/>
          <w:szCs w:val="24"/>
        </w:rPr>
        <w:t>Source and Authority</w:t>
      </w:r>
    </w:p>
    <w:p w14:paraId="18460509" w14:textId="77777777" w:rsidR="00DA1796" w:rsidRPr="00DA1796" w:rsidRDefault="00DA1796" w:rsidP="00DA1796">
      <w:pPr>
        <w:spacing w:after="240"/>
        <w:ind w:firstLine="720"/>
        <w:rPr>
          <w:rFonts w:eastAsia="Times New Roman"/>
          <w:sz w:val="24"/>
          <w:szCs w:val="24"/>
        </w:rPr>
      </w:pPr>
      <w:r w:rsidRPr="00DA1796">
        <w:rPr>
          <w:rFonts w:eastAsia="Times New Roman"/>
          <w:sz w:val="24"/>
          <w:szCs w:val="24"/>
        </w:rPr>
        <w:t xml:space="preserve">This instruction is supported by </w:t>
      </w:r>
      <w:r w:rsidRPr="00DA1796">
        <w:rPr>
          <w:rFonts w:eastAsia="Times New Roman"/>
          <w:b/>
          <w:sz w:val="24"/>
          <w:szCs w:val="24"/>
        </w:rPr>
        <w:t>Clibon v. Wayman</w:t>
      </w:r>
      <w:r w:rsidRPr="00DA1796">
        <w:rPr>
          <w:rFonts w:eastAsia="Times New Roman"/>
          <w:sz w:val="24"/>
          <w:szCs w:val="24"/>
        </w:rPr>
        <w:t xml:space="preserve">, 137 Colo. 495, 327 P.2d 283 (1958); </w:t>
      </w:r>
      <w:r w:rsidRPr="00DA1796">
        <w:rPr>
          <w:rFonts w:eastAsia="Times New Roman"/>
          <w:b/>
          <w:sz w:val="24"/>
          <w:szCs w:val="24"/>
        </w:rPr>
        <w:t>Union Pacific Railroad v. Cogburn</w:t>
      </w:r>
      <w:r w:rsidRPr="00DA1796">
        <w:rPr>
          <w:rFonts w:eastAsia="Times New Roman"/>
          <w:sz w:val="24"/>
          <w:szCs w:val="24"/>
        </w:rPr>
        <w:t xml:space="preserve">, 136 Colo. 184, 315 P.2d 209 (1957); </w:t>
      </w:r>
      <w:r w:rsidRPr="00DA1796">
        <w:rPr>
          <w:rFonts w:eastAsia="Times New Roman"/>
          <w:b/>
          <w:sz w:val="24"/>
          <w:szCs w:val="24"/>
        </w:rPr>
        <w:t>Ridenour v. Diffee</w:t>
      </w:r>
      <w:r w:rsidRPr="00DA1796">
        <w:rPr>
          <w:rFonts w:eastAsia="Times New Roman"/>
          <w:sz w:val="24"/>
          <w:szCs w:val="24"/>
        </w:rPr>
        <w:t xml:space="preserve">, 133 Colo. 467, 297 P.2d 280 (1956); </w:t>
      </w:r>
      <w:r w:rsidRPr="00DA1796">
        <w:rPr>
          <w:rFonts w:eastAsia="Times New Roman"/>
          <w:b/>
          <w:sz w:val="24"/>
          <w:szCs w:val="24"/>
        </w:rPr>
        <w:t>Werner v. Schrader</w:t>
      </w:r>
      <w:r w:rsidRPr="00DA1796">
        <w:rPr>
          <w:rFonts w:eastAsia="Times New Roman"/>
          <w:sz w:val="24"/>
          <w:szCs w:val="24"/>
        </w:rPr>
        <w:t>,</w:t>
      </w:r>
      <w:r w:rsidRPr="00DA1796">
        <w:rPr>
          <w:rFonts w:eastAsia="Times New Roman"/>
          <w:b/>
          <w:sz w:val="24"/>
          <w:szCs w:val="24"/>
        </w:rPr>
        <w:t xml:space="preserve"> </w:t>
      </w:r>
      <w:r w:rsidRPr="00DA1796">
        <w:rPr>
          <w:rFonts w:eastAsia="Times New Roman"/>
          <w:sz w:val="24"/>
          <w:szCs w:val="24"/>
        </w:rPr>
        <w:t xml:space="preserve">127 Colo. 523, 258 P.2d 766 (1953); and </w:t>
      </w:r>
      <w:r w:rsidRPr="00DA1796">
        <w:rPr>
          <w:rFonts w:eastAsia="Times New Roman"/>
          <w:b/>
          <w:sz w:val="24"/>
          <w:szCs w:val="24"/>
        </w:rPr>
        <w:t>Martin v. Minnard</w:t>
      </w:r>
      <w:r w:rsidRPr="00DA1796">
        <w:rPr>
          <w:rFonts w:eastAsia="Times New Roman"/>
          <w:sz w:val="24"/>
          <w:szCs w:val="24"/>
        </w:rPr>
        <w:t xml:space="preserve">, 862 P.2d 1014 (Colo. App. 1993). </w:t>
      </w:r>
      <w:r w:rsidRPr="00DA1796">
        <w:rPr>
          <w:rFonts w:eastAsia="Times New Roman"/>
          <w:i/>
          <w:sz w:val="24"/>
          <w:szCs w:val="24"/>
        </w:rPr>
        <w:t>See also</w:t>
      </w:r>
      <w:r w:rsidRPr="00DA1796">
        <w:rPr>
          <w:rFonts w:eastAsia="Times New Roman"/>
          <w:sz w:val="24"/>
          <w:szCs w:val="24"/>
        </w:rPr>
        <w:t xml:space="preserve"> </w:t>
      </w:r>
      <w:r w:rsidRPr="00DA1796">
        <w:rPr>
          <w:rFonts w:eastAsia="Times New Roman"/>
          <w:smallCaps/>
          <w:sz w:val="24"/>
          <w:szCs w:val="24"/>
        </w:rPr>
        <w:t>Restatement (Second) of Torts</w:t>
      </w:r>
      <w:r w:rsidRPr="00DA1796">
        <w:rPr>
          <w:rFonts w:eastAsia="Times New Roman"/>
          <w:sz w:val="24"/>
          <w:szCs w:val="24"/>
        </w:rPr>
        <w:t xml:space="preserve"> § 289 cmts. d, e (1965); </w:t>
      </w:r>
      <w:r w:rsidRPr="00DA1796">
        <w:rPr>
          <w:rFonts w:eastAsia="Times New Roman"/>
          <w:smallCaps/>
          <w:sz w:val="24"/>
          <w:szCs w:val="24"/>
        </w:rPr>
        <w:t>W. Page Keeton et al., Prosser and Keeton on the Law of Torts</w:t>
      </w:r>
      <w:r w:rsidRPr="00DA1796">
        <w:rPr>
          <w:rFonts w:eastAsia="Times New Roman"/>
          <w:sz w:val="24"/>
          <w:szCs w:val="24"/>
        </w:rPr>
        <w:t xml:space="preserve"> § 32, at 182 (5th ed. 1984).</w:t>
      </w:r>
    </w:p>
    <w:p w14:paraId="513BFBF1" w14:textId="77777777" w:rsidR="00DA1796" w:rsidRDefault="00DA1796">
      <w:pPr>
        <w:rPr>
          <w:rFonts w:eastAsia="Times New Roman"/>
          <w:sz w:val="24"/>
          <w:szCs w:val="24"/>
        </w:rPr>
      </w:pPr>
      <w:r>
        <w:rPr>
          <w:rFonts w:eastAsia="Times New Roman"/>
          <w:sz w:val="24"/>
          <w:szCs w:val="24"/>
        </w:rPr>
        <w:br w:type="page"/>
      </w:r>
    </w:p>
    <w:p w14:paraId="053D25F2" w14:textId="77777777" w:rsidR="00DA1796" w:rsidRPr="009E3DA4" w:rsidRDefault="00DA1796" w:rsidP="00DA1796">
      <w:pPr>
        <w:spacing w:after="240"/>
        <w:ind w:left="720" w:hanging="720"/>
        <w:rPr>
          <w:rFonts w:eastAsia="Times New Roman"/>
          <w:b/>
          <w:sz w:val="24"/>
          <w:szCs w:val="24"/>
        </w:rPr>
      </w:pPr>
      <w:bookmarkStart w:id="1" w:name="a11_02"/>
      <w:bookmarkEnd w:id="1"/>
      <w:r w:rsidRPr="00DA1796">
        <w:rPr>
          <w:rFonts w:eastAsia="Times New Roman"/>
          <w:b/>
          <w:sz w:val="24"/>
          <w:szCs w:val="24"/>
        </w:rPr>
        <w:lastRenderedPageBreak/>
        <w:t xml:space="preserve">11:2 </w:t>
      </w:r>
      <w:r w:rsidRPr="00DA1796">
        <w:rPr>
          <w:rFonts w:eastAsia="Times New Roman"/>
          <w:b/>
          <w:sz w:val="24"/>
          <w:szCs w:val="24"/>
        </w:rPr>
        <w:tab/>
        <w:t>DUTY OF CARE OF DRIVER HAVING RIGHT OF WAY</w:t>
      </w:r>
    </w:p>
    <w:p w14:paraId="15E55CC7" w14:textId="77777777" w:rsidR="00DA1796" w:rsidRPr="00DA1796" w:rsidRDefault="00DA1796" w:rsidP="00DA1796">
      <w:pPr>
        <w:spacing w:after="240"/>
        <w:ind w:firstLine="720"/>
        <w:rPr>
          <w:rFonts w:eastAsia="Times New Roman"/>
          <w:b/>
          <w:sz w:val="24"/>
          <w:szCs w:val="24"/>
        </w:rPr>
      </w:pPr>
      <w:r w:rsidRPr="00DA1796">
        <w:rPr>
          <w:rFonts w:eastAsia="Times New Roman"/>
          <w:b/>
          <w:sz w:val="24"/>
          <w:szCs w:val="24"/>
        </w:rPr>
        <w:t xml:space="preserve">Although a driver may have the right of way, the driver must exercise reasonable care considering the existing conditions. </w:t>
      </w:r>
    </w:p>
    <w:p w14:paraId="1B250A0C" w14:textId="77777777" w:rsidR="00DA1796" w:rsidRDefault="00DA1796" w:rsidP="00DA1796">
      <w:pPr>
        <w:jc w:val="center"/>
        <w:rPr>
          <w:rFonts w:eastAsia="Times New Roman"/>
          <w:sz w:val="24"/>
          <w:szCs w:val="24"/>
        </w:rPr>
      </w:pPr>
    </w:p>
    <w:p w14:paraId="76FF3A55" w14:textId="77777777" w:rsidR="00DA1796" w:rsidRPr="0054263B" w:rsidRDefault="00DA1796" w:rsidP="00DA1796">
      <w:pPr>
        <w:keepNext/>
        <w:spacing w:after="240"/>
        <w:jc w:val="center"/>
        <w:rPr>
          <w:rFonts w:eastAsia="Times New Roman"/>
          <w:b/>
          <w:sz w:val="24"/>
          <w:szCs w:val="24"/>
        </w:rPr>
      </w:pPr>
      <w:r w:rsidRPr="0054263B">
        <w:rPr>
          <w:rFonts w:eastAsia="Times New Roman"/>
          <w:b/>
          <w:sz w:val="24"/>
          <w:szCs w:val="24"/>
        </w:rPr>
        <w:t>Notes on Use</w:t>
      </w:r>
    </w:p>
    <w:p w14:paraId="386DD620" w14:textId="77777777" w:rsidR="00DA1796" w:rsidRPr="00DA1796" w:rsidRDefault="00DA1796" w:rsidP="00DA1796">
      <w:pPr>
        <w:spacing w:after="240"/>
        <w:ind w:firstLine="720"/>
        <w:rPr>
          <w:rFonts w:eastAsia="Times New Roman"/>
          <w:sz w:val="24"/>
          <w:szCs w:val="24"/>
        </w:rPr>
      </w:pPr>
      <w:r w:rsidRPr="00DA1796">
        <w:rPr>
          <w:rFonts w:eastAsia="Times New Roman"/>
          <w:sz w:val="24"/>
          <w:szCs w:val="24"/>
        </w:rPr>
        <w:t>When this instruction is given, Instruction 9:8, defining “reasonable care,” should also be given.</w:t>
      </w:r>
    </w:p>
    <w:p w14:paraId="68BC5E38" w14:textId="77777777" w:rsidR="00DA1796" w:rsidRPr="0054263B" w:rsidRDefault="00DA1796" w:rsidP="00DA1796">
      <w:pPr>
        <w:keepNext/>
        <w:spacing w:after="240"/>
        <w:jc w:val="center"/>
        <w:rPr>
          <w:rFonts w:eastAsia="Times New Roman"/>
          <w:b/>
          <w:sz w:val="24"/>
          <w:szCs w:val="24"/>
        </w:rPr>
      </w:pPr>
      <w:r>
        <w:rPr>
          <w:rFonts w:eastAsia="Times New Roman"/>
          <w:b/>
          <w:sz w:val="24"/>
          <w:szCs w:val="24"/>
        </w:rPr>
        <w:t>Source and Authority</w:t>
      </w:r>
    </w:p>
    <w:p w14:paraId="1D7766F5" w14:textId="77777777" w:rsidR="00DA1796" w:rsidRPr="00DA1796" w:rsidRDefault="00DA1796" w:rsidP="00DA1796">
      <w:pPr>
        <w:spacing w:after="240"/>
        <w:ind w:firstLine="720"/>
        <w:rPr>
          <w:rFonts w:eastAsia="Times New Roman"/>
          <w:sz w:val="24"/>
          <w:szCs w:val="24"/>
        </w:rPr>
      </w:pPr>
      <w:r w:rsidRPr="00DA1796">
        <w:rPr>
          <w:rFonts w:eastAsia="Times New Roman"/>
          <w:sz w:val="24"/>
          <w:szCs w:val="24"/>
        </w:rPr>
        <w:t>1. This instruction is supported by</w:t>
      </w:r>
      <w:r w:rsidRPr="00DA1796">
        <w:rPr>
          <w:rFonts w:eastAsia="Times New Roman"/>
          <w:b/>
          <w:sz w:val="24"/>
          <w:szCs w:val="24"/>
        </w:rPr>
        <w:t xml:space="preserve"> Hansen v. Dillon</w:t>
      </w:r>
      <w:r w:rsidRPr="00DA1796">
        <w:rPr>
          <w:rFonts w:eastAsia="Times New Roman"/>
          <w:sz w:val="24"/>
          <w:szCs w:val="24"/>
        </w:rPr>
        <w:t>,</w:t>
      </w:r>
      <w:r w:rsidRPr="00DA1796">
        <w:rPr>
          <w:rFonts w:eastAsia="Times New Roman"/>
          <w:b/>
          <w:sz w:val="24"/>
          <w:szCs w:val="24"/>
        </w:rPr>
        <w:t xml:space="preserve"> </w:t>
      </w:r>
      <w:r w:rsidRPr="00DA1796">
        <w:rPr>
          <w:rFonts w:eastAsia="Times New Roman"/>
          <w:sz w:val="24"/>
          <w:szCs w:val="24"/>
        </w:rPr>
        <w:t xml:space="preserve">156 Colo. 396, 400 P.2d 201 (1965); </w:t>
      </w:r>
      <w:r w:rsidRPr="00DA1796">
        <w:rPr>
          <w:rFonts w:eastAsia="Times New Roman"/>
          <w:b/>
          <w:sz w:val="24"/>
          <w:szCs w:val="24"/>
        </w:rPr>
        <w:t>Bennett v. Hall</w:t>
      </w:r>
      <w:r w:rsidRPr="00DA1796">
        <w:rPr>
          <w:rFonts w:eastAsia="Times New Roman"/>
          <w:sz w:val="24"/>
          <w:szCs w:val="24"/>
        </w:rPr>
        <w:t xml:space="preserve">, 132 Colo. 419, 290 P.2d 241 (1955); </w:t>
      </w:r>
      <w:r w:rsidRPr="00DA1796">
        <w:rPr>
          <w:rFonts w:eastAsia="Times New Roman"/>
          <w:b/>
          <w:sz w:val="24"/>
          <w:szCs w:val="24"/>
        </w:rPr>
        <w:t>Denver Equipment Co. v. Newell</w:t>
      </w:r>
      <w:r w:rsidRPr="00DA1796">
        <w:rPr>
          <w:rFonts w:eastAsia="Times New Roman"/>
          <w:sz w:val="24"/>
          <w:szCs w:val="24"/>
        </w:rPr>
        <w:t xml:space="preserve">, 115 Colo. 23, 169 P.2d 174 (1946); </w:t>
      </w:r>
      <w:r w:rsidRPr="00DA1796">
        <w:rPr>
          <w:rFonts w:eastAsia="Times New Roman"/>
          <w:b/>
          <w:sz w:val="24"/>
          <w:szCs w:val="24"/>
        </w:rPr>
        <w:t>Stocker v. Newcomb</w:t>
      </w:r>
      <w:r w:rsidRPr="00DA1796">
        <w:rPr>
          <w:rFonts w:eastAsia="Times New Roman"/>
          <w:sz w:val="24"/>
          <w:szCs w:val="24"/>
        </w:rPr>
        <w:t xml:space="preserve">, 91 Colo. 479, 15 P.2d 975 (1932); </w:t>
      </w:r>
      <w:r w:rsidRPr="00DA1796">
        <w:rPr>
          <w:rFonts w:eastAsia="Times New Roman"/>
          <w:b/>
          <w:sz w:val="24"/>
          <w:szCs w:val="24"/>
        </w:rPr>
        <w:t>Parker v. Ullom</w:t>
      </w:r>
      <w:r w:rsidRPr="00DA1796">
        <w:rPr>
          <w:rFonts w:eastAsia="Times New Roman"/>
          <w:sz w:val="24"/>
          <w:szCs w:val="24"/>
        </w:rPr>
        <w:t xml:space="preserve">, 84 Colo. 433, 271 P. 187 (1928); and </w:t>
      </w:r>
      <w:r w:rsidRPr="00DA1796">
        <w:rPr>
          <w:rFonts w:eastAsia="Times New Roman"/>
          <w:b/>
          <w:sz w:val="24"/>
          <w:szCs w:val="24"/>
        </w:rPr>
        <w:t>Kepley v. Kim</w:t>
      </w:r>
      <w:r w:rsidRPr="00DA1796">
        <w:rPr>
          <w:rFonts w:eastAsia="Times New Roman"/>
          <w:sz w:val="24"/>
          <w:szCs w:val="24"/>
        </w:rPr>
        <w:t xml:space="preserve">, 843 P.2d 133 (Colo. App. 1992). </w:t>
      </w:r>
    </w:p>
    <w:p w14:paraId="08B58BF7" w14:textId="77777777" w:rsidR="00DA1796" w:rsidRPr="00DA1796" w:rsidRDefault="00DA1796" w:rsidP="00DA1796">
      <w:pPr>
        <w:spacing w:after="240"/>
        <w:ind w:firstLine="720"/>
        <w:rPr>
          <w:rFonts w:eastAsia="Times New Roman"/>
          <w:sz w:val="24"/>
          <w:szCs w:val="24"/>
        </w:rPr>
      </w:pPr>
      <w:r w:rsidRPr="00DA1796">
        <w:rPr>
          <w:rFonts w:eastAsia="Times New Roman"/>
          <w:sz w:val="24"/>
          <w:szCs w:val="24"/>
        </w:rPr>
        <w:t xml:space="preserve">2. The statutory provisions governing the rights of way between or among vehicles are sections 42-4-701 to -713, C.R.S. </w:t>
      </w:r>
    </w:p>
    <w:p w14:paraId="37C736BB" w14:textId="77777777" w:rsidR="00DA1796" w:rsidRDefault="00DA1796">
      <w:pPr>
        <w:rPr>
          <w:rFonts w:eastAsia="Times New Roman"/>
          <w:sz w:val="24"/>
          <w:szCs w:val="24"/>
        </w:rPr>
      </w:pPr>
      <w:r>
        <w:rPr>
          <w:rFonts w:eastAsia="Times New Roman"/>
          <w:sz w:val="24"/>
          <w:szCs w:val="24"/>
        </w:rPr>
        <w:br w:type="page"/>
      </w:r>
    </w:p>
    <w:p w14:paraId="708B8005" w14:textId="77777777" w:rsidR="00DA1796" w:rsidRPr="009E3DA4" w:rsidRDefault="00DA1796" w:rsidP="00DA1796">
      <w:pPr>
        <w:spacing w:after="240"/>
        <w:ind w:left="720" w:hanging="720"/>
        <w:rPr>
          <w:rFonts w:eastAsia="Times New Roman"/>
          <w:b/>
          <w:sz w:val="24"/>
          <w:szCs w:val="24"/>
        </w:rPr>
      </w:pPr>
      <w:bookmarkStart w:id="2" w:name="a11_03"/>
      <w:bookmarkEnd w:id="2"/>
      <w:r w:rsidRPr="00DA1796">
        <w:rPr>
          <w:rFonts w:eastAsia="Times New Roman"/>
          <w:b/>
          <w:sz w:val="24"/>
          <w:szCs w:val="24"/>
        </w:rPr>
        <w:lastRenderedPageBreak/>
        <w:t xml:space="preserve">11:3 </w:t>
      </w:r>
      <w:r w:rsidRPr="00DA1796">
        <w:rPr>
          <w:rFonts w:eastAsia="Times New Roman"/>
          <w:b/>
          <w:sz w:val="24"/>
          <w:szCs w:val="24"/>
        </w:rPr>
        <w:tab/>
        <w:t>DUTY OF CARE OF PEDESTRIAN OR BICYCLE OPERATOR HAVING RIGHT OF WAY</w:t>
      </w:r>
    </w:p>
    <w:p w14:paraId="32BB22B9" w14:textId="77777777" w:rsidR="00DA1796" w:rsidRPr="00DA1796" w:rsidRDefault="00DA1796" w:rsidP="00DA1796">
      <w:pPr>
        <w:spacing w:after="240"/>
        <w:ind w:firstLine="720"/>
        <w:rPr>
          <w:rFonts w:eastAsia="Times New Roman"/>
          <w:b/>
          <w:sz w:val="24"/>
          <w:szCs w:val="24"/>
        </w:rPr>
      </w:pPr>
      <w:r w:rsidRPr="00DA1796">
        <w:rPr>
          <w:rFonts w:eastAsia="Times New Roman"/>
          <w:b/>
          <w:sz w:val="24"/>
          <w:szCs w:val="24"/>
        </w:rPr>
        <w:t xml:space="preserve">Although a (pedestrian) (bicycle operator) may have the right of way, the (pedestrian) (bicycle operator) must exercise reasonable care considering the existing conditions. </w:t>
      </w:r>
    </w:p>
    <w:p w14:paraId="502FE40E" w14:textId="77777777" w:rsidR="00DA1796" w:rsidRDefault="00DA1796" w:rsidP="00DA1796">
      <w:pPr>
        <w:jc w:val="center"/>
        <w:rPr>
          <w:rFonts w:eastAsia="Times New Roman"/>
          <w:sz w:val="24"/>
          <w:szCs w:val="24"/>
        </w:rPr>
      </w:pPr>
    </w:p>
    <w:p w14:paraId="584CC68D" w14:textId="77777777" w:rsidR="00DA1796" w:rsidRPr="0054263B" w:rsidRDefault="00DA1796" w:rsidP="00DA1796">
      <w:pPr>
        <w:keepNext/>
        <w:spacing w:after="240"/>
        <w:jc w:val="center"/>
        <w:rPr>
          <w:rFonts w:eastAsia="Times New Roman"/>
          <w:b/>
          <w:sz w:val="24"/>
          <w:szCs w:val="24"/>
        </w:rPr>
      </w:pPr>
      <w:r w:rsidRPr="0054263B">
        <w:rPr>
          <w:rFonts w:eastAsia="Times New Roman"/>
          <w:b/>
          <w:sz w:val="24"/>
          <w:szCs w:val="24"/>
        </w:rPr>
        <w:t>Notes on Use</w:t>
      </w:r>
    </w:p>
    <w:p w14:paraId="1469E46B" w14:textId="77777777" w:rsidR="00DA1796" w:rsidRPr="00DA1796" w:rsidRDefault="00DA1796" w:rsidP="00DA1796">
      <w:pPr>
        <w:spacing w:after="240"/>
        <w:ind w:firstLine="720"/>
        <w:rPr>
          <w:rFonts w:eastAsia="Times New Roman"/>
          <w:sz w:val="24"/>
          <w:szCs w:val="24"/>
        </w:rPr>
      </w:pPr>
      <w:r w:rsidRPr="00DA1796">
        <w:rPr>
          <w:rFonts w:eastAsia="Times New Roman"/>
          <w:sz w:val="24"/>
          <w:szCs w:val="24"/>
        </w:rPr>
        <w:t>1. Use whichever parenthesized words or phrases are appropriate.</w:t>
      </w:r>
    </w:p>
    <w:p w14:paraId="3D6CA481" w14:textId="77777777" w:rsidR="00DA1796" w:rsidRPr="00DA1796" w:rsidRDefault="00DA1796" w:rsidP="00DA1796">
      <w:pPr>
        <w:spacing w:after="240"/>
        <w:ind w:firstLine="720"/>
        <w:rPr>
          <w:rFonts w:eastAsia="Times New Roman"/>
          <w:sz w:val="24"/>
          <w:szCs w:val="24"/>
        </w:rPr>
      </w:pPr>
      <w:r w:rsidRPr="00DA1796">
        <w:rPr>
          <w:rFonts w:eastAsia="Times New Roman"/>
          <w:sz w:val="24"/>
          <w:szCs w:val="24"/>
        </w:rPr>
        <w:t>2. When this instruction is given, Instruction 9:8, defining “reasonable care,” should also be given.</w:t>
      </w:r>
    </w:p>
    <w:p w14:paraId="0BEFB538" w14:textId="77777777" w:rsidR="00DA1796" w:rsidRPr="0054263B" w:rsidRDefault="00DA1796" w:rsidP="00DA1796">
      <w:pPr>
        <w:keepNext/>
        <w:spacing w:after="240"/>
        <w:jc w:val="center"/>
        <w:rPr>
          <w:rFonts w:eastAsia="Times New Roman"/>
          <w:b/>
          <w:sz w:val="24"/>
          <w:szCs w:val="24"/>
        </w:rPr>
      </w:pPr>
      <w:r>
        <w:rPr>
          <w:rFonts w:eastAsia="Times New Roman"/>
          <w:b/>
          <w:sz w:val="24"/>
          <w:szCs w:val="24"/>
        </w:rPr>
        <w:t>Source and Authority</w:t>
      </w:r>
    </w:p>
    <w:p w14:paraId="0607DC58" w14:textId="77777777" w:rsidR="00DA1796" w:rsidRPr="00DA1796" w:rsidRDefault="00DA1796" w:rsidP="00DA1796">
      <w:pPr>
        <w:spacing w:after="240"/>
        <w:ind w:firstLine="720"/>
        <w:rPr>
          <w:rFonts w:eastAsia="Times New Roman"/>
          <w:sz w:val="24"/>
          <w:szCs w:val="24"/>
        </w:rPr>
      </w:pPr>
      <w:r w:rsidRPr="00DA1796">
        <w:rPr>
          <w:rFonts w:eastAsia="Times New Roman"/>
          <w:sz w:val="24"/>
          <w:szCs w:val="24"/>
        </w:rPr>
        <w:t>1. This instruction is supported by implication by the cases cited in the Source and Authority to Instruction 11:2.</w:t>
      </w:r>
    </w:p>
    <w:p w14:paraId="769CDBE1" w14:textId="77777777" w:rsidR="00DA1796" w:rsidRPr="00DA1796" w:rsidRDefault="00DA1796" w:rsidP="00DA1796">
      <w:pPr>
        <w:spacing w:after="240"/>
        <w:ind w:firstLine="720"/>
        <w:rPr>
          <w:rFonts w:eastAsia="Times New Roman"/>
          <w:sz w:val="24"/>
          <w:szCs w:val="24"/>
        </w:rPr>
      </w:pPr>
      <w:r w:rsidRPr="00DA1796">
        <w:rPr>
          <w:rFonts w:eastAsia="Times New Roman"/>
          <w:sz w:val="24"/>
          <w:szCs w:val="24"/>
        </w:rPr>
        <w:t>2. It is also supported by the statutes governing the conduct of pedestrians, §§ 42-4-801 to -803; § 42-4-805, C.R.S., and bicyclists, § 42-4-1412, C.R.S.</w:t>
      </w:r>
    </w:p>
    <w:p w14:paraId="7AAC449D" w14:textId="77777777" w:rsidR="00DA1796" w:rsidRPr="00DA1796" w:rsidRDefault="00DA1796" w:rsidP="00DA1796">
      <w:pPr>
        <w:spacing w:after="240"/>
        <w:ind w:firstLine="720"/>
        <w:rPr>
          <w:rFonts w:eastAsia="Times New Roman"/>
          <w:sz w:val="24"/>
          <w:szCs w:val="24"/>
        </w:rPr>
      </w:pPr>
      <w:r w:rsidRPr="00DA1796">
        <w:rPr>
          <w:rFonts w:eastAsia="Times New Roman"/>
          <w:sz w:val="24"/>
          <w:szCs w:val="24"/>
        </w:rPr>
        <w:t xml:space="preserve">3. “[A] pedestrian is ‘a person who travels on foot’ or ‘one walking as distinguished from one traveling by car or cycle.’” </w:t>
      </w:r>
      <w:r w:rsidRPr="00DA1796">
        <w:rPr>
          <w:rFonts w:eastAsia="Times New Roman"/>
          <w:b/>
          <w:sz w:val="24"/>
          <w:szCs w:val="24"/>
        </w:rPr>
        <w:t>Francen v. Colo. Dep’t of Revenue</w:t>
      </w:r>
      <w:r w:rsidRPr="00DA1796">
        <w:rPr>
          <w:rFonts w:eastAsia="Times New Roman"/>
          <w:sz w:val="24"/>
          <w:szCs w:val="24"/>
        </w:rPr>
        <w:t xml:space="preserve">, 2012 COA 110, ¶ 79 (quoting </w:t>
      </w:r>
      <w:r w:rsidRPr="0083254A">
        <w:rPr>
          <w:rFonts w:eastAsia="Times New Roman"/>
          <w:smallCaps/>
          <w:sz w:val="24"/>
          <w:szCs w:val="24"/>
        </w:rPr>
        <w:t>Webster’s Third New International Dictionary</w:t>
      </w:r>
      <w:r w:rsidRPr="00DA1796">
        <w:rPr>
          <w:rFonts w:eastAsia="Times New Roman"/>
          <w:sz w:val="24"/>
          <w:szCs w:val="24"/>
        </w:rPr>
        <w:t xml:space="preserve"> 1664 (2002)), </w:t>
      </w:r>
      <w:r w:rsidRPr="00DA1796">
        <w:rPr>
          <w:rFonts w:eastAsia="Times New Roman"/>
          <w:i/>
          <w:sz w:val="24"/>
          <w:szCs w:val="24"/>
        </w:rPr>
        <w:t>aff’d</w:t>
      </w:r>
      <w:r w:rsidRPr="00DA1796">
        <w:rPr>
          <w:rFonts w:eastAsia="Times New Roman"/>
          <w:sz w:val="24"/>
          <w:szCs w:val="24"/>
        </w:rPr>
        <w:t>, 2014 CO 54, 328 P.3d 111.</w:t>
      </w:r>
    </w:p>
    <w:p w14:paraId="3DD1413B" w14:textId="77777777" w:rsidR="008C1739" w:rsidRDefault="008C1739">
      <w:pPr>
        <w:rPr>
          <w:rFonts w:eastAsia="Times New Roman"/>
          <w:sz w:val="24"/>
          <w:szCs w:val="24"/>
        </w:rPr>
      </w:pPr>
      <w:r>
        <w:rPr>
          <w:rFonts w:eastAsia="Times New Roman"/>
          <w:sz w:val="24"/>
          <w:szCs w:val="24"/>
        </w:rPr>
        <w:br w:type="page"/>
      </w:r>
    </w:p>
    <w:p w14:paraId="1FC05A90" w14:textId="77777777" w:rsidR="008C1739" w:rsidRPr="009E3DA4" w:rsidRDefault="008C1739" w:rsidP="008C1739">
      <w:pPr>
        <w:spacing w:after="240"/>
        <w:ind w:left="720" w:hanging="720"/>
        <w:rPr>
          <w:rFonts w:eastAsia="Times New Roman"/>
          <w:b/>
          <w:sz w:val="24"/>
          <w:szCs w:val="24"/>
        </w:rPr>
      </w:pPr>
      <w:bookmarkStart w:id="3" w:name="a11_04"/>
      <w:bookmarkEnd w:id="3"/>
      <w:r w:rsidRPr="008C1739">
        <w:rPr>
          <w:rFonts w:eastAsia="Times New Roman"/>
          <w:b/>
          <w:sz w:val="24"/>
          <w:szCs w:val="24"/>
        </w:rPr>
        <w:lastRenderedPageBreak/>
        <w:t xml:space="preserve">11:4 </w:t>
      </w:r>
      <w:r w:rsidRPr="008C1739">
        <w:rPr>
          <w:rFonts w:eastAsia="Times New Roman"/>
          <w:b/>
          <w:sz w:val="24"/>
          <w:szCs w:val="24"/>
        </w:rPr>
        <w:tab/>
        <w:t>PEDESTRIAN IN CROSSWALK</w:t>
      </w:r>
    </w:p>
    <w:p w14:paraId="315F0FE5" w14:textId="77777777" w:rsidR="008C1739" w:rsidRPr="008C1739" w:rsidRDefault="008C1739" w:rsidP="008C1739">
      <w:pPr>
        <w:spacing w:after="240"/>
        <w:ind w:firstLine="720"/>
        <w:rPr>
          <w:rFonts w:eastAsia="Times New Roman"/>
          <w:b/>
          <w:sz w:val="24"/>
          <w:szCs w:val="24"/>
        </w:rPr>
      </w:pPr>
      <w:r w:rsidRPr="008C1739">
        <w:rPr>
          <w:rFonts w:eastAsia="Times New Roman"/>
          <w:b/>
          <w:sz w:val="24"/>
          <w:szCs w:val="24"/>
        </w:rPr>
        <w:t>A pedestrian who is properly in a crosswalk has the right of way over vehicular traffic.</w:t>
      </w:r>
    </w:p>
    <w:p w14:paraId="26F185E8" w14:textId="77777777" w:rsidR="008C1739" w:rsidRDefault="008C1739" w:rsidP="008C1739">
      <w:pPr>
        <w:jc w:val="center"/>
        <w:rPr>
          <w:rFonts w:eastAsia="Times New Roman"/>
          <w:sz w:val="24"/>
          <w:szCs w:val="24"/>
        </w:rPr>
      </w:pPr>
    </w:p>
    <w:p w14:paraId="1AAAD439" w14:textId="77777777" w:rsidR="008C1739" w:rsidRPr="0054263B" w:rsidRDefault="008C1739" w:rsidP="008C1739">
      <w:pPr>
        <w:keepNext/>
        <w:spacing w:after="240"/>
        <w:jc w:val="center"/>
        <w:rPr>
          <w:rFonts w:eastAsia="Times New Roman"/>
          <w:b/>
          <w:sz w:val="24"/>
          <w:szCs w:val="24"/>
        </w:rPr>
      </w:pPr>
      <w:r w:rsidRPr="0054263B">
        <w:rPr>
          <w:rFonts w:eastAsia="Times New Roman"/>
          <w:b/>
          <w:sz w:val="24"/>
          <w:szCs w:val="24"/>
        </w:rPr>
        <w:t>Notes on Use</w:t>
      </w:r>
    </w:p>
    <w:p w14:paraId="269C585D" w14:textId="77777777" w:rsidR="008C1739" w:rsidRPr="00F4024C" w:rsidRDefault="008C1739" w:rsidP="008C1739">
      <w:pPr>
        <w:spacing w:after="240"/>
        <w:ind w:firstLine="720"/>
        <w:rPr>
          <w:rFonts w:eastAsia="Times New Roman"/>
          <w:sz w:val="24"/>
          <w:szCs w:val="24"/>
        </w:rPr>
      </w:pPr>
      <w:r w:rsidRPr="008C1739">
        <w:rPr>
          <w:rFonts w:eastAsia="Times New Roman"/>
          <w:sz w:val="24"/>
          <w:szCs w:val="24"/>
        </w:rPr>
        <w:t xml:space="preserve">This instruction should be appropriately modified if there is evidence that the pedestrian was not in a crosswalk. A pedestrian who is not properly in a crosswalk is not necessarily negligent, however, such failure must also have been a cause of the pedestrian’s injuries. </w:t>
      </w:r>
      <w:r w:rsidRPr="008C1739">
        <w:rPr>
          <w:rFonts w:eastAsia="Times New Roman"/>
          <w:b/>
          <w:sz w:val="24"/>
          <w:szCs w:val="24"/>
        </w:rPr>
        <w:t>Radetsky v. Leonard</w:t>
      </w:r>
      <w:r w:rsidRPr="008C1739">
        <w:rPr>
          <w:rFonts w:eastAsia="Times New Roman"/>
          <w:sz w:val="24"/>
          <w:szCs w:val="24"/>
        </w:rPr>
        <w:t>, 145 Colo. 358, 358 P.2d 1014 (1961)</w:t>
      </w:r>
      <w:r w:rsidR="00623F62">
        <w:rPr>
          <w:rFonts w:eastAsia="Times New Roman"/>
          <w:sz w:val="24"/>
          <w:szCs w:val="24"/>
        </w:rPr>
        <w:t>;</w:t>
      </w:r>
      <w:r w:rsidR="00F4024C">
        <w:rPr>
          <w:rFonts w:eastAsia="Times New Roman"/>
          <w:sz w:val="24"/>
          <w:szCs w:val="24"/>
        </w:rPr>
        <w:t xml:space="preserve"> </w:t>
      </w:r>
      <w:r w:rsidR="00623F62" w:rsidRPr="00F4024C">
        <w:rPr>
          <w:rFonts w:eastAsia="Times New Roman"/>
          <w:i/>
          <w:sz w:val="24"/>
          <w:szCs w:val="24"/>
        </w:rPr>
        <w:t>cf.</w:t>
      </w:r>
      <w:r w:rsidR="00623F62" w:rsidRPr="00F4024C">
        <w:rPr>
          <w:rFonts w:eastAsia="Times New Roman"/>
          <w:sz w:val="24"/>
          <w:szCs w:val="24"/>
        </w:rPr>
        <w:t xml:space="preserve"> </w:t>
      </w:r>
      <w:r w:rsidR="00623F62" w:rsidRPr="00F4024C">
        <w:rPr>
          <w:rFonts w:eastAsia="Times New Roman"/>
          <w:b/>
          <w:sz w:val="24"/>
          <w:szCs w:val="24"/>
        </w:rPr>
        <w:t>May v. Petersen</w:t>
      </w:r>
      <w:r w:rsidR="00623F62" w:rsidRPr="00F4024C">
        <w:rPr>
          <w:rFonts w:eastAsia="Times New Roman"/>
          <w:sz w:val="24"/>
          <w:szCs w:val="24"/>
        </w:rPr>
        <w:t>, 2020 COA 75, 465 P.3d 589 (where vehicle already in and blocking crosswalk when wheelchair-bound pedestrian entered crosswalk, pedestrian did not have right of way; ramp leading to crosswalk is not a part of the crosswalk)</w:t>
      </w:r>
      <w:bookmarkStart w:id="4" w:name="_GoBack"/>
      <w:bookmarkEnd w:id="4"/>
      <w:r w:rsidRPr="00F4024C">
        <w:rPr>
          <w:rFonts w:eastAsia="Times New Roman"/>
          <w:sz w:val="24"/>
          <w:szCs w:val="24"/>
        </w:rPr>
        <w:t>.</w:t>
      </w:r>
    </w:p>
    <w:p w14:paraId="56F6B077" w14:textId="77777777" w:rsidR="008C1739" w:rsidRPr="0054263B" w:rsidRDefault="008C1739" w:rsidP="008C1739">
      <w:pPr>
        <w:keepNext/>
        <w:spacing w:after="240"/>
        <w:jc w:val="center"/>
        <w:rPr>
          <w:rFonts w:eastAsia="Times New Roman"/>
          <w:b/>
          <w:sz w:val="24"/>
          <w:szCs w:val="24"/>
        </w:rPr>
      </w:pPr>
      <w:r>
        <w:rPr>
          <w:rFonts w:eastAsia="Times New Roman"/>
          <w:b/>
          <w:sz w:val="24"/>
          <w:szCs w:val="24"/>
        </w:rPr>
        <w:t>Source and Authority</w:t>
      </w:r>
    </w:p>
    <w:p w14:paraId="50DCA669" w14:textId="77777777" w:rsidR="008C1739" w:rsidRPr="008C1739" w:rsidRDefault="008C1739" w:rsidP="008C1739">
      <w:pPr>
        <w:spacing w:after="240"/>
        <w:ind w:firstLine="720"/>
        <w:rPr>
          <w:rFonts w:eastAsia="Times New Roman"/>
          <w:sz w:val="24"/>
          <w:szCs w:val="24"/>
        </w:rPr>
      </w:pPr>
      <w:r w:rsidRPr="008C1739">
        <w:rPr>
          <w:rFonts w:eastAsia="Times New Roman"/>
          <w:sz w:val="24"/>
          <w:szCs w:val="24"/>
        </w:rPr>
        <w:t xml:space="preserve">This instruction is supported by the statutory provisions governing the rights of way between pedestrians and motor vehicles, including sections 42-4-801 to -803 and 42-4-805 to -808, C.R.S. </w:t>
      </w:r>
      <w:r w:rsidRPr="008C1739">
        <w:rPr>
          <w:rFonts w:eastAsia="Times New Roman"/>
          <w:i/>
          <w:sz w:val="24"/>
          <w:szCs w:val="24"/>
        </w:rPr>
        <w:t>See also</w:t>
      </w:r>
      <w:r w:rsidRPr="008C1739">
        <w:rPr>
          <w:rFonts w:eastAsia="Times New Roman"/>
          <w:sz w:val="24"/>
          <w:szCs w:val="24"/>
        </w:rPr>
        <w:t xml:space="preserve"> </w:t>
      </w:r>
      <w:r w:rsidRPr="008C1739">
        <w:rPr>
          <w:rFonts w:eastAsia="Times New Roman"/>
          <w:b/>
          <w:sz w:val="24"/>
          <w:szCs w:val="24"/>
        </w:rPr>
        <w:t>Ridenour v. Diffee</w:t>
      </w:r>
      <w:r w:rsidRPr="008C1739">
        <w:rPr>
          <w:rFonts w:eastAsia="Times New Roman"/>
          <w:sz w:val="24"/>
          <w:szCs w:val="24"/>
        </w:rPr>
        <w:t>, 133 Colo. 467, 297 P.2d 280 (1956).</w:t>
      </w:r>
    </w:p>
    <w:p w14:paraId="3BE8FA8A" w14:textId="77777777" w:rsidR="005F5A94" w:rsidRDefault="005F5A94">
      <w:pPr>
        <w:rPr>
          <w:rFonts w:eastAsia="Times New Roman"/>
          <w:sz w:val="24"/>
          <w:szCs w:val="24"/>
        </w:rPr>
      </w:pPr>
      <w:r>
        <w:rPr>
          <w:rFonts w:eastAsia="Times New Roman"/>
          <w:sz w:val="24"/>
          <w:szCs w:val="24"/>
        </w:rPr>
        <w:br w:type="page"/>
      </w:r>
    </w:p>
    <w:p w14:paraId="73E0454A" w14:textId="77777777" w:rsidR="005F5A94" w:rsidRPr="009E3DA4" w:rsidRDefault="005F5A94" w:rsidP="005F5A94">
      <w:pPr>
        <w:spacing w:after="240"/>
        <w:ind w:left="720" w:hanging="720"/>
        <w:rPr>
          <w:rFonts w:eastAsia="Times New Roman"/>
          <w:b/>
          <w:sz w:val="24"/>
          <w:szCs w:val="24"/>
        </w:rPr>
      </w:pPr>
      <w:bookmarkStart w:id="5" w:name="a11_05"/>
      <w:bookmarkEnd w:id="5"/>
      <w:r w:rsidRPr="005F5A94">
        <w:rPr>
          <w:rFonts w:eastAsia="Times New Roman"/>
          <w:b/>
          <w:sz w:val="24"/>
          <w:szCs w:val="24"/>
        </w:rPr>
        <w:lastRenderedPageBreak/>
        <w:t xml:space="preserve">11:5 </w:t>
      </w:r>
      <w:r w:rsidRPr="005F5A94">
        <w:rPr>
          <w:rFonts w:eastAsia="Times New Roman"/>
          <w:b/>
          <w:sz w:val="24"/>
          <w:szCs w:val="24"/>
        </w:rPr>
        <w:tab/>
        <w:t>DUTY OF CARE OF MINOR OPERATING MOTOR VEHICLE</w:t>
      </w:r>
    </w:p>
    <w:p w14:paraId="7DCF1AD2" w14:textId="77777777" w:rsidR="005F5A94" w:rsidRPr="005F5A94" w:rsidRDefault="005F5A94" w:rsidP="005F5A94">
      <w:pPr>
        <w:spacing w:after="240"/>
        <w:ind w:firstLine="720"/>
        <w:rPr>
          <w:rFonts w:eastAsia="Times New Roman"/>
          <w:b/>
          <w:sz w:val="24"/>
          <w:szCs w:val="24"/>
        </w:rPr>
      </w:pPr>
      <w:r w:rsidRPr="005F5A94">
        <w:rPr>
          <w:rFonts w:eastAsia="Times New Roman"/>
          <w:b/>
          <w:sz w:val="24"/>
          <w:szCs w:val="24"/>
        </w:rPr>
        <w:t>A minor driver has the same duty of care as an adult driver.</w:t>
      </w:r>
    </w:p>
    <w:p w14:paraId="0D44DCB5" w14:textId="77777777" w:rsidR="005F5A94" w:rsidRDefault="005F5A94" w:rsidP="005F5A94">
      <w:pPr>
        <w:jc w:val="center"/>
        <w:rPr>
          <w:rFonts w:eastAsia="Times New Roman"/>
          <w:sz w:val="24"/>
          <w:szCs w:val="24"/>
        </w:rPr>
      </w:pPr>
    </w:p>
    <w:p w14:paraId="25D3CD51" w14:textId="77777777" w:rsidR="005F5A94" w:rsidRPr="0054263B" w:rsidRDefault="005F5A94" w:rsidP="005F5A94">
      <w:pPr>
        <w:keepNext/>
        <w:spacing w:after="240"/>
        <w:jc w:val="center"/>
        <w:rPr>
          <w:rFonts w:eastAsia="Times New Roman"/>
          <w:b/>
          <w:sz w:val="24"/>
          <w:szCs w:val="24"/>
        </w:rPr>
      </w:pPr>
      <w:r w:rsidRPr="0054263B">
        <w:rPr>
          <w:rFonts w:eastAsia="Times New Roman"/>
          <w:b/>
          <w:sz w:val="24"/>
          <w:szCs w:val="24"/>
        </w:rPr>
        <w:t>Notes on Use</w:t>
      </w:r>
    </w:p>
    <w:p w14:paraId="497873CB" w14:textId="77777777" w:rsidR="005F5A94" w:rsidRPr="005F5A94" w:rsidRDefault="005F5A94" w:rsidP="005F5A94">
      <w:pPr>
        <w:spacing w:after="240"/>
        <w:ind w:firstLine="720"/>
        <w:rPr>
          <w:rFonts w:eastAsia="Times New Roman"/>
          <w:sz w:val="24"/>
          <w:szCs w:val="24"/>
        </w:rPr>
      </w:pPr>
      <w:r w:rsidRPr="005F5A94">
        <w:rPr>
          <w:rFonts w:eastAsia="Times New Roman"/>
          <w:sz w:val="24"/>
          <w:szCs w:val="24"/>
        </w:rPr>
        <w:t>1. This instruction should be used in cases where a minor is alleged to have operated a motor vehicle negligently. For the appropriate instruction when a child has allegedly acted negligently while engaged in other activities, see Instruction 9:9.</w:t>
      </w:r>
    </w:p>
    <w:p w14:paraId="2CFF04A5" w14:textId="77777777" w:rsidR="005F5A94" w:rsidRPr="005F5A94" w:rsidRDefault="005F5A94" w:rsidP="005F5A94">
      <w:pPr>
        <w:spacing w:after="240"/>
        <w:ind w:firstLine="720"/>
        <w:rPr>
          <w:rFonts w:eastAsia="Times New Roman"/>
          <w:sz w:val="24"/>
          <w:szCs w:val="24"/>
        </w:rPr>
      </w:pPr>
      <w:r w:rsidRPr="005F5A94">
        <w:rPr>
          <w:rFonts w:eastAsia="Times New Roman"/>
          <w:sz w:val="24"/>
          <w:szCs w:val="24"/>
        </w:rPr>
        <w:t xml:space="preserve">2. This instruction does not apply to a child under the age of seven. </w:t>
      </w:r>
      <w:r w:rsidRPr="005F5A94">
        <w:rPr>
          <w:rFonts w:eastAsia="Times New Roman"/>
          <w:i/>
          <w:sz w:val="24"/>
          <w:szCs w:val="24"/>
        </w:rPr>
        <w:t>See</w:t>
      </w:r>
      <w:r w:rsidRPr="005F5A94">
        <w:rPr>
          <w:rFonts w:eastAsia="Times New Roman"/>
          <w:sz w:val="24"/>
          <w:szCs w:val="24"/>
        </w:rPr>
        <w:t xml:space="preserve"> Instruction 9:9. </w:t>
      </w:r>
    </w:p>
    <w:p w14:paraId="4E61F5DF" w14:textId="77777777" w:rsidR="005F5A94" w:rsidRPr="005F5A94" w:rsidRDefault="005F5A94" w:rsidP="005F5A94">
      <w:pPr>
        <w:spacing w:after="240"/>
        <w:ind w:firstLine="720"/>
        <w:rPr>
          <w:rFonts w:eastAsia="Times New Roman"/>
          <w:sz w:val="24"/>
          <w:szCs w:val="24"/>
        </w:rPr>
      </w:pPr>
      <w:r w:rsidRPr="005F5A94">
        <w:rPr>
          <w:rFonts w:eastAsia="Times New Roman"/>
          <w:sz w:val="24"/>
          <w:szCs w:val="24"/>
        </w:rPr>
        <w:t xml:space="preserve">3. This instruction applies whether the minor is licensed or unlicensed. </w:t>
      </w:r>
      <w:r w:rsidRPr="005F5A94">
        <w:rPr>
          <w:rFonts w:eastAsia="Times New Roman"/>
          <w:i/>
          <w:sz w:val="24"/>
          <w:szCs w:val="24"/>
        </w:rPr>
        <w:t>See</w:t>
      </w:r>
      <w:r w:rsidRPr="005F5A94">
        <w:rPr>
          <w:rFonts w:eastAsia="Times New Roman"/>
          <w:sz w:val="24"/>
          <w:szCs w:val="24"/>
        </w:rPr>
        <w:t xml:space="preserve"> Instruction 11:7.</w:t>
      </w:r>
    </w:p>
    <w:p w14:paraId="1F22543D" w14:textId="77777777" w:rsidR="005F5A94" w:rsidRPr="0054263B" w:rsidRDefault="005F5A94" w:rsidP="005F5A94">
      <w:pPr>
        <w:keepNext/>
        <w:spacing w:after="240"/>
        <w:jc w:val="center"/>
        <w:rPr>
          <w:rFonts w:eastAsia="Times New Roman"/>
          <w:b/>
          <w:sz w:val="24"/>
          <w:szCs w:val="24"/>
        </w:rPr>
      </w:pPr>
      <w:r>
        <w:rPr>
          <w:rFonts w:eastAsia="Times New Roman"/>
          <w:b/>
          <w:sz w:val="24"/>
          <w:szCs w:val="24"/>
        </w:rPr>
        <w:t>Source and Authority</w:t>
      </w:r>
    </w:p>
    <w:p w14:paraId="0306750A" w14:textId="77777777" w:rsidR="005F5A94" w:rsidRPr="005F5A94" w:rsidRDefault="005F5A94" w:rsidP="005F5A94">
      <w:pPr>
        <w:spacing w:after="240"/>
        <w:ind w:firstLine="720"/>
        <w:rPr>
          <w:rFonts w:eastAsia="Times New Roman"/>
          <w:sz w:val="24"/>
          <w:szCs w:val="24"/>
        </w:rPr>
      </w:pPr>
      <w:r w:rsidRPr="005F5A94">
        <w:rPr>
          <w:rFonts w:eastAsia="Times New Roman"/>
          <w:sz w:val="24"/>
          <w:szCs w:val="24"/>
        </w:rPr>
        <w:t xml:space="preserve">This instruction is supported by </w:t>
      </w:r>
      <w:r w:rsidRPr="005F5A94">
        <w:rPr>
          <w:rFonts w:eastAsia="Times New Roman"/>
          <w:b/>
          <w:sz w:val="24"/>
          <w:szCs w:val="24"/>
        </w:rPr>
        <w:t>Doran v. Jensen</w:t>
      </w:r>
      <w:r w:rsidRPr="005F5A94">
        <w:rPr>
          <w:rFonts w:eastAsia="Times New Roman"/>
          <w:sz w:val="24"/>
          <w:szCs w:val="24"/>
        </w:rPr>
        <w:t>,</w:t>
      </w:r>
      <w:r w:rsidRPr="005F5A94">
        <w:rPr>
          <w:rFonts w:eastAsia="Times New Roman"/>
          <w:b/>
          <w:sz w:val="24"/>
          <w:szCs w:val="24"/>
        </w:rPr>
        <w:t xml:space="preserve"> </w:t>
      </w:r>
      <w:r w:rsidRPr="005F5A94">
        <w:rPr>
          <w:rFonts w:eastAsia="Times New Roman"/>
          <w:sz w:val="24"/>
          <w:szCs w:val="24"/>
        </w:rPr>
        <w:t xml:space="preserve">504 P.2d 354 (Colo. App. 1972) (not published pursuant to C.A.R. 35(f)) (approving instruction as correct statement of Colorado law). </w:t>
      </w:r>
      <w:r w:rsidRPr="005F5A94">
        <w:rPr>
          <w:rFonts w:eastAsia="Times New Roman"/>
          <w:i/>
          <w:sz w:val="24"/>
          <w:szCs w:val="24"/>
        </w:rPr>
        <w:t xml:space="preserve">See also </w:t>
      </w:r>
      <w:r w:rsidRPr="005F5A94">
        <w:rPr>
          <w:rFonts w:eastAsia="Times New Roman"/>
          <w:smallCaps/>
          <w:sz w:val="24"/>
          <w:szCs w:val="24"/>
        </w:rPr>
        <w:t>Restatement (Second) of Torts</w:t>
      </w:r>
      <w:r w:rsidRPr="005F5A94">
        <w:rPr>
          <w:rFonts w:eastAsia="Times New Roman"/>
          <w:sz w:val="24"/>
          <w:szCs w:val="24"/>
        </w:rPr>
        <w:t xml:space="preserve"> § 283A cmt. c (1965); 1 </w:t>
      </w:r>
      <w:r w:rsidRPr="005F5A94">
        <w:rPr>
          <w:rFonts w:eastAsia="Times New Roman"/>
          <w:smallCaps/>
          <w:sz w:val="24"/>
          <w:szCs w:val="24"/>
        </w:rPr>
        <w:t>D. Dobbs, The Law of Torts</w:t>
      </w:r>
      <w:r w:rsidRPr="005F5A94">
        <w:rPr>
          <w:rFonts w:eastAsia="Times New Roman"/>
          <w:sz w:val="24"/>
          <w:szCs w:val="24"/>
        </w:rPr>
        <w:t xml:space="preserve"> § 127 (2000); </w:t>
      </w:r>
      <w:r w:rsidRPr="005F5A94">
        <w:rPr>
          <w:rFonts w:eastAsia="Times New Roman"/>
          <w:smallCaps/>
          <w:sz w:val="24"/>
          <w:szCs w:val="24"/>
        </w:rPr>
        <w:t>W. Page Keeton et al., Prosser and Keeton on the Law of Torts</w:t>
      </w:r>
      <w:r w:rsidRPr="005F5A94">
        <w:rPr>
          <w:rFonts w:eastAsia="Times New Roman"/>
          <w:sz w:val="24"/>
          <w:szCs w:val="24"/>
        </w:rPr>
        <w:t xml:space="preserve"> § 32, at 181 (5th ed. 1984). </w:t>
      </w:r>
    </w:p>
    <w:p w14:paraId="29C4C20C" w14:textId="77777777" w:rsidR="005F5A94" w:rsidRDefault="005F5A94">
      <w:pPr>
        <w:rPr>
          <w:rFonts w:eastAsia="Times New Roman"/>
          <w:sz w:val="24"/>
          <w:szCs w:val="24"/>
        </w:rPr>
      </w:pPr>
      <w:r>
        <w:rPr>
          <w:rFonts w:eastAsia="Times New Roman"/>
          <w:sz w:val="24"/>
          <w:szCs w:val="24"/>
        </w:rPr>
        <w:br w:type="page"/>
      </w:r>
    </w:p>
    <w:p w14:paraId="7C550FCA" w14:textId="77777777" w:rsidR="005F5A94" w:rsidRPr="009E3DA4" w:rsidRDefault="005F5A94" w:rsidP="005F5A94">
      <w:pPr>
        <w:spacing w:after="240"/>
        <w:ind w:left="720" w:hanging="720"/>
        <w:rPr>
          <w:rFonts w:eastAsia="Times New Roman"/>
          <w:b/>
          <w:sz w:val="24"/>
          <w:szCs w:val="24"/>
        </w:rPr>
      </w:pPr>
      <w:bookmarkStart w:id="6" w:name="a11_06"/>
      <w:bookmarkEnd w:id="6"/>
      <w:r w:rsidRPr="005F5A94">
        <w:rPr>
          <w:rFonts w:eastAsia="Times New Roman"/>
          <w:b/>
          <w:sz w:val="24"/>
          <w:szCs w:val="24"/>
        </w:rPr>
        <w:lastRenderedPageBreak/>
        <w:t xml:space="preserve">11:6 </w:t>
      </w:r>
      <w:r w:rsidRPr="005F5A94">
        <w:rPr>
          <w:rFonts w:eastAsia="Times New Roman"/>
          <w:b/>
          <w:sz w:val="24"/>
          <w:szCs w:val="24"/>
        </w:rPr>
        <w:tab/>
        <w:t>DUTY OF CARE OF PHYSICALLY OR MENTALLY HANDICAPPED DRIVER</w:t>
      </w:r>
    </w:p>
    <w:p w14:paraId="664BA986" w14:textId="77777777" w:rsidR="005F5A94" w:rsidRPr="005F5A94" w:rsidRDefault="005F5A94" w:rsidP="005F5A94">
      <w:pPr>
        <w:spacing w:after="240"/>
        <w:ind w:firstLine="720"/>
        <w:rPr>
          <w:rFonts w:eastAsia="Times New Roman"/>
          <w:b/>
          <w:sz w:val="24"/>
          <w:szCs w:val="24"/>
        </w:rPr>
      </w:pPr>
      <w:r w:rsidRPr="005F5A94">
        <w:rPr>
          <w:rFonts w:eastAsia="Times New Roman"/>
          <w:b/>
          <w:sz w:val="24"/>
          <w:szCs w:val="24"/>
        </w:rPr>
        <w:t xml:space="preserve">A (mentally) (physically) handicapped driver has the same duty of care as a driver who is not handicapped. </w:t>
      </w:r>
    </w:p>
    <w:p w14:paraId="7FB35E4E" w14:textId="77777777" w:rsidR="005F5A94" w:rsidRDefault="005F5A94" w:rsidP="005F5A94">
      <w:pPr>
        <w:jc w:val="center"/>
        <w:rPr>
          <w:rFonts w:eastAsia="Times New Roman"/>
          <w:sz w:val="24"/>
          <w:szCs w:val="24"/>
        </w:rPr>
      </w:pPr>
    </w:p>
    <w:p w14:paraId="1F35D45E" w14:textId="77777777" w:rsidR="005F5A94" w:rsidRPr="0054263B" w:rsidRDefault="005F5A94" w:rsidP="005F5A94">
      <w:pPr>
        <w:keepNext/>
        <w:spacing w:after="240"/>
        <w:jc w:val="center"/>
        <w:rPr>
          <w:rFonts w:eastAsia="Times New Roman"/>
          <w:b/>
          <w:sz w:val="24"/>
          <w:szCs w:val="24"/>
        </w:rPr>
      </w:pPr>
      <w:r w:rsidRPr="0054263B">
        <w:rPr>
          <w:rFonts w:eastAsia="Times New Roman"/>
          <w:b/>
          <w:sz w:val="24"/>
          <w:szCs w:val="24"/>
        </w:rPr>
        <w:t>Notes on Use</w:t>
      </w:r>
    </w:p>
    <w:p w14:paraId="6F20E1B4" w14:textId="77777777" w:rsidR="005F5A94" w:rsidRPr="005F5A94" w:rsidRDefault="005F5A94" w:rsidP="005F5A94">
      <w:pPr>
        <w:spacing w:after="240"/>
        <w:ind w:firstLine="720"/>
        <w:rPr>
          <w:rFonts w:eastAsia="Times New Roman"/>
          <w:sz w:val="24"/>
          <w:szCs w:val="24"/>
        </w:rPr>
      </w:pPr>
      <w:r w:rsidRPr="005F5A94">
        <w:rPr>
          <w:rFonts w:eastAsia="Times New Roman"/>
          <w:sz w:val="24"/>
          <w:szCs w:val="24"/>
        </w:rPr>
        <w:t xml:space="preserve">1. This instruction should be used whenever the negligence of a handicapped automobile operator is in issue. </w:t>
      </w:r>
    </w:p>
    <w:p w14:paraId="5B7FA223" w14:textId="77777777" w:rsidR="005F5A94" w:rsidRPr="005F5A94" w:rsidRDefault="005F5A94" w:rsidP="005F5A94">
      <w:pPr>
        <w:spacing w:after="240"/>
        <w:ind w:firstLine="720"/>
        <w:rPr>
          <w:rFonts w:eastAsia="Times New Roman"/>
          <w:sz w:val="24"/>
          <w:szCs w:val="24"/>
        </w:rPr>
      </w:pPr>
      <w:r w:rsidRPr="005F5A94">
        <w:rPr>
          <w:rFonts w:eastAsia="Times New Roman"/>
          <w:sz w:val="24"/>
          <w:szCs w:val="24"/>
        </w:rPr>
        <w:t xml:space="preserve">2. While a handicap does not change a person’s duty to exercise reasonable care, it is one of the “same or similar circumstances” as those terms are used in Instructions 9:6 (defining negligence) and 9:8 (defining reasonable care) that the jury should consider in determining whether a handicapped person was negligent. </w:t>
      </w:r>
      <w:r w:rsidRPr="005F5A94">
        <w:rPr>
          <w:rFonts w:eastAsia="Times New Roman"/>
          <w:i/>
          <w:sz w:val="24"/>
          <w:szCs w:val="24"/>
        </w:rPr>
        <w:t>See</w:t>
      </w:r>
      <w:r w:rsidRPr="005F5A94">
        <w:rPr>
          <w:rFonts w:eastAsia="Times New Roman"/>
          <w:sz w:val="24"/>
          <w:szCs w:val="24"/>
        </w:rPr>
        <w:t xml:space="preserve"> </w:t>
      </w:r>
      <w:r w:rsidRPr="005F5A94">
        <w:rPr>
          <w:rFonts w:eastAsia="Times New Roman"/>
          <w:smallCaps/>
          <w:sz w:val="24"/>
          <w:szCs w:val="24"/>
        </w:rPr>
        <w:t>Restatement (Second) of Torts</w:t>
      </w:r>
      <w:r w:rsidRPr="005F5A94">
        <w:rPr>
          <w:rFonts w:eastAsia="Times New Roman"/>
          <w:sz w:val="24"/>
          <w:szCs w:val="24"/>
        </w:rPr>
        <w:t xml:space="preserve"> §§ 283B &amp; 283C (1965); 1 </w:t>
      </w:r>
      <w:r w:rsidRPr="005F5A94">
        <w:rPr>
          <w:rFonts w:eastAsia="Times New Roman"/>
          <w:smallCaps/>
          <w:sz w:val="24"/>
          <w:szCs w:val="24"/>
        </w:rPr>
        <w:t>D. Dobbs, The Law of Torts</w:t>
      </w:r>
      <w:r w:rsidRPr="005F5A94">
        <w:rPr>
          <w:rFonts w:eastAsia="Times New Roman"/>
          <w:sz w:val="24"/>
          <w:szCs w:val="24"/>
        </w:rPr>
        <w:t xml:space="preserve"> §§ 119-121 (2000); </w:t>
      </w:r>
      <w:r w:rsidRPr="005F5A94">
        <w:rPr>
          <w:rFonts w:eastAsia="Times New Roman"/>
          <w:smallCaps/>
          <w:sz w:val="24"/>
          <w:szCs w:val="24"/>
        </w:rPr>
        <w:t>W. Page Keeton et al., Prosser and Keeton on the Law of Torts</w:t>
      </w:r>
      <w:r w:rsidRPr="005F5A94">
        <w:rPr>
          <w:rFonts w:eastAsia="Times New Roman"/>
          <w:sz w:val="24"/>
          <w:szCs w:val="24"/>
        </w:rPr>
        <w:t xml:space="preserve"> § 32, at 175-79 (5th ed. 1984).</w:t>
      </w:r>
    </w:p>
    <w:p w14:paraId="4A7BFA59" w14:textId="77777777" w:rsidR="005F5A94" w:rsidRPr="0054263B" w:rsidRDefault="005F5A94" w:rsidP="005F5A94">
      <w:pPr>
        <w:keepNext/>
        <w:spacing w:after="240"/>
        <w:jc w:val="center"/>
        <w:rPr>
          <w:rFonts w:eastAsia="Times New Roman"/>
          <w:b/>
          <w:sz w:val="24"/>
          <w:szCs w:val="24"/>
        </w:rPr>
      </w:pPr>
      <w:r>
        <w:rPr>
          <w:rFonts w:eastAsia="Times New Roman"/>
          <w:b/>
          <w:sz w:val="24"/>
          <w:szCs w:val="24"/>
        </w:rPr>
        <w:t>Source and Authority</w:t>
      </w:r>
    </w:p>
    <w:p w14:paraId="113FF5D0" w14:textId="77777777" w:rsidR="005F5A94" w:rsidRPr="005F5A94" w:rsidRDefault="005F5A94" w:rsidP="005F5A94">
      <w:pPr>
        <w:spacing w:after="240"/>
        <w:ind w:firstLine="720"/>
        <w:rPr>
          <w:rFonts w:eastAsia="Times New Roman"/>
          <w:sz w:val="24"/>
          <w:szCs w:val="24"/>
        </w:rPr>
      </w:pPr>
      <w:r w:rsidRPr="005F5A94">
        <w:rPr>
          <w:rFonts w:eastAsia="Times New Roman"/>
          <w:sz w:val="24"/>
          <w:szCs w:val="24"/>
        </w:rPr>
        <w:t xml:space="preserve">This instruction is supported by </w:t>
      </w:r>
      <w:r w:rsidRPr="005F5A94">
        <w:rPr>
          <w:rFonts w:eastAsia="Times New Roman"/>
          <w:b/>
          <w:sz w:val="24"/>
          <w:szCs w:val="24"/>
        </w:rPr>
        <w:t>Johnson v. Lambotte</w:t>
      </w:r>
      <w:r w:rsidRPr="005F5A94">
        <w:rPr>
          <w:rFonts w:eastAsia="Times New Roman"/>
          <w:sz w:val="24"/>
          <w:szCs w:val="24"/>
        </w:rPr>
        <w:t xml:space="preserve">, 147 Colo. 203, 363 P.2d 165 (1961), and the authorities cited in the above Notes on Use. </w:t>
      </w:r>
      <w:r w:rsidRPr="005F5A94">
        <w:rPr>
          <w:rFonts w:eastAsia="Times New Roman"/>
          <w:i/>
          <w:sz w:val="24"/>
          <w:szCs w:val="24"/>
        </w:rPr>
        <w:t xml:space="preserve">See also </w:t>
      </w:r>
      <w:r w:rsidRPr="005F5A94">
        <w:rPr>
          <w:rFonts w:eastAsia="Times New Roman"/>
          <w:b/>
          <w:sz w:val="24"/>
          <w:szCs w:val="24"/>
        </w:rPr>
        <w:t>Renell v. Argonaut Liquor Co.</w:t>
      </w:r>
      <w:r w:rsidRPr="005F5A94">
        <w:rPr>
          <w:rFonts w:eastAsia="Times New Roman"/>
          <w:sz w:val="24"/>
          <w:szCs w:val="24"/>
        </w:rPr>
        <w:t>, 148 Colo. 154, 365 P.2d 239 (1961).</w:t>
      </w:r>
    </w:p>
    <w:p w14:paraId="5DC5D8FE" w14:textId="77777777" w:rsidR="005F5A94" w:rsidRDefault="005F5A94">
      <w:pPr>
        <w:rPr>
          <w:rFonts w:eastAsia="Times New Roman"/>
          <w:sz w:val="24"/>
          <w:szCs w:val="24"/>
        </w:rPr>
      </w:pPr>
      <w:r>
        <w:rPr>
          <w:rFonts w:eastAsia="Times New Roman"/>
          <w:sz w:val="24"/>
          <w:szCs w:val="24"/>
        </w:rPr>
        <w:br w:type="page"/>
      </w:r>
    </w:p>
    <w:p w14:paraId="0A227D77" w14:textId="77777777" w:rsidR="005F5A94" w:rsidRPr="009E3DA4" w:rsidRDefault="005F5A94" w:rsidP="005F5A94">
      <w:pPr>
        <w:spacing w:after="240"/>
        <w:ind w:left="720" w:hanging="720"/>
        <w:rPr>
          <w:rFonts w:eastAsia="Times New Roman"/>
          <w:b/>
          <w:sz w:val="24"/>
          <w:szCs w:val="24"/>
        </w:rPr>
      </w:pPr>
      <w:bookmarkStart w:id="7" w:name="a11_07"/>
      <w:bookmarkEnd w:id="7"/>
      <w:r w:rsidRPr="005F5A94">
        <w:rPr>
          <w:rFonts w:eastAsia="Times New Roman"/>
          <w:b/>
          <w:sz w:val="24"/>
          <w:szCs w:val="24"/>
        </w:rPr>
        <w:lastRenderedPageBreak/>
        <w:t xml:space="preserve">11:7 </w:t>
      </w:r>
      <w:r w:rsidRPr="005F5A94">
        <w:rPr>
          <w:rFonts w:eastAsia="Times New Roman"/>
          <w:b/>
          <w:sz w:val="24"/>
          <w:szCs w:val="24"/>
        </w:rPr>
        <w:tab/>
        <w:t>DUTY OF CARE OF UNLICENSED DRIVER</w:t>
      </w:r>
    </w:p>
    <w:p w14:paraId="6833F500" w14:textId="77777777" w:rsidR="005F5A94" w:rsidRPr="005F5A94" w:rsidRDefault="005F5A94" w:rsidP="005F5A94">
      <w:pPr>
        <w:spacing w:after="240"/>
        <w:ind w:firstLine="720"/>
        <w:rPr>
          <w:rFonts w:eastAsia="Times New Roman"/>
          <w:b/>
          <w:sz w:val="24"/>
          <w:szCs w:val="24"/>
        </w:rPr>
      </w:pPr>
      <w:r w:rsidRPr="005F5A94">
        <w:rPr>
          <w:rFonts w:eastAsia="Times New Roman"/>
          <w:b/>
          <w:sz w:val="24"/>
          <w:szCs w:val="24"/>
        </w:rPr>
        <w:t xml:space="preserve">An unlicensed driver has the same duty of care as a licensed driver. </w:t>
      </w:r>
    </w:p>
    <w:p w14:paraId="2C4AF8BD" w14:textId="77777777" w:rsidR="005F5A94" w:rsidRDefault="005F5A94" w:rsidP="005F5A94">
      <w:pPr>
        <w:jc w:val="center"/>
        <w:rPr>
          <w:rFonts w:eastAsia="Times New Roman"/>
          <w:sz w:val="24"/>
          <w:szCs w:val="24"/>
        </w:rPr>
      </w:pPr>
    </w:p>
    <w:p w14:paraId="5335282D" w14:textId="77777777" w:rsidR="005F5A94" w:rsidRPr="0054263B" w:rsidRDefault="005F5A94" w:rsidP="005F5A94">
      <w:pPr>
        <w:keepNext/>
        <w:spacing w:after="240"/>
        <w:jc w:val="center"/>
        <w:rPr>
          <w:rFonts w:eastAsia="Times New Roman"/>
          <w:b/>
          <w:sz w:val="24"/>
          <w:szCs w:val="24"/>
        </w:rPr>
      </w:pPr>
      <w:r w:rsidRPr="0054263B">
        <w:rPr>
          <w:rFonts w:eastAsia="Times New Roman"/>
          <w:b/>
          <w:sz w:val="24"/>
          <w:szCs w:val="24"/>
        </w:rPr>
        <w:t>Notes on Use</w:t>
      </w:r>
    </w:p>
    <w:p w14:paraId="3953250F" w14:textId="77777777" w:rsidR="005F5A94" w:rsidRPr="005F5A94" w:rsidRDefault="005F5A94" w:rsidP="005F5A94">
      <w:pPr>
        <w:spacing w:after="240"/>
        <w:ind w:firstLine="720"/>
        <w:rPr>
          <w:rFonts w:eastAsia="Times New Roman"/>
          <w:sz w:val="24"/>
          <w:szCs w:val="24"/>
        </w:rPr>
      </w:pPr>
      <w:r w:rsidRPr="005F5A94">
        <w:rPr>
          <w:rFonts w:eastAsia="Times New Roman"/>
          <w:sz w:val="24"/>
          <w:szCs w:val="24"/>
        </w:rPr>
        <w:t>This instruction should generally be given if evidence has been received of a driver’s lack of a valid license.</w:t>
      </w:r>
    </w:p>
    <w:p w14:paraId="45C17AB4" w14:textId="77777777" w:rsidR="005F5A94" w:rsidRPr="0054263B" w:rsidRDefault="005F5A94" w:rsidP="005F5A94">
      <w:pPr>
        <w:keepNext/>
        <w:spacing w:after="240"/>
        <w:jc w:val="center"/>
        <w:rPr>
          <w:rFonts w:eastAsia="Times New Roman"/>
          <w:b/>
          <w:sz w:val="24"/>
          <w:szCs w:val="24"/>
        </w:rPr>
      </w:pPr>
      <w:r>
        <w:rPr>
          <w:rFonts w:eastAsia="Times New Roman"/>
          <w:b/>
          <w:sz w:val="24"/>
          <w:szCs w:val="24"/>
        </w:rPr>
        <w:t>Source and Authority</w:t>
      </w:r>
    </w:p>
    <w:p w14:paraId="2A8D2575" w14:textId="77777777" w:rsidR="005F5A94" w:rsidRPr="005F5A94" w:rsidRDefault="005F5A94" w:rsidP="005F5A94">
      <w:pPr>
        <w:spacing w:after="240"/>
        <w:ind w:firstLine="720"/>
        <w:rPr>
          <w:rFonts w:eastAsia="Times New Roman"/>
          <w:sz w:val="24"/>
          <w:szCs w:val="24"/>
        </w:rPr>
      </w:pPr>
      <w:r w:rsidRPr="005F5A94">
        <w:rPr>
          <w:rFonts w:eastAsia="Times New Roman"/>
          <w:sz w:val="24"/>
          <w:szCs w:val="24"/>
        </w:rPr>
        <w:t xml:space="preserve">This instruction is supported by R.P. Davis, Annotation, </w:t>
      </w:r>
      <w:r w:rsidRPr="005F5A94">
        <w:rPr>
          <w:rFonts w:eastAsia="Times New Roman"/>
          <w:i/>
          <w:sz w:val="24"/>
          <w:szCs w:val="24"/>
        </w:rPr>
        <w:t>Lack of Proper Automobile Registration or Operator’s License as Evidence of Operator’s Negligence</w:t>
      </w:r>
      <w:r w:rsidRPr="005F5A94">
        <w:rPr>
          <w:rFonts w:eastAsia="Times New Roman"/>
          <w:sz w:val="24"/>
          <w:szCs w:val="24"/>
        </w:rPr>
        <w:t>, 29 A.L.R.2d 963 (1953).</w:t>
      </w:r>
    </w:p>
    <w:p w14:paraId="03E2B9B9" w14:textId="77777777" w:rsidR="005F5A94" w:rsidRDefault="005F5A94">
      <w:pPr>
        <w:rPr>
          <w:rFonts w:eastAsia="Times New Roman"/>
          <w:sz w:val="24"/>
          <w:szCs w:val="24"/>
        </w:rPr>
      </w:pPr>
      <w:r>
        <w:rPr>
          <w:rFonts w:eastAsia="Times New Roman"/>
          <w:sz w:val="24"/>
          <w:szCs w:val="24"/>
        </w:rPr>
        <w:br w:type="page"/>
      </w:r>
    </w:p>
    <w:p w14:paraId="2BFB94DF" w14:textId="77777777" w:rsidR="005F5A94" w:rsidRPr="009E3DA4" w:rsidRDefault="005F5A94" w:rsidP="005F5A94">
      <w:pPr>
        <w:spacing w:after="240"/>
        <w:ind w:left="720" w:hanging="720"/>
        <w:rPr>
          <w:rFonts w:eastAsia="Times New Roman"/>
          <w:b/>
          <w:sz w:val="24"/>
          <w:szCs w:val="24"/>
        </w:rPr>
      </w:pPr>
      <w:bookmarkStart w:id="8" w:name="a11_08"/>
      <w:bookmarkEnd w:id="8"/>
      <w:r w:rsidRPr="005F5A94">
        <w:rPr>
          <w:rFonts w:eastAsia="Times New Roman"/>
          <w:b/>
          <w:sz w:val="24"/>
          <w:szCs w:val="24"/>
        </w:rPr>
        <w:lastRenderedPageBreak/>
        <w:t xml:space="preserve">11:8 </w:t>
      </w:r>
      <w:r w:rsidRPr="005F5A94">
        <w:rPr>
          <w:rFonts w:eastAsia="Times New Roman"/>
          <w:b/>
          <w:sz w:val="24"/>
          <w:szCs w:val="24"/>
        </w:rPr>
        <w:tab/>
        <w:t>DUTY OF CARE AS TO SPEED OF VEHICLE</w:t>
      </w:r>
    </w:p>
    <w:p w14:paraId="6D8AFE5C" w14:textId="77777777" w:rsidR="005F5A94" w:rsidRPr="005F5A94" w:rsidRDefault="005F5A94" w:rsidP="005F5A94">
      <w:pPr>
        <w:spacing w:after="240"/>
        <w:ind w:firstLine="720"/>
        <w:rPr>
          <w:rFonts w:eastAsia="Times New Roman"/>
          <w:b/>
          <w:sz w:val="24"/>
          <w:szCs w:val="24"/>
        </w:rPr>
      </w:pPr>
      <w:r w:rsidRPr="005F5A94">
        <w:rPr>
          <w:rFonts w:eastAsia="Times New Roman"/>
          <w:b/>
          <w:sz w:val="24"/>
          <w:szCs w:val="24"/>
        </w:rPr>
        <w:t>The operator of a vehicle has a duty at all times to drive at a speed no greater than is reasonable under the conditions then existing.</w:t>
      </w:r>
    </w:p>
    <w:p w14:paraId="084CF6FA" w14:textId="77777777" w:rsidR="005F5A94" w:rsidRDefault="005F5A94" w:rsidP="005F5A94">
      <w:pPr>
        <w:jc w:val="center"/>
        <w:rPr>
          <w:rFonts w:eastAsia="Times New Roman"/>
          <w:sz w:val="24"/>
          <w:szCs w:val="24"/>
        </w:rPr>
      </w:pPr>
    </w:p>
    <w:p w14:paraId="0BAB8980" w14:textId="77777777" w:rsidR="005F5A94" w:rsidRPr="0054263B" w:rsidRDefault="005F5A94" w:rsidP="005F5A94">
      <w:pPr>
        <w:keepNext/>
        <w:spacing w:after="240"/>
        <w:jc w:val="center"/>
        <w:rPr>
          <w:rFonts w:eastAsia="Times New Roman"/>
          <w:b/>
          <w:sz w:val="24"/>
          <w:szCs w:val="24"/>
        </w:rPr>
      </w:pPr>
      <w:r w:rsidRPr="0054263B">
        <w:rPr>
          <w:rFonts w:eastAsia="Times New Roman"/>
          <w:b/>
          <w:sz w:val="24"/>
          <w:szCs w:val="24"/>
        </w:rPr>
        <w:t>Notes on Use</w:t>
      </w:r>
    </w:p>
    <w:p w14:paraId="4EC69B36" w14:textId="77777777" w:rsidR="005F5A94" w:rsidRPr="005F5A94" w:rsidRDefault="005F5A94" w:rsidP="005F5A94">
      <w:pPr>
        <w:spacing w:after="240"/>
        <w:ind w:firstLine="720"/>
        <w:rPr>
          <w:rFonts w:eastAsia="Times New Roman"/>
          <w:sz w:val="24"/>
          <w:szCs w:val="24"/>
        </w:rPr>
      </w:pPr>
      <w:r w:rsidRPr="005F5A94">
        <w:rPr>
          <w:rFonts w:eastAsia="Times New Roman"/>
          <w:sz w:val="24"/>
          <w:szCs w:val="24"/>
        </w:rPr>
        <w:t xml:space="preserve">This instruction is applicable even though the party charged with negligence was operating his or her vehicle within the speed limit prescribed by statute or ordinance. </w:t>
      </w:r>
      <w:r w:rsidRPr="005F5A94">
        <w:rPr>
          <w:rFonts w:eastAsia="Times New Roman"/>
          <w:i/>
          <w:sz w:val="24"/>
          <w:szCs w:val="24"/>
        </w:rPr>
        <w:t>See, e.g</w:t>
      </w:r>
      <w:r w:rsidRPr="005F5A94">
        <w:rPr>
          <w:rFonts w:eastAsia="Times New Roman"/>
          <w:sz w:val="24"/>
          <w:szCs w:val="24"/>
        </w:rPr>
        <w:t>., § 42-4-1101(1), C.R.S.</w:t>
      </w:r>
    </w:p>
    <w:p w14:paraId="343D4ACC" w14:textId="77777777" w:rsidR="005F5A94" w:rsidRPr="0054263B" w:rsidRDefault="005F5A94" w:rsidP="005F5A94">
      <w:pPr>
        <w:keepNext/>
        <w:spacing w:after="240"/>
        <w:jc w:val="center"/>
        <w:rPr>
          <w:rFonts w:eastAsia="Times New Roman"/>
          <w:b/>
          <w:sz w:val="24"/>
          <w:szCs w:val="24"/>
        </w:rPr>
      </w:pPr>
      <w:r>
        <w:rPr>
          <w:rFonts w:eastAsia="Times New Roman"/>
          <w:b/>
          <w:sz w:val="24"/>
          <w:szCs w:val="24"/>
        </w:rPr>
        <w:t>Source and Authority</w:t>
      </w:r>
    </w:p>
    <w:p w14:paraId="2E6B4855" w14:textId="77777777" w:rsidR="005F5A94" w:rsidRPr="005F5A94" w:rsidRDefault="005F5A94" w:rsidP="005F5A94">
      <w:pPr>
        <w:spacing w:after="240"/>
        <w:ind w:firstLine="720"/>
        <w:rPr>
          <w:rFonts w:eastAsia="Times New Roman"/>
          <w:sz w:val="24"/>
          <w:szCs w:val="24"/>
        </w:rPr>
      </w:pPr>
      <w:r w:rsidRPr="005F5A94">
        <w:rPr>
          <w:rFonts w:eastAsia="Times New Roman"/>
          <w:sz w:val="24"/>
          <w:szCs w:val="24"/>
        </w:rPr>
        <w:t xml:space="preserve">In addition to section 42-4-1101(1), this instruction is supported by </w:t>
      </w:r>
      <w:r w:rsidRPr="005F5A94">
        <w:rPr>
          <w:rFonts w:eastAsia="Times New Roman"/>
          <w:b/>
          <w:sz w:val="24"/>
          <w:szCs w:val="24"/>
        </w:rPr>
        <w:t>Bennett v. Hall</w:t>
      </w:r>
      <w:r w:rsidRPr="005F5A94">
        <w:rPr>
          <w:rFonts w:eastAsia="Times New Roman"/>
          <w:sz w:val="24"/>
          <w:szCs w:val="24"/>
        </w:rPr>
        <w:t>,</w:t>
      </w:r>
      <w:r w:rsidRPr="005F5A94">
        <w:rPr>
          <w:rFonts w:eastAsia="Times New Roman"/>
          <w:b/>
          <w:sz w:val="24"/>
          <w:szCs w:val="24"/>
        </w:rPr>
        <w:t xml:space="preserve"> </w:t>
      </w:r>
      <w:r w:rsidRPr="005F5A94">
        <w:rPr>
          <w:rFonts w:eastAsia="Times New Roman"/>
          <w:sz w:val="24"/>
          <w:szCs w:val="24"/>
        </w:rPr>
        <w:t xml:space="preserve">132 Colo. 419, 290 P.2d 241 (1955); </w:t>
      </w:r>
      <w:r w:rsidRPr="005F5A94">
        <w:rPr>
          <w:rFonts w:eastAsia="Times New Roman"/>
          <w:b/>
          <w:sz w:val="24"/>
          <w:szCs w:val="24"/>
        </w:rPr>
        <w:t>Lambrecht v. Archibald</w:t>
      </w:r>
      <w:r w:rsidRPr="005F5A94">
        <w:rPr>
          <w:rFonts w:eastAsia="Times New Roman"/>
          <w:sz w:val="24"/>
          <w:szCs w:val="24"/>
        </w:rPr>
        <w:t xml:space="preserve">, 119 Colo. 356, 203 P.2d 897 (1949); and </w:t>
      </w:r>
      <w:r w:rsidRPr="005F5A94">
        <w:rPr>
          <w:rFonts w:eastAsia="Times New Roman"/>
          <w:b/>
          <w:sz w:val="24"/>
          <w:szCs w:val="24"/>
        </w:rPr>
        <w:t>Martin v. Minnard</w:t>
      </w:r>
      <w:r w:rsidRPr="005F5A94">
        <w:rPr>
          <w:rFonts w:eastAsia="Times New Roman"/>
          <w:sz w:val="24"/>
          <w:szCs w:val="24"/>
        </w:rPr>
        <w:t>,</w:t>
      </w:r>
      <w:r w:rsidRPr="005F5A94">
        <w:rPr>
          <w:rFonts w:eastAsia="Times New Roman"/>
          <w:b/>
          <w:sz w:val="24"/>
          <w:szCs w:val="24"/>
        </w:rPr>
        <w:t xml:space="preserve"> </w:t>
      </w:r>
      <w:r w:rsidRPr="005F5A94">
        <w:rPr>
          <w:rFonts w:eastAsia="Times New Roman"/>
          <w:sz w:val="24"/>
          <w:szCs w:val="24"/>
        </w:rPr>
        <w:t>862 P.2d 1014 (Colo. App. 1993).</w:t>
      </w:r>
    </w:p>
    <w:p w14:paraId="64C29EA6" w14:textId="77777777" w:rsidR="005F5A94" w:rsidRDefault="005F5A94">
      <w:pPr>
        <w:rPr>
          <w:rFonts w:eastAsia="Times New Roman"/>
          <w:sz w:val="24"/>
          <w:szCs w:val="24"/>
        </w:rPr>
      </w:pPr>
      <w:r>
        <w:rPr>
          <w:rFonts w:eastAsia="Times New Roman"/>
          <w:sz w:val="24"/>
          <w:szCs w:val="24"/>
        </w:rPr>
        <w:br w:type="page"/>
      </w:r>
    </w:p>
    <w:p w14:paraId="194D21DF" w14:textId="77777777" w:rsidR="005F5A94" w:rsidRPr="009E3DA4" w:rsidRDefault="005F5A94" w:rsidP="005F5A94">
      <w:pPr>
        <w:spacing w:after="240"/>
        <w:ind w:left="720" w:hanging="720"/>
        <w:rPr>
          <w:rFonts w:eastAsia="Times New Roman"/>
          <w:b/>
          <w:sz w:val="24"/>
          <w:szCs w:val="24"/>
        </w:rPr>
      </w:pPr>
      <w:bookmarkStart w:id="9" w:name="a11_09"/>
      <w:bookmarkEnd w:id="9"/>
      <w:r w:rsidRPr="005F5A94">
        <w:rPr>
          <w:rFonts w:eastAsia="Times New Roman"/>
          <w:b/>
          <w:sz w:val="24"/>
          <w:szCs w:val="24"/>
        </w:rPr>
        <w:lastRenderedPageBreak/>
        <w:t xml:space="preserve">11:9 </w:t>
      </w:r>
      <w:r w:rsidRPr="005F5A94">
        <w:rPr>
          <w:rFonts w:eastAsia="Times New Roman"/>
          <w:b/>
          <w:sz w:val="24"/>
          <w:szCs w:val="24"/>
        </w:rPr>
        <w:tab/>
        <w:t>RIGHT TO ASSUME OTHERS WILL OBEY THE LAW</w:t>
      </w:r>
    </w:p>
    <w:p w14:paraId="3F191A24" w14:textId="77777777" w:rsidR="005F5A94" w:rsidRPr="005F5A94" w:rsidRDefault="005F5A94" w:rsidP="005F5A94">
      <w:pPr>
        <w:spacing w:after="240"/>
        <w:ind w:firstLine="720"/>
        <w:rPr>
          <w:rFonts w:eastAsia="Times New Roman"/>
          <w:b/>
          <w:sz w:val="24"/>
          <w:szCs w:val="24"/>
        </w:rPr>
      </w:pPr>
      <w:r w:rsidRPr="005F5A94">
        <w:rPr>
          <w:rFonts w:eastAsia="Times New Roman"/>
          <w:b/>
          <w:sz w:val="24"/>
          <w:szCs w:val="24"/>
        </w:rPr>
        <w:t>A person has the right to believe that others will obey applicable laws and regulations, unless there are reasonable grounds to believe otherwise.</w:t>
      </w:r>
    </w:p>
    <w:p w14:paraId="410C9E69" w14:textId="77777777" w:rsidR="005F5A94" w:rsidRDefault="005F5A94" w:rsidP="005F5A94">
      <w:pPr>
        <w:jc w:val="center"/>
        <w:rPr>
          <w:rFonts w:eastAsia="Times New Roman"/>
          <w:sz w:val="24"/>
          <w:szCs w:val="24"/>
        </w:rPr>
      </w:pPr>
    </w:p>
    <w:p w14:paraId="1C25F8FD" w14:textId="77777777" w:rsidR="005F5A94" w:rsidRPr="0054263B" w:rsidRDefault="005F5A94" w:rsidP="005F5A94">
      <w:pPr>
        <w:keepNext/>
        <w:spacing w:after="240"/>
        <w:jc w:val="center"/>
        <w:rPr>
          <w:rFonts w:eastAsia="Times New Roman"/>
          <w:b/>
          <w:sz w:val="24"/>
          <w:szCs w:val="24"/>
        </w:rPr>
      </w:pPr>
      <w:r w:rsidRPr="0054263B">
        <w:rPr>
          <w:rFonts w:eastAsia="Times New Roman"/>
          <w:b/>
          <w:sz w:val="24"/>
          <w:szCs w:val="24"/>
        </w:rPr>
        <w:t>Notes on Use</w:t>
      </w:r>
    </w:p>
    <w:p w14:paraId="77CDC963" w14:textId="77777777" w:rsidR="005F5A94" w:rsidRPr="005F5A94" w:rsidRDefault="005F5A94" w:rsidP="005F5A94">
      <w:pPr>
        <w:spacing w:after="240"/>
        <w:ind w:firstLine="720"/>
        <w:rPr>
          <w:rFonts w:eastAsia="Times New Roman"/>
          <w:sz w:val="24"/>
          <w:szCs w:val="24"/>
        </w:rPr>
      </w:pPr>
      <w:r w:rsidRPr="005F5A94">
        <w:rPr>
          <w:rFonts w:eastAsia="Times New Roman"/>
          <w:sz w:val="24"/>
          <w:szCs w:val="24"/>
        </w:rPr>
        <w:t xml:space="preserve">1. This instruction is primarily for use in a case where one person, having violated a law or regulation, thereby causing another’s injury, sets up an affirmative defense of contributory negligence on the theory that the other person should have anticipated the violation. </w:t>
      </w:r>
      <w:r w:rsidRPr="005F5A94">
        <w:rPr>
          <w:rFonts w:eastAsia="Times New Roman"/>
          <w:i/>
          <w:sz w:val="24"/>
          <w:szCs w:val="24"/>
        </w:rPr>
        <w:t>See</w:t>
      </w:r>
      <w:r w:rsidRPr="005F5A94">
        <w:rPr>
          <w:rFonts w:eastAsia="Times New Roman"/>
          <w:sz w:val="24"/>
          <w:szCs w:val="24"/>
        </w:rPr>
        <w:t xml:space="preserve"> Source and Authority below.</w:t>
      </w:r>
    </w:p>
    <w:p w14:paraId="2CB3E61C" w14:textId="77777777" w:rsidR="005F5A94" w:rsidRPr="005F5A94" w:rsidRDefault="005F5A94" w:rsidP="005F5A94">
      <w:pPr>
        <w:spacing w:after="240"/>
        <w:ind w:firstLine="720"/>
        <w:rPr>
          <w:rFonts w:eastAsia="Times New Roman"/>
          <w:sz w:val="24"/>
          <w:szCs w:val="24"/>
        </w:rPr>
      </w:pPr>
      <w:r w:rsidRPr="005F5A94">
        <w:rPr>
          <w:rFonts w:eastAsia="Times New Roman"/>
          <w:sz w:val="24"/>
          <w:szCs w:val="24"/>
        </w:rPr>
        <w:t xml:space="preserve">2. The basic rule set out in this instruction is applicable even though the roadway involved in the case was under construction or being repaved, at least so long as such conditions did not prevent orderly travel under the normal rules of the road. </w:t>
      </w:r>
      <w:r w:rsidRPr="005F5A94">
        <w:rPr>
          <w:rFonts w:eastAsia="Times New Roman"/>
          <w:b/>
          <w:sz w:val="24"/>
          <w:szCs w:val="24"/>
        </w:rPr>
        <w:t>Kennedy-Fudge v. Fink</w:t>
      </w:r>
      <w:r w:rsidRPr="005F5A94">
        <w:rPr>
          <w:rFonts w:eastAsia="Times New Roman"/>
          <w:sz w:val="24"/>
          <w:szCs w:val="24"/>
        </w:rPr>
        <w:t>, 644 P.2d 91 (Colo. App. 1982).</w:t>
      </w:r>
    </w:p>
    <w:p w14:paraId="0C8F7F7D" w14:textId="77777777" w:rsidR="005F5A94" w:rsidRPr="0054263B" w:rsidRDefault="005F5A94" w:rsidP="005F5A94">
      <w:pPr>
        <w:keepNext/>
        <w:spacing w:after="240"/>
        <w:jc w:val="center"/>
        <w:rPr>
          <w:rFonts w:eastAsia="Times New Roman"/>
          <w:b/>
          <w:sz w:val="24"/>
          <w:szCs w:val="24"/>
        </w:rPr>
      </w:pPr>
      <w:r>
        <w:rPr>
          <w:rFonts w:eastAsia="Times New Roman"/>
          <w:b/>
          <w:sz w:val="24"/>
          <w:szCs w:val="24"/>
        </w:rPr>
        <w:t>Source and Authority</w:t>
      </w:r>
    </w:p>
    <w:p w14:paraId="781AA48A" w14:textId="77777777" w:rsidR="005F5A94" w:rsidRPr="005F5A94" w:rsidRDefault="005F5A94" w:rsidP="005F5A94">
      <w:pPr>
        <w:spacing w:after="240"/>
        <w:ind w:firstLine="720"/>
        <w:rPr>
          <w:rFonts w:eastAsia="Times New Roman"/>
          <w:sz w:val="24"/>
          <w:szCs w:val="24"/>
        </w:rPr>
      </w:pPr>
      <w:r w:rsidRPr="005F5A94">
        <w:rPr>
          <w:rFonts w:eastAsia="Times New Roman"/>
          <w:sz w:val="24"/>
          <w:szCs w:val="24"/>
        </w:rPr>
        <w:t xml:space="preserve">This instruction is supported by </w:t>
      </w:r>
      <w:r w:rsidRPr="005F5A94">
        <w:rPr>
          <w:rFonts w:eastAsia="Times New Roman"/>
          <w:b/>
          <w:sz w:val="24"/>
          <w:szCs w:val="24"/>
        </w:rPr>
        <w:t>Prentiss v. Johnston</w:t>
      </w:r>
      <w:r w:rsidRPr="005F5A94">
        <w:rPr>
          <w:rFonts w:eastAsia="Times New Roman"/>
          <w:sz w:val="24"/>
          <w:szCs w:val="24"/>
        </w:rPr>
        <w:t xml:space="preserve">, 119 Colo. 370, 203 P.2d 733 (1949); and </w:t>
      </w:r>
      <w:r w:rsidRPr="005F5A94">
        <w:rPr>
          <w:rFonts w:eastAsia="Times New Roman"/>
          <w:b/>
          <w:sz w:val="24"/>
          <w:szCs w:val="24"/>
        </w:rPr>
        <w:t>Gallagher Transportation Co. v. Giggey</w:t>
      </w:r>
      <w:r w:rsidRPr="005F5A94">
        <w:rPr>
          <w:rFonts w:eastAsia="Times New Roman"/>
          <w:sz w:val="24"/>
          <w:szCs w:val="24"/>
        </w:rPr>
        <w:t xml:space="preserve">, 101 Colo. 116, 71 P.2d 1039 (1937). </w:t>
      </w:r>
      <w:r w:rsidRPr="005F5A94">
        <w:rPr>
          <w:rFonts w:eastAsia="Times New Roman"/>
          <w:i/>
          <w:sz w:val="24"/>
          <w:szCs w:val="24"/>
        </w:rPr>
        <w:t>See also</w:t>
      </w:r>
      <w:r w:rsidRPr="005F5A94">
        <w:rPr>
          <w:rFonts w:eastAsia="Times New Roman"/>
          <w:sz w:val="24"/>
          <w:szCs w:val="24"/>
        </w:rPr>
        <w:t xml:space="preserve"> </w:t>
      </w:r>
      <w:r w:rsidRPr="005F5A94">
        <w:rPr>
          <w:rFonts w:eastAsia="Times New Roman"/>
          <w:b/>
          <w:sz w:val="24"/>
          <w:szCs w:val="24"/>
        </w:rPr>
        <w:t>Ridenour v. Diffee</w:t>
      </w:r>
      <w:r w:rsidRPr="005F5A94">
        <w:rPr>
          <w:rFonts w:eastAsia="Times New Roman"/>
          <w:sz w:val="24"/>
          <w:szCs w:val="24"/>
        </w:rPr>
        <w:t xml:space="preserve">, 133 Colo. 467, 297 P.2d 280 (1956); </w:t>
      </w:r>
      <w:r w:rsidRPr="005F5A94">
        <w:rPr>
          <w:rFonts w:eastAsia="Times New Roman"/>
          <w:b/>
          <w:sz w:val="24"/>
          <w:szCs w:val="24"/>
        </w:rPr>
        <w:t>Ankeny v. Talbot</w:t>
      </w:r>
      <w:r w:rsidRPr="005F5A94">
        <w:rPr>
          <w:rFonts w:eastAsia="Times New Roman"/>
          <w:sz w:val="24"/>
          <w:szCs w:val="24"/>
        </w:rPr>
        <w:t>,</w:t>
      </w:r>
      <w:r w:rsidRPr="005F5A94">
        <w:rPr>
          <w:rFonts w:eastAsia="Times New Roman"/>
          <w:b/>
          <w:sz w:val="24"/>
          <w:szCs w:val="24"/>
        </w:rPr>
        <w:t xml:space="preserve"> </w:t>
      </w:r>
      <w:r w:rsidRPr="005F5A94">
        <w:rPr>
          <w:rFonts w:eastAsia="Times New Roman"/>
          <w:sz w:val="24"/>
          <w:szCs w:val="24"/>
        </w:rPr>
        <w:t>126 Colo. 313, 250 P.2d 1019 (1952).</w:t>
      </w:r>
    </w:p>
    <w:p w14:paraId="312742F0" w14:textId="77777777" w:rsidR="0057771F" w:rsidRDefault="0057771F">
      <w:pPr>
        <w:rPr>
          <w:rFonts w:eastAsia="Times New Roman"/>
          <w:sz w:val="24"/>
          <w:szCs w:val="24"/>
        </w:rPr>
      </w:pPr>
      <w:r>
        <w:rPr>
          <w:rFonts w:eastAsia="Times New Roman"/>
          <w:sz w:val="24"/>
          <w:szCs w:val="24"/>
        </w:rPr>
        <w:br w:type="page"/>
      </w:r>
    </w:p>
    <w:p w14:paraId="4A3FADF4" w14:textId="77777777" w:rsidR="0057771F" w:rsidRPr="009E3DA4" w:rsidRDefault="0057771F" w:rsidP="0057771F">
      <w:pPr>
        <w:spacing w:after="240"/>
        <w:ind w:left="720" w:hanging="720"/>
        <w:rPr>
          <w:rFonts w:eastAsia="Times New Roman"/>
          <w:b/>
          <w:sz w:val="24"/>
          <w:szCs w:val="24"/>
        </w:rPr>
      </w:pPr>
      <w:bookmarkStart w:id="10" w:name="a11_10"/>
      <w:bookmarkEnd w:id="10"/>
      <w:r w:rsidRPr="0057771F">
        <w:rPr>
          <w:rFonts w:eastAsia="Times New Roman"/>
          <w:b/>
          <w:sz w:val="24"/>
          <w:szCs w:val="24"/>
        </w:rPr>
        <w:lastRenderedPageBreak/>
        <w:t>11:10</w:t>
      </w:r>
      <w:r w:rsidRPr="0057771F">
        <w:rPr>
          <w:rFonts w:eastAsia="Times New Roman"/>
          <w:b/>
          <w:sz w:val="24"/>
          <w:szCs w:val="24"/>
        </w:rPr>
        <w:tab/>
        <w:t>DRIVING ON WRONG SIDE OF ROAD AS NEGLIGENCE</w:t>
      </w:r>
    </w:p>
    <w:p w14:paraId="08014F66" w14:textId="77777777" w:rsidR="0057771F" w:rsidRPr="0057771F" w:rsidRDefault="0057771F" w:rsidP="0057771F">
      <w:pPr>
        <w:spacing w:after="240"/>
        <w:ind w:firstLine="720"/>
        <w:rPr>
          <w:rFonts w:eastAsia="Times New Roman"/>
          <w:b/>
          <w:sz w:val="24"/>
          <w:szCs w:val="24"/>
        </w:rPr>
      </w:pPr>
      <w:r w:rsidRPr="0057771F">
        <w:rPr>
          <w:rFonts w:eastAsia="Times New Roman"/>
          <w:b/>
          <w:sz w:val="24"/>
          <w:szCs w:val="24"/>
        </w:rPr>
        <w:t>(When vehicles collide, the law presumes [, and you must find,] that a driver who was on the wrong side of the road at the time of the collision was negligent.)</w:t>
      </w:r>
    </w:p>
    <w:p w14:paraId="354FA2CB" w14:textId="77777777" w:rsidR="0057771F" w:rsidRDefault="0057771F" w:rsidP="0057771F">
      <w:pPr>
        <w:jc w:val="center"/>
        <w:rPr>
          <w:rFonts w:eastAsia="Times New Roman"/>
          <w:sz w:val="24"/>
          <w:szCs w:val="24"/>
        </w:rPr>
      </w:pPr>
    </w:p>
    <w:p w14:paraId="4B251C10" w14:textId="77777777" w:rsidR="0057771F" w:rsidRPr="0054263B" w:rsidRDefault="0057771F" w:rsidP="0057771F">
      <w:pPr>
        <w:keepNext/>
        <w:spacing w:after="240"/>
        <w:jc w:val="center"/>
        <w:rPr>
          <w:rFonts w:eastAsia="Times New Roman"/>
          <w:b/>
          <w:sz w:val="24"/>
          <w:szCs w:val="24"/>
        </w:rPr>
      </w:pPr>
      <w:r w:rsidRPr="0054263B">
        <w:rPr>
          <w:rFonts w:eastAsia="Times New Roman"/>
          <w:b/>
          <w:sz w:val="24"/>
          <w:szCs w:val="24"/>
        </w:rPr>
        <w:t>Notes on Use</w:t>
      </w:r>
    </w:p>
    <w:p w14:paraId="69B2753D" w14:textId="77777777" w:rsidR="0057771F" w:rsidRPr="0057771F" w:rsidRDefault="0057771F" w:rsidP="0057771F">
      <w:pPr>
        <w:spacing w:after="240"/>
        <w:ind w:firstLine="720"/>
        <w:rPr>
          <w:rFonts w:eastAsia="Times New Roman"/>
          <w:i/>
          <w:sz w:val="24"/>
          <w:szCs w:val="24"/>
        </w:rPr>
      </w:pPr>
      <w:r w:rsidRPr="0057771F">
        <w:rPr>
          <w:rFonts w:eastAsia="Times New Roman"/>
          <w:sz w:val="24"/>
          <w:szCs w:val="24"/>
        </w:rPr>
        <w:t xml:space="preserve">1. This instruction may be used as the second paragraph of Instruction 3:5, when applicable. The bracketed phrase, “and you must find,” must be included if this instruction is being used as the second paragraph of Version 1 of Instruction 3:5, but omitted if this instruction is otherwise appropriately being used as the second paragraph of Version 2 of Instruction 3:5. </w:t>
      </w:r>
      <w:r w:rsidRPr="0057771F">
        <w:rPr>
          <w:rFonts w:eastAsia="Times New Roman"/>
          <w:i/>
          <w:sz w:val="24"/>
          <w:szCs w:val="24"/>
        </w:rPr>
        <w:t xml:space="preserve">See </w:t>
      </w:r>
      <w:r w:rsidRPr="0057771F">
        <w:rPr>
          <w:rFonts w:eastAsia="Times New Roman"/>
          <w:b/>
          <w:sz w:val="24"/>
          <w:szCs w:val="24"/>
        </w:rPr>
        <w:t>Devenyns v. Hartig</w:t>
      </w:r>
      <w:r w:rsidRPr="0057771F">
        <w:rPr>
          <w:rFonts w:eastAsia="Times New Roman"/>
          <w:sz w:val="24"/>
          <w:szCs w:val="24"/>
        </w:rPr>
        <w:t xml:space="preserve">, 983 P.2d 63 (Colo. App. 1998) (no error in not giving instruction where evidence was insufficient to raise presumption and plaintiff tendered wrong version of instruction). An instruction on this presumption should be given only if there is sufficient evidence for a reasonable jury to find by a preponderance of the evidence that the facts giving rise to the presumption are true. </w:t>
      </w:r>
      <w:r w:rsidRPr="0057771F">
        <w:rPr>
          <w:rFonts w:eastAsia="Times New Roman"/>
          <w:i/>
          <w:sz w:val="24"/>
          <w:szCs w:val="24"/>
        </w:rPr>
        <w:t>Id.</w:t>
      </w:r>
    </w:p>
    <w:p w14:paraId="7E48A6C8" w14:textId="77777777" w:rsidR="0057771F" w:rsidRPr="0057771F" w:rsidRDefault="0057771F" w:rsidP="0057771F">
      <w:pPr>
        <w:spacing w:after="240"/>
        <w:ind w:firstLine="720"/>
        <w:rPr>
          <w:rFonts w:eastAsia="Times New Roman"/>
          <w:sz w:val="24"/>
          <w:szCs w:val="24"/>
        </w:rPr>
      </w:pPr>
      <w:r w:rsidRPr="0057771F">
        <w:rPr>
          <w:rFonts w:eastAsia="Times New Roman"/>
          <w:sz w:val="24"/>
          <w:szCs w:val="24"/>
        </w:rPr>
        <w:t xml:space="preserve">2. In general, the happening of an accident does not raise a presumption of negligence. </w:t>
      </w:r>
      <w:r w:rsidRPr="0057771F">
        <w:rPr>
          <w:rFonts w:eastAsia="Times New Roman"/>
          <w:i/>
          <w:sz w:val="24"/>
          <w:szCs w:val="24"/>
        </w:rPr>
        <w:t>See</w:t>
      </w:r>
      <w:r w:rsidRPr="0057771F">
        <w:rPr>
          <w:rFonts w:eastAsia="Times New Roman"/>
          <w:sz w:val="24"/>
          <w:szCs w:val="24"/>
        </w:rPr>
        <w:t xml:space="preserve"> Instruction 9:12. However, when a driver driving on the wrong side of the road is involved in a collision, such a presumption is raised.</w:t>
      </w:r>
    </w:p>
    <w:p w14:paraId="44335000" w14:textId="77777777" w:rsidR="0057771F" w:rsidRPr="0057771F" w:rsidRDefault="0057771F" w:rsidP="0057771F">
      <w:pPr>
        <w:spacing w:after="240"/>
        <w:ind w:firstLine="720"/>
        <w:rPr>
          <w:rFonts w:eastAsia="Times New Roman"/>
          <w:sz w:val="24"/>
          <w:szCs w:val="24"/>
        </w:rPr>
      </w:pPr>
      <w:r w:rsidRPr="0057771F">
        <w:rPr>
          <w:rFonts w:eastAsia="Times New Roman"/>
          <w:sz w:val="24"/>
          <w:szCs w:val="24"/>
        </w:rPr>
        <w:t xml:space="preserve">3. Driving on the wrong side of the road may also be negligence per se if, under the circumstances, it constituted a violation of statute or ordinance and there appears to have been no reasonable justification for the conduct. </w:t>
      </w:r>
      <w:r w:rsidRPr="0057771F">
        <w:rPr>
          <w:rFonts w:eastAsia="Times New Roman"/>
          <w:i/>
          <w:sz w:val="24"/>
          <w:szCs w:val="24"/>
        </w:rPr>
        <w:t xml:space="preserve">Compare </w:t>
      </w:r>
      <w:r w:rsidRPr="0057771F">
        <w:rPr>
          <w:rFonts w:eastAsia="Times New Roman"/>
          <w:b/>
          <w:sz w:val="24"/>
          <w:szCs w:val="24"/>
        </w:rPr>
        <w:t>Ankeny v. Talbot</w:t>
      </w:r>
      <w:r w:rsidRPr="0057771F">
        <w:rPr>
          <w:rFonts w:eastAsia="Times New Roman"/>
          <w:sz w:val="24"/>
          <w:szCs w:val="24"/>
        </w:rPr>
        <w:t>,</w:t>
      </w:r>
      <w:r w:rsidRPr="0057771F">
        <w:rPr>
          <w:rFonts w:eastAsia="Times New Roman"/>
          <w:b/>
          <w:sz w:val="24"/>
          <w:szCs w:val="24"/>
        </w:rPr>
        <w:t xml:space="preserve"> </w:t>
      </w:r>
      <w:r w:rsidRPr="0057771F">
        <w:rPr>
          <w:rFonts w:eastAsia="Times New Roman"/>
          <w:sz w:val="24"/>
          <w:szCs w:val="24"/>
        </w:rPr>
        <w:t xml:space="preserve">126 Colo. 313, 250 P.2d 1019 (1952), </w:t>
      </w:r>
      <w:r w:rsidRPr="0057771F">
        <w:rPr>
          <w:rFonts w:eastAsia="Times New Roman"/>
          <w:i/>
          <w:sz w:val="24"/>
          <w:szCs w:val="24"/>
        </w:rPr>
        <w:t xml:space="preserve">with </w:t>
      </w:r>
      <w:r w:rsidRPr="0057771F">
        <w:rPr>
          <w:rFonts w:eastAsia="Times New Roman"/>
          <w:b/>
          <w:sz w:val="24"/>
          <w:szCs w:val="24"/>
        </w:rPr>
        <w:t>Orth v. Bauer</w:t>
      </w:r>
      <w:r w:rsidRPr="0057771F">
        <w:rPr>
          <w:rFonts w:eastAsia="Times New Roman"/>
          <w:sz w:val="24"/>
          <w:szCs w:val="24"/>
        </w:rPr>
        <w:t xml:space="preserve">, 163 Colo. 136, 429 P.2d 279 (1967), and </w:t>
      </w:r>
      <w:r w:rsidRPr="0057771F">
        <w:rPr>
          <w:rFonts w:eastAsia="Times New Roman"/>
          <w:b/>
          <w:sz w:val="24"/>
          <w:szCs w:val="24"/>
        </w:rPr>
        <w:t>Sanchez v. Staats</w:t>
      </w:r>
      <w:r w:rsidRPr="0057771F">
        <w:rPr>
          <w:rFonts w:eastAsia="Times New Roman"/>
          <w:sz w:val="24"/>
          <w:szCs w:val="24"/>
        </w:rPr>
        <w:t>,</w:t>
      </w:r>
      <w:r w:rsidRPr="0057771F">
        <w:rPr>
          <w:rFonts w:eastAsia="Times New Roman"/>
          <w:b/>
          <w:sz w:val="24"/>
          <w:szCs w:val="24"/>
        </w:rPr>
        <w:t xml:space="preserve"> </w:t>
      </w:r>
      <w:r w:rsidRPr="0057771F">
        <w:rPr>
          <w:rFonts w:eastAsia="Times New Roman"/>
          <w:sz w:val="24"/>
          <w:szCs w:val="24"/>
        </w:rPr>
        <w:t xml:space="preserve">34 Colo. App. 243, 526 P.2d 672 (1974), </w:t>
      </w:r>
      <w:r w:rsidRPr="0057771F">
        <w:rPr>
          <w:rFonts w:eastAsia="Times New Roman"/>
          <w:i/>
          <w:sz w:val="24"/>
          <w:szCs w:val="24"/>
        </w:rPr>
        <w:t>aff’d</w:t>
      </w:r>
      <w:r w:rsidRPr="0057771F">
        <w:rPr>
          <w:rFonts w:eastAsia="Times New Roman"/>
          <w:sz w:val="24"/>
          <w:szCs w:val="24"/>
        </w:rPr>
        <w:t>, 189 Colo. 228, 539 P.2d 1233 (1975). In such cases, Instruction 9:14 or 9:15 may be applicable rather than this instruction.</w:t>
      </w:r>
    </w:p>
    <w:p w14:paraId="7F90E7E3" w14:textId="77777777" w:rsidR="0057771F" w:rsidRPr="0054263B" w:rsidRDefault="0057771F" w:rsidP="0057771F">
      <w:pPr>
        <w:keepNext/>
        <w:spacing w:after="240"/>
        <w:jc w:val="center"/>
        <w:rPr>
          <w:rFonts w:eastAsia="Times New Roman"/>
          <w:b/>
          <w:sz w:val="24"/>
          <w:szCs w:val="24"/>
        </w:rPr>
      </w:pPr>
      <w:r>
        <w:rPr>
          <w:rFonts w:eastAsia="Times New Roman"/>
          <w:b/>
          <w:sz w:val="24"/>
          <w:szCs w:val="24"/>
        </w:rPr>
        <w:t>Source and Authority</w:t>
      </w:r>
    </w:p>
    <w:p w14:paraId="751CF223" w14:textId="77777777" w:rsidR="0057771F" w:rsidRPr="0057771F" w:rsidRDefault="0057771F" w:rsidP="0057771F">
      <w:pPr>
        <w:spacing w:after="240"/>
        <w:ind w:firstLine="720"/>
        <w:rPr>
          <w:rFonts w:eastAsia="Times New Roman"/>
          <w:sz w:val="24"/>
          <w:szCs w:val="24"/>
        </w:rPr>
      </w:pPr>
      <w:r w:rsidRPr="0057771F">
        <w:rPr>
          <w:rFonts w:eastAsia="Times New Roman"/>
          <w:sz w:val="24"/>
          <w:szCs w:val="24"/>
        </w:rPr>
        <w:t xml:space="preserve">1. This instruction is supported by </w:t>
      </w:r>
      <w:r w:rsidRPr="0057771F">
        <w:rPr>
          <w:rFonts w:eastAsia="Times New Roman"/>
          <w:b/>
          <w:sz w:val="24"/>
          <w:szCs w:val="24"/>
        </w:rPr>
        <w:t>Drake v. Hodges</w:t>
      </w:r>
      <w:r w:rsidRPr="0057771F">
        <w:rPr>
          <w:rFonts w:eastAsia="Times New Roman"/>
          <w:sz w:val="24"/>
          <w:szCs w:val="24"/>
        </w:rPr>
        <w:t xml:space="preserve">, 114 Colo. 10, 161 P.2d 338 (1945), and </w:t>
      </w:r>
      <w:r w:rsidRPr="0057771F">
        <w:rPr>
          <w:rFonts w:eastAsia="Times New Roman"/>
          <w:b/>
          <w:sz w:val="24"/>
          <w:szCs w:val="24"/>
        </w:rPr>
        <w:t>Larson v. Long</w:t>
      </w:r>
      <w:r w:rsidRPr="0057771F">
        <w:rPr>
          <w:rFonts w:eastAsia="Times New Roman"/>
          <w:sz w:val="24"/>
          <w:szCs w:val="24"/>
        </w:rPr>
        <w:t xml:space="preserve">, 74 Colo. 152, 219 P. 1066 (1923). </w:t>
      </w:r>
      <w:r w:rsidRPr="0057771F">
        <w:rPr>
          <w:rFonts w:eastAsia="Times New Roman"/>
          <w:i/>
          <w:sz w:val="24"/>
          <w:szCs w:val="24"/>
        </w:rPr>
        <w:t>See also</w:t>
      </w:r>
      <w:r w:rsidRPr="0057771F">
        <w:rPr>
          <w:rFonts w:eastAsia="Times New Roman"/>
          <w:sz w:val="24"/>
          <w:szCs w:val="24"/>
        </w:rPr>
        <w:t xml:space="preserve"> </w:t>
      </w:r>
      <w:r w:rsidRPr="0057771F">
        <w:rPr>
          <w:rFonts w:eastAsia="Times New Roman"/>
          <w:b/>
          <w:sz w:val="24"/>
          <w:szCs w:val="24"/>
        </w:rPr>
        <w:t>Dolan v. Mitchell</w:t>
      </w:r>
      <w:r w:rsidRPr="0057771F">
        <w:rPr>
          <w:rFonts w:eastAsia="Times New Roman"/>
          <w:sz w:val="24"/>
          <w:szCs w:val="24"/>
        </w:rPr>
        <w:t>, 179 Colo. 359, 502 P.2d 72 (1972).</w:t>
      </w:r>
    </w:p>
    <w:p w14:paraId="72822086" w14:textId="77777777" w:rsidR="0057771F" w:rsidRPr="0057771F" w:rsidRDefault="0057771F" w:rsidP="0057771F">
      <w:pPr>
        <w:spacing w:after="240"/>
        <w:ind w:firstLine="720"/>
        <w:rPr>
          <w:rFonts w:eastAsia="Times New Roman"/>
          <w:sz w:val="24"/>
          <w:szCs w:val="24"/>
        </w:rPr>
      </w:pPr>
      <w:r w:rsidRPr="0057771F">
        <w:rPr>
          <w:rFonts w:eastAsia="Times New Roman"/>
          <w:sz w:val="24"/>
          <w:szCs w:val="24"/>
        </w:rPr>
        <w:t>2. Statutes relating to driving on the correct side of the road include sections 42-4-1001 to -1003, 42-4-1005 to -1007, 42-4-1010, and 42-4-1013, C.R.S.</w:t>
      </w:r>
    </w:p>
    <w:p w14:paraId="05269F9B" w14:textId="77777777" w:rsidR="0057771F" w:rsidRDefault="0057771F">
      <w:pPr>
        <w:rPr>
          <w:rFonts w:eastAsia="Times New Roman"/>
          <w:sz w:val="24"/>
          <w:szCs w:val="24"/>
        </w:rPr>
      </w:pPr>
      <w:r>
        <w:rPr>
          <w:rFonts w:eastAsia="Times New Roman"/>
          <w:sz w:val="24"/>
          <w:szCs w:val="24"/>
        </w:rPr>
        <w:br w:type="page"/>
      </w:r>
    </w:p>
    <w:p w14:paraId="35C5B894" w14:textId="77777777" w:rsidR="0057771F" w:rsidRPr="009E3DA4" w:rsidRDefault="0057771F" w:rsidP="0057771F">
      <w:pPr>
        <w:spacing w:after="240"/>
        <w:ind w:left="720" w:hanging="720"/>
        <w:rPr>
          <w:rFonts w:eastAsia="Times New Roman"/>
          <w:b/>
          <w:sz w:val="24"/>
          <w:szCs w:val="24"/>
        </w:rPr>
      </w:pPr>
      <w:bookmarkStart w:id="11" w:name="a11_11"/>
      <w:bookmarkEnd w:id="11"/>
      <w:r w:rsidRPr="0057771F">
        <w:rPr>
          <w:rFonts w:eastAsia="Times New Roman"/>
          <w:b/>
          <w:sz w:val="24"/>
          <w:szCs w:val="24"/>
        </w:rPr>
        <w:lastRenderedPageBreak/>
        <w:t xml:space="preserve">11:11 </w:t>
      </w:r>
      <w:r w:rsidRPr="0057771F">
        <w:rPr>
          <w:rFonts w:eastAsia="Times New Roman"/>
          <w:b/>
          <w:sz w:val="24"/>
          <w:szCs w:val="24"/>
        </w:rPr>
        <w:tab/>
        <w:t>RIGHT TO ASSUME THAT DRIVER ON WRONG SIDE OF ROAD WILL RETURN</w:t>
      </w:r>
    </w:p>
    <w:p w14:paraId="7D46D33D" w14:textId="77777777" w:rsidR="0057771F" w:rsidRPr="0057771F" w:rsidRDefault="0057771F" w:rsidP="0057771F">
      <w:pPr>
        <w:spacing w:after="240"/>
        <w:ind w:firstLine="720"/>
        <w:rPr>
          <w:rFonts w:eastAsia="Times New Roman"/>
          <w:b/>
          <w:sz w:val="24"/>
          <w:szCs w:val="24"/>
        </w:rPr>
      </w:pPr>
      <w:r w:rsidRPr="0057771F">
        <w:rPr>
          <w:rFonts w:eastAsia="Times New Roman"/>
          <w:b/>
          <w:sz w:val="24"/>
          <w:szCs w:val="24"/>
        </w:rPr>
        <w:t xml:space="preserve">A driver may assume that another driver approaching on the wrong side of the road will take action to avoid a collision, unless there are reasonable grounds to believe otherwise. </w:t>
      </w:r>
    </w:p>
    <w:p w14:paraId="2122C452" w14:textId="77777777" w:rsidR="0057771F" w:rsidRDefault="0057771F" w:rsidP="0057771F">
      <w:pPr>
        <w:jc w:val="center"/>
        <w:rPr>
          <w:rFonts w:eastAsia="Times New Roman"/>
          <w:sz w:val="24"/>
          <w:szCs w:val="24"/>
        </w:rPr>
      </w:pPr>
    </w:p>
    <w:p w14:paraId="4DD24CB0" w14:textId="77777777" w:rsidR="0057771F" w:rsidRPr="0054263B" w:rsidRDefault="0057771F" w:rsidP="0057771F">
      <w:pPr>
        <w:keepNext/>
        <w:spacing w:after="240"/>
        <w:jc w:val="center"/>
        <w:rPr>
          <w:rFonts w:eastAsia="Times New Roman"/>
          <w:b/>
          <w:sz w:val="24"/>
          <w:szCs w:val="24"/>
        </w:rPr>
      </w:pPr>
      <w:r w:rsidRPr="0054263B">
        <w:rPr>
          <w:rFonts w:eastAsia="Times New Roman"/>
          <w:b/>
          <w:sz w:val="24"/>
          <w:szCs w:val="24"/>
        </w:rPr>
        <w:t>Notes on Use</w:t>
      </w:r>
    </w:p>
    <w:p w14:paraId="17D4E00B" w14:textId="77777777" w:rsidR="0057771F" w:rsidRPr="0057771F" w:rsidRDefault="0057771F" w:rsidP="0057771F">
      <w:pPr>
        <w:spacing w:after="240"/>
        <w:ind w:firstLine="720"/>
        <w:rPr>
          <w:rFonts w:eastAsia="Times New Roman"/>
          <w:sz w:val="24"/>
          <w:szCs w:val="24"/>
        </w:rPr>
      </w:pPr>
      <w:r w:rsidRPr="0057771F">
        <w:rPr>
          <w:rFonts w:eastAsia="Times New Roman"/>
          <w:sz w:val="24"/>
          <w:szCs w:val="24"/>
        </w:rPr>
        <w:t xml:space="preserve">This instruction is primarily for use in a case where the claim is made that the person who was on the right side of the road was contributorily negligent in not properly responding to the other person’s being on the wrong side of the road. </w:t>
      </w:r>
      <w:r w:rsidRPr="0057771F">
        <w:rPr>
          <w:rFonts w:eastAsia="Times New Roman"/>
          <w:i/>
          <w:sz w:val="24"/>
          <w:szCs w:val="24"/>
        </w:rPr>
        <w:t xml:space="preserve">See </w:t>
      </w:r>
      <w:r w:rsidRPr="0057771F">
        <w:rPr>
          <w:rFonts w:eastAsia="Times New Roman"/>
          <w:b/>
          <w:sz w:val="24"/>
          <w:szCs w:val="24"/>
        </w:rPr>
        <w:t>Ringsby Truck Lines, Inc. v. Bradfield</w:t>
      </w:r>
      <w:r w:rsidRPr="0057771F">
        <w:rPr>
          <w:rFonts w:eastAsia="Times New Roman"/>
          <w:sz w:val="24"/>
          <w:szCs w:val="24"/>
        </w:rPr>
        <w:t>,</w:t>
      </w:r>
      <w:r w:rsidRPr="0057771F">
        <w:rPr>
          <w:rFonts w:eastAsia="Times New Roman"/>
          <w:b/>
          <w:sz w:val="24"/>
          <w:szCs w:val="24"/>
        </w:rPr>
        <w:t xml:space="preserve"> </w:t>
      </w:r>
      <w:r w:rsidRPr="0057771F">
        <w:rPr>
          <w:rFonts w:eastAsia="Times New Roman"/>
          <w:sz w:val="24"/>
          <w:szCs w:val="24"/>
        </w:rPr>
        <w:t xml:space="preserve">193 Colo. 151, 563 P.2d 939 (1977). </w:t>
      </w:r>
    </w:p>
    <w:p w14:paraId="5CA3D33F" w14:textId="77777777" w:rsidR="0057771F" w:rsidRPr="0054263B" w:rsidRDefault="0057771F" w:rsidP="0057771F">
      <w:pPr>
        <w:keepNext/>
        <w:spacing w:after="240"/>
        <w:jc w:val="center"/>
        <w:rPr>
          <w:rFonts w:eastAsia="Times New Roman"/>
          <w:b/>
          <w:sz w:val="24"/>
          <w:szCs w:val="24"/>
        </w:rPr>
      </w:pPr>
      <w:r>
        <w:rPr>
          <w:rFonts w:eastAsia="Times New Roman"/>
          <w:b/>
          <w:sz w:val="24"/>
          <w:szCs w:val="24"/>
        </w:rPr>
        <w:t>Source and Authority</w:t>
      </w:r>
    </w:p>
    <w:p w14:paraId="13EBFC25" w14:textId="77777777" w:rsidR="0057771F" w:rsidRPr="0057771F" w:rsidRDefault="0057771F" w:rsidP="0057771F">
      <w:pPr>
        <w:spacing w:after="240"/>
        <w:ind w:firstLine="720"/>
        <w:rPr>
          <w:rFonts w:eastAsia="Times New Roman"/>
          <w:sz w:val="24"/>
          <w:szCs w:val="24"/>
        </w:rPr>
      </w:pPr>
      <w:r w:rsidRPr="0057771F">
        <w:rPr>
          <w:rFonts w:eastAsia="Times New Roman"/>
          <w:sz w:val="24"/>
          <w:szCs w:val="24"/>
        </w:rPr>
        <w:t xml:space="preserve">This instruction is supported by </w:t>
      </w:r>
      <w:r w:rsidRPr="0057771F">
        <w:rPr>
          <w:rFonts w:eastAsia="Times New Roman"/>
          <w:b/>
          <w:sz w:val="24"/>
          <w:szCs w:val="24"/>
        </w:rPr>
        <w:t>Ringsby Truck Lines, Inc.</w:t>
      </w:r>
      <w:r w:rsidRPr="0057771F">
        <w:rPr>
          <w:rFonts w:eastAsia="Times New Roman"/>
          <w:sz w:val="24"/>
          <w:szCs w:val="24"/>
        </w:rPr>
        <w:t>,</w:t>
      </w:r>
      <w:r w:rsidRPr="0057771F">
        <w:rPr>
          <w:rFonts w:eastAsia="Times New Roman"/>
          <w:b/>
          <w:sz w:val="24"/>
          <w:szCs w:val="24"/>
        </w:rPr>
        <w:t xml:space="preserve"> </w:t>
      </w:r>
      <w:r w:rsidRPr="0057771F">
        <w:rPr>
          <w:rFonts w:eastAsia="Times New Roman"/>
          <w:sz w:val="24"/>
          <w:szCs w:val="24"/>
        </w:rPr>
        <w:t xml:space="preserve">193 Colo. at 154, 563 P.2d at 942; and </w:t>
      </w:r>
      <w:r w:rsidRPr="0057771F">
        <w:rPr>
          <w:rFonts w:eastAsia="Times New Roman"/>
          <w:b/>
          <w:sz w:val="24"/>
          <w:szCs w:val="24"/>
        </w:rPr>
        <w:t>Bird v. Richardson</w:t>
      </w:r>
      <w:r w:rsidRPr="0057771F">
        <w:rPr>
          <w:rFonts w:eastAsia="Times New Roman"/>
          <w:sz w:val="24"/>
          <w:szCs w:val="24"/>
        </w:rPr>
        <w:t xml:space="preserve">, 140 Colo. 310, 344 P.2d 957 (1959) (citing earlier cases). </w:t>
      </w:r>
      <w:r w:rsidRPr="0057771F">
        <w:rPr>
          <w:rFonts w:eastAsia="Times New Roman"/>
          <w:i/>
          <w:sz w:val="24"/>
          <w:szCs w:val="24"/>
        </w:rPr>
        <w:t>See also</w:t>
      </w:r>
      <w:r w:rsidRPr="0057771F">
        <w:rPr>
          <w:rFonts w:eastAsia="Times New Roman"/>
          <w:sz w:val="24"/>
          <w:szCs w:val="24"/>
        </w:rPr>
        <w:t xml:space="preserve"> cases cited in Source and Authority to Instruction 11:9.</w:t>
      </w:r>
    </w:p>
    <w:p w14:paraId="5F34CC44" w14:textId="77777777" w:rsidR="0057771F" w:rsidRDefault="0057771F">
      <w:pPr>
        <w:rPr>
          <w:rFonts w:eastAsia="Times New Roman"/>
          <w:sz w:val="24"/>
          <w:szCs w:val="24"/>
        </w:rPr>
      </w:pPr>
      <w:r>
        <w:rPr>
          <w:rFonts w:eastAsia="Times New Roman"/>
          <w:sz w:val="24"/>
          <w:szCs w:val="24"/>
        </w:rPr>
        <w:br w:type="page"/>
      </w:r>
    </w:p>
    <w:p w14:paraId="078D28B8" w14:textId="77777777" w:rsidR="0057771F" w:rsidRPr="009E3DA4" w:rsidRDefault="00ED75EA" w:rsidP="0057771F">
      <w:pPr>
        <w:spacing w:after="240"/>
        <w:ind w:left="720" w:hanging="720"/>
        <w:rPr>
          <w:rFonts w:eastAsia="Times New Roman"/>
          <w:b/>
          <w:sz w:val="24"/>
          <w:szCs w:val="24"/>
        </w:rPr>
      </w:pPr>
      <w:bookmarkStart w:id="12" w:name="a11_12"/>
      <w:bookmarkEnd w:id="12"/>
      <w:r w:rsidRPr="00ED75EA">
        <w:rPr>
          <w:rFonts w:eastAsia="Times New Roman"/>
          <w:b/>
          <w:sz w:val="24"/>
          <w:szCs w:val="24"/>
        </w:rPr>
        <w:lastRenderedPageBreak/>
        <w:t xml:space="preserve">11:12 </w:t>
      </w:r>
      <w:r w:rsidRPr="00ED75EA">
        <w:rPr>
          <w:rFonts w:eastAsia="Times New Roman"/>
          <w:b/>
          <w:sz w:val="24"/>
          <w:szCs w:val="24"/>
        </w:rPr>
        <w:tab/>
        <w:t>REAR-END COLLISION — PRESUMPTION OF NEGLIGENCE</w:t>
      </w:r>
    </w:p>
    <w:p w14:paraId="4D5FD06B" w14:textId="77777777" w:rsidR="00ED75EA" w:rsidRPr="00ED75EA" w:rsidRDefault="00ED75EA" w:rsidP="00ED75EA">
      <w:pPr>
        <w:spacing w:after="240"/>
        <w:rPr>
          <w:rFonts w:eastAsia="Times New Roman"/>
          <w:bCs/>
          <w:i/>
          <w:iCs/>
          <w:sz w:val="24"/>
          <w:szCs w:val="24"/>
        </w:rPr>
      </w:pPr>
      <w:r w:rsidRPr="00ED75EA">
        <w:rPr>
          <w:rFonts w:eastAsia="Times New Roman"/>
          <w:i/>
          <w:sz w:val="24"/>
          <w:szCs w:val="24"/>
        </w:rPr>
        <w:t xml:space="preserve">Committee’s Note: Although approved in a 2015 Court of Appeals decision (see Note on Use 5), this instruction appears to be inconsistent with </w:t>
      </w:r>
      <w:r w:rsidRPr="00ED75EA">
        <w:rPr>
          <w:rFonts w:eastAsia="Times New Roman"/>
          <w:b/>
          <w:i/>
          <w:sz w:val="24"/>
          <w:szCs w:val="24"/>
        </w:rPr>
        <w:t>Chapman v. Harner</w:t>
      </w:r>
      <w:r w:rsidRPr="00ED75EA">
        <w:rPr>
          <w:rFonts w:eastAsia="Times New Roman"/>
          <w:i/>
          <w:sz w:val="24"/>
          <w:szCs w:val="24"/>
        </w:rPr>
        <w:t xml:space="preserve">, 2014 CO 78, 339 P.3d 519, and </w:t>
      </w:r>
      <w:r w:rsidRPr="00ED75EA">
        <w:rPr>
          <w:rFonts w:eastAsia="Times New Roman"/>
          <w:b/>
          <w:i/>
          <w:sz w:val="24"/>
          <w:szCs w:val="24"/>
        </w:rPr>
        <w:t>Krueger v. Ary</w:t>
      </w:r>
      <w:r w:rsidRPr="00ED75EA">
        <w:rPr>
          <w:rFonts w:eastAsia="Times New Roman"/>
          <w:i/>
          <w:sz w:val="24"/>
          <w:szCs w:val="24"/>
        </w:rPr>
        <w:t xml:space="preserve">, 205 P.3d 1150 (Colo. 2009). In those cases, the Supreme Court held that a rebuttable presumption </w:t>
      </w:r>
      <w:r w:rsidRPr="00ED75EA">
        <w:rPr>
          <w:rFonts w:eastAsia="Times New Roman"/>
          <w:bCs/>
          <w:i/>
          <w:iCs/>
          <w:sz w:val="24"/>
          <w:szCs w:val="24"/>
        </w:rPr>
        <w:t xml:space="preserve">“shifts the burden of going forward to the party against whom it is raised.” </w:t>
      </w:r>
      <w:r w:rsidRPr="00ED75EA">
        <w:rPr>
          <w:rFonts w:eastAsia="Times New Roman"/>
          <w:b/>
          <w:bCs/>
          <w:i/>
          <w:iCs/>
          <w:sz w:val="24"/>
          <w:szCs w:val="24"/>
        </w:rPr>
        <w:t>Krueger</w:t>
      </w:r>
      <w:r w:rsidRPr="00ED75EA">
        <w:rPr>
          <w:rFonts w:eastAsia="Times New Roman"/>
          <w:bCs/>
          <w:i/>
          <w:iCs/>
          <w:sz w:val="24"/>
          <w:szCs w:val="24"/>
        </w:rPr>
        <w:t>, 250 P.3d at 1154. If the presumption applies and is not rebutted by legally sufficient evidence, then the presumed fact is established as a matter of law. Id.</w:t>
      </w:r>
      <w:r w:rsidRPr="00ED75EA">
        <w:rPr>
          <w:rFonts w:eastAsia="Times New Roman"/>
          <w:b/>
          <w:bCs/>
          <w:i/>
          <w:iCs/>
          <w:sz w:val="24"/>
          <w:szCs w:val="24"/>
        </w:rPr>
        <w:t xml:space="preserve"> </w:t>
      </w:r>
      <w:r w:rsidRPr="00ED75EA">
        <w:rPr>
          <w:rFonts w:eastAsia="Times New Roman"/>
          <w:bCs/>
          <w:i/>
          <w:iCs/>
          <w:sz w:val="24"/>
          <w:szCs w:val="24"/>
        </w:rPr>
        <w:t>at 1156.</w:t>
      </w:r>
      <w:r w:rsidRPr="00ED75EA">
        <w:rPr>
          <w:rFonts w:eastAsia="Times New Roman"/>
          <w:b/>
          <w:bCs/>
          <w:i/>
          <w:iCs/>
          <w:sz w:val="24"/>
          <w:szCs w:val="24"/>
        </w:rPr>
        <w:t xml:space="preserve"> </w:t>
      </w:r>
      <w:r w:rsidRPr="00ED75EA">
        <w:rPr>
          <w:rFonts w:eastAsia="Times New Roman"/>
          <w:bCs/>
          <w:i/>
          <w:iCs/>
          <w:sz w:val="24"/>
          <w:szCs w:val="24"/>
        </w:rPr>
        <w:t xml:space="preserve">If the presumption applies and is rebutted by legally sufficient evidence, the presumption is destroyed and leaves only a permissible inference of the presumed fact. </w:t>
      </w:r>
      <w:r w:rsidRPr="00ED75EA">
        <w:rPr>
          <w:rFonts w:eastAsia="Times New Roman"/>
          <w:b/>
          <w:bCs/>
          <w:i/>
          <w:iCs/>
          <w:sz w:val="24"/>
          <w:szCs w:val="24"/>
        </w:rPr>
        <w:t>Chapman</w:t>
      </w:r>
      <w:r w:rsidRPr="00ED75EA">
        <w:rPr>
          <w:rFonts w:eastAsia="Times New Roman"/>
          <w:bCs/>
          <w:i/>
          <w:iCs/>
          <w:sz w:val="24"/>
          <w:szCs w:val="24"/>
        </w:rPr>
        <w:t xml:space="preserve">, ¶ 25; </w:t>
      </w:r>
      <w:r w:rsidRPr="00ED75EA">
        <w:rPr>
          <w:rFonts w:eastAsia="Times New Roman"/>
          <w:b/>
          <w:bCs/>
          <w:i/>
          <w:iCs/>
          <w:sz w:val="24"/>
          <w:szCs w:val="24"/>
        </w:rPr>
        <w:t>Krueger</w:t>
      </w:r>
      <w:r w:rsidRPr="00ED75EA">
        <w:rPr>
          <w:rFonts w:eastAsia="Times New Roman"/>
          <w:bCs/>
          <w:i/>
          <w:iCs/>
          <w:sz w:val="24"/>
          <w:szCs w:val="24"/>
        </w:rPr>
        <w:t>, 205 P.3d at 1154, 1156. In neither scenario is the jury instructed about the presumption. See Instruction 3:5 and its Notes on Use.</w:t>
      </w:r>
    </w:p>
    <w:p w14:paraId="6FCB6DD6" w14:textId="77777777" w:rsidR="00ED75EA" w:rsidRPr="00ED75EA" w:rsidRDefault="00ED75EA" w:rsidP="00ED75EA">
      <w:pPr>
        <w:spacing w:after="240"/>
        <w:rPr>
          <w:rFonts w:eastAsia="Times New Roman"/>
          <w:sz w:val="24"/>
          <w:szCs w:val="24"/>
        </w:rPr>
      </w:pPr>
      <w:r w:rsidRPr="00ED75EA">
        <w:rPr>
          <w:rFonts w:eastAsia="Times New Roman"/>
          <w:i/>
          <w:sz w:val="24"/>
          <w:szCs w:val="24"/>
        </w:rPr>
        <w:t>However, these two cases address only: (a) the presumption of negligence arising from res ipsa loquitur (</w:t>
      </w:r>
      <w:r w:rsidRPr="00ED75EA">
        <w:rPr>
          <w:rFonts w:eastAsia="Times New Roman"/>
          <w:b/>
          <w:i/>
          <w:sz w:val="24"/>
          <w:szCs w:val="24"/>
        </w:rPr>
        <w:t>Chapman</w:t>
      </w:r>
      <w:r w:rsidRPr="00ED75EA">
        <w:rPr>
          <w:rFonts w:eastAsia="Times New Roman"/>
          <w:i/>
          <w:sz w:val="24"/>
          <w:szCs w:val="24"/>
        </w:rPr>
        <w:t>) and (b) the presumption of undue influence when a beneficiary of a will is in a fiduciary or confidential relationship with the testator (</w:t>
      </w:r>
      <w:r w:rsidRPr="00ED75EA">
        <w:rPr>
          <w:rFonts w:eastAsia="Times New Roman"/>
          <w:b/>
          <w:i/>
          <w:sz w:val="24"/>
          <w:szCs w:val="24"/>
        </w:rPr>
        <w:t>Krueger</w:t>
      </w:r>
      <w:r w:rsidRPr="00ED75EA">
        <w:rPr>
          <w:rFonts w:eastAsia="Times New Roman"/>
          <w:i/>
          <w:sz w:val="24"/>
          <w:szCs w:val="24"/>
        </w:rPr>
        <w:t xml:space="preserve">). The Supreme Court has not yet considered whether to apply these holdings beyond the specific presumptions at issue in those two cases. </w:t>
      </w:r>
    </w:p>
    <w:p w14:paraId="6A41AA31" w14:textId="77777777" w:rsidR="00ED75EA" w:rsidRPr="00ED75EA" w:rsidRDefault="00ED75EA" w:rsidP="00ED75EA">
      <w:pPr>
        <w:ind w:firstLine="720"/>
        <w:rPr>
          <w:rFonts w:eastAsia="Times New Roman"/>
          <w:sz w:val="24"/>
          <w:szCs w:val="24"/>
        </w:rPr>
      </w:pPr>
    </w:p>
    <w:p w14:paraId="742B18F4" w14:textId="77777777" w:rsidR="00ED75EA" w:rsidRPr="00ED75EA" w:rsidRDefault="00ED75EA" w:rsidP="00ED75EA">
      <w:pPr>
        <w:spacing w:after="240"/>
        <w:ind w:firstLine="720"/>
        <w:rPr>
          <w:rFonts w:eastAsia="Times New Roman"/>
          <w:b/>
          <w:sz w:val="24"/>
          <w:szCs w:val="24"/>
        </w:rPr>
      </w:pPr>
      <w:r w:rsidRPr="00ED75EA">
        <w:rPr>
          <w:rFonts w:eastAsia="Times New Roman"/>
          <w:b/>
          <w:sz w:val="24"/>
          <w:szCs w:val="24"/>
        </w:rPr>
        <w:t>When a driver of a motor vehicle hits another vehicle in the rear, the law presumes [, and you must find,] that the driver was negligent.</w:t>
      </w:r>
    </w:p>
    <w:p w14:paraId="34692BD9" w14:textId="77777777" w:rsidR="0057771F" w:rsidRDefault="0057771F" w:rsidP="0057771F">
      <w:pPr>
        <w:jc w:val="center"/>
        <w:rPr>
          <w:rFonts w:eastAsia="Times New Roman"/>
          <w:sz w:val="24"/>
          <w:szCs w:val="24"/>
        </w:rPr>
      </w:pPr>
    </w:p>
    <w:p w14:paraId="41C3EA31" w14:textId="77777777" w:rsidR="0057771F" w:rsidRPr="0054263B" w:rsidRDefault="0057771F" w:rsidP="0057771F">
      <w:pPr>
        <w:keepNext/>
        <w:spacing w:after="240"/>
        <w:jc w:val="center"/>
        <w:rPr>
          <w:rFonts w:eastAsia="Times New Roman"/>
          <w:b/>
          <w:sz w:val="24"/>
          <w:szCs w:val="24"/>
        </w:rPr>
      </w:pPr>
      <w:r w:rsidRPr="0054263B">
        <w:rPr>
          <w:rFonts w:eastAsia="Times New Roman"/>
          <w:b/>
          <w:sz w:val="24"/>
          <w:szCs w:val="24"/>
        </w:rPr>
        <w:t>Notes on Use</w:t>
      </w:r>
    </w:p>
    <w:p w14:paraId="13FC22C9" w14:textId="77777777" w:rsidR="00ED75EA" w:rsidRPr="00ED75EA" w:rsidRDefault="00ED75EA" w:rsidP="00ED75EA">
      <w:pPr>
        <w:spacing w:after="240"/>
        <w:ind w:firstLine="720"/>
        <w:rPr>
          <w:rFonts w:eastAsia="Times New Roman"/>
          <w:sz w:val="24"/>
          <w:szCs w:val="24"/>
        </w:rPr>
      </w:pPr>
      <w:r w:rsidRPr="00ED75EA">
        <w:rPr>
          <w:rFonts w:eastAsia="Times New Roman"/>
          <w:sz w:val="24"/>
          <w:szCs w:val="24"/>
        </w:rPr>
        <w:t xml:space="preserve">1. In general, the happening of an accident does not raise a presumption of negligence. </w:t>
      </w:r>
      <w:r w:rsidRPr="00ED75EA">
        <w:rPr>
          <w:rFonts w:eastAsia="Times New Roman"/>
          <w:i/>
          <w:sz w:val="24"/>
          <w:szCs w:val="24"/>
        </w:rPr>
        <w:t>See</w:t>
      </w:r>
      <w:r w:rsidRPr="00ED75EA">
        <w:rPr>
          <w:rFonts w:eastAsia="Times New Roman"/>
          <w:sz w:val="24"/>
          <w:szCs w:val="24"/>
        </w:rPr>
        <w:t xml:space="preserve"> Instruction 9:12. In the case of a rear-end collision, however, a presumption of negligence is raised.</w:t>
      </w:r>
    </w:p>
    <w:p w14:paraId="4ACF2959" w14:textId="77777777" w:rsidR="00ED75EA" w:rsidRPr="00ED75EA" w:rsidRDefault="00ED75EA" w:rsidP="00ED75EA">
      <w:pPr>
        <w:spacing w:after="240"/>
        <w:ind w:firstLine="720"/>
        <w:rPr>
          <w:rFonts w:eastAsia="Times New Roman"/>
          <w:sz w:val="24"/>
          <w:szCs w:val="24"/>
        </w:rPr>
      </w:pPr>
      <w:r w:rsidRPr="00ED75EA">
        <w:rPr>
          <w:rFonts w:eastAsia="Times New Roman"/>
          <w:sz w:val="24"/>
          <w:szCs w:val="24"/>
        </w:rPr>
        <w:t>2. This instruction sets out a special application of the doctrine of res ipsa loquitur. As to whether or not, in a case governed by comparative negligence, the plaintiff must be “free from negligence” in order to avail him or herself of the doctrine, see the discussion in the Notes on Use 10 and 11 for Instruction 9:17.</w:t>
      </w:r>
    </w:p>
    <w:p w14:paraId="08721B3E" w14:textId="77777777" w:rsidR="00ED75EA" w:rsidRPr="00ED75EA" w:rsidRDefault="00ED75EA" w:rsidP="00ED75EA">
      <w:pPr>
        <w:spacing w:after="240"/>
        <w:ind w:firstLine="720"/>
        <w:rPr>
          <w:rFonts w:eastAsia="Times New Roman"/>
          <w:sz w:val="24"/>
          <w:szCs w:val="24"/>
        </w:rPr>
      </w:pPr>
      <w:r w:rsidRPr="00ED75EA">
        <w:rPr>
          <w:rFonts w:eastAsia="Times New Roman"/>
          <w:sz w:val="24"/>
          <w:szCs w:val="24"/>
        </w:rPr>
        <w:t>3. When appropriate, Instruction 11:13 (brake or other equipment failure) should also be given with this instruction.</w:t>
      </w:r>
    </w:p>
    <w:p w14:paraId="1C8BE02F" w14:textId="77777777" w:rsidR="00ED75EA" w:rsidRPr="00ED75EA" w:rsidRDefault="00ED75EA" w:rsidP="00ED75EA">
      <w:pPr>
        <w:spacing w:after="240"/>
        <w:ind w:firstLine="720"/>
        <w:rPr>
          <w:rFonts w:eastAsia="Times New Roman"/>
          <w:sz w:val="24"/>
          <w:szCs w:val="24"/>
        </w:rPr>
      </w:pPr>
      <w:r w:rsidRPr="00ED75EA">
        <w:rPr>
          <w:rFonts w:eastAsia="Times New Roman"/>
          <w:sz w:val="24"/>
          <w:szCs w:val="24"/>
        </w:rPr>
        <w:t xml:space="preserve">4. This instruction should not be given unless “both vehicles involved in the accident were located on the road or on the shoulder, were in relatively close proximity, and were facing the same direction.” </w:t>
      </w:r>
      <w:r w:rsidRPr="00ED75EA">
        <w:rPr>
          <w:rFonts w:eastAsia="Times New Roman"/>
          <w:b/>
          <w:sz w:val="24"/>
          <w:szCs w:val="24"/>
        </w:rPr>
        <w:t>Bettner v. Boring</w:t>
      </w:r>
      <w:r w:rsidRPr="00ED75EA">
        <w:rPr>
          <w:rFonts w:eastAsia="Times New Roman"/>
          <w:sz w:val="24"/>
          <w:szCs w:val="24"/>
        </w:rPr>
        <w:t>,</w:t>
      </w:r>
      <w:r w:rsidRPr="00ED75EA">
        <w:rPr>
          <w:rFonts w:eastAsia="Times New Roman"/>
          <w:b/>
          <w:sz w:val="24"/>
          <w:szCs w:val="24"/>
        </w:rPr>
        <w:t xml:space="preserve"> </w:t>
      </w:r>
      <w:r w:rsidRPr="00ED75EA">
        <w:rPr>
          <w:rFonts w:eastAsia="Times New Roman"/>
          <w:sz w:val="24"/>
          <w:szCs w:val="24"/>
        </w:rPr>
        <w:t xml:space="preserve">764 P.2d 829, 833 (Colo. 1988); </w:t>
      </w:r>
      <w:r w:rsidRPr="00ED75EA">
        <w:rPr>
          <w:rFonts w:eastAsia="Times New Roman"/>
          <w:i/>
          <w:sz w:val="24"/>
          <w:szCs w:val="24"/>
        </w:rPr>
        <w:t>see also</w:t>
      </w:r>
      <w:r w:rsidRPr="00ED75EA">
        <w:rPr>
          <w:rFonts w:eastAsia="Times New Roman"/>
          <w:sz w:val="24"/>
          <w:szCs w:val="24"/>
        </w:rPr>
        <w:t xml:space="preserve"> </w:t>
      </w:r>
      <w:r w:rsidRPr="00ED75EA">
        <w:rPr>
          <w:rFonts w:eastAsia="Times New Roman"/>
          <w:b/>
          <w:sz w:val="24"/>
          <w:szCs w:val="24"/>
        </w:rPr>
        <w:t>Davis v. Lira</w:t>
      </w:r>
      <w:r w:rsidRPr="00ED75EA">
        <w:rPr>
          <w:rFonts w:eastAsia="Times New Roman"/>
          <w:sz w:val="24"/>
          <w:szCs w:val="24"/>
        </w:rPr>
        <w:t xml:space="preserve">, 817 P.2d 539 (Colo. App. 1991) (where plaintiff’s car struck the defendant’s truck, which had been abandoned in the middle of the highway, Instruction 11:12 was not applicable), </w:t>
      </w:r>
      <w:r w:rsidRPr="00ED75EA">
        <w:rPr>
          <w:rFonts w:eastAsia="Times New Roman"/>
          <w:i/>
          <w:sz w:val="24"/>
          <w:szCs w:val="24"/>
        </w:rPr>
        <w:t>rev’d on other ground</w:t>
      </w:r>
      <w:r w:rsidRPr="00ED75EA">
        <w:rPr>
          <w:rFonts w:eastAsia="Times New Roman"/>
          <w:sz w:val="24"/>
          <w:szCs w:val="24"/>
        </w:rPr>
        <w:t>, 832 P.2d 240 (Colo. 1992).</w:t>
      </w:r>
    </w:p>
    <w:p w14:paraId="3D242991" w14:textId="77777777" w:rsidR="00ED75EA" w:rsidRPr="00ED75EA" w:rsidRDefault="00ED75EA" w:rsidP="00ED75EA">
      <w:pPr>
        <w:spacing w:after="240"/>
        <w:ind w:firstLine="720"/>
        <w:rPr>
          <w:rFonts w:eastAsia="Times New Roman"/>
          <w:sz w:val="24"/>
          <w:szCs w:val="24"/>
        </w:rPr>
      </w:pPr>
      <w:r w:rsidRPr="00ED75EA">
        <w:rPr>
          <w:rFonts w:eastAsia="Times New Roman"/>
          <w:sz w:val="24"/>
          <w:szCs w:val="24"/>
        </w:rPr>
        <w:t xml:space="preserve">5. This instruction may be given where the plaintiff’s vehicle overtakes and collides with the defendant’s vehicle stopped ahead on the roadway, and regardless of whether defendant’s vehicle moved forward after collision. </w:t>
      </w:r>
      <w:r w:rsidRPr="00ED75EA">
        <w:rPr>
          <w:rFonts w:eastAsia="Times New Roman"/>
          <w:b/>
          <w:sz w:val="24"/>
          <w:szCs w:val="24"/>
        </w:rPr>
        <w:t>Vititoe v. Rocky Mountain Pavement Maint., Inc.</w:t>
      </w:r>
      <w:r w:rsidRPr="00ED75EA">
        <w:rPr>
          <w:rFonts w:eastAsia="Times New Roman"/>
          <w:sz w:val="24"/>
          <w:szCs w:val="24"/>
        </w:rPr>
        <w:t>, 2015 COA 82, ¶¶ 95-96</w:t>
      </w:r>
      <w:r w:rsidR="00AF1365">
        <w:rPr>
          <w:rFonts w:eastAsia="Times New Roman"/>
          <w:sz w:val="24"/>
          <w:szCs w:val="24"/>
        </w:rPr>
        <w:t>, 412 P.3d 767</w:t>
      </w:r>
      <w:r w:rsidRPr="00ED75EA">
        <w:rPr>
          <w:rFonts w:eastAsia="Times New Roman"/>
          <w:sz w:val="24"/>
          <w:szCs w:val="24"/>
        </w:rPr>
        <w:t xml:space="preserve">. </w:t>
      </w:r>
    </w:p>
    <w:p w14:paraId="2F5B65E3" w14:textId="77777777" w:rsidR="0057771F" w:rsidRPr="0054263B" w:rsidRDefault="0057771F" w:rsidP="0057771F">
      <w:pPr>
        <w:keepNext/>
        <w:spacing w:after="240"/>
        <w:jc w:val="center"/>
        <w:rPr>
          <w:rFonts w:eastAsia="Times New Roman"/>
          <w:b/>
          <w:sz w:val="24"/>
          <w:szCs w:val="24"/>
        </w:rPr>
      </w:pPr>
      <w:r>
        <w:rPr>
          <w:rFonts w:eastAsia="Times New Roman"/>
          <w:b/>
          <w:sz w:val="24"/>
          <w:szCs w:val="24"/>
        </w:rPr>
        <w:t>Source and Authority</w:t>
      </w:r>
    </w:p>
    <w:p w14:paraId="60607082" w14:textId="77777777" w:rsidR="00ED75EA" w:rsidRPr="00ED75EA" w:rsidRDefault="00ED75EA" w:rsidP="00ED75EA">
      <w:pPr>
        <w:spacing w:after="240"/>
        <w:ind w:firstLine="720"/>
        <w:rPr>
          <w:rFonts w:eastAsia="Times New Roman"/>
          <w:sz w:val="24"/>
          <w:szCs w:val="24"/>
        </w:rPr>
      </w:pPr>
      <w:r w:rsidRPr="00ED75EA">
        <w:rPr>
          <w:rFonts w:eastAsia="Times New Roman"/>
          <w:sz w:val="24"/>
          <w:szCs w:val="24"/>
        </w:rPr>
        <w:t xml:space="preserve">1. This instruction is supported by </w:t>
      </w:r>
      <w:r w:rsidRPr="00ED75EA">
        <w:rPr>
          <w:rFonts w:eastAsia="Times New Roman"/>
          <w:b/>
          <w:sz w:val="24"/>
          <w:szCs w:val="24"/>
        </w:rPr>
        <w:t>Iacino v. Brown</w:t>
      </w:r>
      <w:r w:rsidRPr="00ED75EA">
        <w:rPr>
          <w:rFonts w:eastAsia="Times New Roman"/>
          <w:sz w:val="24"/>
          <w:szCs w:val="24"/>
        </w:rPr>
        <w:t>,</w:t>
      </w:r>
      <w:r w:rsidRPr="00ED75EA">
        <w:rPr>
          <w:rFonts w:eastAsia="Times New Roman"/>
          <w:b/>
          <w:sz w:val="24"/>
          <w:szCs w:val="24"/>
        </w:rPr>
        <w:t xml:space="preserve"> </w:t>
      </w:r>
      <w:r w:rsidRPr="00ED75EA">
        <w:rPr>
          <w:rFonts w:eastAsia="Times New Roman"/>
          <w:sz w:val="24"/>
          <w:szCs w:val="24"/>
        </w:rPr>
        <w:t xml:space="preserve">121 Colo. 450, 217 P.2d 266 (1950). </w:t>
      </w:r>
      <w:r w:rsidRPr="00ED75EA">
        <w:rPr>
          <w:rFonts w:eastAsia="Times New Roman"/>
          <w:i/>
          <w:sz w:val="24"/>
          <w:szCs w:val="24"/>
        </w:rPr>
        <w:t>See also</w:t>
      </w:r>
      <w:r w:rsidRPr="00ED75EA">
        <w:rPr>
          <w:rFonts w:eastAsia="Times New Roman"/>
          <w:sz w:val="24"/>
          <w:szCs w:val="24"/>
        </w:rPr>
        <w:t xml:space="preserve"> </w:t>
      </w:r>
      <w:r w:rsidRPr="00ED75EA">
        <w:rPr>
          <w:rFonts w:eastAsia="Times New Roman"/>
          <w:b/>
          <w:sz w:val="24"/>
          <w:szCs w:val="24"/>
        </w:rPr>
        <w:t>Dilts v. Baker</w:t>
      </w:r>
      <w:r w:rsidRPr="00ED75EA">
        <w:rPr>
          <w:rFonts w:eastAsia="Times New Roman"/>
          <w:sz w:val="24"/>
          <w:szCs w:val="24"/>
        </w:rPr>
        <w:t xml:space="preserve">, 162 Colo. 568, 427 P.2d 882 (1967) (plaintiff entitled to directed verdict on issue of negligence); </w:t>
      </w:r>
      <w:r w:rsidRPr="00ED75EA">
        <w:rPr>
          <w:rFonts w:eastAsia="Times New Roman"/>
          <w:b/>
          <w:sz w:val="24"/>
          <w:szCs w:val="24"/>
        </w:rPr>
        <w:t>Rhodig v. Cummings</w:t>
      </w:r>
      <w:r w:rsidRPr="00ED75EA">
        <w:rPr>
          <w:rFonts w:eastAsia="Times New Roman"/>
          <w:sz w:val="24"/>
          <w:szCs w:val="24"/>
        </w:rPr>
        <w:t xml:space="preserve">, 160 Colo. 499, 418 P.2d 521 (1966) (same); </w:t>
      </w:r>
      <w:r w:rsidRPr="00ED75EA">
        <w:rPr>
          <w:rFonts w:eastAsia="Times New Roman"/>
          <w:b/>
          <w:sz w:val="24"/>
          <w:szCs w:val="24"/>
        </w:rPr>
        <w:t>Moseley v. Lamirato</w:t>
      </w:r>
      <w:r w:rsidRPr="00ED75EA">
        <w:rPr>
          <w:rFonts w:eastAsia="Times New Roman"/>
          <w:sz w:val="24"/>
          <w:szCs w:val="24"/>
        </w:rPr>
        <w:t xml:space="preserve">, 149 Colo. 440, 370 P.2d 450 (1962) (same); </w:t>
      </w:r>
      <w:r w:rsidRPr="00ED75EA">
        <w:rPr>
          <w:rFonts w:eastAsia="Times New Roman"/>
          <w:b/>
          <w:sz w:val="24"/>
          <w:szCs w:val="24"/>
        </w:rPr>
        <w:t>McClintic v. Hesse</w:t>
      </w:r>
      <w:r w:rsidRPr="00ED75EA">
        <w:rPr>
          <w:rFonts w:eastAsia="Times New Roman"/>
          <w:sz w:val="24"/>
          <w:szCs w:val="24"/>
        </w:rPr>
        <w:t>,</w:t>
      </w:r>
      <w:r w:rsidRPr="00ED75EA">
        <w:rPr>
          <w:rFonts w:eastAsia="Times New Roman"/>
          <w:b/>
          <w:sz w:val="24"/>
          <w:szCs w:val="24"/>
        </w:rPr>
        <w:t xml:space="preserve"> </w:t>
      </w:r>
      <w:r w:rsidRPr="00ED75EA">
        <w:rPr>
          <w:rFonts w:eastAsia="Times New Roman"/>
          <w:sz w:val="24"/>
          <w:szCs w:val="24"/>
        </w:rPr>
        <w:t xml:space="preserve">151 P.3d 611 (Colo. App. 2006), </w:t>
      </w:r>
      <w:r w:rsidRPr="00ED75EA">
        <w:rPr>
          <w:rFonts w:eastAsia="Times New Roman"/>
          <w:i/>
          <w:sz w:val="24"/>
          <w:szCs w:val="24"/>
        </w:rPr>
        <w:t>rev’d on other grounds</w:t>
      </w:r>
      <w:r w:rsidRPr="00ED75EA">
        <w:rPr>
          <w:rFonts w:eastAsia="Times New Roman"/>
          <w:sz w:val="24"/>
          <w:szCs w:val="24"/>
        </w:rPr>
        <w:t>, 176 P.3d 759 (Colo. 2008).</w:t>
      </w:r>
    </w:p>
    <w:p w14:paraId="6EC90A28" w14:textId="77777777" w:rsidR="00ED75EA" w:rsidRPr="00ED75EA" w:rsidRDefault="00ED75EA" w:rsidP="00ED75EA">
      <w:pPr>
        <w:spacing w:after="240"/>
        <w:ind w:firstLine="720"/>
        <w:rPr>
          <w:rFonts w:eastAsia="Times New Roman"/>
          <w:sz w:val="24"/>
          <w:szCs w:val="24"/>
        </w:rPr>
      </w:pPr>
      <w:r w:rsidRPr="00ED75EA">
        <w:rPr>
          <w:rFonts w:eastAsia="Times New Roman"/>
          <w:sz w:val="24"/>
          <w:szCs w:val="24"/>
        </w:rPr>
        <w:t xml:space="preserve">2. For a discussion as to the sufficiency of the evidence to rebut the presumption of negligence set forth in this instruction, see </w:t>
      </w:r>
      <w:r w:rsidRPr="00ED75EA">
        <w:rPr>
          <w:rFonts w:eastAsia="Times New Roman"/>
          <w:b/>
          <w:sz w:val="24"/>
          <w:szCs w:val="24"/>
        </w:rPr>
        <w:t>Huntoon v. TCI Cablevision of Colo., Inc.</w:t>
      </w:r>
      <w:r w:rsidRPr="00ED75EA">
        <w:rPr>
          <w:rFonts w:eastAsia="Times New Roman"/>
          <w:sz w:val="24"/>
          <w:szCs w:val="24"/>
        </w:rPr>
        <w:t>, 969 P.2d 681 (Colo. 1998).</w:t>
      </w:r>
    </w:p>
    <w:p w14:paraId="3197A60E" w14:textId="77777777" w:rsidR="00ED75EA" w:rsidRPr="00ED75EA" w:rsidRDefault="00ED75EA" w:rsidP="00ED75EA">
      <w:pPr>
        <w:spacing w:after="240"/>
        <w:ind w:firstLine="720"/>
        <w:rPr>
          <w:rFonts w:eastAsia="Times New Roman"/>
          <w:sz w:val="24"/>
          <w:szCs w:val="24"/>
        </w:rPr>
      </w:pPr>
      <w:r w:rsidRPr="00ED75EA">
        <w:rPr>
          <w:rFonts w:eastAsia="Times New Roman"/>
          <w:sz w:val="24"/>
          <w:szCs w:val="24"/>
        </w:rPr>
        <w:t xml:space="preserve">3. A jury could properly find abrupt, unwarranted stopping by plaintiff to be contributory negligence. </w:t>
      </w:r>
      <w:r w:rsidRPr="00ED75EA">
        <w:rPr>
          <w:rFonts w:eastAsia="Times New Roman"/>
          <w:i/>
          <w:sz w:val="24"/>
          <w:szCs w:val="24"/>
        </w:rPr>
        <w:t xml:space="preserve">See </w:t>
      </w:r>
      <w:r w:rsidRPr="00ED75EA">
        <w:rPr>
          <w:rFonts w:eastAsia="Times New Roman"/>
          <w:b/>
          <w:sz w:val="24"/>
          <w:szCs w:val="24"/>
        </w:rPr>
        <w:t>Gaulin v. Templin</w:t>
      </w:r>
      <w:r w:rsidRPr="00ED75EA">
        <w:rPr>
          <w:rFonts w:eastAsia="Times New Roman"/>
          <w:sz w:val="24"/>
          <w:szCs w:val="24"/>
        </w:rPr>
        <w:t>,</w:t>
      </w:r>
      <w:r w:rsidRPr="00ED75EA">
        <w:rPr>
          <w:rFonts w:eastAsia="Times New Roman"/>
          <w:b/>
          <w:sz w:val="24"/>
          <w:szCs w:val="24"/>
        </w:rPr>
        <w:t xml:space="preserve"> </w:t>
      </w:r>
      <w:r w:rsidRPr="00ED75EA">
        <w:rPr>
          <w:rFonts w:eastAsia="Times New Roman"/>
          <w:sz w:val="24"/>
          <w:szCs w:val="24"/>
        </w:rPr>
        <w:t xml:space="preserve">162 Colo. 55, 424 P.2d 377 (1967). </w:t>
      </w:r>
    </w:p>
    <w:p w14:paraId="21CA34F0" w14:textId="77777777" w:rsidR="00ED75EA" w:rsidRDefault="00ED75EA">
      <w:pPr>
        <w:rPr>
          <w:rFonts w:eastAsia="Times New Roman"/>
          <w:sz w:val="24"/>
          <w:szCs w:val="24"/>
        </w:rPr>
      </w:pPr>
      <w:r>
        <w:rPr>
          <w:rFonts w:eastAsia="Times New Roman"/>
          <w:sz w:val="24"/>
          <w:szCs w:val="24"/>
        </w:rPr>
        <w:br w:type="page"/>
      </w:r>
    </w:p>
    <w:p w14:paraId="655DAA76" w14:textId="77777777" w:rsidR="00ED75EA" w:rsidRPr="009E3DA4" w:rsidRDefault="00ED75EA" w:rsidP="00ED75EA">
      <w:pPr>
        <w:spacing w:after="240"/>
        <w:ind w:left="720" w:hanging="720"/>
        <w:rPr>
          <w:rFonts w:eastAsia="Times New Roman"/>
          <w:b/>
          <w:sz w:val="24"/>
          <w:szCs w:val="24"/>
        </w:rPr>
      </w:pPr>
      <w:bookmarkStart w:id="13" w:name="a11_13"/>
      <w:bookmarkEnd w:id="13"/>
      <w:r w:rsidRPr="00ED75EA">
        <w:rPr>
          <w:rFonts w:eastAsia="Times New Roman"/>
          <w:b/>
          <w:sz w:val="24"/>
          <w:szCs w:val="24"/>
        </w:rPr>
        <w:t xml:space="preserve">11:13 </w:t>
      </w:r>
      <w:r w:rsidRPr="00ED75EA">
        <w:rPr>
          <w:rFonts w:eastAsia="Times New Roman"/>
          <w:b/>
          <w:sz w:val="24"/>
          <w:szCs w:val="24"/>
        </w:rPr>
        <w:tab/>
        <w:t>BRAKE OR OTHER EQUIPMENT FAILURE</w:t>
      </w:r>
    </w:p>
    <w:p w14:paraId="55615173" w14:textId="77777777" w:rsidR="00ED75EA" w:rsidRPr="00ED75EA" w:rsidRDefault="00ED75EA" w:rsidP="00ED75EA">
      <w:pPr>
        <w:spacing w:after="240"/>
        <w:ind w:firstLine="720"/>
        <w:rPr>
          <w:rFonts w:eastAsia="Times New Roman"/>
          <w:b/>
          <w:sz w:val="24"/>
          <w:szCs w:val="24"/>
        </w:rPr>
      </w:pPr>
      <w:r w:rsidRPr="00ED75EA">
        <w:rPr>
          <w:rFonts w:eastAsia="Times New Roman"/>
          <w:b/>
          <w:sz w:val="24"/>
          <w:szCs w:val="24"/>
        </w:rPr>
        <w:t xml:space="preserve">The (driver) (person in charge) (owner) of a vehicle is not negligent because of a sudden failure of the vehicle’s equipment if that person could not have reasonably foreseen the sudden equipment failure and that person has done all that a reasonably careful person would have done. </w:t>
      </w:r>
    </w:p>
    <w:p w14:paraId="117E87CA" w14:textId="77777777" w:rsidR="00ED75EA" w:rsidRDefault="00ED75EA" w:rsidP="00ED75EA">
      <w:pPr>
        <w:jc w:val="center"/>
        <w:rPr>
          <w:rFonts w:eastAsia="Times New Roman"/>
          <w:sz w:val="24"/>
          <w:szCs w:val="24"/>
        </w:rPr>
      </w:pPr>
    </w:p>
    <w:p w14:paraId="3E2C1026" w14:textId="77777777" w:rsidR="00ED75EA" w:rsidRPr="0054263B" w:rsidRDefault="00ED75EA" w:rsidP="00ED75EA">
      <w:pPr>
        <w:keepNext/>
        <w:spacing w:after="240"/>
        <w:jc w:val="center"/>
        <w:rPr>
          <w:rFonts w:eastAsia="Times New Roman"/>
          <w:b/>
          <w:sz w:val="24"/>
          <w:szCs w:val="24"/>
        </w:rPr>
      </w:pPr>
      <w:r w:rsidRPr="0054263B">
        <w:rPr>
          <w:rFonts w:eastAsia="Times New Roman"/>
          <w:b/>
          <w:sz w:val="24"/>
          <w:szCs w:val="24"/>
        </w:rPr>
        <w:t>Notes on Use</w:t>
      </w:r>
    </w:p>
    <w:p w14:paraId="3B744B63" w14:textId="77777777" w:rsidR="00ED75EA" w:rsidRPr="00ED75EA" w:rsidRDefault="00ED75EA" w:rsidP="00ED75EA">
      <w:pPr>
        <w:spacing w:after="240"/>
        <w:ind w:firstLine="720"/>
        <w:rPr>
          <w:rFonts w:eastAsia="Times New Roman"/>
          <w:sz w:val="24"/>
          <w:szCs w:val="24"/>
        </w:rPr>
      </w:pPr>
      <w:r w:rsidRPr="00ED75EA">
        <w:rPr>
          <w:rFonts w:eastAsia="Times New Roman"/>
          <w:sz w:val="24"/>
          <w:szCs w:val="24"/>
        </w:rPr>
        <w:t>Use whichever parenthesized words are appropriate.</w:t>
      </w:r>
    </w:p>
    <w:p w14:paraId="777CD6AD" w14:textId="77777777" w:rsidR="00ED75EA" w:rsidRPr="0054263B" w:rsidRDefault="00ED75EA" w:rsidP="00ED75EA">
      <w:pPr>
        <w:keepNext/>
        <w:spacing w:after="240"/>
        <w:jc w:val="center"/>
        <w:rPr>
          <w:rFonts w:eastAsia="Times New Roman"/>
          <w:b/>
          <w:sz w:val="24"/>
          <w:szCs w:val="24"/>
        </w:rPr>
      </w:pPr>
      <w:r>
        <w:rPr>
          <w:rFonts w:eastAsia="Times New Roman"/>
          <w:b/>
          <w:sz w:val="24"/>
          <w:szCs w:val="24"/>
        </w:rPr>
        <w:t>Source and Authority</w:t>
      </w:r>
    </w:p>
    <w:p w14:paraId="0B449027" w14:textId="77777777" w:rsidR="008D609F" w:rsidRDefault="00ED75EA" w:rsidP="008F746C">
      <w:pPr>
        <w:spacing w:after="240"/>
        <w:ind w:firstLine="720"/>
        <w:rPr>
          <w:rFonts w:eastAsia="Times New Roman"/>
          <w:sz w:val="24"/>
          <w:szCs w:val="24"/>
        </w:rPr>
      </w:pPr>
      <w:r w:rsidRPr="00ED75EA">
        <w:rPr>
          <w:rFonts w:eastAsia="Times New Roman"/>
          <w:sz w:val="24"/>
          <w:szCs w:val="24"/>
        </w:rPr>
        <w:t xml:space="preserve">This instruction is supported by </w:t>
      </w:r>
      <w:r w:rsidRPr="00ED75EA">
        <w:rPr>
          <w:rFonts w:eastAsia="Times New Roman"/>
          <w:b/>
          <w:sz w:val="24"/>
          <w:szCs w:val="24"/>
        </w:rPr>
        <w:t>Bartlett v. Bryant</w:t>
      </w:r>
      <w:r w:rsidRPr="00ED75EA">
        <w:rPr>
          <w:rFonts w:eastAsia="Times New Roman"/>
          <w:sz w:val="24"/>
          <w:szCs w:val="24"/>
        </w:rPr>
        <w:t xml:space="preserve">, 166 Colo. 113, 442 P.2d 425 (1968); </w:t>
      </w:r>
      <w:r w:rsidRPr="00ED75EA">
        <w:rPr>
          <w:rFonts w:eastAsia="Times New Roman"/>
          <w:b/>
          <w:sz w:val="24"/>
          <w:szCs w:val="24"/>
        </w:rPr>
        <w:t>Daigle v. Prather</w:t>
      </w:r>
      <w:r w:rsidRPr="00ED75EA">
        <w:rPr>
          <w:rFonts w:eastAsia="Times New Roman"/>
          <w:sz w:val="24"/>
          <w:szCs w:val="24"/>
        </w:rPr>
        <w:t>,</w:t>
      </w:r>
      <w:r w:rsidRPr="00ED75EA">
        <w:rPr>
          <w:rFonts w:eastAsia="Times New Roman"/>
          <w:b/>
          <w:sz w:val="24"/>
          <w:szCs w:val="24"/>
        </w:rPr>
        <w:t xml:space="preserve"> </w:t>
      </w:r>
      <w:r w:rsidRPr="00ED75EA">
        <w:rPr>
          <w:rFonts w:eastAsia="Times New Roman"/>
          <w:sz w:val="24"/>
          <w:szCs w:val="24"/>
        </w:rPr>
        <w:t xml:space="preserve">152 Colo. 115, 380 P.2d 670 (1963); and </w:t>
      </w:r>
      <w:r w:rsidRPr="00ED75EA">
        <w:rPr>
          <w:rFonts w:eastAsia="Times New Roman"/>
          <w:b/>
          <w:sz w:val="24"/>
          <w:szCs w:val="24"/>
        </w:rPr>
        <w:t>Eddy v. McAninch</w:t>
      </w:r>
      <w:r w:rsidRPr="00ED75EA">
        <w:rPr>
          <w:rFonts w:eastAsia="Times New Roman"/>
          <w:sz w:val="24"/>
          <w:szCs w:val="24"/>
        </w:rPr>
        <w:t>,</w:t>
      </w:r>
      <w:r w:rsidRPr="00ED75EA">
        <w:rPr>
          <w:rFonts w:eastAsia="Times New Roman"/>
          <w:b/>
          <w:sz w:val="24"/>
          <w:szCs w:val="24"/>
        </w:rPr>
        <w:t xml:space="preserve"> </w:t>
      </w:r>
      <w:r w:rsidRPr="00ED75EA">
        <w:rPr>
          <w:rFonts w:eastAsia="Times New Roman"/>
          <w:sz w:val="24"/>
          <w:szCs w:val="24"/>
        </w:rPr>
        <w:t>141 Colo. 223, 347 P.2d 499 (1959).</w:t>
      </w:r>
    </w:p>
    <w:p w14:paraId="605AF1D2" w14:textId="77777777" w:rsidR="00713866" w:rsidRDefault="00713866">
      <w:pPr>
        <w:rPr>
          <w:rFonts w:eastAsia="Times New Roman"/>
          <w:sz w:val="24"/>
          <w:szCs w:val="24"/>
        </w:rPr>
      </w:pPr>
      <w:r>
        <w:rPr>
          <w:rFonts w:eastAsia="Times New Roman"/>
          <w:sz w:val="24"/>
          <w:szCs w:val="24"/>
        </w:rPr>
        <w:br w:type="page"/>
      </w:r>
    </w:p>
    <w:p w14:paraId="1BFBF456" w14:textId="77777777" w:rsidR="00713866" w:rsidRPr="009E3DA4" w:rsidRDefault="00713866" w:rsidP="00713866">
      <w:pPr>
        <w:spacing w:after="240"/>
        <w:ind w:left="720" w:hanging="720"/>
        <w:rPr>
          <w:rFonts w:eastAsia="Times New Roman"/>
          <w:b/>
          <w:sz w:val="24"/>
          <w:szCs w:val="24"/>
        </w:rPr>
      </w:pPr>
      <w:bookmarkStart w:id="14" w:name="a11_14"/>
      <w:bookmarkEnd w:id="14"/>
      <w:r w:rsidRPr="00713866">
        <w:rPr>
          <w:rFonts w:eastAsia="Times New Roman"/>
          <w:b/>
          <w:sz w:val="24"/>
          <w:szCs w:val="24"/>
        </w:rPr>
        <w:t xml:space="preserve">11:14 </w:t>
      </w:r>
      <w:r w:rsidRPr="00713866">
        <w:rPr>
          <w:rFonts w:eastAsia="Times New Roman"/>
          <w:b/>
          <w:sz w:val="24"/>
          <w:szCs w:val="24"/>
        </w:rPr>
        <w:tab/>
        <w:t>DRIVING UNDER THE INFLUENCE — DEFINED</w:t>
      </w:r>
    </w:p>
    <w:p w14:paraId="2BD94210" w14:textId="77777777" w:rsidR="00713866" w:rsidRPr="00713866" w:rsidRDefault="00713866" w:rsidP="00713866">
      <w:pPr>
        <w:spacing w:after="240"/>
        <w:ind w:firstLine="720"/>
        <w:rPr>
          <w:rFonts w:eastAsia="Times New Roman"/>
          <w:b/>
          <w:sz w:val="24"/>
          <w:szCs w:val="24"/>
        </w:rPr>
      </w:pPr>
      <w:r w:rsidRPr="00713866">
        <w:rPr>
          <w:rFonts w:eastAsia="Times New Roman"/>
          <w:b/>
          <w:sz w:val="24"/>
          <w:szCs w:val="24"/>
        </w:rPr>
        <w:t>No instruction prepared.</w:t>
      </w:r>
    </w:p>
    <w:p w14:paraId="48C829D7" w14:textId="77777777" w:rsidR="00713866" w:rsidRDefault="00713866" w:rsidP="00713866">
      <w:pPr>
        <w:jc w:val="center"/>
        <w:rPr>
          <w:rFonts w:eastAsia="Times New Roman"/>
          <w:sz w:val="24"/>
          <w:szCs w:val="24"/>
        </w:rPr>
      </w:pPr>
    </w:p>
    <w:p w14:paraId="41FA08A1" w14:textId="77777777" w:rsidR="00713866" w:rsidRPr="0054263B" w:rsidRDefault="00713866" w:rsidP="00713866">
      <w:pPr>
        <w:keepNext/>
        <w:spacing w:after="240"/>
        <w:jc w:val="center"/>
        <w:rPr>
          <w:rFonts w:eastAsia="Times New Roman"/>
          <w:b/>
          <w:sz w:val="24"/>
          <w:szCs w:val="24"/>
        </w:rPr>
      </w:pPr>
      <w:r w:rsidRPr="0054263B">
        <w:rPr>
          <w:rFonts w:eastAsia="Times New Roman"/>
          <w:b/>
          <w:sz w:val="24"/>
          <w:szCs w:val="24"/>
        </w:rPr>
        <w:t>Note</w:t>
      </w:r>
    </w:p>
    <w:p w14:paraId="3029D511" w14:textId="77777777" w:rsidR="00713866" w:rsidRPr="00713866" w:rsidRDefault="00713866" w:rsidP="00713866">
      <w:pPr>
        <w:spacing w:after="240"/>
        <w:ind w:firstLine="720"/>
        <w:rPr>
          <w:rFonts w:eastAsia="Times New Roman"/>
          <w:sz w:val="24"/>
          <w:szCs w:val="24"/>
        </w:rPr>
      </w:pPr>
      <w:r w:rsidRPr="00713866">
        <w:rPr>
          <w:rFonts w:eastAsia="Times New Roman"/>
          <w:sz w:val="24"/>
          <w:szCs w:val="24"/>
        </w:rPr>
        <w:t>When there is sufficient evidence that a person was driving while under the influence of intoxicating liquor or drugs, Instruction 9:14, with insertions based on the relevant provisions of sections 42-4-1301(1) and (2), C.R.S., should be used. Such definitional instructions as may be necessary, based on the language of the statute, should also be given.</w:t>
      </w:r>
    </w:p>
    <w:p w14:paraId="4FDFB914" w14:textId="77777777" w:rsidR="00713866" w:rsidRDefault="00713866">
      <w:pPr>
        <w:rPr>
          <w:rFonts w:eastAsia="Times New Roman"/>
          <w:sz w:val="24"/>
          <w:szCs w:val="24"/>
        </w:rPr>
      </w:pPr>
      <w:r>
        <w:rPr>
          <w:rFonts w:eastAsia="Times New Roman"/>
          <w:sz w:val="24"/>
          <w:szCs w:val="24"/>
        </w:rPr>
        <w:br w:type="page"/>
      </w:r>
    </w:p>
    <w:p w14:paraId="54CC0E2E" w14:textId="77777777" w:rsidR="00713866" w:rsidRDefault="00713866" w:rsidP="00713866">
      <w:pPr>
        <w:spacing w:after="240"/>
        <w:jc w:val="center"/>
        <w:rPr>
          <w:rFonts w:eastAsia="Times New Roman"/>
          <w:b/>
          <w:sz w:val="24"/>
          <w:szCs w:val="24"/>
        </w:rPr>
      </w:pPr>
      <w:r>
        <w:rPr>
          <w:rFonts w:eastAsia="Times New Roman"/>
          <w:b/>
          <w:sz w:val="24"/>
          <w:szCs w:val="24"/>
        </w:rPr>
        <w:t>B</w:t>
      </w:r>
      <w:r w:rsidRPr="002547C3">
        <w:rPr>
          <w:rFonts w:eastAsia="Times New Roman"/>
          <w:b/>
          <w:sz w:val="24"/>
          <w:szCs w:val="24"/>
        </w:rPr>
        <w:t xml:space="preserve">. </w:t>
      </w:r>
      <w:r w:rsidRPr="00713866">
        <w:rPr>
          <w:rFonts w:eastAsia="Times New Roman"/>
          <w:b/>
          <w:sz w:val="24"/>
          <w:szCs w:val="24"/>
        </w:rPr>
        <w:t>RESERVED FOR FUTURE USE</w:t>
      </w:r>
    </w:p>
    <w:p w14:paraId="3348D35A" w14:textId="77777777" w:rsidR="00713866" w:rsidRDefault="00713866">
      <w:pPr>
        <w:rPr>
          <w:rFonts w:eastAsia="Times New Roman"/>
          <w:sz w:val="24"/>
          <w:szCs w:val="24"/>
        </w:rPr>
      </w:pPr>
      <w:r>
        <w:rPr>
          <w:rFonts w:eastAsia="Times New Roman"/>
          <w:sz w:val="24"/>
          <w:szCs w:val="24"/>
        </w:rPr>
        <w:br w:type="page"/>
      </w:r>
    </w:p>
    <w:p w14:paraId="0BE0F8F8" w14:textId="77777777" w:rsidR="00713866" w:rsidRDefault="00713866" w:rsidP="00713866">
      <w:pPr>
        <w:spacing w:after="240"/>
        <w:jc w:val="center"/>
        <w:rPr>
          <w:rFonts w:eastAsia="Times New Roman"/>
          <w:b/>
          <w:sz w:val="24"/>
          <w:szCs w:val="24"/>
        </w:rPr>
      </w:pPr>
      <w:r w:rsidRPr="00713866">
        <w:rPr>
          <w:rFonts w:eastAsia="Times New Roman"/>
          <w:b/>
          <w:sz w:val="24"/>
          <w:szCs w:val="24"/>
        </w:rPr>
        <w:t>C. VICARIOUS LIABILITY — MOTOR VEHICLES</w:t>
      </w:r>
    </w:p>
    <w:p w14:paraId="50BBEA54" w14:textId="77777777" w:rsidR="00713866" w:rsidRPr="009E3DA4" w:rsidRDefault="00713866" w:rsidP="00713866">
      <w:pPr>
        <w:spacing w:after="240"/>
        <w:ind w:left="720" w:hanging="720"/>
        <w:rPr>
          <w:rFonts w:eastAsia="Times New Roman"/>
          <w:b/>
          <w:sz w:val="24"/>
          <w:szCs w:val="24"/>
        </w:rPr>
      </w:pPr>
      <w:bookmarkStart w:id="15" w:name="a11_15"/>
      <w:bookmarkEnd w:id="15"/>
      <w:r w:rsidRPr="00713866">
        <w:rPr>
          <w:rFonts w:eastAsia="Times New Roman"/>
          <w:b/>
          <w:sz w:val="24"/>
          <w:szCs w:val="24"/>
        </w:rPr>
        <w:t xml:space="preserve">11:15 </w:t>
      </w:r>
      <w:r w:rsidRPr="00713866">
        <w:rPr>
          <w:rFonts w:eastAsia="Times New Roman"/>
          <w:b/>
          <w:sz w:val="24"/>
          <w:szCs w:val="24"/>
        </w:rPr>
        <w:tab/>
        <w:t>FAMILY CAR DOCTRINE</w:t>
      </w:r>
    </w:p>
    <w:p w14:paraId="5419871C" w14:textId="77777777" w:rsidR="00713866" w:rsidRPr="00713866" w:rsidRDefault="00713866" w:rsidP="00713866">
      <w:pPr>
        <w:spacing w:after="240"/>
        <w:ind w:firstLine="720"/>
        <w:rPr>
          <w:rFonts w:eastAsia="Times New Roman"/>
          <w:b/>
          <w:sz w:val="24"/>
          <w:szCs w:val="24"/>
        </w:rPr>
      </w:pPr>
      <w:r w:rsidRPr="00713866">
        <w:rPr>
          <w:rFonts w:eastAsia="Times New Roman"/>
          <w:b/>
          <w:sz w:val="24"/>
          <w:szCs w:val="24"/>
        </w:rPr>
        <w:t xml:space="preserve">For the defendant, </w:t>
      </w:r>
      <w:r w:rsidRPr="00713866">
        <w:rPr>
          <w:rFonts w:eastAsia="Times New Roman"/>
          <w:i/>
          <w:sz w:val="24"/>
          <w:szCs w:val="24"/>
        </w:rPr>
        <w:t>(name)</w:t>
      </w:r>
      <w:r w:rsidRPr="00713866">
        <w:rPr>
          <w:rFonts w:eastAsia="Times New Roman"/>
          <w:b/>
          <w:sz w:val="24"/>
          <w:szCs w:val="24"/>
        </w:rPr>
        <w:t>, to be held liable under the Family Car Doctrine for the negligence of the driver, you must find:</w:t>
      </w:r>
    </w:p>
    <w:p w14:paraId="72611AE8" w14:textId="77777777" w:rsidR="00713866" w:rsidRPr="00713866" w:rsidRDefault="00713866" w:rsidP="00713866">
      <w:pPr>
        <w:spacing w:after="240"/>
        <w:ind w:firstLine="720"/>
        <w:rPr>
          <w:rFonts w:eastAsia="Times New Roman"/>
          <w:b/>
          <w:sz w:val="24"/>
          <w:szCs w:val="24"/>
        </w:rPr>
      </w:pPr>
      <w:r w:rsidRPr="00713866">
        <w:rPr>
          <w:rFonts w:eastAsia="Times New Roman"/>
          <w:b/>
          <w:sz w:val="24"/>
          <w:szCs w:val="24"/>
        </w:rPr>
        <w:t>1. The defendant was the head of the household;</w:t>
      </w:r>
    </w:p>
    <w:p w14:paraId="1252190A" w14:textId="77777777" w:rsidR="00713866" w:rsidRPr="00713866" w:rsidRDefault="00713866" w:rsidP="00713866">
      <w:pPr>
        <w:spacing w:after="240"/>
        <w:ind w:firstLine="720"/>
        <w:rPr>
          <w:rFonts w:eastAsia="Times New Roman"/>
          <w:b/>
          <w:sz w:val="24"/>
          <w:szCs w:val="24"/>
        </w:rPr>
      </w:pPr>
      <w:r w:rsidRPr="00713866">
        <w:rPr>
          <w:rFonts w:eastAsia="Times New Roman"/>
          <w:b/>
          <w:sz w:val="24"/>
          <w:szCs w:val="24"/>
        </w:rPr>
        <w:t>2. The vehicle was used by a member of that household;</w:t>
      </w:r>
    </w:p>
    <w:p w14:paraId="729757B1" w14:textId="77777777" w:rsidR="00713866" w:rsidRPr="00713866" w:rsidRDefault="00713866" w:rsidP="00713866">
      <w:pPr>
        <w:spacing w:after="240"/>
        <w:ind w:firstLine="720"/>
        <w:rPr>
          <w:rFonts w:eastAsia="Times New Roman"/>
          <w:b/>
          <w:sz w:val="24"/>
          <w:szCs w:val="24"/>
        </w:rPr>
      </w:pPr>
      <w:r w:rsidRPr="00713866">
        <w:rPr>
          <w:rFonts w:eastAsia="Times New Roman"/>
          <w:b/>
          <w:sz w:val="24"/>
          <w:szCs w:val="24"/>
        </w:rPr>
        <w:t>3. The defendant had control of the use of the vehicle; and</w:t>
      </w:r>
    </w:p>
    <w:p w14:paraId="330C10F2" w14:textId="77777777" w:rsidR="00713866" w:rsidRPr="00713866" w:rsidRDefault="00713866" w:rsidP="00713866">
      <w:pPr>
        <w:spacing w:after="240"/>
        <w:ind w:firstLine="720"/>
        <w:rPr>
          <w:rFonts w:eastAsia="Times New Roman"/>
          <w:b/>
          <w:sz w:val="24"/>
          <w:szCs w:val="24"/>
        </w:rPr>
      </w:pPr>
      <w:r w:rsidRPr="00713866">
        <w:rPr>
          <w:rFonts w:eastAsia="Times New Roman"/>
          <w:b/>
          <w:sz w:val="24"/>
          <w:szCs w:val="24"/>
        </w:rPr>
        <w:t>4. The vehicle was used with the express or implied permission of the defendant.</w:t>
      </w:r>
    </w:p>
    <w:p w14:paraId="70F2E043" w14:textId="77777777" w:rsidR="00713866" w:rsidRDefault="00713866" w:rsidP="00713866">
      <w:pPr>
        <w:jc w:val="center"/>
        <w:rPr>
          <w:rFonts w:eastAsia="Times New Roman"/>
          <w:sz w:val="24"/>
          <w:szCs w:val="24"/>
        </w:rPr>
      </w:pPr>
    </w:p>
    <w:p w14:paraId="30926E11" w14:textId="77777777" w:rsidR="00713866" w:rsidRPr="0054263B" w:rsidRDefault="00713866" w:rsidP="00713866">
      <w:pPr>
        <w:keepNext/>
        <w:spacing w:after="240"/>
        <w:jc w:val="center"/>
        <w:rPr>
          <w:rFonts w:eastAsia="Times New Roman"/>
          <w:b/>
          <w:sz w:val="24"/>
          <w:szCs w:val="24"/>
        </w:rPr>
      </w:pPr>
      <w:r w:rsidRPr="0054263B">
        <w:rPr>
          <w:rFonts w:eastAsia="Times New Roman"/>
          <w:b/>
          <w:sz w:val="24"/>
          <w:szCs w:val="24"/>
        </w:rPr>
        <w:t>Notes on Use</w:t>
      </w:r>
    </w:p>
    <w:p w14:paraId="7C95423C" w14:textId="77777777" w:rsidR="00713866" w:rsidRPr="00713866" w:rsidRDefault="00713866" w:rsidP="00713866">
      <w:pPr>
        <w:spacing w:after="240"/>
        <w:ind w:firstLine="720"/>
        <w:rPr>
          <w:rFonts w:eastAsia="Times New Roman"/>
          <w:sz w:val="24"/>
          <w:szCs w:val="24"/>
        </w:rPr>
      </w:pPr>
      <w:r w:rsidRPr="00713866">
        <w:rPr>
          <w:rFonts w:eastAsia="Times New Roman"/>
          <w:sz w:val="24"/>
          <w:szCs w:val="24"/>
        </w:rPr>
        <w:t xml:space="preserve">1. If the defendant has control over the use of the vehicle although the defendant may not be the owner, the defendant may nonetheless be liable under the family car doctrine. </w:t>
      </w:r>
      <w:r w:rsidRPr="00713866">
        <w:rPr>
          <w:rFonts w:eastAsia="Times New Roman"/>
          <w:b/>
          <w:sz w:val="24"/>
          <w:szCs w:val="24"/>
        </w:rPr>
        <w:t>Ferguson v. Hurford</w:t>
      </w:r>
      <w:r w:rsidRPr="00713866">
        <w:rPr>
          <w:rFonts w:eastAsia="Times New Roman"/>
          <w:sz w:val="24"/>
          <w:szCs w:val="24"/>
        </w:rPr>
        <w:t xml:space="preserve">, 132 Colo. 507, 290 P.2d 229 (1955); </w:t>
      </w:r>
      <w:r w:rsidRPr="00713866">
        <w:rPr>
          <w:rFonts w:eastAsia="Times New Roman"/>
          <w:b/>
          <w:sz w:val="24"/>
          <w:szCs w:val="24"/>
        </w:rPr>
        <w:t>Boyd v. Close</w:t>
      </w:r>
      <w:r w:rsidRPr="00713866">
        <w:rPr>
          <w:rFonts w:eastAsia="Times New Roman"/>
          <w:sz w:val="24"/>
          <w:szCs w:val="24"/>
        </w:rPr>
        <w:t>,</w:t>
      </w:r>
      <w:r w:rsidRPr="00713866">
        <w:rPr>
          <w:rFonts w:eastAsia="Times New Roman"/>
          <w:b/>
          <w:sz w:val="24"/>
          <w:szCs w:val="24"/>
        </w:rPr>
        <w:t xml:space="preserve"> </w:t>
      </w:r>
      <w:r w:rsidRPr="00713866">
        <w:rPr>
          <w:rFonts w:eastAsia="Times New Roman"/>
          <w:sz w:val="24"/>
          <w:szCs w:val="24"/>
        </w:rPr>
        <w:t xml:space="preserve">82 Colo. 150, 257 P. 1079 (1927); </w:t>
      </w:r>
      <w:r w:rsidRPr="00713866">
        <w:rPr>
          <w:rFonts w:eastAsia="Times New Roman"/>
          <w:b/>
          <w:sz w:val="24"/>
          <w:szCs w:val="24"/>
        </w:rPr>
        <w:t>Hasegawa v. Day</w:t>
      </w:r>
      <w:r w:rsidRPr="00713866">
        <w:rPr>
          <w:rFonts w:eastAsia="Times New Roman"/>
          <w:sz w:val="24"/>
          <w:szCs w:val="24"/>
        </w:rPr>
        <w:t xml:space="preserve">, 684 P.2d 936 (Colo. App. 1983), </w:t>
      </w:r>
      <w:r w:rsidRPr="00713866">
        <w:rPr>
          <w:rFonts w:eastAsia="Times New Roman"/>
          <w:i/>
          <w:sz w:val="24"/>
          <w:szCs w:val="24"/>
        </w:rPr>
        <w:t>overruled on other grounds by</w:t>
      </w:r>
      <w:r w:rsidRPr="00713866">
        <w:rPr>
          <w:rFonts w:eastAsia="Times New Roman"/>
          <w:sz w:val="24"/>
          <w:szCs w:val="24"/>
        </w:rPr>
        <w:t xml:space="preserve"> </w:t>
      </w:r>
      <w:r w:rsidRPr="00713866">
        <w:rPr>
          <w:rFonts w:eastAsia="Times New Roman"/>
          <w:b/>
          <w:sz w:val="24"/>
          <w:szCs w:val="24"/>
        </w:rPr>
        <w:t>Casebolt v. Cowan</w:t>
      </w:r>
      <w:r w:rsidRPr="00713866">
        <w:rPr>
          <w:rFonts w:eastAsia="Times New Roman"/>
          <w:sz w:val="24"/>
          <w:szCs w:val="24"/>
        </w:rPr>
        <w:t>, 829 P.2d 352 (Colo. 1992).</w:t>
      </w:r>
    </w:p>
    <w:p w14:paraId="051B039E" w14:textId="77777777" w:rsidR="00713866" w:rsidRPr="00713866" w:rsidRDefault="00713866" w:rsidP="00713866">
      <w:pPr>
        <w:spacing w:after="240"/>
        <w:ind w:firstLine="720"/>
        <w:rPr>
          <w:rFonts w:eastAsia="Times New Roman"/>
          <w:sz w:val="24"/>
          <w:szCs w:val="24"/>
        </w:rPr>
      </w:pPr>
      <w:r w:rsidRPr="00713866">
        <w:rPr>
          <w:rFonts w:eastAsia="Times New Roman"/>
          <w:sz w:val="24"/>
          <w:szCs w:val="24"/>
        </w:rPr>
        <w:t xml:space="preserve">2. The family car doctrine is not applicable against one who is not the head of the household even though the person may be a co-owner of the vehicle. </w:t>
      </w:r>
      <w:r w:rsidRPr="00713866">
        <w:rPr>
          <w:rFonts w:eastAsia="Times New Roman"/>
          <w:b/>
          <w:sz w:val="24"/>
          <w:szCs w:val="24"/>
        </w:rPr>
        <w:t>Lee v. Degler</w:t>
      </w:r>
      <w:r w:rsidRPr="00713866">
        <w:rPr>
          <w:rFonts w:eastAsia="Times New Roman"/>
          <w:sz w:val="24"/>
          <w:szCs w:val="24"/>
        </w:rPr>
        <w:t>,</w:t>
      </w:r>
      <w:r w:rsidRPr="00713866">
        <w:rPr>
          <w:rFonts w:eastAsia="Times New Roman"/>
          <w:b/>
          <w:sz w:val="24"/>
          <w:szCs w:val="24"/>
        </w:rPr>
        <w:t xml:space="preserve"> </w:t>
      </w:r>
      <w:r w:rsidRPr="00713866">
        <w:rPr>
          <w:rFonts w:eastAsia="Times New Roman"/>
          <w:sz w:val="24"/>
          <w:szCs w:val="24"/>
        </w:rPr>
        <w:t xml:space="preserve">169 Colo. 226, 454 P.2d 937 (1969); </w:t>
      </w:r>
      <w:r w:rsidRPr="00713866">
        <w:rPr>
          <w:rFonts w:eastAsia="Times New Roman"/>
          <w:i/>
          <w:sz w:val="24"/>
          <w:szCs w:val="24"/>
        </w:rPr>
        <w:t>see also</w:t>
      </w:r>
      <w:r w:rsidRPr="00713866">
        <w:rPr>
          <w:rFonts w:eastAsia="Times New Roman"/>
          <w:sz w:val="24"/>
          <w:szCs w:val="24"/>
        </w:rPr>
        <w:t xml:space="preserve"> </w:t>
      </w:r>
      <w:r w:rsidRPr="00713866">
        <w:rPr>
          <w:rFonts w:eastAsia="Times New Roman"/>
          <w:b/>
          <w:sz w:val="24"/>
          <w:szCs w:val="24"/>
        </w:rPr>
        <w:t>Ross v. Douglas</w:t>
      </w:r>
      <w:r w:rsidRPr="00713866">
        <w:rPr>
          <w:rFonts w:eastAsia="Times New Roman"/>
          <w:sz w:val="24"/>
          <w:szCs w:val="24"/>
        </w:rPr>
        <w:t>, 470 P.2d 900 (Colo. App. 1970) (not published pursuant to C.A.R. 35(f)) (mother, though owner of car, not liable as head of household for negligence of son where husband and father was employed, lived at home and supported family).</w:t>
      </w:r>
    </w:p>
    <w:p w14:paraId="786675C6" w14:textId="77777777" w:rsidR="00713866" w:rsidRPr="00713866" w:rsidRDefault="00713866" w:rsidP="00713866">
      <w:pPr>
        <w:spacing w:after="240"/>
        <w:ind w:firstLine="720"/>
        <w:rPr>
          <w:rFonts w:eastAsia="Times New Roman"/>
          <w:sz w:val="24"/>
          <w:szCs w:val="24"/>
        </w:rPr>
      </w:pPr>
      <w:r w:rsidRPr="00713866">
        <w:rPr>
          <w:rFonts w:eastAsia="Times New Roman"/>
          <w:sz w:val="24"/>
          <w:szCs w:val="24"/>
        </w:rPr>
        <w:t xml:space="preserve">3. There may be circumstances giving rise to liability where the driver was not a member of the defendant’s household, but the vehicle was being used for a family purpose. </w:t>
      </w:r>
      <w:r w:rsidRPr="00713866">
        <w:rPr>
          <w:rFonts w:eastAsia="Times New Roman"/>
          <w:i/>
          <w:sz w:val="24"/>
          <w:szCs w:val="24"/>
        </w:rPr>
        <w:t>See</w:t>
      </w:r>
      <w:r w:rsidRPr="00713866">
        <w:rPr>
          <w:rFonts w:eastAsia="Times New Roman"/>
          <w:sz w:val="24"/>
          <w:szCs w:val="24"/>
        </w:rPr>
        <w:t xml:space="preserve"> </w:t>
      </w:r>
      <w:r w:rsidRPr="00713866">
        <w:rPr>
          <w:rFonts w:eastAsia="Times New Roman"/>
          <w:b/>
          <w:sz w:val="24"/>
          <w:szCs w:val="24"/>
        </w:rPr>
        <w:t>Boyd</w:t>
      </w:r>
      <w:r w:rsidRPr="00713866">
        <w:rPr>
          <w:rFonts w:eastAsia="Times New Roman"/>
          <w:sz w:val="24"/>
          <w:szCs w:val="24"/>
        </w:rPr>
        <w:t>,</w:t>
      </w:r>
      <w:r w:rsidRPr="00713866">
        <w:rPr>
          <w:rFonts w:eastAsia="Times New Roman"/>
          <w:b/>
          <w:sz w:val="24"/>
          <w:szCs w:val="24"/>
        </w:rPr>
        <w:t xml:space="preserve"> </w:t>
      </w:r>
      <w:r w:rsidRPr="00713866">
        <w:rPr>
          <w:rFonts w:eastAsia="Times New Roman"/>
          <w:sz w:val="24"/>
          <w:szCs w:val="24"/>
        </w:rPr>
        <w:t>82 Colo. at 155, 257 P. at 1081.</w:t>
      </w:r>
    </w:p>
    <w:p w14:paraId="0DC121AC" w14:textId="77777777" w:rsidR="00713866" w:rsidRPr="0054263B" w:rsidRDefault="00713866" w:rsidP="00713866">
      <w:pPr>
        <w:keepNext/>
        <w:spacing w:after="240"/>
        <w:jc w:val="center"/>
        <w:rPr>
          <w:rFonts w:eastAsia="Times New Roman"/>
          <w:b/>
          <w:sz w:val="24"/>
          <w:szCs w:val="24"/>
        </w:rPr>
      </w:pPr>
      <w:r>
        <w:rPr>
          <w:rFonts w:eastAsia="Times New Roman"/>
          <w:b/>
          <w:sz w:val="24"/>
          <w:szCs w:val="24"/>
        </w:rPr>
        <w:t>Source and Authority</w:t>
      </w:r>
    </w:p>
    <w:p w14:paraId="453576F6" w14:textId="77777777" w:rsidR="00713866" w:rsidRPr="00713866" w:rsidRDefault="00713866" w:rsidP="00713866">
      <w:pPr>
        <w:spacing w:after="240"/>
        <w:ind w:firstLine="720"/>
        <w:rPr>
          <w:rFonts w:eastAsia="Times New Roman"/>
          <w:sz w:val="24"/>
          <w:szCs w:val="24"/>
        </w:rPr>
      </w:pPr>
      <w:r w:rsidRPr="00713866">
        <w:rPr>
          <w:rFonts w:eastAsia="Times New Roman"/>
          <w:sz w:val="24"/>
          <w:szCs w:val="24"/>
        </w:rPr>
        <w:t>This instruction is supported by</w:t>
      </w:r>
      <w:r w:rsidRPr="00713866">
        <w:rPr>
          <w:rFonts w:eastAsia="Times New Roman"/>
          <w:b/>
          <w:sz w:val="24"/>
          <w:szCs w:val="24"/>
        </w:rPr>
        <w:t xml:space="preserve"> Hutchins v. Haffner</w:t>
      </w:r>
      <w:r w:rsidRPr="00713866">
        <w:rPr>
          <w:rFonts w:eastAsia="Times New Roman"/>
          <w:sz w:val="24"/>
          <w:szCs w:val="24"/>
        </w:rPr>
        <w:t xml:space="preserve">, 63 Colo. 365, 167 P. 966 (1917), which adopted the family car doctrine substantially as set out in this instruction. Also in support are </w:t>
      </w:r>
      <w:r w:rsidRPr="00713866">
        <w:rPr>
          <w:rFonts w:eastAsia="Times New Roman"/>
          <w:b/>
          <w:sz w:val="24"/>
          <w:szCs w:val="24"/>
        </w:rPr>
        <w:t>Appelhans v. Kirkwood</w:t>
      </w:r>
      <w:r w:rsidRPr="00713866">
        <w:rPr>
          <w:rFonts w:eastAsia="Times New Roman"/>
          <w:sz w:val="24"/>
          <w:szCs w:val="24"/>
        </w:rPr>
        <w:t>,</w:t>
      </w:r>
      <w:r w:rsidRPr="00713866">
        <w:rPr>
          <w:rFonts w:eastAsia="Times New Roman"/>
          <w:b/>
          <w:sz w:val="24"/>
          <w:szCs w:val="24"/>
        </w:rPr>
        <w:t xml:space="preserve"> </w:t>
      </w:r>
      <w:r w:rsidRPr="00713866">
        <w:rPr>
          <w:rFonts w:eastAsia="Times New Roman"/>
          <w:sz w:val="24"/>
          <w:szCs w:val="24"/>
        </w:rPr>
        <w:t xml:space="preserve">148 Colo. 92, 365 P.2d 233 (1961) (citing and discussing several earlier cases); </w:t>
      </w:r>
      <w:r w:rsidRPr="00713866">
        <w:rPr>
          <w:rFonts w:eastAsia="Times New Roman"/>
          <w:b/>
          <w:sz w:val="24"/>
          <w:szCs w:val="24"/>
        </w:rPr>
        <w:t>Vick v. Zumwalt</w:t>
      </w:r>
      <w:r w:rsidRPr="00713866">
        <w:rPr>
          <w:rFonts w:eastAsia="Times New Roman"/>
          <w:sz w:val="24"/>
          <w:szCs w:val="24"/>
        </w:rPr>
        <w:t xml:space="preserve">, 130 Colo. 148, 273 P.2d 1010 (1954); </w:t>
      </w:r>
      <w:r w:rsidRPr="00713866">
        <w:rPr>
          <w:rFonts w:eastAsia="Times New Roman"/>
          <w:b/>
          <w:sz w:val="24"/>
          <w:szCs w:val="24"/>
        </w:rPr>
        <w:t>Hasegawa</w:t>
      </w:r>
      <w:r w:rsidRPr="00713866">
        <w:rPr>
          <w:rFonts w:eastAsia="Times New Roman"/>
          <w:sz w:val="24"/>
          <w:szCs w:val="24"/>
        </w:rPr>
        <w:t xml:space="preserve">, 684 P.2d at 938 (father had sufficient control over use of the vehicle though vehicle owned by driver-member of the household); and </w:t>
      </w:r>
      <w:r w:rsidRPr="00713866">
        <w:rPr>
          <w:rFonts w:eastAsia="Times New Roman"/>
          <w:b/>
          <w:sz w:val="24"/>
          <w:szCs w:val="24"/>
        </w:rPr>
        <w:t>McCall v. Roper</w:t>
      </w:r>
      <w:r w:rsidRPr="00713866">
        <w:rPr>
          <w:rFonts w:eastAsia="Times New Roman"/>
          <w:sz w:val="24"/>
          <w:szCs w:val="24"/>
        </w:rPr>
        <w:t>,</w:t>
      </w:r>
      <w:r w:rsidRPr="00713866">
        <w:rPr>
          <w:rFonts w:eastAsia="Times New Roman"/>
          <w:b/>
          <w:sz w:val="24"/>
          <w:szCs w:val="24"/>
        </w:rPr>
        <w:t xml:space="preserve"> </w:t>
      </w:r>
      <w:r w:rsidRPr="00713866">
        <w:rPr>
          <w:rFonts w:eastAsia="Times New Roman"/>
          <w:sz w:val="24"/>
          <w:szCs w:val="24"/>
        </w:rPr>
        <w:t xml:space="preserve">32 Colo. App. 352, 511 P.2d 541 (1973). </w:t>
      </w:r>
      <w:r w:rsidRPr="00713866">
        <w:rPr>
          <w:rFonts w:eastAsia="Times New Roman"/>
          <w:i/>
          <w:sz w:val="24"/>
          <w:szCs w:val="24"/>
        </w:rPr>
        <w:t>See al</w:t>
      </w:r>
      <w:r w:rsidRPr="00713866">
        <w:rPr>
          <w:rFonts w:eastAsia="Times New Roman"/>
          <w:sz w:val="24"/>
          <w:szCs w:val="24"/>
        </w:rPr>
        <w:t>s</w:t>
      </w:r>
      <w:r w:rsidRPr="00713866">
        <w:rPr>
          <w:rFonts w:eastAsia="Times New Roman"/>
          <w:i/>
          <w:sz w:val="24"/>
          <w:szCs w:val="24"/>
        </w:rPr>
        <w:t>o</w:t>
      </w:r>
      <w:r w:rsidRPr="00713866">
        <w:rPr>
          <w:rFonts w:eastAsia="Times New Roman"/>
          <w:sz w:val="24"/>
          <w:szCs w:val="24"/>
        </w:rPr>
        <w:t xml:space="preserve"> </w:t>
      </w:r>
      <w:r w:rsidRPr="00713866">
        <w:rPr>
          <w:rFonts w:eastAsia="Times New Roman"/>
          <w:b/>
          <w:sz w:val="24"/>
          <w:szCs w:val="24"/>
        </w:rPr>
        <w:t>Halsted v. Peterson</w:t>
      </w:r>
      <w:r w:rsidRPr="00713866">
        <w:rPr>
          <w:rFonts w:eastAsia="Times New Roman"/>
          <w:sz w:val="24"/>
          <w:szCs w:val="24"/>
        </w:rPr>
        <w:t>, 797 P.2d 801 (Colo. App. 1990</w:t>
      </w:r>
      <w:r w:rsidRPr="00713866">
        <w:rPr>
          <w:rFonts w:eastAsia="Times New Roman"/>
          <w:i/>
          <w:sz w:val="24"/>
          <w:szCs w:val="24"/>
        </w:rPr>
        <w:t xml:space="preserve">) </w:t>
      </w:r>
      <w:r w:rsidRPr="00713866">
        <w:rPr>
          <w:rFonts w:eastAsia="Times New Roman"/>
          <w:sz w:val="24"/>
          <w:szCs w:val="24"/>
        </w:rPr>
        <w:t>(neither parent liable under family car doctrine for damages caused by daughter in operation of vehicle when daughter was no longer member of parents’ household),</w:t>
      </w:r>
      <w:r w:rsidRPr="00713866">
        <w:rPr>
          <w:rFonts w:eastAsia="Times New Roman"/>
          <w:i/>
          <w:sz w:val="24"/>
          <w:szCs w:val="24"/>
        </w:rPr>
        <w:t xml:space="preserve"> rev’d on other grounds</w:t>
      </w:r>
      <w:r w:rsidRPr="00713866">
        <w:rPr>
          <w:rFonts w:eastAsia="Times New Roman"/>
          <w:sz w:val="24"/>
          <w:szCs w:val="24"/>
        </w:rPr>
        <w:t>,</w:t>
      </w:r>
      <w:r w:rsidRPr="00713866">
        <w:rPr>
          <w:rFonts w:eastAsia="Times New Roman"/>
          <w:i/>
          <w:sz w:val="24"/>
          <w:szCs w:val="24"/>
        </w:rPr>
        <w:t xml:space="preserve"> </w:t>
      </w:r>
      <w:r w:rsidRPr="00713866">
        <w:rPr>
          <w:rFonts w:eastAsia="Times New Roman"/>
          <w:sz w:val="24"/>
          <w:szCs w:val="24"/>
        </w:rPr>
        <w:t>829 P.2d 373 (Colo. 1992).</w:t>
      </w:r>
    </w:p>
    <w:p w14:paraId="2F218D0A" w14:textId="77777777" w:rsidR="00713866" w:rsidRDefault="00713866">
      <w:pPr>
        <w:rPr>
          <w:rFonts w:eastAsia="Times New Roman"/>
          <w:sz w:val="24"/>
          <w:szCs w:val="24"/>
        </w:rPr>
      </w:pPr>
      <w:r>
        <w:rPr>
          <w:rFonts w:eastAsia="Times New Roman"/>
          <w:sz w:val="24"/>
          <w:szCs w:val="24"/>
        </w:rPr>
        <w:br w:type="page"/>
      </w:r>
    </w:p>
    <w:p w14:paraId="352C9206" w14:textId="77777777" w:rsidR="00713866" w:rsidRPr="009E3DA4" w:rsidRDefault="00713866" w:rsidP="00713866">
      <w:pPr>
        <w:spacing w:after="240"/>
        <w:ind w:left="720" w:hanging="720"/>
        <w:rPr>
          <w:rFonts w:eastAsia="Times New Roman"/>
          <w:b/>
          <w:sz w:val="24"/>
          <w:szCs w:val="24"/>
        </w:rPr>
      </w:pPr>
      <w:bookmarkStart w:id="16" w:name="a11_16"/>
      <w:bookmarkEnd w:id="16"/>
      <w:r w:rsidRPr="00713866">
        <w:rPr>
          <w:rFonts w:eastAsia="Times New Roman"/>
          <w:b/>
          <w:sz w:val="24"/>
          <w:szCs w:val="24"/>
        </w:rPr>
        <w:t xml:space="preserve">11:16 </w:t>
      </w:r>
      <w:r w:rsidRPr="00713866">
        <w:rPr>
          <w:rFonts w:eastAsia="Times New Roman"/>
          <w:b/>
          <w:sz w:val="24"/>
          <w:szCs w:val="24"/>
        </w:rPr>
        <w:tab/>
        <w:t>HEAD OF HOUSEHOLD — DEFINED</w:t>
      </w:r>
    </w:p>
    <w:p w14:paraId="09EABE69" w14:textId="77777777" w:rsidR="00713866" w:rsidRPr="00713866" w:rsidRDefault="00713866" w:rsidP="00713866">
      <w:pPr>
        <w:spacing w:after="240"/>
        <w:ind w:firstLine="720"/>
        <w:rPr>
          <w:rFonts w:eastAsia="Times New Roman"/>
          <w:b/>
          <w:sz w:val="24"/>
          <w:szCs w:val="24"/>
        </w:rPr>
      </w:pPr>
      <w:r w:rsidRPr="00713866">
        <w:rPr>
          <w:rFonts w:eastAsia="Times New Roman"/>
          <w:b/>
          <w:sz w:val="24"/>
          <w:szCs w:val="24"/>
        </w:rPr>
        <w:t xml:space="preserve">A head of a household is a person who assumes or shares the primary responsibility for supervising the general affairs of the household. There may be more than one head of household. </w:t>
      </w:r>
    </w:p>
    <w:p w14:paraId="0D97678A" w14:textId="77777777" w:rsidR="00713866" w:rsidRDefault="00713866" w:rsidP="00713866">
      <w:pPr>
        <w:jc w:val="center"/>
        <w:rPr>
          <w:rFonts w:eastAsia="Times New Roman"/>
          <w:sz w:val="24"/>
          <w:szCs w:val="24"/>
        </w:rPr>
      </w:pPr>
    </w:p>
    <w:p w14:paraId="046BBEC0" w14:textId="77777777" w:rsidR="00713866" w:rsidRPr="0054263B" w:rsidRDefault="00713866" w:rsidP="00713866">
      <w:pPr>
        <w:keepNext/>
        <w:spacing w:after="240"/>
        <w:jc w:val="center"/>
        <w:rPr>
          <w:rFonts w:eastAsia="Times New Roman"/>
          <w:b/>
          <w:sz w:val="24"/>
          <w:szCs w:val="24"/>
        </w:rPr>
      </w:pPr>
      <w:r w:rsidRPr="0054263B">
        <w:rPr>
          <w:rFonts w:eastAsia="Times New Roman"/>
          <w:b/>
          <w:sz w:val="24"/>
          <w:szCs w:val="24"/>
        </w:rPr>
        <w:t>Notes on Use</w:t>
      </w:r>
    </w:p>
    <w:p w14:paraId="34818645" w14:textId="77777777" w:rsidR="00713866" w:rsidRPr="00713866" w:rsidRDefault="00713866" w:rsidP="00713866">
      <w:pPr>
        <w:spacing w:after="240"/>
        <w:ind w:firstLine="720"/>
        <w:rPr>
          <w:rFonts w:eastAsia="Times New Roman"/>
          <w:sz w:val="24"/>
          <w:szCs w:val="24"/>
        </w:rPr>
      </w:pPr>
      <w:r w:rsidRPr="00713866">
        <w:rPr>
          <w:rFonts w:eastAsia="Times New Roman"/>
          <w:sz w:val="24"/>
          <w:szCs w:val="24"/>
        </w:rPr>
        <w:t xml:space="preserve">Joint ownership of the vehicle by a wife with her husband does not by itself make the wife a head of the household for purposes of the family car doctrine. </w:t>
      </w:r>
      <w:r w:rsidRPr="00713866">
        <w:rPr>
          <w:rFonts w:eastAsia="Times New Roman"/>
          <w:b/>
          <w:sz w:val="24"/>
          <w:szCs w:val="24"/>
        </w:rPr>
        <w:t>Lee v. Degler</w:t>
      </w:r>
      <w:r w:rsidRPr="00713866">
        <w:rPr>
          <w:rFonts w:eastAsia="Times New Roman"/>
          <w:sz w:val="24"/>
          <w:szCs w:val="24"/>
        </w:rPr>
        <w:t>,</w:t>
      </w:r>
      <w:r w:rsidRPr="00713866">
        <w:rPr>
          <w:rFonts w:eastAsia="Times New Roman"/>
          <w:b/>
          <w:sz w:val="24"/>
          <w:szCs w:val="24"/>
        </w:rPr>
        <w:t xml:space="preserve"> </w:t>
      </w:r>
      <w:r w:rsidRPr="00713866">
        <w:rPr>
          <w:rFonts w:eastAsia="Times New Roman"/>
          <w:sz w:val="24"/>
          <w:szCs w:val="24"/>
        </w:rPr>
        <w:t xml:space="preserve">169 Colo. 226, 454 P.2d 937 (1969). </w:t>
      </w:r>
      <w:r w:rsidRPr="00713866">
        <w:rPr>
          <w:rFonts w:eastAsia="Times New Roman"/>
          <w:i/>
          <w:sz w:val="24"/>
          <w:szCs w:val="24"/>
        </w:rPr>
        <w:t xml:space="preserve">See also </w:t>
      </w:r>
      <w:r w:rsidRPr="00713866">
        <w:rPr>
          <w:rFonts w:eastAsia="Times New Roman"/>
          <w:b/>
          <w:sz w:val="24"/>
          <w:szCs w:val="24"/>
        </w:rPr>
        <w:t>Ross v. Douglas</w:t>
      </w:r>
      <w:r w:rsidRPr="00713866">
        <w:rPr>
          <w:rFonts w:eastAsia="Times New Roman"/>
          <w:sz w:val="24"/>
          <w:szCs w:val="24"/>
        </w:rPr>
        <w:t>,</w:t>
      </w:r>
      <w:r w:rsidRPr="00713866">
        <w:rPr>
          <w:rFonts w:eastAsia="Times New Roman"/>
          <w:b/>
          <w:sz w:val="24"/>
          <w:szCs w:val="24"/>
        </w:rPr>
        <w:t xml:space="preserve"> </w:t>
      </w:r>
      <w:r w:rsidRPr="00713866">
        <w:rPr>
          <w:rFonts w:eastAsia="Times New Roman"/>
          <w:sz w:val="24"/>
          <w:szCs w:val="24"/>
        </w:rPr>
        <w:t xml:space="preserve">470 P.2d 900 (Colo. App. 1970) (not published pursuant to C.A.R. 35(f)) (wife and mother not the head of the household where the husband and father was employed, lived at home, and supported the family). </w:t>
      </w:r>
    </w:p>
    <w:p w14:paraId="6808D995" w14:textId="77777777" w:rsidR="00713866" w:rsidRPr="0054263B" w:rsidRDefault="00713866" w:rsidP="00713866">
      <w:pPr>
        <w:keepNext/>
        <w:spacing w:after="240"/>
        <w:jc w:val="center"/>
        <w:rPr>
          <w:rFonts w:eastAsia="Times New Roman"/>
          <w:b/>
          <w:sz w:val="24"/>
          <w:szCs w:val="24"/>
        </w:rPr>
      </w:pPr>
      <w:r>
        <w:rPr>
          <w:rFonts w:eastAsia="Times New Roman"/>
          <w:b/>
          <w:sz w:val="24"/>
          <w:szCs w:val="24"/>
        </w:rPr>
        <w:t>Source and Authority</w:t>
      </w:r>
    </w:p>
    <w:p w14:paraId="36902523" w14:textId="77777777" w:rsidR="00713866" w:rsidRPr="00713866" w:rsidRDefault="00713866" w:rsidP="00713866">
      <w:pPr>
        <w:spacing w:after="240"/>
        <w:ind w:firstLine="720"/>
        <w:rPr>
          <w:rFonts w:eastAsia="Times New Roman"/>
          <w:sz w:val="24"/>
          <w:szCs w:val="24"/>
        </w:rPr>
      </w:pPr>
      <w:r w:rsidRPr="00713866">
        <w:rPr>
          <w:rFonts w:eastAsia="Times New Roman"/>
          <w:sz w:val="24"/>
          <w:szCs w:val="24"/>
        </w:rPr>
        <w:t xml:space="preserve">This instruction is supported by Colorado Constitution, article II, section 29 (by implication); and </w:t>
      </w:r>
      <w:r w:rsidRPr="00713866">
        <w:rPr>
          <w:rFonts w:eastAsia="Times New Roman"/>
          <w:b/>
          <w:sz w:val="24"/>
          <w:szCs w:val="24"/>
        </w:rPr>
        <w:t>Greenwood v. Kier</w:t>
      </w:r>
      <w:r w:rsidRPr="00713866">
        <w:rPr>
          <w:rFonts w:eastAsia="Times New Roman"/>
          <w:sz w:val="24"/>
          <w:szCs w:val="24"/>
        </w:rPr>
        <w:t xml:space="preserve">, 125 Colo. 333, 243 P.2d 417 (1952) (citing and discussing earlier cases in which a person other than a father or husband has been held liable under the family car doctrine). </w:t>
      </w:r>
      <w:r w:rsidRPr="00713866">
        <w:rPr>
          <w:rFonts w:eastAsia="Times New Roman"/>
          <w:i/>
          <w:sz w:val="24"/>
          <w:szCs w:val="24"/>
        </w:rPr>
        <w:t>See</w:t>
      </w:r>
      <w:r w:rsidRPr="00713866">
        <w:rPr>
          <w:rFonts w:eastAsia="Times New Roman"/>
          <w:sz w:val="24"/>
          <w:szCs w:val="24"/>
        </w:rPr>
        <w:t xml:space="preserve"> </w:t>
      </w:r>
      <w:r w:rsidRPr="00713866">
        <w:rPr>
          <w:rFonts w:eastAsia="Times New Roman"/>
          <w:i/>
          <w:sz w:val="24"/>
          <w:szCs w:val="24"/>
        </w:rPr>
        <w:t xml:space="preserve">also </w:t>
      </w:r>
      <w:r w:rsidRPr="00713866">
        <w:rPr>
          <w:rFonts w:eastAsia="Times New Roman"/>
          <w:b/>
          <w:sz w:val="24"/>
          <w:szCs w:val="24"/>
        </w:rPr>
        <w:t>Ferguson v. Hurford</w:t>
      </w:r>
      <w:r w:rsidRPr="00713866">
        <w:rPr>
          <w:rFonts w:eastAsia="Times New Roman"/>
          <w:sz w:val="24"/>
          <w:szCs w:val="24"/>
        </w:rPr>
        <w:t>, 132 Colo. 507, 290 P.2d 229 (1955) (widow held liable).</w:t>
      </w:r>
    </w:p>
    <w:p w14:paraId="52ED7ACB" w14:textId="77777777" w:rsidR="00792028" w:rsidRDefault="00792028">
      <w:pPr>
        <w:rPr>
          <w:rFonts w:eastAsia="Times New Roman"/>
          <w:sz w:val="24"/>
          <w:szCs w:val="24"/>
        </w:rPr>
      </w:pPr>
      <w:r>
        <w:rPr>
          <w:rFonts w:eastAsia="Times New Roman"/>
          <w:sz w:val="24"/>
          <w:szCs w:val="24"/>
        </w:rPr>
        <w:br w:type="page"/>
      </w:r>
    </w:p>
    <w:p w14:paraId="7B8C97BB" w14:textId="77777777" w:rsidR="00792028" w:rsidRPr="009E3DA4" w:rsidRDefault="00792028" w:rsidP="00792028">
      <w:pPr>
        <w:spacing w:after="240"/>
        <w:ind w:left="720" w:hanging="720"/>
        <w:rPr>
          <w:rFonts w:eastAsia="Times New Roman"/>
          <w:b/>
          <w:sz w:val="24"/>
          <w:szCs w:val="24"/>
        </w:rPr>
      </w:pPr>
      <w:bookmarkStart w:id="17" w:name="a11_17"/>
      <w:bookmarkEnd w:id="17"/>
      <w:r w:rsidRPr="00792028">
        <w:rPr>
          <w:rFonts w:eastAsia="Times New Roman"/>
          <w:b/>
          <w:sz w:val="24"/>
          <w:szCs w:val="24"/>
        </w:rPr>
        <w:t xml:space="preserve">11:17 </w:t>
      </w:r>
      <w:r w:rsidRPr="00792028">
        <w:rPr>
          <w:rFonts w:eastAsia="Times New Roman"/>
          <w:b/>
          <w:sz w:val="24"/>
          <w:szCs w:val="24"/>
        </w:rPr>
        <w:tab/>
        <w:t>HOUSEHOLD OR FAMILY — DEFINED</w:t>
      </w:r>
    </w:p>
    <w:p w14:paraId="5BA5E6E7" w14:textId="77777777" w:rsidR="00792028" w:rsidRPr="00792028" w:rsidRDefault="00792028" w:rsidP="00792028">
      <w:pPr>
        <w:spacing w:after="240"/>
        <w:ind w:firstLine="720"/>
        <w:rPr>
          <w:rFonts w:eastAsia="Times New Roman"/>
          <w:b/>
          <w:sz w:val="24"/>
          <w:szCs w:val="24"/>
        </w:rPr>
      </w:pPr>
      <w:r w:rsidRPr="00792028">
        <w:rPr>
          <w:rFonts w:eastAsia="Times New Roman"/>
          <w:b/>
          <w:sz w:val="24"/>
          <w:szCs w:val="24"/>
        </w:rPr>
        <w:t>A household consists of those persons who are living together as a family.</w:t>
      </w:r>
    </w:p>
    <w:p w14:paraId="0698236F" w14:textId="77777777" w:rsidR="00792028" w:rsidRPr="00792028" w:rsidRDefault="00792028" w:rsidP="00792028">
      <w:pPr>
        <w:spacing w:after="240"/>
        <w:ind w:firstLine="720"/>
        <w:rPr>
          <w:rFonts w:eastAsia="Times New Roman"/>
          <w:b/>
          <w:sz w:val="24"/>
          <w:szCs w:val="24"/>
        </w:rPr>
      </w:pPr>
      <w:r w:rsidRPr="00792028">
        <w:rPr>
          <w:rFonts w:eastAsia="Times New Roman"/>
          <w:b/>
          <w:sz w:val="24"/>
          <w:szCs w:val="24"/>
        </w:rPr>
        <w:t>(A child may reside in more than one household under a shared parenting time arrangement.)</w:t>
      </w:r>
    </w:p>
    <w:p w14:paraId="159401F0" w14:textId="77777777" w:rsidR="00792028" w:rsidRDefault="00792028" w:rsidP="00792028">
      <w:pPr>
        <w:jc w:val="center"/>
        <w:rPr>
          <w:rFonts w:eastAsia="Times New Roman"/>
          <w:sz w:val="24"/>
          <w:szCs w:val="24"/>
        </w:rPr>
      </w:pPr>
    </w:p>
    <w:p w14:paraId="6A1B18E5" w14:textId="77777777" w:rsidR="00792028" w:rsidRPr="0054263B" w:rsidRDefault="00792028" w:rsidP="00792028">
      <w:pPr>
        <w:keepNext/>
        <w:spacing w:after="240"/>
        <w:jc w:val="center"/>
        <w:rPr>
          <w:rFonts w:eastAsia="Times New Roman"/>
          <w:b/>
          <w:sz w:val="24"/>
          <w:szCs w:val="24"/>
        </w:rPr>
      </w:pPr>
      <w:r w:rsidRPr="0054263B">
        <w:rPr>
          <w:rFonts w:eastAsia="Times New Roman"/>
          <w:b/>
          <w:sz w:val="24"/>
          <w:szCs w:val="24"/>
        </w:rPr>
        <w:t>Notes on Use</w:t>
      </w:r>
    </w:p>
    <w:p w14:paraId="2C96F8B0" w14:textId="77777777" w:rsidR="00792028" w:rsidRPr="00792028" w:rsidRDefault="00792028" w:rsidP="00792028">
      <w:pPr>
        <w:spacing w:after="240"/>
        <w:ind w:firstLine="720"/>
        <w:rPr>
          <w:rFonts w:eastAsia="Times New Roman"/>
          <w:sz w:val="24"/>
          <w:szCs w:val="24"/>
        </w:rPr>
      </w:pPr>
      <w:r w:rsidRPr="00792028">
        <w:rPr>
          <w:rFonts w:eastAsia="Times New Roman"/>
          <w:sz w:val="24"/>
          <w:szCs w:val="24"/>
        </w:rPr>
        <w:t xml:space="preserve">Where a person living in the household is not related by blood, marriage or adoption, but has been treated as a member of the family by being accorded the usual privileges as a family member, the policy behind the family car doctrine would appear to be applicable. </w:t>
      </w:r>
      <w:r w:rsidRPr="00792028">
        <w:rPr>
          <w:rFonts w:eastAsia="Times New Roman"/>
          <w:i/>
          <w:sz w:val="24"/>
          <w:szCs w:val="24"/>
        </w:rPr>
        <w:t>See</w:t>
      </w:r>
      <w:r w:rsidRPr="00792028">
        <w:rPr>
          <w:rFonts w:eastAsia="Times New Roman"/>
          <w:sz w:val="24"/>
          <w:szCs w:val="24"/>
        </w:rPr>
        <w:t xml:space="preserve"> </w:t>
      </w:r>
      <w:r w:rsidRPr="00792028">
        <w:rPr>
          <w:rFonts w:eastAsia="Times New Roman"/>
          <w:b/>
          <w:sz w:val="24"/>
          <w:szCs w:val="24"/>
        </w:rPr>
        <w:t>Hutchins v. Haffner</w:t>
      </w:r>
      <w:r w:rsidRPr="00792028">
        <w:rPr>
          <w:rFonts w:eastAsia="Times New Roman"/>
          <w:sz w:val="24"/>
          <w:szCs w:val="24"/>
        </w:rPr>
        <w:t>, 63 Colo. 365, 167 P. 966 (1917).</w:t>
      </w:r>
    </w:p>
    <w:p w14:paraId="36CF3634" w14:textId="77777777" w:rsidR="00792028" w:rsidRPr="0054263B" w:rsidRDefault="00792028" w:rsidP="00792028">
      <w:pPr>
        <w:keepNext/>
        <w:spacing w:after="240"/>
        <w:jc w:val="center"/>
        <w:rPr>
          <w:rFonts w:eastAsia="Times New Roman"/>
          <w:b/>
          <w:sz w:val="24"/>
          <w:szCs w:val="24"/>
        </w:rPr>
      </w:pPr>
      <w:r>
        <w:rPr>
          <w:rFonts w:eastAsia="Times New Roman"/>
          <w:b/>
          <w:sz w:val="24"/>
          <w:szCs w:val="24"/>
        </w:rPr>
        <w:t>Source and Authority</w:t>
      </w:r>
    </w:p>
    <w:p w14:paraId="465F408F" w14:textId="77777777" w:rsidR="00792028" w:rsidRPr="00792028" w:rsidRDefault="00792028" w:rsidP="00792028">
      <w:pPr>
        <w:spacing w:after="240"/>
        <w:ind w:firstLine="720"/>
        <w:rPr>
          <w:rFonts w:eastAsia="Times New Roman"/>
          <w:sz w:val="24"/>
          <w:szCs w:val="24"/>
        </w:rPr>
      </w:pPr>
      <w:r w:rsidRPr="00792028">
        <w:rPr>
          <w:rFonts w:eastAsia="Times New Roman"/>
          <w:sz w:val="24"/>
          <w:szCs w:val="24"/>
        </w:rPr>
        <w:t xml:space="preserve">1. This instruction is supported by </w:t>
      </w:r>
      <w:r w:rsidRPr="00792028">
        <w:rPr>
          <w:rFonts w:eastAsia="Times New Roman"/>
          <w:b/>
          <w:sz w:val="24"/>
          <w:szCs w:val="24"/>
        </w:rPr>
        <w:t>Halsted v. Peterson</w:t>
      </w:r>
      <w:r w:rsidRPr="00792028">
        <w:rPr>
          <w:rFonts w:eastAsia="Times New Roman"/>
          <w:sz w:val="24"/>
          <w:szCs w:val="24"/>
        </w:rPr>
        <w:t xml:space="preserve">, 797 P.2d 801 (Colo. App. 1990) (a “household” consists of those who dwell under the same roof and comprise a family), </w:t>
      </w:r>
      <w:r w:rsidRPr="00792028">
        <w:rPr>
          <w:rFonts w:eastAsia="Times New Roman"/>
          <w:i/>
          <w:sz w:val="24"/>
          <w:szCs w:val="24"/>
        </w:rPr>
        <w:t>rev’d on other grounds</w:t>
      </w:r>
      <w:r w:rsidRPr="00792028">
        <w:rPr>
          <w:rFonts w:eastAsia="Times New Roman"/>
          <w:sz w:val="24"/>
          <w:szCs w:val="24"/>
        </w:rPr>
        <w:t>,</w:t>
      </w:r>
      <w:r w:rsidRPr="00792028">
        <w:rPr>
          <w:rFonts w:eastAsia="Times New Roman"/>
          <w:i/>
          <w:sz w:val="24"/>
          <w:szCs w:val="24"/>
        </w:rPr>
        <w:t xml:space="preserve"> </w:t>
      </w:r>
      <w:r w:rsidRPr="00792028">
        <w:rPr>
          <w:rFonts w:eastAsia="Times New Roman"/>
          <w:sz w:val="24"/>
          <w:szCs w:val="24"/>
        </w:rPr>
        <w:t xml:space="preserve">829 P.2d 373 (Colo. 1992). </w:t>
      </w:r>
      <w:r w:rsidRPr="00792028">
        <w:rPr>
          <w:rFonts w:eastAsia="Times New Roman"/>
          <w:i/>
          <w:sz w:val="24"/>
          <w:szCs w:val="24"/>
        </w:rPr>
        <w:t>See also</w:t>
      </w:r>
      <w:r w:rsidRPr="00792028">
        <w:rPr>
          <w:rFonts w:eastAsia="Times New Roman"/>
          <w:sz w:val="24"/>
          <w:szCs w:val="24"/>
        </w:rPr>
        <w:t xml:space="preserve"> </w:t>
      </w:r>
      <w:r w:rsidRPr="00792028">
        <w:rPr>
          <w:rFonts w:eastAsia="Times New Roman"/>
          <w:b/>
          <w:sz w:val="24"/>
          <w:szCs w:val="24"/>
        </w:rPr>
        <w:t>Hasegawa v. Day</w:t>
      </w:r>
      <w:r w:rsidRPr="00792028">
        <w:rPr>
          <w:rFonts w:eastAsia="Times New Roman"/>
          <w:sz w:val="24"/>
          <w:szCs w:val="24"/>
        </w:rPr>
        <w:t xml:space="preserve">, 684 P.2d 936 (Colo. App. 1983), </w:t>
      </w:r>
      <w:r w:rsidRPr="00792028">
        <w:rPr>
          <w:rFonts w:eastAsia="Times New Roman"/>
          <w:i/>
          <w:sz w:val="24"/>
          <w:szCs w:val="24"/>
        </w:rPr>
        <w:t>overruled on other grounds by</w:t>
      </w:r>
      <w:r w:rsidRPr="00792028">
        <w:rPr>
          <w:rFonts w:eastAsia="Times New Roman"/>
          <w:sz w:val="24"/>
          <w:szCs w:val="24"/>
        </w:rPr>
        <w:t xml:space="preserve"> </w:t>
      </w:r>
      <w:r w:rsidRPr="00792028">
        <w:rPr>
          <w:rFonts w:eastAsia="Times New Roman"/>
          <w:b/>
          <w:sz w:val="24"/>
          <w:szCs w:val="24"/>
        </w:rPr>
        <w:t>Casebolt v. Cowan</w:t>
      </w:r>
      <w:r w:rsidRPr="00792028">
        <w:rPr>
          <w:rFonts w:eastAsia="Times New Roman"/>
          <w:sz w:val="24"/>
          <w:szCs w:val="24"/>
        </w:rPr>
        <w:t>, 829 P.2d 352 (Colo. 1992).</w:t>
      </w:r>
    </w:p>
    <w:p w14:paraId="4F3C755B" w14:textId="77777777" w:rsidR="00792028" w:rsidRPr="00792028" w:rsidRDefault="00792028" w:rsidP="00792028">
      <w:pPr>
        <w:spacing w:after="240"/>
        <w:ind w:firstLine="720"/>
        <w:rPr>
          <w:rFonts w:eastAsia="Times New Roman"/>
          <w:sz w:val="24"/>
          <w:szCs w:val="24"/>
        </w:rPr>
      </w:pPr>
      <w:r w:rsidRPr="00792028">
        <w:rPr>
          <w:rFonts w:eastAsia="Times New Roman"/>
          <w:sz w:val="24"/>
          <w:szCs w:val="24"/>
        </w:rPr>
        <w:t xml:space="preserve">2. The second paragraph is supported by </w:t>
      </w:r>
      <w:r w:rsidRPr="00792028">
        <w:rPr>
          <w:rFonts w:eastAsia="Times New Roman"/>
          <w:b/>
          <w:sz w:val="24"/>
          <w:szCs w:val="24"/>
        </w:rPr>
        <w:t>Midwest Mutual Insurance Co. v. Titus</w:t>
      </w:r>
      <w:r w:rsidRPr="00792028">
        <w:rPr>
          <w:rFonts w:eastAsia="Times New Roman"/>
          <w:sz w:val="24"/>
          <w:szCs w:val="24"/>
        </w:rPr>
        <w:t>,</w:t>
      </w:r>
      <w:r w:rsidRPr="00792028">
        <w:rPr>
          <w:rFonts w:eastAsia="Times New Roman"/>
          <w:b/>
          <w:sz w:val="24"/>
          <w:szCs w:val="24"/>
        </w:rPr>
        <w:t xml:space="preserve"> </w:t>
      </w:r>
      <w:r w:rsidRPr="00792028">
        <w:rPr>
          <w:rFonts w:eastAsia="Times New Roman"/>
          <w:sz w:val="24"/>
          <w:szCs w:val="24"/>
        </w:rPr>
        <w:t xml:space="preserve">849 P.2d 908 (Colo. App. 1993). </w:t>
      </w:r>
    </w:p>
    <w:p w14:paraId="5D6F01DE" w14:textId="77777777" w:rsidR="00792028" w:rsidRDefault="00792028">
      <w:pPr>
        <w:rPr>
          <w:rFonts w:eastAsia="Times New Roman"/>
          <w:sz w:val="24"/>
          <w:szCs w:val="24"/>
        </w:rPr>
      </w:pPr>
      <w:r>
        <w:rPr>
          <w:rFonts w:eastAsia="Times New Roman"/>
          <w:sz w:val="24"/>
          <w:szCs w:val="24"/>
        </w:rPr>
        <w:br w:type="page"/>
      </w:r>
    </w:p>
    <w:p w14:paraId="06A78B60" w14:textId="77777777" w:rsidR="00792028" w:rsidRPr="009E3DA4" w:rsidRDefault="00792028" w:rsidP="00792028">
      <w:pPr>
        <w:spacing w:after="240"/>
        <w:ind w:left="720" w:hanging="720"/>
        <w:rPr>
          <w:rFonts w:eastAsia="Times New Roman"/>
          <w:b/>
          <w:sz w:val="24"/>
          <w:szCs w:val="24"/>
        </w:rPr>
      </w:pPr>
      <w:bookmarkStart w:id="18" w:name="a11_18"/>
      <w:bookmarkEnd w:id="18"/>
      <w:r w:rsidRPr="00792028">
        <w:rPr>
          <w:rFonts w:eastAsia="Times New Roman"/>
          <w:b/>
          <w:sz w:val="24"/>
          <w:szCs w:val="24"/>
        </w:rPr>
        <w:t xml:space="preserve">11:18 </w:t>
      </w:r>
      <w:r w:rsidRPr="00792028">
        <w:rPr>
          <w:rFonts w:eastAsia="Times New Roman"/>
          <w:b/>
          <w:sz w:val="24"/>
          <w:szCs w:val="24"/>
        </w:rPr>
        <w:tab/>
        <w:t>IMPUTATION OF DRIVER’S NEGLIGENCE TO OWNER OR CO-OWNER — PRESUMPTION OF CONTROL</w:t>
      </w:r>
    </w:p>
    <w:p w14:paraId="649AA0AA" w14:textId="77777777" w:rsidR="00792028" w:rsidRPr="00792028" w:rsidRDefault="00792028" w:rsidP="00792028">
      <w:pPr>
        <w:spacing w:after="240"/>
        <w:ind w:firstLine="720"/>
        <w:rPr>
          <w:rFonts w:eastAsia="Times New Roman"/>
          <w:b/>
          <w:sz w:val="24"/>
          <w:szCs w:val="24"/>
        </w:rPr>
      </w:pPr>
      <w:r w:rsidRPr="00792028">
        <w:rPr>
          <w:rFonts w:eastAsia="Times New Roman"/>
          <w:b/>
          <w:sz w:val="24"/>
          <w:szCs w:val="24"/>
        </w:rPr>
        <w:t>When the [owner] [co-owner] of a motor vehicle is riding [in] [on] it as a passenger, and the vehicle is being used for a purpose in common with the driver, the law presumes [, and you must find,] that the [owner] [co-owner] has a right to control the vehicle, and the [owner] [co-owner] and the driver are both responsible for any negligence of the driver.</w:t>
      </w:r>
    </w:p>
    <w:p w14:paraId="1B127BD7" w14:textId="77777777" w:rsidR="00792028" w:rsidRDefault="00792028" w:rsidP="00792028">
      <w:pPr>
        <w:jc w:val="center"/>
        <w:rPr>
          <w:rFonts w:eastAsia="Times New Roman"/>
          <w:sz w:val="24"/>
          <w:szCs w:val="24"/>
        </w:rPr>
      </w:pPr>
    </w:p>
    <w:p w14:paraId="2F25B808" w14:textId="77777777" w:rsidR="00792028" w:rsidRPr="0054263B" w:rsidRDefault="00792028" w:rsidP="00792028">
      <w:pPr>
        <w:keepNext/>
        <w:spacing w:after="240"/>
        <w:jc w:val="center"/>
        <w:rPr>
          <w:rFonts w:eastAsia="Times New Roman"/>
          <w:b/>
          <w:sz w:val="24"/>
          <w:szCs w:val="24"/>
        </w:rPr>
      </w:pPr>
      <w:r w:rsidRPr="0054263B">
        <w:rPr>
          <w:rFonts w:eastAsia="Times New Roman"/>
          <w:b/>
          <w:sz w:val="24"/>
          <w:szCs w:val="24"/>
        </w:rPr>
        <w:t>Notes on Use</w:t>
      </w:r>
    </w:p>
    <w:p w14:paraId="5511C4FA" w14:textId="77777777" w:rsidR="00792028" w:rsidRPr="00792028" w:rsidRDefault="00792028" w:rsidP="00792028">
      <w:pPr>
        <w:spacing w:after="240"/>
        <w:ind w:firstLine="720"/>
        <w:rPr>
          <w:rFonts w:eastAsia="Times New Roman"/>
          <w:sz w:val="24"/>
          <w:szCs w:val="24"/>
        </w:rPr>
      </w:pPr>
      <w:r w:rsidRPr="00792028">
        <w:rPr>
          <w:rFonts w:eastAsia="Times New Roman"/>
          <w:sz w:val="24"/>
          <w:szCs w:val="24"/>
        </w:rPr>
        <w:t>1. This instruction, when otherwise applicable, may be used as the second paragraph of Instruction 3:5.</w:t>
      </w:r>
    </w:p>
    <w:p w14:paraId="25BE7BE5" w14:textId="77777777" w:rsidR="00792028" w:rsidRPr="00792028" w:rsidRDefault="00792028" w:rsidP="00792028">
      <w:pPr>
        <w:spacing w:after="240"/>
        <w:ind w:firstLine="720"/>
        <w:rPr>
          <w:rFonts w:eastAsia="Times New Roman"/>
          <w:sz w:val="24"/>
          <w:szCs w:val="24"/>
        </w:rPr>
      </w:pPr>
      <w:r w:rsidRPr="00792028">
        <w:rPr>
          <w:rFonts w:eastAsia="Times New Roman"/>
          <w:sz w:val="24"/>
          <w:szCs w:val="24"/>
        </w:rPr>
        <w:t>2. Use whichever bracketed words are appropriate. In particular, the bracketed phrase “and you must find” must be included if this instruction is being used as the second paragraph of Version 1 of Instruction 3:5, but omitted if this instruction is otherwise appropriately being used as the second paragraph of Version 2 of Instruction 3:5.</w:t>
      </w:r>
    </w:p>
    <w:p w14:paraId="17A3C833" w14:textId="77777777" w:rsidR="00792028" w:rsidRPr="00792028" w:rsidRDefault="00792028" w:rsidP="00792028">
      <w:pPr>
        <w:spacing w:after="240"/>
        <w:ind w:firstLine="720"/>
        <w:rPr>
          <w:rFonts w:eastAsia="Times New Roman"/>
          <w:sz w:val="24"/>
          <w:szCs w:val="24"/>
        </w:rPr>
      </w:pPr>
      <w:r w:rsidRPr="00792028">
        <w:rPr>
          <w:rFonts w:eastAsia="Times New Roman"/>
          <w:sz w:val="24"/>
          <w:szCs w:val="24"/>
        </w:rPr>
        <w:t xml:space="preserve">3. The right to control does not necessarily mean the right and ability to control physically, but rather a right to direct or command. </w:t>
      </w:r>
      <w:r w:rsidRPr="00792028">
        <w:rPr>
          <w:rFonts w:eastAsia="Times New Roman"/>
          <w:b/>
          <w:sz w:val="24"/>
          <w:szCs w:val="24"/>
        </w:rPr>
        <w:t>Lasnetske v. Parres</w:t>
      </w:r>
      <w:r w:rsidRPr="00792028">
        <w:rPr>
          <w:rFonts w:eastAsia="Times New Roman"/>
          <w:sz w:val="24"/>
          <w:szCs w:val="24"/>
        </w:rPr>
        <w:t xml:space="preserve">, 148 Colo. 71, 365 P.2d 250 (1961), </w:t>
      </w:r>
      <w:r w:rsidRPr="00792028">
        <w:rPr>
          <w:rFonts w:eastAsia="Times New Roman"/>
          <w:i/>
          <w:sz w:val="24"/>
          <w:szCs w:val="24"/>
        </w:rPr>
        <w:t>overruled on other grounds by</w:t>
      </w:r>
      <w:r w:rsidRPr="00792028">
        <w:rPr>
          <w:rFonts w:eastAsia="Times New Roman"/>
          <w:sz w:val="24"/>
          <w:szCs w:val="24"/>
        </w:rPr>
        <w:t xml:space="preserve"> </w:t>
      </w:r>
      <w:r w:rsidRPr="00792028">
        <w:rPr>
          <w:rFonts w:eastAsia="Times New Roman"/>
          <w:b/>
          <w:sz w:val="24"/>
          <w:szCs w:val="24"/>
        </w:rPr>
        <w:t>Watson v. Reg’l Transp. Dist.</w:t>
      </w:r>
      <w:r w:rsidRPr="00792028">
        <w:rPr>
          <w:rFonts w:eastAsia="Times New Roman"/>
          <w:sz w:val="24"/>
          <w:szCs w:val="24"/>
        </w:rPr>
        <w:t>, 762 P.2d 133 (Colo. 1988).</w:t>
      </w:r>
    </w:p>
    <w:p w14:paraId="0144155D" w14:textId="77777777" w:rsidR="00792028" w:rsidRPr="00792028" w:rsidRDefault="00792028" w:rsidP="00792028">
      <w:pPr>
        <w:spacing w:after="240"/>
        <w:ind w:firstLine="720"/>
        <w:rPr>
          <w:rFonts w:eastAsia="Times New Roman"/>
          <w:sz w:val="24"/>
          <w:szCs w:val="24"/>
        </w:rPr>
      </w:pPr>
      <w:r w:rsidRPr="00792028">
        <w:rPr>
          <w:rFonts w:eastAsia="Times New Roman"/>
          <w:sz w:val="24"/>
          <w:szCs w:val="24"/>
        </w:rPr>
        <w:t xml:space="preserve">4. As between themselves, the negligence of one co-owner is not imputable to the other to bar or reduce the latter’s claim against the former. </w:t>
      </w:r>
      <w:r w:rsidRPr="00792028">
        <w:rPr>
          <w:rFonts w:eastAsia="Times New Roman"/>
          <w:b/>
          <w:sz w:val="24"/>
          <w:szCs w:val="24"/>
        </w:rPr>
        <w:t>Price v. Sommermeyer</w:t>
      </w:r>
      <w:r w:rsidRPr="00792028">
        <w:rPr>
          <w:rFonts w:eastAsia="Times New Roman"/>
          <w:sz w:val="24"/>
          <w:szCs w:val="24"/>
        </w:rPr>
        <w:t xml:space="preserve">, 41 Colo. App. 147, 584 P.2d 1220 (1978), </w:t>
      </w:r>
      <w:r w:rsidRPr="00792028">
        <w:rPr>
          <w:rFonts w:eastAsia="Times New Roman"/>
          <w:i/>
          <w:sz w:val="24"/>
          <w:szCs w:val="24"/>
        </w:rPr>
        <w:t>aff’d</w:t>
      </w:r>
      <w:r w:rsidRPr="00792028">
        <w:rPr>
          <w:rFonts w:eastAsia="Times New Roman"/>
          <w:sz w:val="24"/>
          <w:szCs w:val="24"/>
        </w:rPr>
        <w:t>, 198 Colo. 548, 603 P.2d 135 (1979).</w:t>
      </w:r>
    </w:p>
    <w:p w14:paraId="2BF4332E" w14:textId="77777777" w:rsidR="00792028" w:rsidRPr="00792028" w:rsidRDefault="00792028" w:rsidP="00792028">
      <w:pPr>
        <w:spacing w:after="240"/>
        <w:ind w:firstLine="720"/>
        <w:rPr>
          <w:rFonts w:eastAsia="Times New Roman"/>
          <w:sz w:val="24"/>
          <w:szCs w:val="24"/>
        </w:rPr>
      </w:pPr>
      <w:r w:rsidRPr="00792028">
        <w:rPr>
          <w:rFonts w:eastAsia="Times New Roman"/>
          <w:sz w:val="24"/>
          <w:szCs w:val="24"/>
        </w:rPr>
        <w:t xml:space="preserve">5. This instruction does not apply to an owner-passenger who is suing a defendant third party where the defendant is seeking to impute, as vicarious contributory negligence, the negligence of the driver to the plaintiff, as owner-passenger. In rejecting the imputed contributory negligence rule of earlier cases, the supreme court held, “an owner-passenger’s recovery for injuries negligently inflicted by a third party should be limited only if the owner-passenger . . . is [personally] negligent and if that negligence is a proximate cause of [the owner-passenger’s] injury.” </w:t>
      </w:r>
      <w:r w:rsidRPr="00792028">
        <w:rPr>
          <w:rFonts w:eastAsia="Times New Roman"/>
          <w:b/>
          <w:sz w:val="24"/>
          <w:szCs w:val="24"/>
        </w:rPr>
        <w:t>Watson</w:t>
      </w:r>
      <w:r w:rsidRPr="00792028">
        <w:rPr>
          <w:rFonts w:eastAsia="Times New Roman"/>
          <w:sz w:val="24"/>
          <w:szCs w:val="24"/>
        </w:rPr>
        <w:t>,</w:t>
      </w:r>
      <w:r w:rsidRPr="00792028">
        <w:rPr>
          <w:rFonts w:eastAsia="Times New Roman"/>
          <w:b/>
          <w:sz w:val="24"/>
          <w:szCs w:val="24"/>
        </w:rPr>
        <w:t xml:space="preserve"> </w:t>
      </w:r>
      <w:r w:rsidRPr="00792028">
        <w:rPr>
          <w:rFonts w:eastAsia="Times New Roman"/>
          <w:sz w:val="24"/>
          <w:szCs w:val="24"/>
        </w:rPr>
        <w:t xml:space="preserve">762 P.2d at 139-40. </w:t>
      </w:r>
    </w:p>
    <w:p w14:paraId="525C2D80" w14:textId="77777777" w:rsidR="00792028" w:rsidRPr="00792028" w:rsidRDefault="00792028" w:rsidP="00792028">
      <w:pPr>
        <w:spacing w:after="240"/>
        <w:ind w:firstLine="720"/>
        <w:rPr>
          <w:rFonts w:eastAsia="Times New Roman"/>
          <w:sz w:val="24"/>
          <w:szCs w:val="24"/>
        </w:rPr>
      </w:pPr>
      <w:r w:rsidRPr="00792028">
        <w:rPr>
          <w:rFonts w:eastAsia="Times New Roman"/>
          <w:sz w:val="24"/>
          <w:szCs w:val="24"/>
        </w:rPr>
        <w:t xml:space="preserve">6. The presumption set out in this instruction, however, is still applicable in cases in which the owner (or co-owner) passenger is being sued vicariously as a defendant for the negligence of a driver on the theory that the owner and driver were acting as joint venturers. For such cases, see Instruction 7:5, and the supreme court’s discussion in </w:t>
      </w:r>
      <w:r w:rsidRPr="00792028">
        <w:rPr>
          <w:rFonts w:eastAsia="Times New Roman"/>
          <w:b/>
          <w:sz w:val="24"/>
          <w:szCs w:val="24"/>
        </w:rPr>
        <w:t>Watson</w:t>
      </w:r>
      <w:r w:rsidRPr="00792028">
        <w:rPr>
          <w:rFonts w:eastAsia="Times New Roman"/>
          <w:sz w:val="24"/>
          <w:szCs w:val="24"/>
        </w:rPr>
        <w:t>,</w:t>
      </w:r>
      <w:r w:rsidRPr="00792028">
        <w:rPr>
          <w:rFonts w:eastAsia="Times New Roman"/>
          <w:b/>
          <w:sz w:val="24"/>
          <w:szCs w:val="24"/>
        </w:rPr>
        <w:t xml:space="preserve"> </w:t>
      </w:r>
      <w:r w:rsidRPr="00792028">
        <w:rPr>
          <w:rFonts w:eastAsia="Times New Roman"/>
          <w:sz w:val="24"/>
          <w:szCs w:val="24"/>
        </w:rPr>
        <w:t>762 P.2d at 137 n.7.</w:t>
      </w:r>
    </w:p>
    <w:p w14:paraId="354A58E9" w14:textId="77777777" w:rsidR="00792028" w:rsidRPr="0054263B" w:rsidRDefault="00792028" w:rsidP="00792028">
      <w:pPr>
        <w:keepNext/>
        <w:spacing w:after="240"/>
        <w:jc w:val="center"/>
        <w:rPr>
          <w:rFonts w:eastAsia="Times New Roman"/>
          <w:b/>
          <w:sz w:val="24"/>
          <w:szCs w:val="24"/>
        </w:rPr>
      </w:pPr>
      <w:r>
        <w:rPr>
          <w:rFonts w:eastAsia="Times New Roman"/>
          <w:b/>
          <w:sz w:val="24"/>
          <w:szCs w:val="24"/>
        </w:rPr>
        <w:t>Source and Authority</w:t>
      </w:r>
    </w:p>
    <w:p w14:paraId="0041B6DE" w14:textId="77777777" w:rsidR="00792028" w:rsidRPr="00792028" w:rsidRDefault="00792028" w:rsidP="00792028">
      <w:pPr>
        <w:spacing w:after="240"/>
        <w:ind w:firstLine="720"/>
        <w:rPr>
          <w:rFonts w:eastAsia="Times New Roman"/>
          <w:sz w:val="24"/>
          <w:szCs w:val="24"/>
        </w:rPr>
      </w:pPr>
      <w:r w:rsidRPr="00792028">
        <w:rPr>
          <w:rFonts w:eastAsia="Times New Roman"/>
          <w:sz w:val="24"/>
          <w:szCs w:val="24"/>
        </w:rPr>
        <w:t xml:space="preserve">This instruction is supported by </w:t>
      </w:r>
      <w:r w:rsidRPr="00792028">
        <w:rPr>
          <w:rFonts w:eastAsia="Times New Roman"/>
          <w:b/>
          <w:sz w:val="24"/>
          <w:szCs w:val="24"/>
        </w:rPr>
        <w:t>Lasnetske</w:t>
      </w:r>
      <w:r w:rsidRPr="00792028">
        <w:rPr>
          <w:rFonts w:eastAsia="Times New Roman"/>
          <w:sz w:val="24"/>
          <w:szCs w:val="24"/>
        </w:rPr>
        <w:t xml:space="preserve">, 148 Colo. at 76-78, 365 P.2d at 253-54; </w:t>
      </w:r>
      <w:r w:rsidRPr="00792028">
        <w:rPr>
          <w:rFonts w:eastAsia="Times New Roman"/>
          <w:b/>
          <w:sz w:val="24"/>
          <w:szCs w:val="24"/>
        </w:rPr>
        <w:t>Moore v. Skiles</w:t>
      </w:r>
      <w:r w:rsidRPr="00792028">
        <w:rPr>
          <w:rFonts w:eastAsia="Times New Roman"/>
          <w:sz w:val="24"/>
          <w:szCs w:val="24"/>
        </w:rPr>
        <w:t>, 130 Colo. 191, 274 P.2d 311 (1954),</w:t>
      </w:r>
      <w:r w:rsidRPr="00792028">
        <w:rPr>
          <w:rFonts w:eastAsia="Times New Roman"/>
          <w:i/>
          <w:sz w:val="24"/>
          <w:szCs w:val="24"/>
        </w:rPr>
        <w:t xml:space="preserve"> overruled on other grounds by</w:t>
      </w:r>
      <w:r w:rsidRPr="00792028">
        <w:rPr>
          <w:rFonts w:eastAsia="Times New Roman"/>
          <w:sz w:val="24"/>
          <w:szCs w:val="24"/>
        </w:rPr>
        <w:t xml:space="preserve"> </w:t>
      </w:r>
      <w:r w:rsidRPr="00792028">
        <w:rPr>
          <w:rFonts w:eastAsia="Times New Roman"/>
          <w:b/>
          <w:sz w:val="24"/>
          <w:szCs w:val="24"/>
        </w:rPr>
        <w:t>Watson</w:t>
      </w:r>
      <w:r w:rsidRPr="00792028">
        <w:rPr>
          <w:rFonts w:eastAsia="Times New Roman"/>
          <w:sz w:val="24"/>
          <w:szCs w:val="24"/>
        </w:rPr>
        <w:t xml:space="preserve">, 762 P.2d at 141; and </w:t>
      </w:r>
      <w:r w:rsidRPr="00792028">
        <w:rPr>
          <w:rFonts w:eastAsia="Times New Roman"/>
          <w:b/>
          <w:sz w:val="24"/>
          <w:szCs w:val="24"/>
        </w:rPr>
        <w:t>Hover v. Clamp</w:t>
      </w:r>
      <w:r w:rsidRPr="00792028">
        <w:rPr>
          <w:rFonts w:eastAsia="Times New Roman"/>
          <w:sz w:val="24"/>
          <w:szCs w:val="24"/>
        </w:rPr>
        <w:t>, 40 Colo. App. 410, 579 P.2d 1181 (1978),</w:t>
      </w:r>
      <w:r w:rsidRPr="00792028">
        <w:rPr>
          <w:rFonts w:eastAsia="Times New Roman"/>
          <w:i/>
          <w:sz w:val="24"/>
          <w:szCs w:val="24"/>
        </w:rPr>
        <w:t xml:space="preserve"> overruled on other grounds by</w:t>
      </w:r>
      <w:r w:rsidRPr="00792028">
        <w:rPr>
          <w:rFonts w:eastAsia="Times New Roman"/>
          <w:sz w:val="24"/>
          <w:szCs w:val="24"/>
        </w:rPr>
        <w:t xml:space="preserve"> </w:t>
      </w:r>
      <w:r w:rsidRPr="00792028">
        <w:rPr>
          <w:rFonts w:eastAsia="Times New Roman"/>
          <w:b/>
          <w:sz w:val="24"/>
          <w:szCs w:val="24"/>
        </w:rPr>
        <w:t>Watson</w:t>
      </w:r>
      <w:r w:rsidRPr="00792028">
        <w:rPr>
          <w:rFonts w:eastAsia="Times New Roman"/>
          <w:sz w:val="24"/>
          <w:szCs w:val="24"/>
        </w:rPr>
        <w:t xml:space="preserve">, 762 P.2d at 141. </w:t>
      </w:r>
      <w:r w:rsidRPr="00792028">
        <w:rPr>
          <w:rFonts w:eastAsia="Times New Roman"/>
          <w:i/>
          <w:sz w:val="24"/>
          <w:szCs w:val="24"/>
        </w:rPr>
        <w:t>See also</w:t>
      </w:r>
      <w:r w:rsidRPr="00792028">
        <w:rPr>
          <w:rFonts w:eastAsia="Times New Roman"/>
          <w:sz w:val="24"/>
          <w:szCs w:val="24"/>
        </w:rPr>
        <w:t xml:space="preserve"> </w:t>
      </w:r>
      <w:r w:rsidRPr="00792028">
        <w:rPr>
          <w:rFonts w:eastAsia="Times New Roman"/>
          <w:smallCaps/>
          <w:sz w:val="24"/>
          <w:szCs w:val="24"/>
        </w:rPr>
        <w:t>Restatement (Second) of Torts</w:t>
      </w:r>
      <w:r w:rsidRPr="00792028">
        <w:rPr>
          <w:rFonts w:eastAsia="Times New Roman"/>
          <w:sz w:val="24"/>
          <w:szCs w:val="24"/>
        </w:rPr>
        <w:t xml:space="preserve"> § 491 cmt. j (1965).</w:t>
      </w:r>
    </w:p>
    <w:p w14:paraId="74111C6A" w14:textId="77777777" w:rsidR="008F746C" w:rsidRPr="0052537F" w:rsidRDefault="008F746C" w:rsidP="008F746C">
      <w:pPr>
        <w:spacing w:after="240"/>
        <w:ind w:firstLine="720"/>
        <w:rPr>
          <w:rFonts w:eastAsia="Times New Roman"/>
          <w:sz w:val="24"/>
          <w:szCs w:val="24"/>
        </w:rPr>
      </w:pPr>
    </w:p>
    <w:sectPr w:rsidR="008F746C" w:rsidRPr="0052537F" w:rsidSect="0054263B">
      <w:footerReference w:type="default" r:id="rId8"/>
      <w:pgSz w:w="12240" w:h="15840"/>
      <w:pgMar w:top="1440" w:right="1440" w:bottom="1440" w:left="1440" w:header="720" w:footer="72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75DE26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75DE26D" w16cid:durableId="235FCC3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634B0C" w14:textId="77777777" w:rsidR="000F63B0" w:rsidRDefault="000F63B0" w:rsidP="0054263B">
      <w:r>
        <w:separator/>
      </w:r>
    </w:p>
    <w:p w14:paraId="7842E07A" w14:textId="77777777" w:rsidR="000F63B0" w:rsidRDefault="000F63B0"/>
  </w:endnote>
  <w:endnote w:type="continuationSeparator" w:id="0">
    <w:p w14:paraId="024A19E2" w14:textId="77777777" w:rsidR="000F63B0" w:rsidRDefault="000F63B0" w:rsidP="0054263B">
      <w:r>
        <w:continuationSeparator/>
      </w:r>
    </w:p>
    <w:p w14:paraId="6FCFB0B1" w14:textId="77777777" w:rsidR="000F63B0" w:rsidRDefault="000F63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704159"/>
      <w:docPartObj>
        <w:docPartGallery w:val="Page Numbers (Bottom of Page)"/>
        <w:docPartUnique/>
      </w:docPartObj>
    </w:sdtPr>
    <w:sdtEndPr>
      <w:rPr>
        <w:noProof/>
      </w:rPr>
    </w:sdtEndPr>
    <w:sdtContent>
      <w:p w14:paraId="48E6040D" w14:textId="77777777" w:rsidR="00B80FD1" w:rsidRDefault="00B80FD1">
        <w:pPr>
          <w:pStyle w:val="Footer"/>
          <w:jc w:val="center"/>
        </w:pPr>
        <w:r>
          <w:fldChar w:fldCharType="begin"/>
        </w:r>
        <w:r>
          <w:instrText xml:space="preserve"> PAGE   \* MERGEFORMAT </w:instrText>
        </w:r>
        <w:r>
          <w:fldChar w:fldCharType="separate"/>
        </w:r>
        <w:r w:rsidR="007C400A">
          <w:rPr>
            <w:noProof/>
          </w:rPr>
          <w:t>5</w:t>
        </w:r>
        <w:r>
          <w:rPr>
            <w:noProof/>
          </w:rPr>
          <w:fldChar w:fldCharType="end"/>
        </w:r>
      </w:p>
    </w:sdtContent>
  </w:sdt>
  <w:p w14:paraId="3B363121" w14:textId="77777777" w:rsidR="00B80FD1" w:rsidRDefault="00B80FD1">
    <w:pPr>
      <w:pStyle w:val="Footer"/>
    </w:pPr>
  </w:p>
  <w:p w14:paraId="290780A1" w14:textId="77777777" w:rsidR="00B80FD1" w:rsidRDefault="00B80FD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346106" w14:textId="77777777" w:rsidR="000F63B0" w:rsidRDefault="000F63B0" w:rsidP="0054263B">
      <w:r>
        <w:separator/>
      </w:r>
    </w:p>
    <w:p w14:paraId="127AE711" w14:textId="77777777" w:rsidR="000F63B0" w:rsidRDefault="000F63B0"/>
  </w:footnote>
  <w:footnote w:type="continuationSeparator" w:id="0">
    <w:p w14:paraId="4E55B4D6" w14:textId="77777777" w:rsidR="000F63B0" w:rsidRDefault="000F63B0" w:rsidP="0054263B">
      <w:r>
        <w:continuationSeparator/>
      </w:r>
    </w:p>
    <w:p w14:paraId="49074949" w14:textId="77777777" w:rsidR="000F63B0" w:rsidRDefault="000F63B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9864C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3E12800"/>
    <w:multiLevelType w:val="hybridMultilevel"/>
    <w:tmpl w:val="EE549AD0"/>
    <w:lvl w:ilvl="0" w:tplc="F104B9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eck, jeremy">
    <w15:presenceInfo w15:providerId="AD" w15:userId="S::jeremy.beck@judicial.state.co.us::bf9c26d5-4ad0-44e0-8e8b-be36bb1085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C98"/>
    <w:rsid w:val="00004B85"/>
    <w:rsid w:val="00037111"/>
    <w:rsid w:val="000453F8"/>
    <w:rsid w:val="000612D2"/>
    <w:rsid w:val="0006367C"/>
    <w:rsid w:val="000824C8"/>
    <w:rsid w:val="00085495"/>
    <w:rsid w:val="000921F1"/>
    <w:rsid w:val="000962C8"/>
    <w:rsid w:val="000B1B7A"/>
    <w:rsid w:val="000C503A"/>
    <w:rsid w:val="000C6F97"/>
    <w:rsid w:val="000F63B0"/>
    <w:rsid w:val="001117D9"/>
    <w:rsid w:val="00111D45"/>
    <w:rsid w:val="00112C8E"/>
    <w:rsid w:val="00112FF9"/>
    <w:rsid w:val="00126B7A"/>
    <w:rsid w:val="00144917"/>
    <w:rsid w:val="00172674"/>
    <w:rsid w:val="0018388B"/>
    <w:rsid w:val="001903CB"/>
    <w:rsid w:val="001913B1"/>
    <w:rsid w:val="00191498"/>
    <w:rsid w:val="00191C86"/>
    <w:rsid w:val="001A2648"/>
    <w:rsid w:val="001E0F3B"/>
    <w:rsid w:val="00200BA5"/>
    <w:rsid w:val="00202B81"/>
    <w:rsid w:val="002065D8"/>
    <w:rsid w:val="0021368F"/>
    <w:rsid w:val="0022134E"/>
    <w:rsid w:val="00223286"/>
    <w:rsid w:val="00227D3A"/>
    <w:rsid w:val="0024062B"/>
    <w:rsid w:val="0024597C"/>
    <w:rsid w:val="002547C3"/>
    <w:rsid w:val="00256087"/>
    <w:rsid w:val="002654B4"/>
    <w:rsid w:val="00273777"/>
    <w:rsid w:val="00293F7E"/>
    <w:rsid w:val="002A23B0"/>
    <w:rsid w:val="002D163D"/>
    <w:rsid w:val="002E0970"/>
    <w:rsid w:val="002F48D6"/>
    <w:rsid w:val="00304398"/>
    <w:rsid w:val="00316D33"/>
    <w:rsid w:val="00320613"/>
    <w:rsid w:val="003247EA"/>
    <w:rsid w:val="00333886"/>
    <w:rsid w:val="00336CE4"/>
    <w:rsid w:val="00345533"/>
    <w:rsid w:val="00352111"/>
    <w:rsid w:val="00352696"/>
    <w:rsid w:val="00353044"/>
    <w:rsid w:val="003613FE"/>
    <w:rsid w:val="003618A8"/>
    <w:rsid w:val="003837B6"/>
    <w:rsid w:val="003937B8"/>
    <w:rsid w:val="003A2F1C"/>
    <w:rsid w:val="003D370E"/>
    <w:rsid w:val="003E472A"/>
    <w:rsid w:val="003E5B38"/>
    <w:rsid w:val="003F108C"/>
    <w:rsid w:val="003F6E89"/>
    <w:rsid w:val="00410217"/>
    <w:rsid w:val="00434371"/>
    <w:rsid w:val="004425AA"/>
    <w:rsid w:val="00456038"/>
    <w:rsid w:val="00467B80"/>
    <w:rsid w:val="0047120C"/>
    <w:rsid w:val="00471618"/>
    <w:rsid w:val="00474B1B"/>
    <w:rsid w:val="004B753E"/>
    <w:rsid w:val="004C62F9"/>
    <w:rsid w:val="004C723A"/>
    <w:rsid w:val="004E7EF1"/>
    <w:rsid w:val="005065E6"/>
    <w:rsid w:val="00516447"/>
    <w:rsid w:val="0052537F"/>
    <w:rsid w:val="00531F87"/>
    <w:rsid w:val="0054263B"/>
    <w:rsid w:val="00547D97"/>
    <w:rsid w:val="00550AFD"/>
    <w:rsid w:val="00557FCC"/>
    <w:rsid w:val="005648EF"/>
    <w:rsid w:val="0057771F"/>
    <w:rsid w:val="005B3A78"/>
    <w:rsid w:val="005D3156"/>
    <w:rsid w:val="005E712D"/>
    <w:rsid w:val="005F1017"/>
    <w:rsid w:val="005F5A94"/>
    <w:rsid w:val="00623F62"/>
    <w:rsid w:val="006272FE"/>
    <w:rsid w:val="00647CC5"/>
    <w:rsid w:val="00651A64"/>
    <w:rsid w:val="00661D05"/>
    <w:rsid w:val="00675252"/>
    <w:rsid w:val="00682B93"/>
    <w:rsid w:val="0068336D"/>
    <w:rsid w:val="00683FA1"/>
    <w:rsid w:val="00687304"/>
    <w:rsid w:val="00690622"/>
    <w:rsid w:val="006A74B6"/>
    <w:rsid w:val="006B2457"/>
    <w:rsid w:val="006B26D7"/>
    <w:rsid w:val="006C7EDB"/>
    <w:rsid w:val="006D5AC7"/>
    <w:rsid w:val="006E0D06"/>
    <w:rsid w:val="006E3575"/>
    <w:rsid w:val="006E62F0"/>
    <w:rsid w:val="006F7DC0"/>
    <w:rsid w:val="00702B5A"/>
    <w:rsid w:val="0070752A"/>
    <w:rsid w:val="007119D8"/>
    <w:rsid w:val="0071225B"/>
    <w:rsid w:val="00713866"/>
    <w:rsid w:val="007216DA"/>
    <w:rsid w:val="007532AB"/>
    <w:rsid w:val="00792028"/>
    <w:rsid w:val="007A3A0E"/>
    <w:rsid w:val="007A612E"/>
    <w:rsid w:val="007A754C"/>
    <w:rsid w:val="007B1633"/>
    <w:rsid w:val="007C400A"/>
    <w:rsid w:val="007D198E"/>
    <w:rsid w:val="007D2BCE"/>
    <w:rsid w:val="007D39CC"/>
    <w:rsid w:val="007E1675"/>
    <w:rsid w:val="007F7129"/>
    <w:rsid w:val="00801691"/>
    <w:rsid w:val="00804850"/>
    <w:rsid w:val="00813A6B"/>
    <w:rsid w:val="0082168C"/>
    <w:rsid w:val="0083254A"/>
    <w:rsid w:val="0083264A"/>
    <w:rsid w:val="00832DB4"/>
    <w:rsid w:val="0083763B"/>
    <w:rsid w:val="00837F81"/>
    <w:rsid w:val="00845F81"/>
    <w:rsid w:val="00850A48"/>
    <w:rsid w:val="00853ECF"/>
    <w:rsid w:val="008557E1"/>
    <w:rsid w:val="00875064"/>
    <w:rsid w:val="008812A8"/>
    <w:rsid w:val="00881431"/>
    <w:rsid w:val="00895065"/>
    <w:rsid w:val="008A475A"/>
    <w:rsid w:val="008A6339"/>
    <w:rsid w:val="008A637B"/>
    <w:rsid w:val="008B1617"/>
    <w:rsid w:val="008C1739"/>
    <w:rsid w:val="008D2D56"/>
    <w:rsid w:val="008D4A28"/>
    <w:rsid w:val="008D609F"/>
    <w:rsid w:val="008E41F1"/>
    <w:rsid w:val="008E51AF"/>
    <w:rsid w:val="008F4C42"/>
    <w:rsid w:val="008F746C"/>
    <w:rsid w:val="0090292A"/>
    <w:rsid w:val="00902A25"/>
    <w:rsid w:val="00914128"/>
    <w:rsid w:val="00923D70"/>
    <w:rsid w:val="00932723"/>
    <w:rsid w:val="00935DA8"/>
    <w:rsid w:val="00952BBB"/>
    <w:rsid w:val="0095709A"/>
    <w:rsid w:val="00973884"/>
    <w:rsid w:val="009902F2"/>
    <w:rsid w:val="009931B9"/>
    <w:rsid w:val="009B6746"/>
    <w:rsid w:val="009E20C7"/>
    <w:rsid w:val="009E3DA4"/>
    <w:rsid w:val="00A36457"/>
    <w:rsid w:val="00A73AE6"/>
    <w:rsid w:val="00A80C10"/>
    <w:rsid w:val="00A82D0A"/>
    <w:rsid w:val="00A85AAA"/>
    <w:rsid w:val="00A92C18"/>
    <w:rsid w:val="00AB2019"/>
    <w:rsid w:val="00AB71A7"/>
    <w:rsid w:val="00AC78F7"/>
    <w:rsid w:val="00AF1365"/>
    <w:rsid w:val="00AF7D47"/>
    <w:rsid w:val="00B0264D"/>
    <w:rsid w:val="00B37722"/>
    <w:rsid w:val="00B567C1"/>
    <w:rsid w:val="00B579DF"/>
    <w:rsid w:val="00B6275E"/>
    <w:rsid w:val="00B70D68"/>
    <w:rsid w:val="00B719C2"/>
    <w:rsid w:val="00B72D6B"/>
    <w:rsid w:val="00B80FD1"/>
    <w:rsid w:val="00B937E4"/>
    <w:rsid w:val="00B97801"/>
    <w:rsid w:val="00BA27A8"/>
    <w:rsid w:val="00BA510E"/>
    <w:rsid w:val="00BC49BF"/>
    <w:rsid w:val="00BC65EF"/>
    <w:rsid w:val="00BE2B09"/>
    <w:rsid w:val="00BE654D"/>
    <w:rsid w:val="00C26751"/>
    <w:rsid w:val="00C40968"/>
    <w:rsid w:val="00C473A2"/>
    <w:rsid w:val="00C60E95"/>
    <w:rsid w:val="00C724B6"/>
    <w:rsid w:val="00C84E71"/>
    <w:rsid w:val="00C87463"/>
    <w:rsid w:val="00C8797B"/>
    <w:rsid w:val="00C94C5E"/>
    <w:rsid w:val="00CA41CC"/>
    <w:rsid w:val="00CA7EF2"/>
    <w:rsid w:val="00CB008B"/>
    <w:rsid w:val="00CC0502"/>
    <w:rsid w:val="00CC1AC8"/>
    <w:rsid w:val="00CC6A95"/>
    <w:rsid w:val="00CC7E17"/>
    <w:rsid w:val="00CD4A7D"/>
    <w:rsid w:val="00CE593D"/>
    <w:rsid w:val="00D014AE"/>
    <w:rsid w:val="00D05926"/>
    <w:rsid w:val="00D06D8D"/>
    <w:rsid w:val="00D075B7"/>
    <w:rsid w:val="00D2012C"/>
    <w:rsid w:val="00D23BD0"/>
    <w:rsid w:val="00D333AA"/>
    <w:rsid w:val="00D51E80"/>
    <w:rsid w:val="00D52572"/>
    <w:rsid w:val="00D53848"/>
    <w:rsid w:val="00D8125F"/>
    <w:rsid w:val="00DA1796"/>
    <w:rsid w:val="00DB2C90"/>
    <w:rsid w:val="00DC63A9"/>
    <w:rsid w:val="00DC66A6"/>
    <w:rsid w:val="00DC6DA0"/>
    <w:rsid w:val="00DE2930"/>
    <w:rsid w:val="00DE7E9D"/>
    <w:rsid w:val="00DF2CB7"/>
    <w:rsid w:val="00DF3BF1"/>
    <w:rsid w:val="00E058BA"/>
    <w:rsid w:val="00E111AA"/>
    <w:rsid w:val="00E172C8"/>
    <w:rsid w:val="00E24E10"/>
    <w:rsid w:val="00E551EB"/>
    <w:rsid w:val="00E67638"/>
    <w:rsid w:val="00E7526A"/>
    <w:rsid w:val="00E87C31"/>
    <w:rsid w:val="00E87FFB"/>
    <w:rsid w:val="00E970B9"/>
    <w:rsid w:val="00EC17E3"/>
    <w:rsid w:val="00EC3919"/>
    <w:rsid w:val="00EC7C98"/>
    <w:rsid w:val="00ED5E52"/>
    <w:rsid w:val="00ED7176"/>
    <w:rsid w:val="00ED75EA"/>
    <w:rsid w:val="00EF4043"/>
    <w:rsid w:val="00F022D4"/>
    <w:rsid w:val="00F32AA4"/>
    <w:rsid w:val="00F4024C"/>
    <w:rsid w:val="00F573CF"/>
    <w:rsid w:val="00F57A2B"/>
    <w:rsid w:val="00F658E5"/>
    <w:rsid w:val="00F764F4"/>
    <w:rsid w:val="00F86F49"/>
    <w:rsid w:val="00FA7B76"/>
    <w:rsid w:val="00FD2DF4"/>
    <w:rsid w:val="00FE00D7"/>
    <w:rsid w:val="00FE156B"/>
    <w:rsid w:val="00FF171F"/>
    <w:rsid w:val="00FF46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5A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semiHidden/>
    <w:unhideWhenUsed/>
    <w:rsid w:val="00DB2C90"/>
    <w:rPr>
      <w:sz w:val="20"/>
      <w:szCs w:val="20"/>
    </w:rPr>
  </w:style>
  <w:style w:type="character" w:customStyle="1" w:styleId="CommentTextChar">
    <w:name w:val="Comment Text Char"/>
    <w:basedOn w:val="DefaultParagraphFont"/>
    <w:link w:val="CommentText"/>
    <w:uiPriority w:val="99"/>
    <w:semiHidden/>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semiHidden/>
    <w:unhideWhenUsed/>
    <w:rsid w:val="00DB2C90"/>
    <w:rPr>
      <w:sz w:val="20"/>
      <w:szCs w:val="20"/>
    </w:rPr>
  </w:style>
  <w:style w:type="character" w:customStyle="1" w:styleId="CommentTextChar">
    <w:name w:val="Comment Text Char"/>
    <w:basedOn w:val="DefaultParagraphFont"/>
    <w:link w:val="CommentText"/>
    <w:uiPriority w:val="99"/>
    <w:semiHidden/>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42897">
      <w:bodyDiv w:val="1"/>
      <w:marLeft w:val="0"/>
      <w:marRight w:val="0"/>
      <w:marTop w:val="0"/>
      <w:marBottom w:val="0"/>
      <w:divBdr>
        <w:top w:val="none" w:sz="0" w:space="0" w:color="auto"/>
        <w:left w:val="none" w:sz="0" w:space="0" w:color="auto"/>
        <w:bottom w:val="none" w:sz="0" w:space="0" w:color="auto"/>
        <w:right w:val="none" w:sz="0" w:space="0" w:color="auto"/>
      </w:divBdr>
    </w:div>
    <w:div w:id="68618785">
      <w:bodyDiv w:val="1"/>
      <w:marLeft w:val="0"/>
      <w:marRight w:val="0"/>
      <w:marTop w:val="0"/>
      <w:marBottom w:val="0"/>
      <w:divBdr>
        <w:top w:val="none" w:sz="0" w:space="0" w:color="auto"/>
        <w:left w:val="none" w:sz="0" w:space="0" w:color="auto"/>
        <w:bottom w:val="none" w:sz="0" w:space="0" w:color="auto"/>
        <w:right w:val="none" w:sz="0" w:space="0" w:color="auto"/>
      </w:divBdr>
    </w:div>
    <w:div w:id="89006264">
      <w:bodyDiv w:val="1"/>
      <w:marLeft w:val="0"/>
      <w:marRight w:val="0"/>
      <w:marTop w:val="0"/>
      <w:marBottom w:val="0"/>
      <w:divBdr>
        <w:top w:val="none" w:sz="0" w:space="0" w:color="auto"/>
        <w:left w:val="none" w:sz="0" w:space="0" w:color="auto"/>
        <w:bottom w:val="none" w:sz="0" w:space="0" w:color="auto"/>
        <w:right w:val="none" w:sz="0" w:space="0" w:color="auto"/>
      </w:divBdr>
    </w:div>
    <w:div w:id="270860665">
      <w:bodyDiv w:val="1"/>
      <w:marLeft w:val="0"/>
      <w:marRight w:val="0"/>
      <w:marTop w:val="0"/>
      <w:marBottom w:val="0"/>
      <w:divBdr>
        <w:top w:val="none" w:sz="0" w:space="0" w:color="auto"/>
        <w:left w:val="none" w:sz="0" w:space="0" w:color="auto"/>
        <w:bottom w:val="none" w:sz="0" w:space="0" w:color="auto"/>
        <w:right w:val="none" w:sz="0" w:space="0" w:color="auto"/>
      </w:divBdr>
    </w:div>
    <w:div w:id="296036119">
      <w:bodyDiv w:val="1"/>
      <w:marLeft w:val="0"/>
      <w:marRight w:val="0"/>
      <w:marTop w:val="0"/>
      <w:marBottom w:val="0"/>
      <w:divBdr>
        <w:top w:val="none" w:sz="0" w:space="0" w:color="auto"/>
        <w:left w:val="none" w:sz="0" w:space="0" w:color="auto"/>
        <w:bottom w:val="none" w:sz="0" w:space="0" w:color="auto"/>
        <w:right w:val="none" w:sz="0" w:space="0" w:color="auto"/>
      </w:divBdr>
    </w:div>
    <w:div w:id="703945393">
      <w:bodyDiv w:val="1"/>
      <w:marLeft w:val="0"/>
      <w:marRight w:val="0"/>
      <w:marTop w:val="0"/>
      <w:marBottom w:val="0"/>
      <w:divBdr>
        <w:top w:val="none" w:sz="0" w:space="0" w:color="auto"/>
        <w:left w:val="none" w:sz="0" w:space="0" w:color="auto"/>
        <w:bottom w:val="none" w:sz="0" w:space="0" w:color="auto"/>
        <w:right w:val="none" w:sz="0" w:space="0" w:color="auto"/>
      </w:divBdr>
    </w:div>
    <w:div w:id="1443459567">
      <w:bodyDiv w:val="1"/>
      <w:marLeft w:val="0"/>
      <w:marRight w:val="0"/>
      <w:marTop w:val="0"/>
      <w:marBottom w:val="0"/>
      <w:divBdr>
        <w:top w:val="none" w:sz="0" w:space="0" w:color="auto"/>
        <w:left w:val="none" w:sz="0" w:space="0" w:color="auto"/>
        <w:bottom w:val="none" w:sz="0" w:space="0" w:color="auto"/>
        <w:right w:val="none" w:sz="0" w:space="0" w:color="auto"/>
      </w:divBdr>
    </w:div>
    <w:div w:id="1832794580">
      <w:bodyDiv w:val="1"/>
      <w:marLeft w:val="0"/>
      <w:marRight w:val="0"/>
      <w:marTop w:val="0"/>
      <w:marBottom w:val="0"/>
      <w:divBdr>
        <w:top w:val="none" w:sz="0" w:space="0" w:color="auto"/>
        <w:left w:val="none" w:sz="0" w:space="0" w:color="auto"/>
        <w:bottom w:val="none" w:sz="0" w:space="0" w:color="auto"/>
        <w:right w:val="none" w:sz="0" w:space="0" w:color="auto"/>
      </w:divBdr>
    </w:div>
    <w:div w:id="1887839253">
      <w:bodyDiv w:val="1"/>
      <w:marLeft w:val="0"/>
      <w:marRight w:val="0"/>
      <w:marTop w:val="0"/>
      <w:marBottom w:val="0"/>
      <w:divBdr>
        <w:top w:val="none" w:sz="0" w:space="0" w:color="auto"/>
        <w:left w:val="none" w:sz="0" w:space="0" w:color="auto"/>
        <w:bottom w:val="none" w:sz="0" w:space="0" w:color="auto"/>
        <w:right w:val="none" w:sz="0" w:space="0" w:color="auto"/>
      </w:divBdr>
    </w:div>
    <w:div w:id="198234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6/09/relationships/commentsIds" Target="commentsIds.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3668</Words>
  <Characters>20911</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Buckley</dc:creator>
  <cp:lastModifiedBy>Krista Schelhaas</cp:lastModifiedBy>
  <cp:revision>2</cp:revision>
  <dcterms:created xsi:type="dcterms:W3CDTF">2020-12-05T16:02:00Z</dcterms:created>
  <dcterms:modified xsi:type="dcterms:W3CDTF">2020-12-05T16:02:00Z</dcterms:modified>
</cp:coreProperties>
</file>