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F973" w14:textId="0D1036FB" w:rsidR="00CA41CC" w:rsidRPr="00914128" w:rsidRDefault="0068336D" w:rsidP="00914128">
      <w:pPr>
        <w:pStyle w:val="Heading1"/>
      </w:pPr>
      <w:bookmarkStart w:id="0" w:name="_GoBack"/>
      <w:bookmarkEnd w:id="0"/>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3B3349" w:rsidP="00914128">
      <w:pPr>
        <w:pStyle w:val="ToC"/>
      </w:pPr>
      <w:hyperlink w:anchor="IntroNote" w:history="1">
        <w:r w:rsidR="00BC789A" w:rsidRPr="00BC789A">
          <w:rPr>
            <w:rStyle w:val="Hyperlink"/>
          </w:rPr>
          <w:t>Introductory Note</w:t>
        </w:r>
      </w:hyperlink>
    </w:p>
    <w:p w14:paraId="2D675AB9" w14:textId="77777777" w:rsidR="00EC7C98" w:rsidRDefault="003B3349"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3B3349"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Quod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3B3349"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w:t>
      </w:r>
      <w:proofErr w:type="gramStart"/>
      <w:r w:rsidR="000029B0" w:rsidRPr="00171705">
        <w:t>Disregard</w:t>
      </w:r>
      <w:proofErr w:type="gramEnd"/>
      <w:r w:rsidR="000029B0" w:rsidRPr="00171705">
        <w:t xml:space="preserve">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3B3349"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3B3349"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 xml:space="preserve">Slander </w:t>
      </w:r>
      <w:proofErr w:type="gramStart"/>
      <w:r w:rsidR="000029B0" w:rsidRPr="00171705">
        <w:t>Per</w:t>
      </w:r>
      <w:proofErr w:type="gramEnd"/>
      <w:r w:rsidR="000029B0" w:rsidRPr="00171705">
        <w:t xml:space="preserve"> Quod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3B3349" w:rsidP="00914128">
      <w:pPr>
        <w:pStyle w:val="ToC"/>
      </w:pPr>
      <w:hyperlink w:anchor="a22_06" w:history="1">
        <w:proofErr w:type="gramStart"/>
        <w:r w:rsidR="000029B0" w:rsidRPr="00171705">
          <w:rPr>
            <w:rStyle w:val="Hyperlink"/>
          </w:rPr>
          <w:t>22:6</w:t>
        </w:r>
      </w:hyperlink>
      <w:r w:rsidR="000029B0" w:rsidRPr="00171705">
        <w:tab/>
        <w:t>Incremental Harm</w:t>
      </w:r>
      <w:proofErr w:type="gramEnd"/>
    </w:p>
    <w:p w14:paraId="09A9AE87" w14:textId="77777777" w:rsidR="00171705" w:rsidRDefault="003B3349"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3B3349"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3B3349" w:rsidP="00914128">
      <w:pPr>
        <w:pStyle w:val="ToC"/>
      </w:pPr>
      <w:hyperlink w:anchor="a22_09" w:history="1">
        <w:r w:rsidR="000029B0" w:rsidRPr="00171705">
          <w:rPr>
            <w:rStyle w:val="Hyperlink"/>
          </w:rPr>
          <w:t>22:9</w:t>
        </w:r>
      </w:hyperlink>
      <w:r w:rsidR="000029B0" w:rsidRPr="00171705">
        <w:t xml:space="preserve"> </w:t>
      </w:r>
      <w:r w:rsidR="000029B0" w:rsidRPr="00171705">
        <w:tab/>
      </w:r>
      <w:proofErr w:type="gramStart"/>
      <w:r w:rsidR="000029B0" w:rsidRPr="00171705">
        <w:t>About</w:t>
      </w:r>
      <w:proofErr w:type="gramEnd"/>
      <w:r w:rsidR="000029B0" w:rsidRPr="00171705">
        <w:t xml:space="preserve"> </w:t>
      </w:r>
      <w:r w:rsidR="000029B0">
        <w:t xml:space="preserve">the </w:t>
      </w:r>
      <w:r w:rsidR="000029B0" w:rsidRPr="00171705">
        <w:t>Plaintiff — Defined</w:t>
      </w:r>
    </w:p>
    <w:p w14:paraId="3A7A8AD0" w14:textId="77777777" w:rsidR="00D54276" w:rsidRDefault="003B3349"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3B3349"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3B3349"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14:paraId="3565B530" w14:textId="77777777" w:rsidR="00D54276" w:rsidRDefault="003B3349"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3B3349"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3B3349"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3B3349"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3B3349"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3B3349"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3B3349"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3B3349"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3B3349"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3B3349"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3B3349"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3B3349"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3B3349"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3B3349"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3B3349"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proofErr w:type="gramStart"/>
      <w:r w:rsidRPr="00195972">
        <w:rPr>
          <w:rFonts w:eastAsia="Times New Roman"/>
          <w:i/>
          <w:sz w:val="24"/>
          <w:szCs w:val="24"/>
        </w:rPr>
        <w:t>Id.</w:t>
      </w:r>
      <w:r w:rsidRPr="00195972">
        <w:rPr>
          <w:rFonts w:eastAsia="Times New Roman"/>
          <w:sz w:val="24"/>
          <w:szCs w:val="24"/>
        </w:rPr>
        <w:t xml:space="preserve"> at 270.</w:t>
      </w:r>
      <w:proofErr w:type="gramEnd"/>
      <w:r w:rsidRPr="00195972">
        <w:rPr>
          <w:rFonts w:eastAsia="Times New Roman"/>
          <w:sz w:val="24"/>
          <w:szCs w:val="24"/>
        </w:rPr>
        <w:t xml:space="preserve"> In</w:t>
      </w:r>
      <w:r w:rsidRPr="00195972">
        <w:rPr>
          <w:rFonts w:eastAsia="Times New Roman"/>
          <w:i/>
          <w:sz w:val="24"/>
          <w:szCs w:val="24"/>
        </w:rPr>
        <w:t xml:space="preserve"> </w:t>
      </w:r>
      <w:r w:rsidRPr="00195972">
        <w:rPr>
          <w:rFonts w:eastAsia="Times New Roman"/>
          <w:b/>
          <w:sz w:val="24"/>
          <w:szCs w:val="24"/>
        </w:rPr>
        <w:t>St. Amant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Shoen v. Shoen</w:t>
      </w:r>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3. The “constitutionalization”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r w:rsidRPr="00195972">
        <w:rPr>
          <w:rFonts w:eastAsia="Times New Roman"/>
          <w:b/>
          <w:sz w:val="24"/>
          <w:szCs w:val="24"/>
        </w:rPr>
        <w:t>Speiser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r w:rsidRPr="00195972">
        <w:rPr>
          <w:rFonts w:eastAsia="Times New Roman"/>
          <w:b/>
          <w:sz w:val="24"/>
          <w:szCs w:val="24"/>
        </w:rPr>
        <w:t>Pennekamp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w:t>
      </w:r>
      <w:r w:rsidRPr="00195972">
        <w:rPr>
          <w:rFonts w:eastAsia="Times New Roman"/>
          <w:b/>
          <w:sz w:val="24"/>
          <w:szCs w:val="24"/>
        </w:rPr>
        <w:lastRenderedPageBreak/>
        <w:t>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DiLeo v. Koltnow</w:t>
      </w:r>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Barnett v. Denver Publ’g</w:t>
      </w:r>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 Inc. v. 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s-St. Amant</w:t>
      </w:r>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DiLeo</w:t>
      </w:r>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 v. 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r w:rsidRPr="00195972">
        <w:rPr>
          <w:rFonts w:eastAsia="Times New Roman"/>
          <w:sz w:val="24"/>
          <w:szCs w:val="24"/>
        </w:rPr>
        <w:t xml:space="preserve">, 475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r w:rsidRPr="00195972">
        <w:rPr>
          <w:rFonts w:eastAsia="Times New Roman"/>
          <w:b/>
          <w:sz w:val="24"/>
          <w:szCs w:val="24"/>
        </w:rPr>
        <w:t>Gertz</w:t>
      </w:r>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r w:rsidRPr="00195972">
        <w:rPr>
          <w:rFonts w:eastAsia="Times New Roman"/>
          <w:b/>
          <w:sz w:val="24"/>
          <w:szCs w:val="24"/>
        </w:rPr>
        <w:t>Gertz</w:t>
      </w:r>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cmt.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566 cmt.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497 U.S. 1 (1990);</w:t>
      </w:r>
      <w:r w:rsidR="00033343">
        <w:rPr>
          <w:rFonts w:eastAsia="Times New Roman"/>
          <w:sz w:val="24"/>
          <w:szCs w:val="24"/>
        </w:rPr>
        <w:t xml:space="preserve"> </w:t>
      </w:r>
      <w:r w:rsidR="0075735A">
        <w:rPr>
          <w:rFonts w:eastAsia="Times New Roman"/>
          <w:b/>
          <w:sz w:val="24"/>
          <w:szCs w:val="24"/>
        </w:rPr>
        <w:t>Hepps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r w:rsidRPr="00195972">
        <w:rPr>
          <w:rFonts w:eastAsia="Times New Roman"/>
          <w:b/>
          <w:sz w:val="24"/>
          <w:szCs w:val="24"/>
        </w:rPr>
        <w:t>Gertz</w:t>
      </w:r>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Greenbelt Coop. Publ’g Ass’n v. Bresler</w:t>
      </w:r>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r w:rsidRPr="00195972">
        <w:rPr>
          <w:rFonts w:eastAsia="Times New Roman"/>
          <w:b/>
          <w:sz w:val="24"/>
          <w:szCs w:val="24"/>
        </w:rPr>
        <w:t>Sall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Pittman v. Larson Distrib.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the Colorado Supreme Court adopted a three-part analysis for determining whether an utterance is a statement of opinion: first, the allegedly defamatory statement itself must be examined and the court should consider whether it is “phrased in terms of apparency”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r w:rsidRPr="00195972">
        <w:rPr>
          <w:rFonts w:eastAsia="Times New Roman"/>
          <w:b/>
          <w:sz w:val="24"/>
          <w:szCs w:val="24"/>
        </w:rPr>
        <w:t>Milkovich</w:t>
      </w:r>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19A3B50C"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r w:rsidRPr="00195972">
        <w:rPr>
          <w:rFonts w:eastAsia="Times New Roman"/>
          <w:b/>
          <w:sz w:val="24"/>
          <w:szCs w:val="24"/>
        </w:rPr>
        <w:t>Milkovich</w:t>
      </w:r>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w:t>
      </w:r>
      <w:r w:rsidRPr="00195972">
        <w:rPr>
          <w:rFonts w:eastAsia="Times New Roman"/>
          <w:sz w:val="24"/>
          <w:szCs w:val="24"/>
        </w:rPr>
        <w:lastRenderedPageBreak/>
        <w:t xml:space="preserve">to utilize the three contextual factors adopted and applied in cases decided before </w:t>
      </w:r>
      <w:r w:rsidRPr="00195972">
        <w:rPr>
          <w:rFonts w:eastAsia="Times New Roman"/>
          <w:b/>
          <w:sz w:val="24"/>
          <w:szCs w:val="24"/>
        </w:rPr>
        <w:t xml:space="preserve">Milkovich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r w:rsidRPr="00195972">
        <w:rPr>
          <w:rFonts w:eastAsia="Times New Roman"/>
          <w:b/>
          <w:sz w:val="24"/>
          <w:szCs w:val="24"/>
        </w:rPr>
        <w:t>Keohane</w:t>
      </w:r>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Giduck v. Niblett</w:t>
      </w:r>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Sky Fun 1, Inc. v. 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r w:rsidRPr="00195972">
        <w:rPr>
          <w:rFonts w:eastAsia="Times New Roman"/>
          <w:i/>
          <w:sz w:val="24"/>
          <w:szCs w:val="24"/>
        </w:rPr>
        <w:t>rev’d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(recall petitions charging plaintiff town trustees with “failing to properly represent” and “refusing to be accountable” to citizens by “specifically, violations of the Open Meetings Law,” may be provable as true or false, but purported to be “political opinion as opposed to assertions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607092EA"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r w:rsidRPr="00195972">
        <w:rPr>
          <w:rFonts w:eastAsia="Times New Roman"/>
          <w:b/>
          <w:sz w:val="24"/>
          <w:szCs w:val="24"/>
        </w:rPr>
        <w:t>Cinquanta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cmt.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Keohane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2" w:name="a22_01"/>
      <w:bookmarkEnd w:id="2"/>
      <w:r w:rsidRPr="00BB436B">
        <w:rPr>
          <w:rFonts w:eastAsia="Times New Roman"/>
          <w:b/>
          <w:sz w:val="24"/>
          <w:szCs w:val="24"/>
        </w:rPr>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cmt.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country-region">
        <w:smartTag w:uri="urn:schemas-microsoft-com:office:smarttags" w:element="place">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Tonnessen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sufficient to comply with the “actual damage” requirement. </w:t>
      </w:r>
      <w:r w:rsidRPr="00BB436B">
        <w:rPr>
          <w:rFonts w:eastAsia="Times New Roman"/>
          <w:b/>
          <w:sz w:val="24"/>
          <w:szCs w:val="24"/>
        </w:rPr>
        <w:t>Keohane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quod), Instruction 22:4 (libel or slander per se by and concerning private persons in a private matter), or Instruction 22:5 (same situation as 22:4 except libel or slander per quod).</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Knapp v. Post Printing &amp; Publ’g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Sky Fun 1, Inc. v. Schuttloffel</w:t>
      </w:r>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r w:rsidRPr="00BB436B">
        <w:rPr>
          <w:rFonts w:eastAsia="Times New Roman"/>
          <w:i/>
          <w:sz w:val="24"/>
          <w:szCs w:val="24"/>
        </w:rPr>
        <w:t>rev’d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Phila. Newspapers, Inc. v. Hepps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St. Amant</w:t>
      </w:r>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Ocala Star-Banner Co. v. Damron</w:t>
      </w:r>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Greenbelt Coop. Publ’g Ass’n v. Bresler</w:t>
      </w:r>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C.R.C.P.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Concerned Members of Intermountain Rural Elec. Ass’n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Pittman v. Larson Dist</w:t>
      </w:r>
      <w:r w:rsidR="00DE380A">
        <w:rPr>
          <w:rFonts w:eastAsia="Times New Roman"/>
          <w:b/>
          <w:sz w:val="24"/>
          <w:szCs w:val="24"/>
        </w:rPr>
        <w:t>rib</w:t>
      </w:r>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r w:rsidRPr="00BB436B">
        <w:rPr>
          <w:rFonts w:eastAsia="Times New Roman"/>
          <w:b/>
          <w:sz w:val="24"/>
          <w:szCs w:val="24"/>
        </w:rPr>
        <w:t>Zueger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r w:rsidRPr="00231BC4">
        <w:rPr>
          <w:rFonts w:eastAsia="Times New Roman"/>
          <w:b/>
          <w:sz w:val="24"/>
          <w:szCs w:val="24"/>
        </w:rPr>
        <w:t>Keohane</w:t>
      </w:r>
      <w:r w:rsidRPr="00231BC4">
        <w:rPr>
          <w:rFonts w:eastAsia="Times New Roman"/>
          <w:sz w:val="24"/>
          <w:szCs w:val="24"/>
        </w:rPr>
        <w:t xml:space="preserve">, 882 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quod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45ADBBDC"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r w:rsidRPr="00231BC4">
        <w:rPr>
          <w:rFonts w:eastAsia="Times New Roman"/>
          <w:b/>
          <w:sz w:val="24"/>
          <w:szCs w:val="24"/>
        </w:rPr>
        <w:t>Shoen v. Shoen</w:t>
      </w:r>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r w:rsidRPr="00231BC4">
        <w:rPr>
          <w:rFonts w:eastAsia="Times New Roman"/>
          <w:b/>
          <w:sz w:val="24"/>
          <w:szCs w:val="24"/>
        </w:rPr>
        <w:t>Seible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Bowers v. Loveland Publ’g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r w:rsidRPr="00231BC4">
        <w:rPr>
          <w:rFonts w:eastAsia="Times New Roman"/>
          <w:b/>
          <w:sz w:val="24"/>
          <w:szCs w:val="24"/>
        </w:rPr>
        <w:t>Zueger</w:t>
      </w:r>
      <w:r w:rsidRPr="00231BC4">
        <w:rPr>
          <w:rFonts w:eastAsia="Times New Roman"/>
          <w:sz w:val="24"/>
          <w:szCs w:val="24"/>
        </w:rPr>
        <w:t>, 2014 COA 61, ¶ 28 (business dispute between two private parties discussed on Internet)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4. To be slanderous per se the statement must be oral and have imputed to the plaintiff the commission of a crime, the affliction of a loathsome disease, unchastity,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r w:rsidRPr="00231BC4">
        <w:rPr>
          <w:rFonts w:eastAsia="Times New Roman"/>
          <w:b/>
          <w:sz w:val="24"/>
          <w:szCs w:val="24"/>
        </w:rPr>
        <w:t>Cinquanta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r w:rsidRPr="00231BC4">
        <w:rPr>
          <w:rFonts w:eastAsia="Times New Roman"/>
          <w:b/>
          <w:sz w:val="24"/>
          <w:szCs w:val="24"/>
        </w:rPr>
        <w:t>Biggerstaff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Pittman v. Larson Distrib</w:t>
      </w:r>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654DFAF5"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“[i]t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evidence may be used to prove a publication refers to the plaintiff without rendering the statement defamatory per quod</w:t>
      </w:r>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 xml:space="preserve">to require that “[a]lthough </w:t>
      </w:r>
      <w:r w:rsidR="00BB1229" w:rsidRPr="00BB1229">
        <w:rPr>
          <w:rFonts w:eastAsia="Times New Roman"/>
          <w:sz w:val="24"/>
          <w:szCs w:val="24"/>
        </w:rPr>
        <w:t>defamatory meaning must be apparent from the statement itself for a statement to be defamatory per se, whether the statement is directed at the plaintiff can be established by extrinsic proof without rendering the publication defamatory per quod</w:t>
      </w:r>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(KCNC-TV)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r w:rsidRPr="00231BC4">
        <w:rPr>
          <w:rFonts w:eastAsia="Times New Roman"/>
          <w:b/>
          <w:sz w:val="24"/>
          <w:szCs w:val="24"/>
        </w:rPr>
        <w:t>Pietrafeso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The claimed false implication can be argued based on the definition of “false” contained in Instruction 22:13 or Instruction 22:16 on “substantial truth.”</w:t>
      </w:r>
    </w:p>
    <w:p w14:paraId="7FAC7840" w14:textId="7BA1662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Wolston v. Reader’s Digest Ass’n</w:t>
      </w:r>
      <w:r w:rsidRPr="00231BC4">
        <w:rPr>
          <w:rFonts w:eastAsia="Times New Roman"/>
          <w:sz w:val="24"/>
          <w:szCs w:val="24"/>
        </w:rPr>
        <w:t xml:space="preserve">, 443 U.S. 157 (1979); </w:t>
      </w:r>
      <w:r w:rsidRPr="00231BC4">
        <w:rPr>
          <w:rFonts w:eastAsia="Times New Roman"/>
          <w:b/>
          <w:sz w:val="24"/>
          <w:szCs w:val="24"/>
        </w:rPr>
        <w:t>Hutchinson v. Proxmire</w:t>
      </w:r>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Curtis Publ’g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r w:rsidRPr="00231BC4">
        <w:rPr>
          <w:rFonts w:eastAsia="Times New Roman"/>
          <w:b/>
          <w:sz w:val="24"/>
          <w:szCs w:val="24"/>
        </w:rPr>
        <w:t>DiLeo v. Koltnow</w:t>
      </w:r>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Dun &amp; Bradstreet, Inc. v. Greenmoss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Winter Park Real Estate &amp; Invs.,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3" w:name="a22_02"/>
      <w:bookmarkEnd w:id="3"/>
      <w:r w:rsidRPr="00A9205E">
        <w:rPr>
          <w:rFonts w:eastAsia="Times New Roman"/>
          <w:b/>
          <w:sz w:val="24"/>
          <w:szCs w:val="24"/>
        </w:rPr>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(KCNC-TV),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566 cmt. c</w:t>
      </w:r>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Minute" w:val="14"/>
          <w:attr w:name="Hour" w:val="22"/>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Minute" w:val="15"/>
          <w:attr w:name="Hour" w:val="22"/>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4" w:name="a22_03"/>
      <w:bookmarkEnd w:id="4"/>
      <w:r w:rsidRPr="00116A3D">
        <w:rPr>
          <w:rFonts w:eastAsia="Times New Roman"/>
          <w:b/>
          <w:sz w:val="24"/>
          <w:szCs w:val="24"/>
        </w:rPr>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13467949"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Herbert v. Lando</w:t>
      </w:r>
      <w:r w:rsidRPr="00116A3D">
        <w:rPr>
          <w:rFonts w:eastAsia="Times New Roman"/>
          <w:sz w:val="24"/>
          <w:szCs w:val="24"/>
        </w:rPr>
        <w:t xml:space="preserve">, 441 U.S. 153 (1979); </w:t>
      </w:r>
      <w:r w:rsidRPr="00116A3D">
        <w:rPr>
          <w:rFonts w:eastAsia="Times New Roman"/>
          <w:b/>
          <w:sz w:val="24"/>
          <w:szCs w:val="24"/>
        </w:rPr>
        <w:t>Gertz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St. Amant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r w:rsidRPr="00116A3D">
        <w:rPr>
          <w:rFonts w:eastAsia="Times New Roman"/>
          <w:b/>
          <w:sz w:val="24"/>
          <w:szCs w:val="24"/>
        </w:rPr>
        <w:t>Gertz</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St. Amant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r w:rsidRPr="00116A3D">
        <w:rPr>
          <w:rFonts w:eastAsia="Times New Roman"/>
          <w:sz w:val="24"/>
          <w:szCs w:val="24"/>
        </w:rPr>
        <w:t xml:space="preserve">eckless conduct is not measured by whether a reasonably prudent man would have published, or would have investigated before publishing.”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Curtis Publ</w:t>
      </w:r>
      <w:r w:rsidR="00ED3CCD">
        <w:rPr>
          <w:rFonts w:eastAsia="Times New Roman"/>
          <w:b/>
          <w:sz w:val="24"/>
          <w:szCs w:val="24"/>
        </w:rPr>
        <w:t>’</w:t>
      </w:r>
      <w:r w:rsidRPr="00116A3D">
        <w:rPr>
          <w:rFonts w:eastAsia="Times New Roman"/>
          <w:b/>
          <w:sz w:val="24"/>
          <w:szCs w:val="24"/>
        </w:rPr>
        <w:t>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Greenbelt Coop. Publ’g Ass’n v. Bresler</w:t>
      </w:r>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1F8FBCCB"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Air Wis. Airlines Corp. v. Hoeper</w:t>
      </w:r>
      <w:r w:rsidRPr="00116A3D">
        <w:rPr>
          <w:rFonts w:eastAsia="Times New Roman"/>
          <w:sz w:val="24"/>
          <w:szCs w:val="24"/>
        </w:rPr>
        <w:t>, 2012 CO 19 (airline employee’s statements to TSA presented a jury question on the issue of reckless disregard)</w:t>
      </w:r>
      <w:r w:rsidRPr="00116A3D">
        <w:rPr>
          <w:rFonts w:eastAsia="Times New Roman"/>
          <w:i/>
          <w:sz w:val="24"/>
          <w:szCs w:val="24"/>
        </w:rPr>
        <w:t xml:space="preserve"> rev’d</w:t>
      </w:r>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r w:rsidRPr="00116A3D">
        <w:rPr>
          <w:rFonts w:eastAsia="Times New Roman"/>
          <w:b/>
          <w:sz w:val="24"/>
          <w:szCs w:val="24"/>
        </w:rPr>
        <w:t>DiLeo v. Koltnow</w:t>
      </w:r>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Pierce v. St. Vrain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r w:rsidRPr="00116A3D">
        <w:rPr>
          <w:rFonts w:eastAsia="Times New Roman"/>
          <w:i/>
          <w:sz w:val="24"/>
          <w:szCs w:val="24"/>
        </w:rPr>
        <w:t>rev’d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r w:rsidRPr="00116A3D">
        <w:rPr>
          <w:rFonts w:eastAsia="Times New Roman"/>
          <w:b/>
          <w:sz w:val="24"/>
          <w:szCs w:val="24"/>
        </w:rPr>
        <w:t>Seible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Bowers v. Loveland Publ’g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informant or the accuracy of his reports.”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5" w:name="a22_04"/>
      <w:bookmarkEnd w:id="5"/>
      <w:r w:rsidRPr="00116A3D">
        <w:rPr>
          <w:rFonts w:eastAsia="Times New Roman"/>
          <w:b/>
          <w:sz w:val="24"/>
          <w:szCs w:val="24"/>
        </w:rPr>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6" w:name="a22_05"/>
      <w:bookmarkEnd w:id="6"/>
      <w:r w:rsidRPr="0027486C">
        <w:rPr>
          <w:rFonts w:eastAsia="Times New Roman"/>
          <w:b/>
          <w:sz w:val="24"/>
          <w:szCs w:val="24"/>
        </w:rPr>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s), (b)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quod,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7" w:name="a22_06"/>
      <w:bookmarkEnd w:id="7"/>
      <w:r w:rsidRPr="0027486C">
        <w:rPr>
          <w:rFonts w:eastAsia="Times New Roman"/>
          <w:b/>
          <w:sz w:val="24"/>
          <w:szCs w:val="24"/>
        </w:rPr>
        <w:t>22:6</w:t>
      </w:r>
      <w:r w:rsidRPr="0027486C">
        <w:rPr>
          <w:rFonts w:eastAsia="Times New Roman"/>
          <w:b/>
          <w:sz w:val="24"/>
          <w:szCs w:val="24"/>
        </w:rPr>
        <w:tab/>
        <w:t>INCREMENTAL HARM</w:t>
      </w:r>
    </w:p>
    <w:p w14:paraId="59E443C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No instruction provided at this time.</w:t>
      </w:r>
    </w:p>
    <w:p w14:paraId="25091F02" w14:textId="77777777" w:rsidR="0027486C" w:rsidRDefault="0027486C" w:rsidP="0027486C">
      <w:pPr>
        <w:jc w:val="center"/>
        <w:rPr>
          <w:rFonts w:eastAsia="Times New Roman"/>
          <w:sz w:val="24"/>
          <w:szCs w:val="24"/>
        </w:rPr>
      </w:pPr>
    </w:p>
    <w:p w14:paraId="69F750E9" w14:textId="1FBA5C6E"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p>
    <w:p w14:paraId="4FE7FBE5"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An instruction should be given in cases in which the publication containing the statements in issue contains other statements which the jury could reasonably determine to be as harmful as those for which liability has been found.</w:t>
      </w:r>
    </w:p>
    <w:p w14:paraId="43EB80B9" w14:textId="4B789B23" w:rsidR="002E09D5" w:rsidRDefault="0027486C" w:rsidP="0027486C">
      <w:pPr>
        <w:spacing w:after="240"/>
        <w:ind w:firstLine="720"/>
        <w:rPr>
          <w:rFonts w:eastAsia="Times New Roman"/>
          <w:sz w:val="24"/>
          <w:szCs w:val="24"/>
        </w:rPr>
      </w:pPr>
      <w:r w:rsidRPr="0027486C">
        <w:rPr>
          <w:rFonts w:eastAsia="Times New Roman"/>
          <w:sz w:val="24"/>
          <w:szCs w:val="24"/>
        </w:rPr>
        <w:t>2. An instruction should be used in all cases, including those relating to private matters.</w:t>
      </w:r>
    </w:p>
    <w:p w14:paraId="2F113006" w14:textId="242AA0AE" w:rsidR="0027486C" w:rsidRPr="0027486C" w:rsidRDefault="0023190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r>
        <w:rPr>
          <w:rFonts w:eastAsia="Times New Roman"/>
          <w:sz w:val="24"/>
          <w:szCs w:val="24"/>
        </w:rPr>
        <w:t>In</w:t>
      </w:r>
      <w:r w:rsidR="0027486C" w:rsidRPr="0027486C">
        <w:rPr>
          <w:rFonts w:eastAsia="Times New Roman"/>
          <w:sz w:val="24"/>
          <w:szCs w:val="24"/>
        </w:rPr>
        <w:t xml:space="preserve"> </w:t>
      </w:r>
      <w:r w:rsidR="0027486C" w:rsidRPr="0027486C">
        <w:rPr>
          <w:rFonts w:eastAsia="Times New Roman"/>
          <w:b/>
          <w:sz w:val="24"/>
          <w:szCs w:val="24"/>
        </w:rPr>
        <w:t>Tonnessen v. Denver Publ’g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State">
        <w:smartTag w:uri="urn:schemas-microsoft-com:office:smarttags" w:element="plac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1262FF91" w:rsidR="0027486C" w:rsidRPr="0027486C" w:rsidRDefault="002E09D5" w:rsidP="0027486C">
      <w:pPr>
        <w:spacing w:after="240"/>
        <w:ind w:firstLine="720"/>
        <w:rPr>
          <w:rFonts w:eastAsia="Times New Roman"/>
          <w:sz w:val="24"/>
          <w:szCs w:val="24"/>
        </w:rPr>
      </w:pPr>
      <w:r>
        <w:rPr>
          <w:rFonts w:eastAsia="Times New Roman"/>
          <w:sz w:val="24"/>
          <w:szCs w:val="24"/>
        </w:rPr>
        <w:t>4</w:t>
      </w:r>
      <w:r w:rsidR="0027486C" w:rsidRPr="0027486C">
        <w:rPr>
          <w:rFonts w:eastAsia="Times New Roman"/>
          <w:sz w:val="24"/>
          <w:szCs w:val="24"/>
        </w:rPr>
        <w:t xml:space="preserve">. </w:t>
      </w:r>
      <w:r w:rsidR="0027486C" w:rsidRPr="0027486C">
        <w:rPr>
          <w:rFonts w:eastAsia="Times New Roman"/>
          <w:b/>
          <w:sz w:val="24"/>
          <w:szCs w:val="24"/>
        </w:rPr>
        <w:t xml:space="preserve">Tonnessen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quod. The </w:t>
      </w:r>
      <w:r w:rsidR="0027486C" w:rsidRPr="0027486C">
        <w:rPr>
          <w:rFonts w:eastAsia="Times New Roman"/>
          <w:b/>
          <w:sz w:val="24"/>
          <w:szCs w:val="24"/>
        </w:rPr>
        <w:t xml:space="preserve">Tonnessen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8" w:name="a22_07"/>
      <w:bookmarkEnd w:id="8"/>
      <w:r w:rsidRPr="00D66858">
        <w:rPr>
          <w:rFonts w:eastAsia="Times New Roman"/>
          <w:b/>
          <w:sz w:val="24"/>
          <w:szCs w:val="24"/>
        </w:rPr>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9" w:name="a22_08"/>
      <w:bookmarkEnd w:id="9"/>
      <w:r w:rsidRPr="00D66858">
        <w:rPr>
          <w:rFonts w:eastAsia="Times New Roman"/>
          <w:b/>
          <w:sz w:val="24"/>
          <w:szCs w:val="24"/>
        </w:rPr>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r w:rsidR="0023190E" w:rsidRPr="00D66858">
        <w:rPr>
          <w:rFonts w:eastAsia="Times New Roman"/>
          <w:b/>
          <w:sz w:val="24"/>
          <w:szCs w:val="24"/>
        </w:rPr>
        <w:t>Tonnessen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publican Publ’g Co. v. Mosman</w:t>
      </w:r>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r w:rsidRPr="00D66858">
        <w:rPr>
          <w:rFonts w:eastAsia="Times New Roman"/>
          <w:b/>
          <w:sz w:val="24"/>
          <w:szCs w:val="24"/>
        </w:rPr>
        <w:t>Cinquanta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Cervi</w:t>
      </w:r>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filed); </w:t>
      </w:r>
      <w:r w:rsidRPr="00D66858">
        <w:rPr>
          <w:rFonts w:eastAsia="Times New Roman"/>
          <w:b/>
          <w:sz w:val="24"/>
          <w:szCs w:val="24"/>
        </w:rPr>
        <w:t>Tonnessen</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10" w:name="a22_09"/>
      <w:bookmarkEnd w:id="10"/>
      <w:r w:rsidRPr="00F82676">
        <w:rPr>
          <w:rFonts w:eastAsia="Times New Roman"/>
          <w:b/>
          <w:sz w:val="24"/>
          <w:szCs w:val="24"/>
        </w:rPr>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r quod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1" w:name="a22_10"/>
      <w:bookmarkEnd w:id="11"/>
      <w:r w:rsidRPr="008F19CE">
        <w:rPr>
          <w:rFonts w:eastAsia="Times New Roman"/>
          <w:b/>
          <w:sz w:val="24"/>
          <w:szCs w:val="24"/>
        </w:rPr>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EC0770C"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in conjunction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Wehrle</w:t>
      </w:r>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y v. Post Printing &amp; Publ’g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ws Printing Co. v. Fridborn</w:t>
      </w:r>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nondefamatory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2" w:name="a22_11"/>
      <w:bookmarkEnd w:id="12"/>
      <w:r w:rsidRPr="008F19CE">
        <w:rPr>
          <w:rFonts w:eastAsia="Times New Roman"/>
          <w:b/>
          <w:sz w:val="24"/>
          <w:szCs w:val="24"/>
        </w:rPr>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State">
        <w:smartTag w:uri="urn:schemas-microsoft-com:office:smarttags" w:element="plac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City">
        <w:smartTag w:uri="urn:schemas-microsoft-com:office:smarttags" w:element="place">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r w:rsidR="008F19CE" w:rsidRPr="008F19CE">
        <w:rPr>
          <w:rFonts w:eastAsia="Times New Roman"/>
          <w:b/>
          <w:sz w:val="24"/>
          <w:szCs w:val="24"/>
        </w:rPr>
        <w:t>Tonnessen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 Publ’g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3" w:name="a22_12"/>
      <w:bookmarkEnd w:id="13"/>
      <w:r w:rsidRPr="008F19CE">
        <w:rPr>
          <w:rFonts w:eastAsia="Times New Roman"/>
          <w:b/>
          <w:sz w:val="24"/>
          <w:szCs w:val="24"/>
        </w:rPr>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r w:rsidRPr="008F19CE">
        <w:rPr>
          <w:rFonts w:eastAsia="Times New Roman"/>
          <w:b/>
          <w:sz w:val="24"/>
          <w:szCs w:val="24"/>
        </w:rPr>
        <w:t>Cinquanta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r w:rsidRPr="008F19CE">
        <w:rPr>
          <w:rFonts w:eastAsia="Times New Roman"/>
          <w:b/>
          <w:sz w:val="24"/>
          <w:szCs w:val="24"/>
        </w:rPr>
        <w:t>Seefried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cmt.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4" w:name="a22_13"/>
      <w:bookmarkEnd w:id="14"/>
      <w:r w:rsidRPr="008F19CE">
        <w:rPr>
          <w:rFonts w:eastAsia="Times New Roman"/>
          <w:b/>
          <w:sz w:val="24"/>
          <w:szCs w:val="24"/>
        </w:rPr>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Phila. Newspapers, Inc. v. Hepps</w:t>
      </w:r>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77777777"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in conjunction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Vrain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4. When the plaintiff is a public official or public figure, or is a private person and the statement relates to a matter of public concern, the plaintiff’s burden of proving falsity is required by the First Amendment.</w:t>
      </w:r>
      <w:r w:rsidR="004F1AD8">
        <w:rPr>
          <w:rFonts w:eastAsia="Times New Roman"/>
          <w:sz w:val="24"/>
          <w:szCs w:val="24"/>
        </w:rPr>
        <w:t xml:space="preserve"> </w:t>
      </w:r>
      <w:r w:rsidR="007D22FB">
        <w:rPr>
          <w:rFonts w:eastAsia="Times New Roman"/>
          <w:b/>
          <w:sz w:val="24"/>
          <w:szCs w:val="24"/>
        </w:rPr>
        <w:t>Hepps</w:t>
      </w:r>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r w:rsidRPr="008F19CE">
        <w:rPr>
          <w:rFonts w:eastAsia="Times New Roman"/>
          <w:b/>
          <w:sz w:val="24"/>
          <w:szCs w:val="24"/>
        </w:rPr>
        <w:t>Shoen v. Shoen</w:t>
      </w:r>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5" w:name="a22_14"/>
      <w:bookmarkEnd w:id="15"/>
      <w:r w:rsidRPr="001303C5">
        <w:rPr>
          <w:rFonts w:eastAsia="Times New Roman"/>
          <w:b/>
          <w:sz w:val="24"/>
          <w:szCs w:val="24"/>
        </w:rPr>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r w:rsidRPr="001303C5">
        <w:rPr>
          <w:rFonts w:eastAsia="Times New Roman"/>
          <w:b/>
          <w:sz w:val="24"/>
          <w:szCs w:val="24"/>
        </w:rPr>
        <w:t>Teilhaber Mfg. Co. v. Unarco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quod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6" w:name="a22_15"/>
      <w:bookmarkEnd w:id="16"/>
      <w:r w:rsidRPr="0099627C">
        <w:rPr>
          <w:rFonts w:eastAsia="Times New Roman"/>
          <w:b/>
          <w:sz w:val="24"/>
          <w:szCs w:val="24"/>
        </w:rPr>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r w:rsidRPr="0099627C">
        <w:rPr>
          <w:rFonts w:eastAsia="Times New Roman"/>
          <w:b/>
          <w:sz w:val="24"/>
          <w:szCs w:val="24"/>
        </w:rPr>
        <w:t>Gertz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7" w:name="a22_16"/>
      <w:bookmarkEnd w:id="17"/>
      <w:r w:rsidRPr="0099627C">
        <w:rPr>
          <w:rFonts w:eastAsia="Times New Roman"/>
          <w:b/>
          <w:sz w:val="24"/>
          <w:szCs w:val="24"/>
        </w:rPr>
        <w:t xml:space="preserve">22:16 </w:t>
      </w:r>
      <w:r w:rsidRPr="0099627C">
        <w:rPr>
          <w:rFonts w:eastAsia="Times New Roman"/>
          <w:b/>
          <w:sz w:val="24"/>
          <w:szCs w:val="24"/>
        </w:rPr>
        <w:tab/>
        <w:t>AFFIRMATIVE DEFENSE — SUBSTANTIAL TRUTH</w:t>
      </w:r>
    </w:p>
    <w:p w14:paraId="0B464F1A"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455FCB82"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Gateway W</w:t>
      </w:r>
      <w:r w:rsidR="00AF7D1D">
        <w:rPr>
          <w:rFonts w:eastAsia="Times New Roman"/>
          <w:b/>
          <w:sz w:val="24"/>
          <w:szCs w:val="24"/>
        </w:rPr>
        <w:t>.</w:t>
      </w:r>
      <w:r w:rsidRPr="0099627C">
        <w:rPr>
          <w:rFonts w:eastAsia="Times New Roman"/>
          <w:b/>
          <w:sz w:val="24"/>
          <w:szCs w:val="24"/>
        </w:rPr>
        <w:t xml:space="preserve">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070F2334"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7830FD79"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r w:rsidRPr="0099627C">
        <w:rPr>
          <w:rFonts w:eastAsia="Times New Roman"/>
          <w:b/>
          <w:sz w:val="24"/>
          <w:szCs w:val="24"/>
        </w:rPr>
        <w:t>Churchey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r w:rsidRPr="0099627C">
        <w:rPr>
          <w:rFonts w:eastAsia="Times New Roman"/>
          <w:b/>
          <w:sz w:val="24"/>
          <w:szCs w:val="24"/>
        </w:rPr>
        <w:t>Gomba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A30E87" w:rsidRPr="000C0D29">
        <w:rPr>
          <w:rFonts w:eastAsia="Times New Roman"/>
          <w:b/>
          <w:sz w:val="24"/>
          <w:szCs w:val="24"/>
        </w:rPr>
        <w:t>SG Interests I</w:t>
      </w:r>
      <w:r w:rsidR="00A30E87">
        <w:rPr>
          <w:rFonts w:eastAsia="Times New Roman"/>
          <w:b/>
          <w:sz w:val="24"/>
          <w:szCs w:val="24"/>
        </w:rPr>
        <w:t>, Ltd.</w:t>
      </w:r>
      <w:r w:rsidR="00A30E87" w:rsidRPr="000C0D29">
        <w:rPr>
          <w:rFonts w:eastAsia="Times New Roman"/>
          <w:b/>
          <w:sz w:val="24"/>
          <w:szCs w:val="24"/>
        </w:rPr>
        <w:t xml:space="preserve"> v. Kolbenschlag</w:t>
      </w:r>
      <w:r w:rsidR="00A30E87" w:rsidRPr="00CE093E">
        <w:rPr>
          <w:rFonts w:eastAsia="Times New Roman"/>
          <w:sz w:val="24"/>
          <w:szCs w:val="24"/>
        </w:rPr>
        <w:t>, 2019 COA 115</w:t>
      </w:r>
      <w:r w:rsidR="00A30E87">
        <w:rPr>
          <w:rFonts w:eastAsia="Times New Roman"/>
          <w:sz w:val="24"/>
          <w:szCs w:val="24"/>
        </w:rPr>
        <w:t>,</w:t>
      </w:r>
      <w:r w:rsidR="00A30E87" w:rsidRPr="0099627C">
        <w:rPr>
          <w:rFonts w:eastAsia="Times New Roman"/>
          <w:sz w:val="24"/>
          <w:szCs w:val="24"/>
        </w:rPr>
        <w:t xml:space="preserve"> </w:t>
      </w:r>
      <w:r w:rsidR="00A30E87">
        <w:rPr>
          <w:rFonts w:eastAsia="Times New Roman"/>
          <w:sz w:val="24"/>
          <w:szCs w:val="24"/>
        </w:rPr>
        <w:t>¶¶ 21-22</w:t>
      </w:r>
      <w:r w:rsidR="00785B7B">
        <w:rPr>
          <w:rFonts w:eastAsia="Times New Roman"/>
          <w:sz w:val="24"/>
          <w:szCs w:val="24"/>
        </w:rPr>
        <w:t>, 452 P.3d 1, 6</w:t>
      </w:r>
      <w:r w:rsidR="00A30E87">
        <w:rPr>
          <w:rFonts w:eastAsia="Times New Roman"/>
          <w:sz w:val="24"/>
          <w:szCs w:val="24"/>
        </w:rPr>
        <w:t xml:space="preserve"> (“[T]</w:t>
      </w:r>
      <w:r w:rsidR="00A30E87" w:rsidRPr="00CE093E">
        <w:rPr>
          <w:rFonts w:eastAsia="Times New Roman"/>
          <w:sz w:val="24"/>
          <w:szCs w:val="24"/>
        </w:rPr>
        <w:t>he alleged misstatement must be likely to ca</w:t>
      </w:r>
      <w:r w:rsidR="00A30E87">
        <w:rPr>
          <w:rFonts w:eastAsia="Times New Roman"/>
          <w:sz w:val="24"/>
          <w:szCs w:val="24"/>
        </w:rPr>
        <w:t>use reasonable people to think ‘significantly less favorably’</w:t>
      </w:r>
      <w:r w:rsidR="00A30E87" w:rsidRPr="00CE093E">
        <w:rPr>
          <w:rFonts w:eastAsia="Times New Roman"/>
          <w:sz w:val="24"/>
          <w:szCs w:val="24"/>
        </w:rPr>
        <w:t xml:space="preserve"> about the plaintiff than they would if they knew the truth; a misstatement is not actionable if the co</w:t>
      </w:r>
      <w:r w:rsidR="00A30E87">
        <w:rPr>
          <w:rFonts w:eastAsia="Times New Roman"/>
          <w:sz w:val="24"/>
          <w:szCs w:val="24"/>
        </w:rPr>
        <w:t>mparative harm to the plaintiff’</w:t>
      </w:r>
      <w:r w:rsidR="00A30E87" w:rsidRPr="00CE093E">
        <w:rPr>
          <w:rFonts w:eastAsia="Times New Roman"/>
          <w:sz w:val="24"/>
          <w:szCs w:val="24"/>
        </w:rPr>
        <w:t>s repu</w:t>
      </w:r>
      <w:r w:rsidR="00A30E87">
        <w:rPr>
          <w:rFonts w:eastAsia="Times New Roman"/>
          <w:sz w:val="24"/>
          <w:szCs w:val="24"/>
        </w:rPr>
        <w:t>tation is real but only modest.” (citation omitted)</w:t>
      </w:r>
      <w:r w:rsidR="007534BD">
        <w:rPr>
          <w:rFonts w:eastAsia="Times New Roman"/>
          <w:sz w:val="24"/>
          <w:szCs w:val="24"/>
        </w:rPr>
        <w:t>)</w:t>
      </w:r>
      <w:r w:rsidR="00A30E87">
        <w:rPr>
          <w:rFonts w:eastAsia="Times New Roman"/>
          <w:sz w:val="24"/>
          <w:szCs w:val="24"/>
        </w:rPr>
        <w:t xml:space="preserve">;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r Publ’g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Pierce v. St. Vrain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r w:rsidRPr="0099627C">
        <w:rPr>
          <w:rFonts w:eastAsia="Times New Roman"/>
          <w:b/>
          <w:sz w:val="24"/>
          <w:szCs w:val="24"/>
        </w:rPr>
        <w:t>Lindemuth v. 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 Cnty.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Pittman v. Larson Distrib.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8" w:name="a22_17"/>
      <w:bookmarkEnd w:id="18"/>
      <w:r w:rsidRPr="0099627C">
        <w:rPr>
          <w:rFonts w:eastAsia="Times New Roman"/>
          <w:b/>
          <w:sz w:val="24"/>
          <w:szCs w:val="24"/>
        </w:rPr>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006BE25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4140472B" w:rsidR="0099627C" w:rsidRPr="0099627C" w:rsidRDefault="0099627C" w:rsidP="0099627C">
      <w:pPr>
        <w:spacing w:after="240"/>
        <w:ind w:firstLine="720"/>
        <w:rPr>
          <w:rFonts w:eastAsia="Times New Roman"/>
          <w:sz w:val="24"/>
          <w:szCs w:val="24"/>
        </w:rPr>
      </w:pPr>
      <w:r w:rsidRPr="0099627C">
        <w:rPr>
          <w:rFonts w:eastAsia="Times New Roman"/>
          <w:sz w:val="24"/>
          <w:szCs w:val="24"/>
        </w:rPr>
        <w:t>2. Certain classes of persons, by virtue of their position or status, are absolutely privileged to publish defamatory matter and are not liable even if the statements are false or defamatory.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Restatement (Second) of Torts</w:t>
      </w:r>
      <w:r w:rsidRPr="0099627C">
        <w:rPr>
          <w:rFonts w:eastAsia="Times New Roman"/>
          <w:sz w:val="24"/>
          <w:szCs w:val="24"/>
        </w:rPr>
        <w:t xml:space="preserve"> §§ 585-592A (1977)</w:t>
      </w:r>
      <w:r w:rsidR="00FC5111">
        <w:rPr>
          <w:rFonts w:eastAsia="Times New Roman"/>
          <w:sz w:val="24"/>
          <w:szCs w:val="24"/>
        </w:rPr>
        <w:t>;</w:t>
      </w:r>
      <w:r w:rsidRPr="0099627C">
        <w:rPr>
          <w:rFonts w:eastAsia="Times New Roman"/>
          <w:sz w:val="24"/>
          <w:szCs w:val="24"/>
        </w:rPr>
        <w:t xml:space="preserve"> </w:t>
      </w:r>
      <w:r w:rsidR="00FC5111">
        <w:rPr>
          <w:rFonts w:eastAsia="Times New Roman"/>
          <w:i/>
          <w:sz w:val="24"/>
          <w:szCs w:val="24"/>
        </w:rPr>
        <w:t>s</w:t>
      </w:r>
      <w:r w:rsidRPr="0099627C">
        <w:rPr>
          <w:rFonts w:eastAsia="Times New Roman"/>
          <w:i/>
          <w:sz w:val="24"/>
          <w:szCs w:val="24"/>
        </w:rPr>
        <w:t>ee</w:t>
      </w:r>
      <w:r w:rsidRPr="0099627C">
        <w:rPr>
          <w:rFonts w:eastAsia="Times New Roman"/>
          <w:sz w:val="24"/>
          <w:szCs w:val="24"/>
        </w:rPr>
        <w:t xml:space="preserve"> </w:t>
      </w:r>
      <w:r w:rsidRPr="0099627C">
        <w:rPr>
          <w:rFonts w:eastAsia="Times New Roman"/>
          <w:b/>
          <w:sz w:val="24"/>
          <w:szCs w:val="24"/>
        </w:rPr>
        <w:t xml:space="preserve">Hoffler v. </w:t>
      </w:r>
      <w:smartTag w:uri="urn:schemas-microsoft-com:office:smarttags" w:element="State">
        <w:smartTag w:uri="urn:schemas-microsoft-com:office:smarttags" w:element="place">
          <w:r w:rsidRPr="0099627C">
            <w:rPr>
              <w:rFonts w:eastAsia="Times New Roman"/>
              <w:b/>
              <w:sz w:val="24"/>
              <w:szCs w:val="24"/>
            </w:rPr>
            <w:t>Colo.</w:t>
          </w:r>
        </w:smartTag>
      </w:smartTag>
      <w:r w:rsidRPr="0099627C">
        <w:rPr>
          <w:rFonts w:eastAsia="Times New Roman"/>
          <w:b/>
          <w:sz w:val="24"/>
          <w:szCs w:val="24"/>
        </w:rPr>
        <w:t xml:space="preserve"> Dep’t of Corr.</w:t>
      </w:r>
      <w:r w:rsidRPr="0099627C">
        <w:rPr>
          <w:rFonts w:eastAsia="Times New Roman"/>
          <w:sz w:val="24"/>
          <w:szCs w:val="24"/>
        </w:rPr>
        <w:t>, 27 P.3d 371 (Colo. 2001)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w:t>
      </w:r>
      <w:smartTag w:uri="urn:schemas-microsoft-com:office:smarttags" w:element="PersonName">
        <w:r w:rsidRPr="0099627C">
          <w:rPr>
            <w:rFonts w:eastAsia="Times New Roman"/>
            <w:sz w:val="24"/>
            <w:szCs w:val="24"/>
          </w:rPr>
          <w:t>e</w:t>
        </w:r>
      </w:smartTag>
      <w:r w:rsidRPr="0099627C">
        <w:rPr>
          <w:rFonts w:eastAsia="Times New Roman"/>
          <w:sz w:val="24"/>
          <w:szCs w:val="24"/>
        </w:rPr>
        <w:t>d common-law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conflicting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during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stigation of sup</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rvisor);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 Ass’n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r w:rsidRPr="0099627C">
        <w:rPr>
          <w:rFonts w:eastAsia="Times New Roman"/>
          <w:b/>
          <w:sz w:val="24"/>
          <w:szCs w:val="24"/>
        </w:rPr>
        <w:t>Dep’t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001763B1">
        <w:rPr>
          <w:rFonts w:eastAsia="Times New Roman"/>
          <w:sz w:val="24"/>
          <w:szCs w:val="24"/>
        </w:rPr>
        <w:t xml:space="preserve"> </w:t>
      </w:r>
      <w:r w:rsidRPr="0099627C">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9627C">
        <w:rPr>
          <w:rFonts w:eastAsia="Times New Roman"/>
          <w:b/>
          <w:sz w:val="24"/>
          <w:szCs w:val="24"/>
        </w:rPr>
        <w:t>Dorr v. C.B.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(statements concerning employee in </w:t>
      </w:r>
      <w:r w:rsidR="00473E69">
        <w:rPr>
          <w:rFonts w:eastAsia="Times New Roman"/>
          <w:sz w:val="24"/>
          <w:szCs w:val="24"/>
        </w:rPr>
        <w:t xml:space="preserve">required </w:t>
      </w:r>
      <w:r w:rsidRPr="0099627C">
        <w:rPr>
          <w:rFonts w:eastAsia="Times New Roman"/>
          <w:sz w:val="24"/>
          <w:szCs w:val="24"/>
        </w:rPr>
        <w:t xml:space="preserve">state agency </w:t>
      </w:r>
      <w:r w:rsidR="00473E69">
        <w:rPr>
          <w:rFonts w:eastAsia="Times New Roman"/>
          <w:sz w:val="24"/>
          <w:szCs w:val="24"/>
        </w:rPr>
        <w:t xml:space="preserve">report </w:t>
      </w:r>
      <w:r w:rsidRPr="0099627C">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9" w:name="a22_18"/>
      <w:bookmarkEnd w:id="19"/>
      <w:r w:rsidRPr="0099627C">
        <w:rPr>
          <w:rFonts w:eastAsia="Times New Roman"/>
          <w:b/>
          <w:sz w:val="24"/>
          <w:szCs w:val="24"/>
        </w:rPr>
        <w:t xml:space="preserve">22:18 </w:t>
      </w:r>
      <w:r w:rsidRPr="0099627C">
        <w:rPr>
          <w:rFonts w:eastAsia="Times New Roman"/>
          <w:b/>
          <w:sz w:val="24"/>
          <w:szCs w:val="24"/>
        </w:rPr>
        <w:tab/>
        <w:t>AFFIRMATIVE DEFENSE — QUALIFIED PRIVILEGE — WHEN LOST</w:t>
      </w:r>
    </w:p>
    <w:p w14:paraId="586AB2E8"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14:paraId="20DFE76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14:paraId="48BD1430"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14:paraId="18BC5101"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14:paraId="0B7C457E"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14:paraId="3982BA1B"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Ling v. Whittemore</w:t>
      </w:r>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r w:rsidRPr="0099627C">
        <w:rPr>
          <w:rFonts w:eastAsia="Times New Roman"/>
          <w:b/>
          <w:sz w:val="24"/>
          <w:szCs w:val="24"/>
        </w:rPr>
        <w:t>Churchey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r w:rsidRPr="0099627C">
        <w:rPr>
          <w:rFonts w:eastAsia="Times New Roman"/>
          <w:b/>
          <w:sz w:val="24"/>
          <w:szCs w:val="24"/>
        </w:rPr>
        <w:t>Patane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r w:rsidRPr="00293941">
        <w:rPr>
          <w:rFonts w:eastAsia="Times New Roman"/>
          <w:b/>
          <w:sz w:val="24"/>
          <w:szCs w:val="24"/>
        </w:rPr>
        <w:t>Churchey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Whittemore</w:t>
      </w:r>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in 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Distrib.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r w:rsidRPr="00293941">
        <w:rPr>
          <w:rFonts w:eastAsia="Times New Roman"/>
          <w:b/>
          <w:sz w:val="24"/>
          <w:szCs w:val="24"/>
        </w:rPr>
        <w:t>Patane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MacLarty v. Whiteford</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r w:rsidRPr="00293941">
        <w:rPr>
          <w:rFonts w:eastAsia="Times New Roman"/>
          <w:b/>
          <w:sz w:val="24"/>
          <w:szCs w:val="24"/>
        </w:rPr>
        <w:t>Schwankl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20" w:name="a22_19"/>
      <w:bookmarkEnd w:id="20"/>
      <w:r w:rsidRPr="00293941">
        <w:rPr>
          <w:rFonts w:eastAsia="Times New Roman"/>
          <w:b/>
          <w:sz w:val="24"/>
          <w:szCs w:val="24"/>
        </w:rPr>
        <w:t xml:space="preserve">22:19 </w:t>
      </w:r>
      <w:r w:rsidRPr="00293941">
        <w:rPr>
          <w:rFonts w:eastAsia="Times New Roman"/>
          <w:b/>
          <w:sz w:val="24"/>
          <w:szCs w:val="24"/>
        </w:rPr>
        <w:tab/>
        <w:t>AFFIRMATIVE DEFENSE — PRIVILEGE TO REPORT OFFICIAL OR PUBLIC MEETING PROCEEDINGS</w:t>
      </w:r>
    </w:p>
    <w:p w14:paraId="0FFBB0FC"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r w:rsidRPr="00293941">
        <w:rPr>
          <w:rFonts w:eastAsia="Times New Roman"/>
          <w:b/>
          <w:sz w:val="24"/>
          <w:szCs w:val="24"/>
        </w:rPr>
        <w:t>Tonnesson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State">
        <w:smartTag w:uri="urn:schemas-microsoft-com:office:smarttags" w:element="plac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1" w:name="a22_20"/>
      <w:bookmarkEnd w:id="21"/>
      <w:r w:rsidRPr="00293941">
        <w:rPr>
          <w:rFonts w:eastAsia="Times New Roman"/>
          <w:b/>
          <w:sz w:val="24"/>
          <w:szCs w:val="24"/>
        </w:rPr>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Minute" w:val="19"/>
          <w:attr w:name="Hour" w:val="22"/>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U.S.C.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U.S.C.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2" w:name="a22_21"/>
      <w:bookmarkEnd w:id="22"/>
      <w:smartTag w:uri="urn:schemas-microsoft-com:office:smarttags" w:element="time">
        <w:smartTagPr>
          <w:attr w:name="Minute" w:val="21"/>
          <w:attr w:name="Hour" w:val="22"/>
        </w:smartTagPr>
        <w:r w:rsidRPr="00EC29A6">
          <w:rPr>
            <w:rFonts w:eastAsia="Times New Roman"/>
            <w:b/>
            <w:sz w:val="24"/>
            <w:szCs w:val="24"/>
          </w:rPr>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r w:rsidRPr="004F385D">
        <w:rPr>
          <w:rFonts w:eastAsia="Times New Roman"/>
          <w:b/>
          <w:sz w:val="24"/>
          <w:szCs w:val="24"/>
        </w:rPr>
        <w:t>Keohane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3" w:name="a22_22"/>
      <w:bookmarkEnd w:id="23"/>
      <w:r w:rsidRPr="009C03DD">
        <w:rPr>
          <w:rFonts w:eastAsia="Times New Roman"/>
          <w:b/>
          <w:sz w:val="24"/>
          <w:szCs w:val="24"/>
        </w:rPr>
        <w:t xml:space="preserve">22:22 </w:t>
      </w:r>
      <w:r w:rsidRPr="009C03DD">
        <w:rPr>
          <w:rFonts w:eastAsia="Times New Roman"/>
          <w:b/>
          <w:sz w:val="24"/>
          <w:szCs w:val="24"/>
        </w:rPr>
        <w:tab/>
        <w:t>AFFIRMATIVE DEFENSE — CONSENT</w:t>
      </w:r>
    </w:p>
    <w:p w14:paraId="3C2F32F2"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cmts.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“[c]onsent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r w:rsidR="00C245A7" w:rsidRPr="009C03DD">
        <w:rPr>
          <w:rFonts w:eastAsia="Times New Roman"/>
          <w:sz w:val="24"/>
          <w:szCs w:val="24"/>
        </w:rPr>
        <w:t>cmt.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cmt.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4" w:name="a22_23"/>
      <w:bookmarkEnd w:id="24"/>
      <w:r w:rsidRPr="009C03DD">
        <w:rPr>
          <w:rFonts w:eastAsia="Times New Roman"/>
          <w:b/>
          <w:sz w:val="24"/>
          <w:szCs w:val="24"/>
        </w:rPr>
        <w:t xml:space="preserve">22:23 </w:t>
      </w:r>
      <w:r w:rsidRPr="009C03DD">
        <w:rPr>
          <w:rFonts w:eastAsia="Times New Roman"/>
          <w:b/>
          <w:sz w:val="24"/>
          <w:szCs w:val="24"/>
        </w:rPr>
        <w:tab/>
        <w:t>AFFIRMATIVE DEFENSE — STATUTE OF LIMITATIONS</w:t>
      </w:r>
    </w:p>
    <w:p w14:paraId="52DCE22E"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14:paraId="7EDDE4E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Cade v. Regensberger</w:t>
      </w:r>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5" w:name="a22_24"/>
      <w:bookmarkEnd w:id="25"/>
      <w:r w:rsidRPr="009D035C">
        <w:rPr>
          <w:rFonts w:eastAsia="Times New Roman"/>
          <w:b/>
          <w:sz w:val="24"/>
          <w:szCs w:val="24"/>
        </w:rPr>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d. Similarly, the same should be done if the action is a libel or slander per quod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6" w:name="a22_25"/>
      <w:bookmarkEnd w:id="26"/>
      <w:r w:rsidRPr="009D035C">
        <w:rPr>
          <w:rFonts w:eastAsia="Times New Roman"/>
          <w:b/>
          <w:sz w:val="24"/>
          <w:szCs w:val="24"/>
        </w:rPr>
        <w:t xml:space="preserve">22:25 </w:t>
      </w:r>
      <w:r w:rsidRPr="009D035C">
        <w:rPr>
          <w:rFonts w:eastAsia="Times New Roman"/>
          <w:b/>
          <w:sz w:val="24"/>
          <w:szCs w:val="24"/>
        </w:rPr>
        <w:tab/>
        <w:t>DAMAGES — RECOVERY OF</w:t>
      </w:r>
    </w:p>
    <w:p w14:paraId="5330D93A"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r w:rsidRPr="009D035C">
        <w:rPr>
          <w:rFonts w:eastAsia="Times New Roman"/>
          <w:b/>
          <w:sz w:val="24"/>
          <w:szCs w:val="24"/>
        </w:rPr>
        <w:t>Rodrigue v. Hausman</w:t>
      </w:r>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r w:rsidRPr="009D035C">
        <w:rPr>
          <w:rFonts w:eastAsia="Times New Roman"/>
          <w:b/>
          <w:sz w:val="24"/>
          <w:szCs w:val="24"/>
        </w:rPr>
        <w:t>Tonnesson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2730D60A"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r w:rsidR="00C32B17" w:rsidRPr="00C32B17">
        <w:rPr>
          <w:rFonts w:eastAsia="Times New Roman"/>
          <w:b/>
          <w:sz w:val="24"/>
          <w:szCs w:val="24"/>
        </w:rPr>
        <w:t>Keohane v. Stewart</w:t>
      </w:r>
      <w:r w:rsidR="00C32B17">
        <w:rPr>
          <w:rFonts w:eastAsia="Times New Roman"/>
          <w:sz w:val="24"/>
          <w:szCs w:val="24"/>
        </w:rPr>
        <w:t>, 882 P.2d 1293 (Colo. 1994)</w:t>
      </w:r>
      <w:r w:rsidR="00CA356B">
        <w:rPr>
          <w:rFonts w:eastAsia="Times New Roman"/>
          <w:sz w:val="24"/>
          <w:szCs w:val="24"/>
        </w:rPr>
        <w:t>.</w:t>
      </w:r>
      <w:r w:rsidR="00C32B17">
        <w:rPr>
          <w:rFonts w:eastAsia="Times New Roman"/>
          <w:sz w:val="24"/>
          <w:szCs w:val="24"/>
        </w:rPr>
        <w:t xml:space="preserve">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Republican Publ’g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Republican Publ’g Co. v. Mosman</w:t>
      </w:r>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7" w:name="a22_26"/>
      <w:bookmarkEnd w:id="27"/>
      <w:r w:rsidRPr="00143A15">
        <w:rPr>
          <w:rFonts w:eastAsia="Times New Roman"/>
          <w:b/>
          <w:sz w:val="24"/>
          <w:szCs w:val="24"/>
        </w:rPr>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C.R.C.P.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r w:rsidRPr="00143A15">
        <w:rPr>
          <w:rFonts w:eastAsia="Times New Roman"/>
          <w:b/>
          <w:sz w:val="24"/>
          <w:szCs w:val="24"/>
        </w:rPr>
        <w:t>Gomba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ws Printing Co. v. Fridborn</w:t>
      </w:r>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g Co. v. Mosman</w:t>
      </w:r>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8" w:name="a22_27"/>
      <w:bookmarkEnd w:id="28"/>
      <w:r w:rsidRPr="00143A15">
        <w:rPr>
          <w:rFonts w:eastAsia="Times New Roman"/>
          <w:b/>
          <w:sz w:val="24"/>
          <w:szCs w:val="24"/>
        </w:rPr>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Cantrell v. Forest City Publ’g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“[s]tat</w:t>
      </w:r>
      <w:smartTag w:uri="urn:schemas-microsoft-com:office:smarttags" w:element="PersonName">
        <w:r w:rsidRPr="00143A15">
          <w:rPr>
            <w:rFonts w:eastAsia="Times New Roman"/>
            <w:sz w:val="24"/>
            <w:szCs w:val="24"/>
          </w:rPr>
          <w:t>e</w:t>
        </w:r>
      </w:smartTag>
      <w:r w:rsidRPr="00143A15">
        <w:rPr>
          <w:rFonts w:eastAsia="Times New Roman"/>
          <w:sz w:val="24"/>
          <w:szCs w:val="24"/>
        </w:rPr>
        <w:t>s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Gertz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Martin v. Weld Cty</w:t>
      </w:r>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4FD1" w14:textId="77777777" w:rsidR="003B3349" w:rsidRDefault="003B3349" w:rsidP="0054263B">
      <w:r>
        <w:separator/>
      </w:r>
    </w:p>
    <w:p w14:paraId="4814D03B" w14:textId="77777777" w:rsidR="003B3349" w:rsidRDefault="003B3349"/>
  </w:endnote>
  <w:endnote w:type="continuationSeparator" w:id="0">
    <w:p w14:paraId="4D8DE9FA" w14:textId="77777777" w:rsidR="003B3349" w:rsidRDefault="003B3349" w:rsidP="0054263B">
      <w:r>
        <w:continuationSeparator/>
      </w:r>
    </w:p>
    <w:p w14:paraId="5855EE17" w14:textId="77777777" w:rsidR="003B3349" w:rsidRDefault="003B3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336DA50" w14:textId="77777777" w:rsidR="006A001B" w:rsidRDefault="006A001B">
        <w:pPr>
          <w:pStyle w:val="Footer"/>
          <w:jc w:val="center"/>
        </w:pPr>
        <w:r>
          <w:fldChar w:fldCharType="begin"/>
        </w:r>
        <w:r>
          <w:instrText xml:space="preserve"> PAGE   \* MERGEFORMAT </w:instrText>
        </w:r>
        <w:r>
          <w:fldChar w:fldCharType="separate"/>
        </w:r>
        <w:r w:rsidR="004549E5">
          <w:rPr>
            <w:noProof/>
          </w:rPr>
          <w:t>5</w:t>
        </w:r>
        <w:r>
          <w:rPr>
            <w:noProof/>
          </w:rPr>
          <w:fldChar w:fldCharType="end"/>
        </w:r>
      </w:p>
    </w:sdtContent>
  </w:sdt>
  <w:p w14:paraId="0A61E936" w14:textId="77777777" w:rsidR="006A001B" w:rsidRDefault="006A001B">
    <w:pPr>
      <w:pStyle w:val="Footer"/>
    </w:pPr>
  </w:p>
  <w:p w14:paraId="693C6E4B" w14:textId="77777777" w:rsidR="006A001B" w:rsidRDefault="006A00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F470" w14:textId="77777777" w:rsidR="003B3349" w:rsidRDefault="003B3349" w:rsidP="0054263B">
      <w:r>
        <w:separator/>
      </w:r>
    </w:p>
    <w:p w14:paraId="53FD410E" w14:textId="77777777" w:rsidR="003B3349" w:rsidRDefault="003B3349"/>
  </w:footnote>
  <w:footnote w:type="continuationSeparator" w:id="0">
    <w:p w14:paraId="146765DB" w14:textId="77777777" w:rsidR="003B3349" w:rsidRDefault="003B3349" w:rsidP="0054263B">
      <w:r>
        <w:continuationSeparator/>
      </w:r>
    </w:p>
    <w:p w14:paraId="5DBB356F" w14:textId="77777777" w:rsidR="003B3349" w:rsidRDefault="003B33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D5817"/>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04DD"/>
    <w:rsid w:val="001913B1"/>
    <w:rsid w:val="00191498"/>
    <w:rsid w:val="00191C86"/>
    <w:rsid w:val="00195972"/>
    <w:rsid w:val="00196153"/>
    <w:rsid w:val="001A2648"/>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84434"/>
    <w:rsid w:val="00290935"/>
    <w:rsid w:val="00291A5A"/>
    <w:rsid w:val="00293941"/>
    <w:rsid w:val="00293F7E"/>
    <w:rsid w:val="002A23B0"/>
    <w:rsid w:val="002A6EC7"/>
    <w:rsid w:val="002B4009"/>
    <w:rsid w:val="002B5FCF"/>
    <w:rsid w:val="002D0987"/>
    <w:rsid w:val="002D163D"/>
    <w:rsid w:val="002E0970"/>
    <w:rsid w:val="002E09D5"/>
    <w:rsid w:val="002E14D2"/>
    <w:rsid w:val="002E562A"/>
    <w:rsid w:val="002E5708"/>
    <w:rsid w:val="002F0D97"/>
    <w:rsid w:val="002F0E75"/>
    <w:rsid w:val="002F48D6"/>
    <w:rsid w:val="00304398"/>
    <w:rsid w:val="00304B12"/>
    <w:rsid w:val="003071C9"/>
    <w:rsid w:val="00310300"/>
    <w:rsid w:val="00316D33"/>
    <w:rsid w:val="00320613"/>
    <w:rsid w:val="00322DF2"/>
    <w:rsid w:val="0032367C"/>
    <w:rsid w:val="003247EA"/>
    <w:rsid w:val="003259EE"/>
    <w:rsid w:val="00333886"/>
    <w:rsid w:val="00335934"/>
    <w:rsid w:val="00336CE4"/>
    <w:rsid w:val="003421ED"/>
    <w:rsid w:val="00345533"/>
    <w:rsid w:val="00345662"/>
    <w:rsid w:val="00352111"/>
    <w:rsid w:val="00352433"/>
    <w:rsid w:val="00352696"/>
    <w:rsid w:val="00352C6F"/>
    <w:rsid w:val="00353044"/>
    <w:rsid w:val="003613FE"/>
    <w:rsid w:val="00365B84"/>
    <w:rsid w:val="00377B28"/>
    <w:rsid w:val="00382177"/>
    <w:rsid w:val="003837B6"/>
    <w:rsid w:val="003855F1"/>
    <w:rsid w:val="00386DDF"/>
    <w:rsid w:val="003937B8"/>
    <w:rsid w:val="003A2F1C"/>
    <w:rsid w:val="003A5670"/>
    <w:rsid w:val="003A5A75"/>
    <w:rsid w:val="003B3349"/>
    <w:rsid w:val="003B78CF"/>
    <w:rsid w:val="003C52B2"/>
    <w:rsid w:val="003C67F5"/>
    <w:rsid w:val="003D027F"/>
    <w:rsid w:val="003D1B54"/>
    <w:rsid w:val="003D370E"/>
    <w:rsid w:val="003E472A"/>
    <w:rsid w:val="003E5523"/>
    <w:rsid w:val="003E5B38"/>
    <w:rsid w:val="003F1058"/>
    <w:rsid w:val="003F108C"/>
    <w:rsid w:val="003F201A"/>
    <w:rsid w:val="003F6E89"/>
    <w:rsid w:val="004250BA"/>
    <w:rsid w:val="00434371"/>
    <w:rsid w:val="00435937"/>
    <w:rsid w:val="004425AA"/>
    <w:rsid w:val="00445332"/>
    <w:rsid w:val="004526CD"/>
    <w:rsid w:val="004549E5"/>
    <w:rsid w:val="00456038"/>
    <w:rsid w:val="00456B2B"/>
    <w:rsid w:val="00461E00"/>
    <w:rsid w:val="00467B80"/>
    <w:rsid w:val="0047120C"/>
    <w:rsid w:val="00471618"/>
    <w:rsid w:val="0047374D"/>
    <w:rsid w:val="00473B65"/>
    <w:rsid w:val="00473E69"/>
    <w:rsid w:val="00474B1B"/>
    <w:rsid w:val="0048541F"/>
    <w:rsid w:val="0049313F"/>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65EF"/>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E712D"/>
    <w:rsid w:val="005F1017"/>
    <w:rsid w:val="005F19FD"/>
    <w:rsid w:val="005F5A94"/>
    <w:rsid w:val="00604F03"/>
    <w:rsid w:val="006053F6"/>
    <w:rsid w:val="0060574C"/>
    <w:rsid w:val="006272FE"/>
    <w:rsid w:val="00630EF0"/>
    <w:rsid w:val="00631BFF"/>
    <w:rsid w:val="00642649"/>
    <w:rsid w:val="00647CC5"/>
    <w:rsid w:val="006514A7"/>
    <w:rsid w:val="00651A64"/>
    <w:rsid w:val="0066100E"/>
    <w:rsid w:val="00661D05"/>
    <w:rsid w:val="00667772"/>
    <w:rsid w:val="00675252"/>
    <w:rsid w:val="00682B93"/>
    <w:rsid w:val="0068336D"/>
    <w:rsid w:val="00683FA1"/>
    <w:rsid w:val="00685E76"/>
    <w:rsid w:val="006867C0"/>
    <w:rsid w:val="00687304"/>
    <w:rsid w:val="00693355"/>
    <w:rsid w:val="00697DF2"/>
    <w:rsid w:val="006A001B"/>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34BD"/>
    <w:rsid w:val="0075735A"/>
    <w:rsid w:val="00763A44"/>
    <w:rsid w:val="00766F81"/>
    <w:rsid w:val="00770FFC"/>
    <w:rsid w:val="00784ABC"/>
    <w:rsid w:val="00785B7B"/>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4838"/>
    <w:rsid w:val="007F7129"/>
    <w:rsid w:val="00801691"/>
    <w:rsid w:val="00806282"/>
    <w:rsid w:val="00813A6B"/>
    <w:rsid w:val="0082168C"/>
    <w:rsid w:val="0083254A"/>
    <w:rsid w:val="0083264A"/>
    <w:rsid w:val="00832DB4"/>
    <w:rsid w:val="0083763B"/>
    <w:rsid w:val="00837F81"/>
    <w:rsid w:val="00843508"/>
    <w:rsid w:val="008452C6"/>
    <w:rsid w:val="008458D6"/>
    <w:rsid w:val="00845F81"/>
    <w:rsid w:val="00850A48"/>
    <w:rsid w:val="0085297C"/>
    <w:rsid w:val="00853ECF"/>
    <w:rsid w:val="008557E1"/>
    <w:rsid w:val="00855F5A"/>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D2D56"/>
    <w:rsid w:val="008D4A28"/>
    <w:rsid w:val="008D4C08"/>
    <w:rsid w:val="008D609F"/>
    <w:rsid w:val="008D7ECC"/>
    <w:rsid w:val="008E15A0"/>
    <w:rsid w:val="008E33B4"/>
    <w:rsid w:val="008E41F1"/>
    <w:rsid w:val="008E51AF"/>
    <w:rsid w:val="008E709E"/>
    <w:rsid w:val="008E748B"/>
    <w:rsid w:val="008F19CE"/>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2AD"/>
    <w:rsid w:val="009E20C7"/>
    <w:rsid w:val="009E2885"/>
    <w:rsid w:val="009E3DA4"/>
    <w:rsid w:val="009E5868"/>
    <w:rsid w:val="009F03E7"/>
    <w:rsid w:val="009F581C"/>
    <w:rsid w:val="00A005E6"/>
    <w:rsid w:val="00A01AC4"/>
    <w:rsid w:val="00A06ED6"/>
    <w:rsid w:val="00A10F3D"/>
    <w:rsid w:val="00A110C7"/>
    <w:rsid w:val="00A121B5"/>
    <w:rsid w:val="00A241DB"/>
    <w:rsid w:val="00A254CE"/>
    <w:rsid w:val="00A30E87"/>
    <w:rsid w:val="00A36457"/>
    <w:rsid w:val="00A372FA"/>
    <w:rsid w:val="00A4773D"/>
    <w:rsid w:val="00A50F20"/>
    <w:rsid w:val="00A54915"/>
    <w:rsid w:val="00A6300B"/>
    <w:rsid w:val="00A632A0"/>
    <w:rsid w:val="00A677E8"/>
    <w:rsid w:val="00A73AE6"/>
    <w:rsid w:val="00A743F3"/>
    <w:rsid w:val="00A76341"/>
    <w:rsid w:val="00A80C10"/>
    <w:rsid w:val="00A82D0A"/>
    <w:rsid w:val="00A85AAA"/>
    <w:rsid w:val="00A9205E"/>
    <w:rsid w:val="00A92C18"/>
    <w:rsid w:val="00A97987"/>
    <w:rsid w:val="00AA159F"/>
    <w:rsid w:val="00AA397D"/>
    <w:rsid w:val="00AB0B5F"/>
    <w:rsid w:val="00AB2019"/>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4A01"/>
    <w:rsid w:val="00B95A3E"/>
    <w:rsid w:val="00B97801"/>
    <w:rsid w:val="00BA2389"/>
    <w:rsid w:val="00BA27A8"/>
    <w:rsid w:val="00BA2E5C"/>
    <w:rsid w:val="00BA510E"/>
    <w:rsid w:val="00BB1229"/>
    <w:rsid w:val="00BB2159"/>
    <w:rsid w:val="00BB344E"/>
    <w:rsid w:val="00BB436B"/>
    <w:rsid w:val="00BB6F37"/>
    <w:rsid w:val="00BC49BF"/>
    <w:rsid w:val="00BC60AE"/>
    <w:rsid w:val="00BC65EF"/>
    <w:rsid w:val="00BC789A"/>
    <w:rsid w:val="00BE2B09"/>
    <w:rsid w:val="00BE654D"/>
    <w:rsid w:val="00BE6634"/>
    <w:rsid w:val="00BF5DF3"/>
    <w:rsid w:val="00C039BC"/>
    <w:rsid w:val="00C11C12"/>
    <w:rsid w:val="00C16506"/>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356B"/>
    <w:rsid w:val="00CA41CC"/>
    <w:rsid w:val="00CA7EF2"/>
    <w:rsid w:val="00CB008B"/>
    <w:rsid w:val="00CC0502"/>
    <w:rsid w:val="00CC1AC8"/>
    <w:rsid w:val="00CC4BAC"/>
    <w:rsid w:val="00CC4C69"/>
    <w:rsid w:val="00CC6A95"/>
    <w:rsid w:val="00CC7E17"/>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2F3F"/>
    <w:rsid w:val="00FE5FC9"/>
    <w:rsid w:val="00FF171F"/>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BB1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18583</Words>
  <Characters>105925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2020-12-05T16:07:00Z</dcterms:created>
  <dcterms:modified xsi:type="dcterms:W3CDTF">2020-12-05T16:07:00Z</dcterms:modified>
</cp:coreProperties>
</file>