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ACA293" w14:textId="52102ADA" w:rsidR="00CA41CC" w:rsidRPr="00914128" w:rsidRDefault="0068336D" w:rsidP="00914128">
      <w:pPr>
        <w:pStyle w:val="Heading1"/>
      </w:pPr>
      <w:bookmarkStart w:id="0" w:name="_GoBack"/>
      <w:bookmarkEnd w:id="0"/>
      <w:r>
        <w:t xml:space="preserve">CHAPTER </w:t>
      </w:r>
      <w:r w:rsidR="004768A3">
        <w:t>29</w:t>
      </w:r>
    </w:p>
    <w:p w14:paraId="08E5BD6B" w14:textId="77777777" w:rsidR="00EC7C98" w:rsidRPr="00914128" w:rsidRDefault="004768A3" w:rsidP="00914128">
      <w:pPr>
        <w:pStyle w:val="Heading1"/>
      </w:pPr>
      <w:r w:rsidRPr="004768A3">
        <w:t>THE COLORADO CONSUMER PROTECTION ACT</w:t>
      </w:r>
    </w:p>
    <w:p w14:paraId="70A06771" w14:textId="77777777" w:rsidR="004768A3" w:rsidRDefault="00A303C9" w:rsidP="00914128">
      <w:pPr>
        <w:pStyle w:val="ToC"/>
      </w:pPr>
      <w:hyperlink w:anchor="IntroNote" w:history="1">
        <w:r w:rsidR="004768A3" w:rsidRPr="005F68C9">
          <w:rPr>
            <w:rStyle w:val="Hyperlink"/>
          </w:rPr>
          <w:t>Introductory Note</w:t>
        </w:r>
      </w:hyperlink>
    </w:p>
    <w:p w14:paraId="54AD5562" w14:textId="77777777" w:rsidR="00EC7C98" w:rsidRDefault="00A303C9" w:rsidP="00914128">
      <w:pPr>
        <w:pStyle w:val="ToC"/>
      </w:pPr>
      <w:hyperlink w:anchor="a29_01" w:history="1">
        <w:r w:rsidR="005F68C9" w:rsidRPr="005F68C9">
          <w:rPr>
            <w:rStyle w:val="Hyperlink"/>
          </w:rPr>
          <w:t>29:1</w:t>
        </w:r>
      </w:hyperlink>
      <w:r w:rsidR="005F68C9" w:rsidRPr="005F68C9">
        <w:t xml:space="preserve"> </w:t>
      </w:r>
      <w:r w:rsidR="005F68C9" w:rsidRPr="005F68C9">
        <w:tab/>
        <w:t xml:space="preserve">Elements </w:t>
      </w:r>
      <w:r w:rsidR="004D44C8">
        <w:t>o</w:t>
      </w:r>
      <w:r w:rsidR="005F68C9" w:rsidRPr="005F68C9">
        <w:t>f Liability</w:t>
      </w:r>
    </w:p>
    <w:p w14:paraId="18B169D8" w14:textId="77777777" w:rsidR="005F68C9" w:rsidRDefault="00A303C9" w:rsidP="00914128">
      <w:pPr>
        <w:pStyle w:val="ToC"/>
      </w:pPr>
      <w:hyperlink w:anchor="a29_02" w:history="1">
        <w:r w:rsidR="005F68C9" w:rsidRPr="005F68C9">
          <w:rPr>
            <w:rStyle w:val="Hyperlink"/>
          </w:rPr>
          <w:t>29:2</w:t>
        </w:r>
      </w:hyperlink>
      <w:r w:rsidR="005F68C9" w:rsidRPr="005F68C9">
        <w:t xml:space="preserve"> </w:t>
      </w:r>
      <w:r w:rsidR="005F68C9" w:rsidRPr="005F68C9">
        <w:tab/>
        <w:t>Deceptive Trade Practices — Defined</w:t>
      </w:r>
    </w:p>
    <w:p w14:paraId="693643C1" w14:textId="77777777" w:rsidR="005F68C9" w:rsidRDefault="00A303C9" w:rsidP="00914128">
      <w:pPr>
        <w:pStyle w:val="ToC"/>
      </w:pPr>
      <w:hyperlink w:anchor="a29_03" w:history="1">
        <w:r w:rsidR="005F68C9" w:rsidRPr="005F68C9">
          <w:rPr>
            <w:rStyle w:val="Hyperlink"/>
          </w:rPr>
          <w:t>29:3</w:t>
        </w:r>
      </w:hyperlink>
      <w:r w:rsidR="005F68C9" w:rsidRPr="005F68C9">
        <w:t xml:space="preserve"> </w:t>
      </w:r>
      <w:r w:rsidR="005F68C9" w:rsidRPr="005F68C9">
        <w:tab/>
        <w:t>False Representation/Misrepresentation — Defined</w:t>
      </w:r>
    </w:p>
    <w:p w14:paraId="61D23D78" w14:textId="77777777" w:rsidR="005F68C9" w:rsidRDefault="00A303C9" w:rsidP="00914128">
      <w:pPr>
        <w:pStyle w:val="ToC"/>
      </w:pPr>
      <w:hyperlink w:anchor="a29_04" w:history="1">
        <w:r w:rsidR="005F68C9" w:rsidRPr="005F68C9">
          <w:rPr>
            <w:rStyle w:val="Hyperlink"/>
          </w:rPr>
          <w:t>29:4</w:t>
        </w:r>
      </w:hyperlink>
      <w:r w:rsidR="005F68C9" w:rsidRPr="005F68C9">
        <w:t xml:space="preserve"> </w:t>
      </w:r>
      <w:r w:rsidR="005F68C9" w:rsidRPr="005F68C9">
        <w:tab/>
        <w:t xml:space="preserve">Significant Impact </w:t>
      </w:r>
      <w:r w:rsidR="004D44C8">
        <w:t>o</w:t>
      </w:r>
      <w:r w:rsidR="005F68C9" w:rsidRPr="005F68C9">
        <w:t xml:space="preserve">n </w:t>
      </w:r>
      <w:r w:rsidR="004D44C8">
        <w:t>t</w:t>
      </w:r>
      <w:r w:rsidR="005F68C9" w:rsidRPr="005F68C9">
        <w:t>he Public — Defined</w:t>
      </w:r>
    </w:p>
    <w:p w14:paraId="598D162F" w14:textId="77777777" w:rsidR="005F68C9" w:rsidRDefault="00A303C9" w:rsidP="00914128">
      <w:pPr>
        <w:pStyle w:val="ToC"/>
      </w:pPr>
      <w:hyperlink w:anchor="a29_05" w:history="1">
        <w:r w:rsidR="005F68C9" w:rsidRPr="005F68C9">
          <w:rPr>
            <w:rStyle w:val="Hyperlink"/>
          </w:rPr>
          <w:t>29:5</w:t>
        </w:r>
      </w:hyperlink>
      <w:r w:rsidR="005F68C9" w:rsidRPr="005F68C9">
        <w:t xml:space="preserve"> </w:t>
      </w:r>
      <w:r w:rsidR="005F68C9" w:rsidRPr="005F68C9">
        <w:tab/>
        <w:t>Actual Damages</w:t>
      </w:r>
    </w:p>
    <w:p w14:paraId="1498F101" w14:textId="77777777" w:rsidR="005F68C9" w:rsidRDefault="00A303C9" w:rsidP="00914128">
      <w:pPr>
        <w:pStyle w:val="ToC"/>
      </w:pPr>
      <w:hyperlink w:anchor="a29_06" w:history="1">
        <w:r w:rsidR="005F68C9" w:rsidRPr="005F68C9">
          <w:rPr>
            <w:rStyle w:val="Hyperlink"/>
          </w:rPr>
          <w:t>29:6</w:t>
        </w:r>
      </w:hyperlink>
      <w:r w:rsidR="005F68C9" w:rsidRPr="005F68C9">
        <w:t xml:space="preserve"> </w:t>
      </w:r>
      <w:r w:rsidR="005F68C9" w:rsidRPr="005F68C9">
        <w:tab/>
        <w:t>Treble Damages</w:t>
      </w:r>
    </w:p>
    <w:p w14:paraId="4A62645E" w14:textId="77777777" w:rsidR="00352111" w:rsidRPr="00352111" w:rsidRDefault="00352111">
      <w:pPr>
        <w:rPr>
          <w:rFonts w:eastAsia="Times New Roman"/>
          <w:sz w:val="24"/>
          <w:szCs w:val="24"/>
        </w:rPr>
      </w:pPr>
      <w:r w:rsidRPr="00352111">
        <w:rPr>
          <w:rFonts w:eastAsia="Times New Roman"/>
          <w:sz w:val="24"/>
          <w:szCs w:val="24"/>
        </w:rPr>
        <w:br w:type="page"/>
      </w:r>
    </w:p>
    <w:p w14:paraId="3BB13C0C" w14:textId="77777777" w:rsidR="0054263B" w:rsidRPr="0054263B" w:rsidRDefault="004768A3" w:rsidP="00BE654D">
      <w:pPr>
        <w:keepNext/>
        <w:spacing w:after="240"/>
        <w:jc w:val="center"/>
        <w:rPr>
          <w:rFonts w:eastAsia="Times New Roman"/>
          <w:b/>
          <w:sz w:val="24"/>
          <w:szCs w:val="24"/>
        </w:rPr>
      </w:pPr>
      <w:bookmarkStart w:id="1" w:name="a28_01"/>
      <w:bookmarkStart w:id="2" w:name="IntroNote"/>
      <w:bookmarkEnd w:id="1"/>
      <w:bookmarkEnd w:id="2"/>
      <w:r w:rsidRPr="004768A3">
        <w:rPr>
          <w:rFonts w:eastAsia="Times New Roman"/>
          <w:b/>
          <w:sz w:val="24"/>
          <w:szCs w:val="24"/>
        </w:rPr>
        <w:lastRenderedPageBreak/>
        <w:t>Introductory Note</w:t>
      </w:r>
    </w:p>
    <w:p w14:paraId="1959604B" w14:textId="77777777" w:rsidR="004768A3" w:rsidRPr="004768A3" w:rsidRDefault="004768A3" w:rsidP="004768A3">
      <w:pPr>
        <w:spacing w:after="240"/>
        <w:ind w:firstLine="720"/>
        <w:rPr>
          <w:rFonts w:eastAsia="Times New Roman"/>
          <w:sz w:val="24"/>
          <w:szCs w:val="24"/>
        </w:rPr>
      </w:pPr>
      <w:r w:rsidRPr="004768A3">
        <w:rPr>
          <w:rFonts w:eastAsia="Times New Roman"/>
          <w:sz w:val="24"/>
          <w:szCs w:val="24"/>
        </w:rPr>
        <w:t>1. The General Assembly enacted the Colorado Consumer Protection Act (CCPA), §§ 6-1-101 to -115</w:t>
      </w:r>
      <w:r w:rsidR="00EE57DE">
        <w:rPr>
          <w:rFonts w:eastAsia="Times New Roman"/>
          <w:sz w:val="24"/>
          <w:szCs w:val="24"/>
        </w:rPr>
        <w:t>,</w:t>
      </w:r>
      <w:r w:rsidRPr="004768A3">
        <w:rPr>
          <w:rFonts w:eastAsia="Times New Roman"/>
          <w:sz w:val="24"/>
          <w:szCs w:val="24"/>
        </w:rPr>
        <w:t xml:space="preserve"> C.R.S., in 1969, substantially adopting the major provisions of the 1966 Uniform Deceptive Trade Practices Act (UDTA) but with numerous variations. </w:t>
      </w:r>
      <w:r w:rsidRPr="004768A3">
        <w:rPr>
          <w:rFonts w:eastAsia="Times New Roman"/>
          <w:b/>
          <w:sz w:val="24"/>
          <w:szCs w:val="24"/>
        </w:rPr>
        <w:t>People ex rel.</w:t>
      </w:r>
      <w:r w:rsidRPr="004768A3">
        <w:rPr>
          <w:rFonts w:eastAsia="Times New Roman"/>
          <w:b/>
          <w:i/>
          <w:sz w:val="24"/>
          <w:szCs w:val="24"/>
        </w:rPr>
        <w:t xml:space="preserve"> </w:t>
      </w:r>
      <w:r w:rsidRPr="004768A3">
        <w:rPr>
          <w:rFonts w:eastAsia="Times New Roman"/>
          <w:b/>
          <w:sz w:val="24"/>
          <w:szCs w:val="24"/>
        </w:rPr>
        <w:t>Dunbar v. Gym of Am., Inc.</w:t>
      </w:r>
      <w:r w:rsidRPr="004768A3">
        <w:rPr>
          <w:rFonts w:eastAsia="Times New Roman"/>
          <w:sz w:val="24"/>
          <w:szCs w:val="24"/>
        </w:rPr>
        <w:t xml:space="preserve">, 177 Colo. 97, 493 P.2d 660 (1972). The CCPA differs from the UDTA in that the legislature granted a private right of action to individual consumers to recover damages for violation of the Act. </w:t>
      </w:r>
      <w:r w:rsidRPr="004768A3">
        <w:rPr>
          <w:rFonts w:eastAsia="Times New Roman"/>
          <w:b/>
          <w:sz w:val="24"/>
          <w:szCs w:val="24"/>
        </w:rPr>
        <w:t>Hall v. Walter</w:t>
      </w:r>
      <w:r w:rsidRPr="004768A3">
        <w:rPr>
          <w:rFonts w:eastAsia="Times New Roman"/>
          <w:sz w:val="24"/>
          <w:szCs w:val="24"/>
        </w:rPr>
        <w:t>, 969 P.2d 224 (Colo. 1998).</w:t>
      </w:r>
    </w:p>
    <w:p w14:paraId="14CFDF1C" w14:textId="77777777" w:rsidR="004768A3" w:rsidRPr="004768A3" w:rsidRDefault="004768A3" w:rsidP="004768A3">
      <w:pPr>
        <w:spacing w:after="240"/>
        <w:ind w:firstLine="720"/>
        <w:rPr>
          <w:rFonts w:eastAsia="Times New Roman"/>
          <w:sz w:val="24"/>
          <w:szCs w:val="24"/>
        </w:rPr>
      </w:pPr>
      <w:r w:rsidRPr="004768A3">
        <w:rPr>
          <w:rFonts w:eastAsia="Times New Roman"/>
          <w:sz w:val="24"/>
          <w:szCs w:val="24"/>
        </w:rPr>
        <w:t xml:space="preserve">2. The CCPA provides for both public and private enforcement. The Attorney General and the county district attorneys have concurrent public enforcement authority. § 6-1-103, C.R.S. Public enforcement remedies include injunctive relief, civil penalties, and criminal actions. §§ 6-1-107 to -112, -114, C.R.S. While causation and actual damages are required in a private cause of action, </w:t>
      </w:r>
      <w:r w:rsidRPr="004768A3">
        <w:rPr>
          <w:rFonts w:eastAsia="Times New Roman"/>
          <w:b/>
          <w:sz w:val="24"/>
          <w:szCs w:val="24"/>
        </w:rPr>
        <w:t>Hall</w:t>
      </w:r>
      <w:r w:rsidRPr="004768A3">
        <w:rPr>
          <w:rFonts w:eastAsia="Times New Roman"/>
          <w:sz w:val="24"/>
          <w:szCs w:val="24"/>
        </w:rPr>
        <w:t xml:space="preserve">, 969 P.2d at 236, they are not necessary in a public enforcement cause of action. </w:t>
      </w:r>
      <w:r w:rsidRPr="004768A3">
        <w:rPr>
          <w:rFonts w:eastAsia="Times New Roman"/>
          <w:b/>
          <w:sz w:val="24"/>
          <w:szCs w:val="24"/>
        </w:rPr>
        <w:t>May Dep’t Stores Co. v. State ex rel. Woodard</w:t>
      </w:r>
      <w:r w:rsidRPr="004768A3">
        <w:rPr>
          <w:rFonts w:eastAsia="Times New Roman"/>
          <w:sz w:val="24"/>
          <w:szCs w:val="24"/>
        </w:rPr>
        <w:t xml:space="preserve">, 863 P.2d 967 (Colo. 1993). Civil penalties and restitution amounts unverifiable by statute or other fixed standard may not be imposed without an evidentiary hearing followed by Rule 52 findings of fact and conclusions of law. </w:t>
      </w:r>
      <w:r w:rsidRPr="004768A3">
        <w:rPr>
          <w:rFonts w:eastAsia="Times New Roman"/>
          <w:b/>
          <w:sz w:val="24"/>
          <w:szCs w:val="24"/>
        </w:rPr>
        <w:t>People v. Wunder</w:t>
      </w:r>
      <w:r w:rsidRPr="004768A3">
        <w:rPr>
          <w:rFonts w:eastAsia="Times New Roman"/>
          <w:sz w:val="24"/>
          <w:szCs w:val="24"/>
        </w:rPr>
        <w:t xml:space="preserve">, 2016 COA 46, ¶¶ 29-47, 371 P.3d 785 (a public enforcement action). For a discussion of tribal immunity as a bar to state enforcement of the CCPA, see </w:t>
      </w:r>
      <w:r w:rsidRPr="004768A3">
        <w:rPr>
          <w:rFonts w:eastAsia="Times New Roman"/>
          <w:b/>
          <w:sz w:val="24"/>
          <w:szCs w:val="24"/>
        </w:rPr>
        <w:t>Cash Advance &amp; Preferred Cash Loans v. State ex rel.</w:t>
      </w:r>
      <w:r w:rsidRPr="004768A3">
        <w:rPr>
          <w:rFonts w:eastAsia="Times New Roman"/>
          <w:b/>
          <w:i/>
          <w:sz w:val="24"/>
          <w:szCs w:val="24"/>
        </w:rPr>
        <w:t xml:space="preserve"> </w:t>
      </w:r>
      <w:r w:rsidRPr="004768A3">
        <w:rPr>
          <w:rFonts w:eastAsia="Times New Roman"/>
          <w:b/>
          <w:sz w:val="24"/>
          <w:szCs w:val="24"/>
        </w:rPr>
        <w:t>Suthers</w:t>
      </w:r>
      <w:r w:rsidRPr="004768A3">
        <w:rPr>
          <w:rFonts w:eastAsia="Times New Roman"/>
          <w:sz w:val="24"/>
          <w:szCs w:val="24"/>
        </w:rPr>
        <w:t xml:space="preserve">, 242 P.3d 1099 (Colo. 2010). </w:t>
      </w:r>
    </w:p>
    <w:p w14:paraId="05AF020D" w14:textId="77777777" w:rsidR="004768A3" w:rsidRPr="004768A3" w:rsidRDefault="004768A3" w:rsidP="004768A3">
      <w:pPr>
        <w:spacing w:after="240"/>
        <w:ind w:firstLine="720"/>
        <w:rPr>
          <w:rFonts w:eastAsia="Times New Roman"/>
          <w:sz w:val="24"/>
          <w:szCs w:val="24"/>
        </w:rPr>
      </w:pPr>
      <w:r w:rsidRPr="004768A3">
        <w:rPr>
          <w:rFonts w:eastAsia="Times New Roman"/>
          <w:sz w:val="24"/>
          <w:szCs w:val="24"/>
        </w:rPr>
        <w:t xml:space="preserve">3. Public enforcement actions are intended to proscribe acts, not to compensate injured persons, and are essentially equitable in nature; therefore defendants are not entitled to trial by jury. </w:t>
      </w:r>
      <w:r w:rsidRPr="004768A3">
        <w:rPr>
          <w:rFonts w:eastAsia="Times New Roman"/>
          <w:b/>
          <w:sz w:val="24"/>
          <w:szCs w:val="24"/>
        </w:rPr>
        <w:t>People v. Shifrin</w:t>
      </w:r>
      <w:r w:rsidRPr="004768A3">
        <w:rPr>
          <w:rFonts w:eastAsia="Times New Roman"/>
          <w:sz w:val="24"/>
          <w:szCs w:val="24"/>
        </w:rPr>
        <w:t xml:space="preserve">, 2014 COA 14, ¶¶ 20-22, 342 P.3d 506. Injunctive relief must be within the authority of the court to proscribe and sufficiently precise to allow the enjoined party to avoid the prohibited conduct. </w:t>
      </w:r>
      <w:r w:rsidRPr="004768A3">
        <w:rPr>
          <w:rFonts w:eastAsia="Times New Roman"/>
          <w:b/>
          <w:sz w:val="24"/>
          <w:szCs w:val="24"/>
        </w:rPr>
        <w:t>Wunder</w:t>
      </w:r>
      <w:r w:rsidRPr="004768A3">
        <w:rPr>
          <w:rFonts w:eastAsia="Times New Roman"/>
          <w:sz w:val="24"/>
          <w:szCs w:val="24"/>
        </w:rPr>
        <w:t>, 2016 COA 46, ¶¶ 21-28 (holding that the vagueness and overbreadth of a broad provision with undefined terms violated C.R.C.P. 65, and remanding that portion of the injunction for reformulation). Chapter 29 does not address the public enforcement mechanisms contained in part 1 of the Act, nor does it address parts 2 through 9 of the CCPA that pertain to specific types of business environments (e.g., auto rental contracts, telemarketing, mobile home sales, and a variety of others). This chapter addresses only the private cause of action and civil damages available when a defendant engages in acts and practices that are prohibited by part 1 of the CCPA.</w:t>
      </w:r>
    </w:p>
    <w:p w14:paraId="25EE6E23" w14:textId="77777777" w:rsidR="004768A3" w:rsidRPr="004768A3" w:rsidRDefault="004768A3" w:rsidP="004768A3">
      <w:pPr>
        <w:spacing w:after="240"/>
        <w:ind w:firstLine="720"/>
        <w:rPr>
          <w:rFonts w:eastAsia="Times New Roman"/>
          <w:sz w:val="24"/>
          <w:szCs w:val="24"/>
        </w:rPr>
      </w:pPr>
      <w:r w:rsidRPr="004768A3">
        <w:rPr>
          <w:rFonts w:eastAsia="Times New Roman"/>
          <w:sz w:val="24"/>
          <w:szCs w:val="24"/>
        </w:rPr>
        <w:t xml:space="preserve">4. The CCPA regulates commercial activities and practices that “because of their nature, may prove injurious, offensive, or dangerous to the public” and prohibits conduct that has “a tendency or capacity to attract customers through deceptive trade practices.” </w:t>
      </w:r>
      <w:r w:rsidRPr="004768A3">
        <w:rPr>
          <w:rFonts w:eastAsia="Times New Roman"/>
          <w:b/>
          <w:sz w:val="24"/>
          <w:szCs w:val="24"/>
        </w:rPr>
        <w:t>Dunbar</w:t>
      </w:r>
      <w:r w:rsidRPr="004768A3">
        <w:rPr>
          <w:rFonts w:eastAsia="Times New Roman"/>
          <w:sz w:val="24"/>
          <w:szCs w:val="24"/>
        </w:rPr>
        <w:t xml:space="preserve">, 177 Colo. at 112-13, 493 P.2d at 667-68 (upholding the CCPA against constitutional challenges on due process and equal protection grounds); </w:t>
      </w:r>
      <w:r w:rsidRPr="004768A3">
        <w:rPr>
          <w:rFonts w:eastAsia="Times New Roman"/>
          <w:i/>
          <w:sz w:val="24"/>
          <w:szCs w:val="24"/>
        </w:rPr>
        <w:t xml:space="preserve">see </w:t>
      </w:r>
      <w:r w:rsidRPr="004768A3">
        <w:rPr>
          <w:rFonts w:eastAsia="Times New Roman"/>
          <w:b/>
          <w:sz w:val="24"/>
          <w:szCs w:val="24"/>
        </w:rPr>
        <w:t>Vista Resorts, Inc. v. Goodyear Tire &amp; Rubber Co.</w:t>
      </w:r>
      <w:r w:rsidRPr="004768A3">
        <w:rPr>
          <w:rFonts w:eastAsia="Times New Roman"/>
          <w:sz w:val="24"/>
          <w:szCs w:val="24"/>
        </w:rPr>
        <w:t xml:space="preserve">, 117 P.3d 60 (Colo. App. 2004) (rejecting constitutional challenge to CCPA treble damage provision on substantive and procedural due process grounds). “Our cases have consistently applied the CCPA to advertising and marketing practices that fit within its tenets based on the applicability of the Act to the actions alleged and without regard to the occupational status of the defendant.” </w:t>
      </w:r>
      <w:r w:rsidRPr="004768A3">
        <w:rPr>
          <w:rFonts w:eastAsia="Times New Roman"/>
          <w:b/>
          <w:sz w:val="24"/>
          <w:szCs w:val="24"/>
        </w:rPr>
        <w:t>Crowe v. Tull</w:t>
      </w:r>
      <w:r w:rsidRPr="004768A3">
        <w:rPr>
          <w:rFonts w:eastAsia="Times New Roman"/>
          <w:sz w:val="24"/>
          <w:szCs w:val="24"/>
        </w:rPr>
        <w:t>, 126 P.3d 196, 202 (Colo. 2006).</w:t>
      </w:r>
    </w:p>
    <w:p w14:paraId="4703FE25" w14:textId="1B7B3B3D" w:rsidR="004768A3" w:rsidRPr="004768A3" w:rsidRDefault="004768A3" w:rsidP="004768A3">
      <w:pPr>
        <w:spacing w:after="240"/>
        <w:ind w:firstLine="720"/>
        <w:rPr>
          <w:rFonts w:eastAsia="Times New Roman"/>
          <w:sz w:val="24"/>
          <w:szCs w:val="24"/>
        </w:rPr>
      </w:pPr>
      <w:r w:rsidRPr="004768A3">
        <w:rPr>
          <w:rFonts w:eastAsia="Times New Roman"/>
          <w:sz w:val="24"/>
          <w:szCs w:val="24"/>
        </w:rPr>
        <w:t xml:space="preserve">5. The CCPA is not an exclusive remedy. § 6-1-105(3), C.R.S. For discussions concerning the scope of the CCPA, see </w:t>
      </w:r>
      <w:r w:rsidRPr="004768A3">
        <w:rPr>
          <w:rFonts w:eastAsia="Times New Roman"/>
          <w:b/>
          <w:sz w:val="24"/>
          <w:szCs w:val="24"/>
        </w:rPr>
        <w:t>Crowe</w:t>
      </w:r>
      <w:r w:rsidRPr="004768A3">
        <w:rPr>
          <w:rFonts w:eastAsia="Times New Roman"/>
          <w:sz w:val="24"/>
          <w:szCs w:val="24"/>
        </w:rPr>
        <w:t xml:space="preserve">, 126 P.3d at 202-05 (discussing different types of </w:t>
      </w:r>
      <w:r w:rsidRPr="004768A3">
        <w:rPr>
          <w:rFonts w:eastAsia="Times New Roman"/>
          <w:sz w:val="24"/>
          <w:szCs w:val="24"/>
        </w:rPr>
        <w:lastRenderedPageBreak/>
        <w:t xml:space="preserve">harms addressed by CCPA and common-law professional negligence claims, and specifically, legal malpractice claims); </w:t>
      </w:r>
      <w:r w:rsidRPr="004768A3">
        <w:rPr>
          <w:rFonts w:eastAsia="Times New Roman"/>
          <w:b/>
          <w:sz w:val="24"/>
          <w:szCs w:val="24"/>
        </w:rPr>
        <w:t>Showpiece Homes Corp. v. Assurance Co. of America</w:t>
      </w:r>
      <w:r w:rsidR="00763095">
        <w:rPr>
          <w:rFonts w:eastAsia="Times New Roman"/>
          <w:sz w:val="24"/>
          <w:szCs w:val="24"/>
        </w:rPr>
        <w:t xml:space="preserve">, 38 P.3d </w:t>
      </w:r>
      <w:r w:rsidRPr="004768A3">
        <w:rPr>
          <w:rFonts w:eastAsia="Times New Roman"/>
          <w:sz w:val="24"/>
          <w:szCs w:val="24"/>
        </w:rPr>
        <w:t xml:space="preserve">47 (Colo. 2001) (answering certified questions in the insurance context); </w:t>
      </w:r>
      <w:r w:rsidRPr="004768A3">
        <w:rPr>
          <w:rFonts w:eastAsia="Times New Roman"/>
          <w:b/>
          <w:sz w:val="24"/>
          <w:szCs w:val="24"/>
        </w:rPr>
        <w:t>Coors v. Security Life of Denver Insurance Co.</w:t>
      </w:r>
      <w:r w:rsidRPr="004768A3">
        <w:rPr>
          <w:rFonts w:eastAsia="Times New Roman"/>
          <w:sz w:val="24"/>
          <w:szCs w:val="24"/>
        </w:rPr>
        <w:t xml:space="preserve">, 91 P.3d 393 (Colo. App. 2003) (examining relationship between the Unfair Claims-Deceptive Practices Act and CCPA), </w:t>
      </w:r>
      <w:r w:rsidRPr="004768A3">
        <w:rPr>
          <w:rFonts w:eastAsia="Times New Roman"/>
          <w:i/>
          <w:sz w:val="24"/>
          <w:szCs w:val="24"/>
        </w:rPr>
        <w:t>aff’d in part, rev’d in part on other grounds</w:t>
      </w:r>
      <w:r w:rsidRPr="004768A3">
        <w:rPr>
          <w:rFonts w:eastAsia="Times New Roman"/>
          <w:sz w:val="24"/>
          <w:szCs w:val="24"/>
        </w:rPr>
        <w:t>, 112 P.3d 59 (Colo. 2005).</w:t>
      </w:r>
    </w:p>
    <w:p w14:paraId="7F39AB94" w14:textId="5518F196" w:rsidR="004768A3" w:rsidRPr="004768A3" w:rsidRDefault="004768A3" w:rsidP="004768A3">
      <w:pPr>
        <w:spacing w:after="240"/>
        <w:ind w:firstLine="720"/>
        <w:rPr>
          <w:rFonts w:eastAsia="Times New Roman"/>
          <w:sz w:val="24"/>
          <w:szCs w:val="24"/>
        </w:rPr>
      </w:pPr>
      <w:r w:rsidRPr="004768A3">
        <w:rPr>
          <w:rFonts w:eastAsia="Times New Roman"/>
          <w:sz w:val="24"/>
          <w:szCs w:val="24"/>
        </w:rPr>
        <w:t xml:space="preserve">6. As originally enacted, CCPA remedies were available to “any person” suffering harm from a prohibited practice. </w:t>
      </w:r>
      <w:r w:rsidRPr="004768A3">
        <w:rPr>
          <w:rFonts w:eastAsia="Times New Roman"/>
          <w:b/>
          <w:sz w:val="24"/>
          <w:szCs w:val="24"/>
        </w:rPr>
        <w:t>Hall</w:t>
      </w:r>
      <w:r w:rsidRPr="004768A3">
        <w:rPr>
          <w:rFonts w:eastAsia="Times New Roman"/>
          <w:sz w:val="24"/>
          <w:szCs w:val="24"/>
        </w:rPr>
        <w:t>, 969 P.2d at 231, interpreted “person” broadly to include non</w:t>
      </w:r>
      <w:r w:rsidR="001B0F63">
        <w:rPr>
          <w:rFonts w:eastAsia="Times New Roman"/>
          <w:sz w:val="24"/>
          <w:szCs w:val="24"/>
        </w:rPr>
        <w:t>-</w:t>
      </w:r>
      <w:r w:rsidRPr="004768A3">
        <w:rPr>
          <w:rFonts w:eastAsia="Times New Roman"/>
          <w:sz w:val="24"/>
          <w:szCs w:val="24"/>
        </w:rPr>
        <w:t xml:space="preserve">consumers of defendant’s products or services. In apparent response to this decision, the definition of “any person” was amended in 1999 to be an “actual or potential consumer,” a successor-in-interest to an “actual consumer,” or a person injured in “the course of the person’s business or occupation.” § 6-1-113(1)(a), (c), C.R.S. Section 6-1-113(1)(a) provides that actual and potential consumers may bring an action under the Act. Subsection (b) permits a right of action by “any successor in interest to an actual consumer who purchased the defendant’s goods, services, or property.” Based on the plain language of the statute, the court of appeals held that “the only assignees authorized to bring an action are those whose assignors were actual consumers who purchased the defendant’s goods, services, or property.” </w:t>
      </w:r>
      <w:r w:rsidRPr="004768A3">
        <w:rPr>
          <w:rFonts w:eastAsia="Times New Roman"/>
          <w:b/>
          <w:sz w:val="24"/>
          <w:szCs w:val="24"/>
        </w:rPr>
        <w:t>U.S. Fax Law Ctr., Inc. v. Myron Corp.</w:t>
      </w:r>
      <w:r w:rsidRPr="004768A3">
        <w:rPr>
          <w:rFonts w:eastAsia="Times New Roman"/>
          <w:sz w:val="24"/>
          <w:szCs w:val="24"/>
        </w:rPr>
        <w:t>, 159 P.3d 745 (Colo. App. 2006) (action by the assignee of the rights of organizations that received unsolicited facsimiles but made no purchase dismissed for lack of standing).</w:t>
      </w:r>
    </w:p>
    <w:p w14:paraId="62783A4F" w14:textId="77777777" w:rsidR="004768A3" w:rsidRPr="004768A3" w:rsidRDefault="004768A3" w:rsidP="004768A3">
      <w:pPr>
        <w:spacing w:after="240"/>
        <w:ind w:firstLine="720"/>
        <w:rPr>
          <w:rFonts w:eastAsia="Times New Roman"/>
          <w:sz w:val="24"/>
          <w:szCs w:val="24"/>
        </w:rPr>
      </w:pPr>
      <w:r w:rsidRPr="004768A3">
        <w:rPr>
          <w:rFonts w:eastAsia="Times New Roman"/>
          <w:sz w:val="24"/>
          <w:szCs w:val="24"/>
        </w:rPr>
        <w:t xml:space="preserve">7. The CCPA’s conferral of the right to bring a civil action may be waived and subject to mandatory arbitration by an agreement between the parties because the statute does not contain a nonwaiver provision preventing enforcement of an arbitration agreement. </w:t>
      </w:r>
      <w:r w:rsidRPr="004768A3">
        <w:rPr>
          <w:rFonts w:eastAsia="Times New Roman"/>
          <w:b/>
          <w:sz w:val="24"/>
          <w:szCs w:val="24"/>
        </w:rPr>
        <w:t>Triple Crown at Observatory Vill. Assoc., Inc.</w:t>
      </w:r>
      <w:r w:rsidRPr="004768A3">
        <w:rPr>
          <w:rFonts w:eastAsia="Times New Roman"/>
          <w:sz w:val="24"/>
          <w:szCs w:val="24"/>
        </w:rPr>
        <w:t>, 2013 COA 150M, ¶¶ 42-45, 328 P.3d 275.</w:t>
      </w:r>
    </w:p>
    <w:p w14:paraId="3961D81E" w14:textId="77777777" w:rsidR="004768A3" w:rsidRPr="004768A3" w:rsidRDefault="004768A3" w:rsidP="004768A3">
      <w:pPr>
        <w:spacing w:after="240"/>
        <w:ind w:firstLine="720"/>
        <w:rPr>
          <w:rFonts w:eastAsia="Times New Roman"/>
          <w:sz w:val="24"/>
          <w:szCs w:val="24"/>
        </w:rPr>
      </w:pPr>
      <w:r w:rsidRPr="004768A3">
        <w:rPr>
          <w:rFonts w:eastAsia="Times New Roman"/>
          <w:sz w:val="24"/>
          <w:szCs w:val="24"/>
        </w:rPr>
        <w:t>8. The CCPA provides its own three-year limitation of action subject to the discovery rule and a further one-year extension if plaintiff proves that the defendant engaged in conduct calculated to cause plaintiff to forego or delay in asserting a claim. § 6-1-115, C.R.S.</w:t>
      </w:r>
    </w:p>
    <w:p w14:paraId="79ACD48E" w14:textId="77777777" w:rsidR="004768A3" w:rsidRDefault="004768A3" w:rsidP="004768A3">
      <w:pPr>
        <w:spacing w:after="240"/>
        <w:ind w:firstLine="720"/>
        <w:rPr>
          <w:rFonts w:eastAsia="Times New Roman"/>
          <w:sz w:val="24"/>
          <w:szCs w:val="24"/>
        </w:rPr>
      </w:pPr>
      <w:r w:rsidRPr="004768A3">
        <w:rPr>
          <w:rFonts w:eastAsia="Times New Roman"/>
          <w:sz w:val="24"/>
          <w:szCs w:val="24"/>
        </w:rPr>
        <w:t xml:space="preserve">9. The certificate of review requirement of section 13-20-602, C.R.S., applies to CCPA claims against licensed professionals where expert testimony is necessary to establish the standard of conduct against which liability will be measured. </w:t>
      </w:r>
      <w:r w:rsidRPr="004768A3">
        <w:rPr>
          <w:rFonts w:eastAsia="Times New Roman"/>
          <w:b/>
          <w:sz w:val="24"/>
          <w:szCs w:val="24"/>
        </w:rPr>
        <w:t>Baumgarten v. Coppage</w:t>
      </w:r>
      <w:r w:rsidRPr="004768A3">
        <w:rPr>
          <w:rFonts w:eastAsia="Times New Roman"/>
          <w:sz w:val="24"/>
          <w:szCs w:val="24"/>
        </w:rPr>
        <w:t xml:space="preserve">, 15 P.3d 304 (Colo. App. 2000); </w:t>
      </w:r>
      <w:r w:rsidRPr="004768A3">
        <w:rPr>
          <w:rFonts w:eastAsia="Times New Roman"/>
          <w:b/>
          <w:sz w:val="24"/>
          <w:szCs w:val="24"/>
        </w:rPr>
        <w:t>Teiken v. Reynolds</w:t>
      </w:r>
      <w:r w:rsidRPr="004768A3">
        <w:rPr>
          <w:rFonts w:eastAsia="Times New Roman"/>
          <w:sz w:val="24"/>
          <w:szCs w:val="24"/>
        </w:rPr>
        <w:t>, 904 P.2d 1387 (Colo. App. 1995) (dismissing CCPA claim against physicians based upon allegations of misrepresentations as to the nature, safety, and suitability of breast implants for failure to file a certificate of review).</w:t>
      </w:r>
    </w:p>
    <w:p w14:paraId="76634DBC" w14:textId="6F3195C4" w:rsidR="00512C04" w:rsidRPr="004768A3" w:rsidRDefault="00512C04" w:rsidP="004768A3">
      <w:pPr>
        <w:spacing w:after="240"/>
        <w:ind w:firstLine="720"/>
        <w:rPr>
          <w:rFonts w:eastAsia="Times New Roman"/>
          <w:sz w:val="24"/>
          <w:szCs w:val="24"/>
        </w:rPr>
      </w:pPr>
      <w:r>
        <w:rPr>
          <w:rFonts w:eastAsia="Times New Roman"/>
          <w:sz w:val="24"/>
          <w:szCs w:val="24"/>
        </w:rPr>
        <w:t xml:space="preserve">10. </w:t>
      </w:r>
      <w:r w:rsidRPr="00512C04">
        <w:rPr>
          <w:rFonts w:eastAsia="Times New Roman"/>
          <w:sz w:val="24"/>
          <w:szCs w:val="24"/>
        </w:rPr>
        <w:t xml:space="preserve">In </w:t>
      </w:r>
      <w:r w:rsidRPr="00512C04">
        <w:rPr>
          <w:rFonts w:eastAsia="Times New Roman"/>
          <w:b/>
          <w:sz w:val="24"/>
          <w:szCs w:val="24"/>
        </w:rPr>
        <w:t>Colorado v. Hopp &amp; Associates, LLC</w:t>
      </w:r>
      <w:r w:rsidRPr="00512C04">
        <w:rPr>
          <w:rFonts w:eastAsia="Times New Roman"/>
          <w:sz w:val="24"/>
          <w:szCs w:val="24"/>
        </w:rPr>
        <w:t xml:space="preserve">, 2018 COA 71, </w:t>
      </w:r>
      <w:r>
        <w:rPr>
          <w:rFonts w:eastAsia="Times New Roman"/>
          <w:sz w:val="24"/>
          <w:szCs w:val="24"/>
        </w:rPr>
        <w:t xml:space="preserve">¶ 4, </w:t>
      </w:r>
      <w:r w:rsidR="00AE258C">
        <w:rPr>
          <w:rFonts w:eastAsia="Times New Roman"/>
          <w:sz w:val="24"/>
          <w:szCs w:val="24"/>
        </w:rPr>
        <w:t xml:space="preserve">422 P.3d 617, </w:t>
      </w:r>
      <w:r w:rsidRPr="00512C04">
        <w:rPr>
          <w:rFonts w:eastAsia="Times New Roman"/>
          <w:sz w:val="24"/>
          <w:szCs w:val="24"/>
        </w:rPr>
        <w:t xml:space="preserve">a public enforcement action brought by the Colorado Attorney General subsequent to defendants’ discharge of debts in bankruptcy, the trial court awarded attorney fees and costs incurred </w:t>
      </w:r>
      <w:r w:rsidR="00375595">
        <w:rPr>
          <w:rFonts w:eastAsia="Times New Roman"/>
          <w:sz w:val="24"/>
          <w:szCs w:val="24"/>
        </w:rPr>
        <w:t xml:space="preserve">by the State </w:t>
      </w:r>
      <w:r w:rsidRPr="00512C04">
        <w:rPr>
          <w:rFonts w:eastAsia="Times New Roman"/>
          <w:sz w:val="24"/>
          <w:szCs w:val="24"/>
        </w:rPr>
        <w:t>in pursuing the action. The court of appeals affirmed the award, holding that fines, penalties, or forfeitures for the benefit of a governmental unit are not dischargeable in bankruptcy</w:t>
      </w:r>
      <w:r>
        <w:rPr>
          <w:rFonts w:eastAsia="Times New Roman"/>
          <w:sz w:val="24"/>
          <w:szCs w:val="24"/>
        </w:rPr>
        <w:t xml:space="preserve">. </w:t>
      </w:r>
      <w:r w:rsidRPr="00512C04">
        <w:rPr>
          <w:rFonts w:eastAsia="Times New Roman"/>
          <w:i/>
          <w:sz w:val="24"/>
          <w:szCs w:val="24"/>
        </w:rPr>
        <w:t>Id.</w:t>
      </w:r>
      <w:r>
        <w:rPr>
          <w:rFonts w:eastAsia="Times New Roman"/>
          <w:sz w:val="24"/>
          <w:szCs w:val="24"/>
        </w:rPr>
        <w:t xml:space="preserve"> at ¶ 16</w:t>
      </w:r>
      <w:r w:rsidRPr="00512C04">
        <w:rPr>
          <w:rFonts w:eastAsia="Times New Roman"/>
          <w:sz w:val="24"/>
          <w:szCs w:val="24"/>
        </w:rPr>
        <w:t>.</w:t>
      </w:r>
    </w:p>
    <w:p w14:paraId="5AAA12C4" w14:textId="77777777" w:rsidR="007952B2" w:rsidRDefault="007952B2">
      <w:pPr>
        <w:rPr>
          <w:rFonts w:eastAsia="Times New Roman"/>
          <w:sz w:val="24"/>
          <w:szCs w:val="24"/>
        </w:rPr>
      </w:pPr>
      <w:r>
        <w:rPr>
          <w:rFonts w:eastAsia="Times New Roman"/>
          <w:sz w:val="24"/>
          <w:szCs w:val="24"/>
        </w:rPr>
        <w:br w:type="page"/>
      </w:r>
    </w:p>
    <w:p w14:paraId="499ED194" w14:textId="77777777" w:rsidR="007952B2" w:rsidRPr="009E3DA4" w:rsidRDefault="00B43CC8" w:rsidP="007952B2">
      <w:pPr>
        <w:spacing w:after="240"/>
        <w:ind w:left="720" w:hanging="720"/>
        <w:rPr>
          <w:rFonts w:eastAsia="Times New Roman"/>
          <w:b/>
          <w:sz w:val="24"/>
          <w:szCs w:val="24"/>
        </w:rPr>
      </w:pPr>
      <w:bookmarkStart w:id="3" w:name="a29_01"/>
      <w:bookmarkEnd w:id="3"/>
      <w:r w:rsidRPr="00B43CC8">
        <w:rPr>
          <w:rFonts w:eastAsia="Times New Roman"/>
          <w:b/>
          <w:sz w:val="24"/>
          <w:szCs w:val="24"/>
        </w:rPr>
        <w:lastRenderedPageBreak/>
        <w:t xml:space="preserve">29:1 </w:t>
      </w:r>
      <w:r w:rsidRPr="00B43CC8">
        <w:rPr>
          <w:rFonts w:eastAsia="Times New Roman"/>
          <w:b/>
          <w:sz w:val="24"/>
          <w:szCs w:val="24"/>
        </w:rPr>
        <w:tab/>
        <w:t>ELEMENTS OF LIABILITY</w:t>
      </w:r>
    </w:p>
    <w:p w14:paraId="6CDAF594" w14:textId="77777777" w:rsidR="00B43CC8" w:rsidRPr="00B43CC8" w:rsidRDefault="00B43CC8" w:rsidP="00B43CC8">
      <w:pPr>
        <w:spacing w:after="240"/>
        <w:ind w:firstLine="720"/>
        <w:rPr>
          <w:rFonts w:eastAsia="Times New Roman"/>
          <w:b/>
          <w:sz w:val="24"/>
          <w:szCs w:val="24"/>
        </w:rPr>
      </w:pPr>
      <w:r w:rsidRPr="00B43CC8">
        <w:rPr>
          <w:rFonts w:eastAsia="Times New Roman"/>
          <w:b/>
          <w:sz w:val="24"/>
          <w:szCs w:val="24"/>
        </w:rPr>
        <w:t xml:space="preserve">For plaintiff, </w:t>
      </w:r>
      <w:r w:rsidRPr="00B43CC8">
        <w:rPr>
          <w:rFonts w:eastAsia="Times New Roman"/>
          <w:i/>
          <w:sz w:val="24"/>
          <w:szCs w:val="24"/>
        </w:rPr>
        <w:t>(name)</w:t>
      </w:r>
      <w:r w:rsidRPr="00B43CC8">
        <w:rPr>
          <w:rFonts w:eastAsia="Times New Roman"/>
          <w:b/>
          <w:sz w:val="24"/>
          <w:szCs w:val="24"/>
        </w:rPr>
        <w:t xml:space="preserve">, to recover from defendant, </w:t>
      </w:r>
      <w:r w:rsidRPr="00B43CC8">
        <w:rPr>
          <w:rFonts w:eastAsia="Times New Roman"/>
          <w:i/>
          <w:sz w:val="24"/>
          <w:szCs w:val="24"/>
        </w:rPr>
        <w:t>(name)</w:t>
      </w:r>
      <w:r w:rsidRPr="00B43CC8">
        <w:rPr>
          <w:rFonts w:eastAsia="Times New Roman"/>
          <w:b/>
          <w:sz w:val="24"/>
          <w:szCs w:val="24"/>
        </w:rPr>
        <w:t xml:space="preserve">, on the claim that defendant violated the </w:t>
      </w:r>
      <w:smartTag w:uri="urn:schemas-microsoft-com:office:smarttags" w:element="place">
        <w:smartTag w:uri="urn:schemas-microsoft-com:office:smarttags" w:element="State">
          <w:r w:rsidRPr="00B43CC8">
            <w:rPr>
              <w:rFonts w:eastAsia="Times New Roman"/>
              <w:b/>
              <w:sz w:val="24"/>
              <w:szCs w:val="24"/>
            </w:rPr>
            <w:t>Colorado</w:t>
          </w:r>
        </w:smartTag>
      </w:smartTag>
      <w:r w:rsidRPr="00B43CC8">
        <w:rPr>
          <w:rFonts w:eastAsia="Times New Roman"/>
          <w:b/>
          <w:sz w:val="24"/>
          <w:szCs w:val="24"/>
        </w:rPr>
        <w:t xml:space="preserve"> Consumer Protection Act, you must find that all of the following have been proved by a preponderance of the evidence:</w:t>
      </w:r>
    </w:p>
    <w:p w14:paraId="270C0E4D" w14:textId="77777777" w:rsidR="00B43CC8" w:rsidRPr="00B43CC8" w:rsidRDefault="00B43CC8" w:rsidP="00B43CC8">
      <w:pPr>
        <w:spacing w:after="240"/>
        <w:ind w:firstLine="720"/>
        <w:rPr>
          <w:rFonts w:eastAsia="Times New Roman"/>
          <w:b/>
          <w:sz w:val="24"/>
          <w:szCs w:val="24"/>
        </w:rPr>
      </w:pPr>
      <w:r w:rsidRPr="00B43CC8">
        <w:rPr>
          <w:rFonts w:eastAsia="Times New Roman"/>
          <w:b/>
          <w:sz w:val="24"/>
          <w:szCs w:val="24"/>
        </w:rPr>
        <w:t>1. The defendant (engaged in) (or) (caused another to engage in) a deceptive trade practice;</w:t>
      </w:r>
    </w:p>
    <w:p w14:paraId="148D6A3B" w14:textId="77777777" w:rsidR="00B43CC8" w:rsidRPr="00B43CC8" w:rsidRDefault="00B43CC8" w:rsidP="00B43CC8">
      <w:pPr>
        <w:spacing w:after="240"/>
        <w:ind w:firstLine="720"/>
        <w:rPr>
          <w:rFonts w:eastAsia="Times New Roman"/>
          <w:b/>
          <w:sz w:val="24"/>
          <w:szCs w:val="24"/>
        </w:rPr>
      </w:pPr>
      <w:r w:rsidRPr="00B43CC8">
        <w:rPr>
          <w:rFonts w:eastAsia="Times New Roman"/>
          <w:b/>
          <w:sz w:val="24"/>
          <w:szCs w:val="24"/>
        </w:rPr>
        <w:t>2. The deceptive trade practice occurred in the course of defendant’s (business) (vocation) (occupation);</w:t>
      </w:r>
    </w:p>
    <w:p w14:paraId="10310D23" w14:textId="77777777" w:rsidR="00B43CC8" w:rsidRPr="00B43CC8" w:rsidRDefault="00B43CC8" w:rsidP="00B43CC8">
      <w:pPr>
        <w:spacing w:after="240"/>
        <w:ind w:firstLine="720"/>
        <w:rPr>
          <w:rFonts w:eastAsia="Times New Roman"/>
          <w:b/>
          <w:sz w:val="24"/>
          <w:szCs w:val="24"/>
        </w:rPr>
      </w:pPr>
      <w:r w:rsidRPr="00B43CC8">
        <w:rPr>
          <w:rFonts w:eastAsia="Times New Roman"/>
          <w:b/>
          <w:sz w:val="24"/>
          <w:szCs w:val="24"/>
        </w:rPr>
        <w:t>3. The deceptive trade practice significantly impacted the public as actual or potential consumers of the defendant’s (goods) (services) (or) (property);</w:t>
      </w:r>
    </w:p>
    <w:p w14:paraId="44D1B7EE" w14:textId="77777777" w:rsidR="00B43CC8" w:rsidRPr="00B43CC8" w:rsidRDefault="00B43CC8" w:rsidP="00B43CC8">
      <w:pPr>
        <w:spacing w:after="240"/>
        <w:ind w:firstLine="720"/>
        <w:rPr>
          <w:rFonts w:eastAsia="Times New Roman"/>
          <w:b/>
          <w:sz w:val="24"/>
          <w:szCs w:val="24"/>
        </w:rPr>
      </w:pPr>
      <w:r w:rsidRPr="00B43CC8">
        <w:rPr>
          <w:rFonts w:eastAsia="Times New Roman"/>
          <w:b/>
          <w:sz w:val="24"/>
          <w:szCs w:val="24"/>
        </w:rPr>
        <w:t>4. The plaintiff (was an actual or potential consumer of the defendant’s [goods] [services] or [property)] (or) (was injured in the course of [his] [her] [its] business or occupation as a result of the deceptive trade practice); and</w:t>
      </w:r>
    </w:p>
    <w:p w14:paraId="3C89F27D" w14:textId="77777777" w:rsidR="00B43CC8" w:rsidRPr="00B43CC8" w:rsidRDefault="00B43CC8" w:rsidP="00B43CC8">
      <w:pPr>
        <w:spacing w:after="240"/>
        <w:ind w:firstLine="720"/>
        <w:rPr>
          <w:rFonts w:eastAsia="Times New Roman"/>
          <w:b/>
          <w:sz w:val="24"/>
          <w:szCs w:val="24"/>
        </w:rPr>
      </w:pPr>
      <w:r w:rsidRPr="00B43CC8">
        <w:rPr>
          <w:rFonts w:eastAsia="Times New Roman"/>
          <w:b/>
          <w:sz w:val="24"/>
          <w:szCs w:val="24"/>
        </w:rPr>
        <w:t>5. The deceptive trade practice caused actual damages or losses to the plaintiff.</w:t>
      </w:r>
    </w:p>
    <w:p w14:paraId="132874C3" w14:textId="77777777" w:rsidR="00B43CC8" w:rsidRPr="00B43CC8" w:rsidRDefault="00B43CC8" w:rsidP="00B43CC8">
      <w:pPr>
        <w:spacing w:after="240"/>
        <w:ind w:firstLine="720"/>
        <w:rPr>
          <w:rFonts w:eastAsia="Times New Roman"/>
          <w:b/>
          <w:sz w:val="24"/>
          <w:szCs w:val="24"/>
        </w:rPr>
      </w:pPr>
      <w:r w:rsidRPr="00B43CC8">
        <w:rPr>
          <w:rFonts w:eastAsia="Times New Roman"/>
          <w:b/>
          <w:sz w:val="24"/>
          <w:szCs w:val="24"/>
        </w:rPr>
        <w:t>If you find that any one of these statements has not been proved, then your verdict on this claim must be for the defendant.</w:t>
      </w:r>
    </w:p>
    <w:p w14:paraId="12141E08" w14:textId="77777777" w:rsidR="00B43CC8" w:rsidRPr="00B43CC8" w:rsidRDefault="00B43CC8" w:rsidP="00B43CC8">
      <w:pPr>
        <w:spacing w:after="240"/>
        <w:ind w:firstLine="720"/>
        <w:rPr>
          <w:rFonts w:eastAsia="Times New Roman"/>
          <w:b/>
          <w:sz w:val="24"/>
          <w:szCs w:val="24"/>
        </w:rPr>
      </w:pPr>
      <w:r w:rsidRPr="00B43CC8">
        <w:rPr>
          <w:rFonts w:eastAsia="Times New Roman"/>
          <w:b/>
          <w:sz w:val="24"/>
          <w:szCs w:val="24"/>
        </w:rPr>
        <w:t xml:space="preserve">On the other hand, if you find that all of these </w:t>
      </w:r>
      <w:r w:rsidRPr="00B43CC8">
        <w:rPr>
          <w:rFonts w:eastAsia="Times New Roman"/>
          <w:i/>
          <w:sz w:val="24"/>
          <w:szCs w:val="24"/>
        </w:rPr>
        <w:t xml:space="preserve">(number) </w:t>
      </w:r>
      <w:r w:rsidRPr="00B43CC8">
        <w:rPr>
          <w:rFonts w:eastAsia="Times New Roman"/>
          <w:b/>
          <w:sz w:val="24"/>
          <w:szCs w:val="24"/>
        </w:rPr>
        <w:t xml:space="preserve">statements have been proved, (then your verdict must be for the plaintiff) (then you must consider defendant’s affirmative defense of </w:t>
      </w:r>
      <w:r w:rsidRPr="00B43CC8">
        <w:rPr>
          <w:rFonts w:eastAsia="Times New Roman"/>
          <w:i/>
          <w:sz w:val="24"/>
          <w:szCs w:val="24"/>
        </w:rPr>
        <w:t>[insert any affirmative defense that would be a complete defense to plaintiff’s claim]</w:t>
      </w:r>
      <w:r w:rsidRPr="00B43CC8">
        <w:rPr>
          <w:rFonts w:eastAsia="Times New Roman"/>
          <w:b/>
          <w:sz w:val="24"/>
          <w:szCs w:val="24"/>
        </w:rPr>
        <w:t>).</w:t>
      </w:r>
    </w:p>
    <w:p w14:paraId="28D0CD6F" w14:textId="77777777" w:rsidR="00B43CC8" w:rsidRPr="00B43CC8" w:rsidRDefault="00B43CC8" w:rsidP="00B43CC8">
      <w:pPr>
        <w:spacing w:after="240"/>
        <w:ind w:firstLine="720"/>
        <w:rPr>
          <w:rFonts w:eastAsia="Times New Roman"/>
          <w:b/>
          <w:sz w:val="24"/>
          <w:szCs w:val="24"/>
        </w:rPr>
      </w:pPr>
      <w:r w:rsidRPr="00B43CC8">
        <w:rPr>
          <w:rFonts w:eastAsia="Times New Roman"/>
          <w:b/>
          <w:sz w:val="24"/>
          <w:szCs w:val="24"/>
        </w:rPr>
        <w:t>If you find that defendant’s affirmative defense has been proved by a preponderance of the evidence, then your verdict must be for the defendant.</w:t>
      </w:r>
    </w:p>
    <w:p w14:paraId="6D65DB76" w14:textId="77777777" w:rsidR="00B43CC8" w:rsidRPr="00B43CC8" w:rsidRDefault="00B43CC8" w:rsidP="00B43CC8">
      <w:pPr>
        <w:spacing w:after="240"/>
        <w:ind w:firstLine="720"/>
        <w:rPr>
          <w:rFonts w:eastAsia="Times New Roman"/>
          <w:b/>
          <w:sz w:val="24"/>
          <w:szCs w:val="24"/>
        </w:rPr>
      </w:pPr>
      <w:r w:rsidRPr="00B43CC8">
        <w:rPr>
          <w:rFonts w:eastAsia="Times New Roman"/>
          <w:b/>
          <w:sz w:val="24"/>
          <w:szCs w:val="24"/>
        </w:rPr>
        <w:t>However, if you find that the affirmative defense has not been proved, then your verdict must be for the plaintiff.</w:t>
      </w:r>
    </w:p>
    <w:p w14:paraId="77A12A49" w14:textId="77777777" w:rsidR="007952B2" w:rsidRDefault="007952B2" w:rsidP="007952B2">
      <w:pPr>
        <w:jc w:val="center"/>
        <w:rPr>
          <w:rFonts w:eastAsia="Times New Roman"/>
          <w:sz w:val="24"/>
          <w:szCs w:val="24"/>
        </w:rPr>
      </w:pPr>
    </w:p>
    <w:p w14:paraId="7CE02C6D" w14:textId="77777777" w:rsidR="007952B2" w:rsidRPr="0054263B" w:rsidRDefault="007952B2" w:rsidP="007952B2">
      <w:pPr>
        <w:keepNext/>
        <w:spacing w:after="240"/>
        <w:jc w:val="center"/>
        <w:rPr>
          <w:rFonts w:eastAsia="Times New Roman"/>
          <w:b/>
          <w:sz w:val="24"/>
          <w:szCs w:val="24"/>
        </w:rPr>
      </w:pPr>
      <w:r w:rsidRPr="0054263B">
        <w:rPr>
          <w:rFonts w:eastAsia="Times New Roman"/>
          <w:b/>
          <w:sz w:val="24"/>
          <w:szCs w:val="24"/>
        </w:rPr>
        <w:t>Notes on Use</w:t>
      </w:r>
    </w:p>
    <w:p w14:paraId="3F153FD1" w14:textId="77777777" w:rsidR="00B43CC8" w:rsidRPr="00B43CC8" w:rsidRDefault="00B43CC8" w:rsidP="00B43CC8">
      <w:pPr>
        <w:spacing w:after="240"/>
        <w:ind w:firstLine="720"/>
        <w:rPr>
          <w:rFonts w:eastAsia="Times New Roman"/>
          <w:sz w:val="24"/>
          <w:szCs w:val="24"/>
        </w:rPr>
      </w:pPr>
      <w:r w:rsidRPr="00B43CC8">
        <w:rPr>
          <w:rFonts w:eastAsia="Times New Roman"/>
          <w:sz w:val="24"/>
          <w:szCs w:val="24"/>
        </w:rPr>
        <w:t>1. Omit any numb</w:t>
      </w:r>
      <w:smartTag w:uri="urn:schemas-microsoft-com:office:smarttags" w:element="PersonName">
        <w:r w:rsidRPr="00B43CC8">
          <w:rPr>
            <w:rFonts w:eastAsia="Times New Roman"/>
            <w:sz w:val="24"/>
            <w:szCs w:val="24"/>
          </w:rPr>
          <w:t>e</w:t>
        </w:r>
      </w:smartTag>
      <w:r w:rsidRPr="00B43CC8">
        <w:rPr>
          <w:rFonts w:eastAsia="Times New Roman"/>
          <w:sz w:val="24"/>
          <w:szCs w:val="24"/>
        </w:rPr>
        <w:t>r</w:t>
      </w:r>
      <w:smartTag w:uri="urn:schemas-microsoft-com:office:smarttags" w:element="PersonName">
        <w:r w:rsidRPr="00B43CC8">
          <w:rPr>
            <w:rFonts w:eastAsia="Times New Roman"/>
            <w:sz w:val="24"/>
            <w:szCs w:val="24"/>
          </w:rPr>
          <w:t>e</w:t>
        </w:r>
      </w:smartTag>
      <w:r w:rsidRPr="00B43CC8">
        <w:rPr>
          <w:rFonts w:eastAsia="Times New Roman"/>
          <w:sz w:val="24"/>
          <w:szCs w:val="24"/>
        </w:rPr>
        <w:t>d paragraphs,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facts of which ar</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not in disput</w:t>
      </w:r>
      <w:smartTag w:uri="urn:schemas-microsoft-com:office:smarttags" w:element="PersonName">
        <w:r w:rsidRPr="00B43CC8">
          <w:rPr>
            <w:rFonts w:eastAsia="Times New Roman"/>
            <w:sz w:val="24"/>
            <w:szCs w:val="24"/>
          </w:rPr>
          <w:t>e</w:t>
        </w:r>
      </w:smartTag>
      <w:r w:rsidRPr="00B43CC8">
        <w:rPr>
          <w:rFonts w:eastAsia="Times New Roman"/>
          <w:sz w:val="24"/>
          <w:szCs w:val="24"/>
        </w:rPr>
        <w:t>.</w:t>
      </w:r>
    </w:p>
    <w:p w14:paraId="2D3E1642" w14:textId="77777777" w:rsidR="00B43CC8" w:rsidRPr="00B43CC8" w:rsidRDefault="00B43CC8" w:rsidP="00B43CC8">
      <w:pPr>
        <w:spacing w:after="240"/>
        <w:ind w:firstLine="720"/>
        <w:rPr>
          <w:rFonts w:eastAsia="Times New Roman"/>
          <w:sz w:val="24"/>
          <w:szCs w:val="24"/>
        </w:rPr>
      </w:pPr>
      <w:r w:rsidRPr="00B43CC8">
        <w:rPr>
          <w:rFonts w:eastAsia="Times New Roman"/>
          <w:sz w:val="24"/>
          <w:szCs w:val="24"/>
        </w:rPr>
        <w:t>2. Us</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which</w:t>
      </w:r>
      <w:smartTag w:uri="urn:schemas-microsoft-com:office:smarttags" w:element="PersonName">
        <w:r w:rsidRPr="00B43CC8">
          <w:rPr>
            <w:rFonts w:eastAsia="Times New Roman"/>
            <w:sz w:val="24"/>
            <w:szCs w:val="24"/>
          </w:rPr>
          <w:t>e</w:t>
        </w:r>
      </w:smartTag>
      <w:r w:rsidRPr="00B43CC8">
        <w:rPr>
          <w:rFonts w:eastAsia="Times New Roman"/>
          <w:sz w:val="24"/>
          <w:szCs w:val="24"/>
        </w:rPr>
        <w:t>v</w:t>
      </w:r>
      <w:smartTag w:uri="urn:schemas-microsoft-com:office:smarttags" w:element="PersonName">
        <w:r w:rsidRPr="00B43CC8">
          <w:rPr>
            <w:rFonts w:eastAsia="Times New Roman"/>
            <w:sz w:val="24"/>
            <w:szCs w:val="24"/>
          </w:rPr>
          <w:t>e</w:t>
        </w:r>
      </w:smartTag>
      <w:r w:rsidRPr="00B43CC8">
        <w:rPr>
          <w:rFonts w:eastAsia="Times New Roman"/>
          <w:sz w:val="24"/>
          <w:szCs w:val="24"/>
        </w:rPr>
        <w:t>r par</w:t>
      </w:r>
      <w:smartTag w:uri="urn:schemas-microsoft-com:office:smarttags" w:element="PersonName">
        <w:r w:rsidRPr="00B43CC8">
          <w:rPr>
            <w:rFonts w:eastAsia="Times New Roman"/>
            <w:sz w:val="24"/>
            <w:szCs w:val="24"/>
          </w:rPr>
          <w:t>e</w:t>
        </w:r>
      </w:smartTag>
      <w:r w:rsidRPr="00B43CC8">
        <w:rPr>
          <w:rFonts w:eastAsia="Times New Roman"/>
          <w:sz w:val="24"/>
          <w:szCs w:val="24"/>
        </w:rPr>
        <w:t>nth</w:t>
      </w:r>
      <w:smartTag w:uri="urn:schemas-microsoft-com:office:smarttags" w:element="PersonName">
        <w:r w:rsidRPr="00B43CC8">
          <w:rPr>
            <w:rFonts w:eastAsia="Times New Roman"/>
            <w:sz w:val="24"/>
            <w:szCs w:val="24"/>
          </w:rPr>
          <w:t>e</w:t>
        </w:r>
      </w:smartTag>
      <w:r w:rsidRPr="00B43CC8">
        <w:rPr>
          <w:rFonts w:eastAsia="Times New Roman"/>
          <w:sz w:val="24"/>
          <w:szCs w:val="24"/>
        </w:rPr>
        <w:t>siz</w:t>
      </w:r>
      <w:smartTag w:uri="urn:schemas-microsoft-com:office:smarttags" w:element="PersonName">
        <w:r w:rsidRPr="00B43CC8">
          <w:rPr>
            <w:rFonts w:eastAsia="Times New Roman"/>
            <w:sz w:val="24"/>
            <w:szCs w:val="24"/>
          </w:rPr>
          <w:t>e</w:t>
        </w:r>
      </w:smartTag>
      <w:r w:rsidRPr="00B43CC8">
        <w:rPr>
          <w:rFonts w:eastAsia="Times New Roman"/>
          <w:sz w:val="24"/>
          <w:szCs w:val="24"/>
        </w:rPr>
        <w:t>d or brack</w:t>
      </w:r>
      <w:smartTag w:uri="urn:schemas-microsoft-com:office:smarttags" w:element="PersonName">
        <w:r w:rsidRPr="00B43CC8">
          <w:rPr>
            <w:rFonts w:eastAsia="Times New Roman"/>
            <w:sz w:val="24"/>
            <w:szCs w:val="24"/>
          </w:rPr>
          <w:t>e</w:t>
        </w:r>
      </w:smartTag>
      <w:r w:rsidRPr="00B43CC8">
        <w:rPr>
          <w:rFonts w:eastAsia="Times New Roman"/>
          <w:sz w:val="24"/>
          <w:szCs w:val="24"/>
        </w:rPr>
        <w:t>t</w:t>
      </w:r>
      <w:smartTag w:uri="urn:schemas-microsoft-com:office:smarttags" w:element="PersonName">
        <w:r w:rsidRPr="00B43CC8">
          <w:rPr>
            <w:rFonts w:eastAsia="Times New Roman"/>
            <w:sz w:val="24"/>
            <w:szCs w:val="24"/>
          </w:rPr>
          <w:t>e</w:t>
        </w:r>
      </w:smartTag>
      <w:r w:rsidRPr="00B43CC8">
        <w:rPr>
          <w:rFonts w:eastAsia="Times New Roman"/>
          <w:sz w:val="24"/>
          <w:szCs w:val="24"/>
        </w:rPr>
        <w:t>d portions ar</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appropriat</w:t>
      </w:r>
      <w:smartTag w:uri="urn:schemas-microsoft-com:office:smarttags" w:element="PersonName">
        <w:r w:rsidRPr="00B43CC8">
          <w:rPr>
            <w:rFonts w:eastAsia="Times New Roman"/>
            <w:sz w:val="24"/>
            <w:szCs w:val="24"/>
          </w:rPr>
          <w:t>e</w:t>
        </w:r>
      </w:smartTag>
      <w:r w:rsidRPr="00B43CC8">
        <w:rPr>
          <w:rFonts w:eastAsia="Times New Roman"/>
          <w:sz w:val="24"/>
          <w:szCs w:val="24"/>
        </w:rPr>
        <w:t>.</w:t>
      </w:r>
    </w:p>
    <w:p w14:paraId="41E8B9F1" w14:textId="77777777" w:rsidR="00B43CC8" w:rsidRPr="00B43CC8" w:rsidRDefault="00B43CC8" w:rsidP="00B43CC8">
      <w:pPr>
        <w:spacing w:after="240"/>
        <w:ind w:firstLine="720"/>
        <w:rPr>
          <w:rFonts w:eastAsia="Times New Roman"/>
          <w:sz w:val="24"/>
          <w:szCs w:val="24"/>
        </w:rPr>
      </w:pPr>
      <w:r w:rsidRPr="00B43CC8">
        <w:rPr>
          <w:rFonts w:eastAsia="Times New Roman"/>
          <w:sz w:val="24"/>
          <w:szCs w:val="24"/>
        </w:rPr>
        <w:t>3. Wh</w:t>
      </w:r>
      <w:smartTag w:uri="urn:schemas-microsoft-com:office:smarttags" w:element="PersonName">
        <w:r w:rsidRPr="00B43CC8">
          <w:rPr>
            <w:rFonts w:eastAsia="Times New Roman"/>
            <w:sz w:val="24"/>
            <w:szCs w:val="24"/>
          </w:rPr>
          <w:t>e</w:t>
        </w:r>
      </w:smartTag>
      <w:r w:rsidRPr="00B43CC8">
        <w:rPr>
          <w:rFonts w:eastAsia="Times New Roman"/>
          <w:sz w:val="24"/>
          <w:szCs w:val="24"/>
        </w:rPr>
        <w:t>n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plaintiff is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succ</w:t>
      </w:r>
      <w:smartTag w:uri="urn:schemas-microsoft-com:office:smarttags" w:element="PersonName">
        <w:r w:rsidRPr="00B43CC8">
          <w:rPr>
            <w:rFonts w:eastAsia="Times New Roman"/>
            <w:sz w:val="24"/>
            <w:szCs w:val="24"/>
          </w:rPr>
          <w:t>e</w:t>
        </w:r>
      </w:smartTag>
      <w:r w:rsidRPr="00B43CC8">
        <w:rPr>
          <w:rFonts w:eastAsia="Times New Roman"/>
          <w:sz w:val="24"/>
          <w:szCs w:val="24"/>
        </w:rPr>
        <w:t>ssor-in-int</w:t>
      </w:r>
      <w:smartTag w:uri="urn:schemas-microsoft-com:office:smarttags" w:element="PersonName">
        <w:r w:rsidRPr="00B43CC8">
          <w:rPr>
            <w:rFonts w:eastAsia="Times New Roman"/>
            <w:sz w:val="24"/>
            <w:szCs w:val="24"/>
          </w:rPr>
          <w:t>e</w:t>
        </w:r>
      </w:smartTag>
      <w:r w:rsidRPr="00B43CC8">
        <w:rPr>
          <w:rFonts w:eastAsia="Times New Roman"/>
          <w:sz w:val="24"/>
          <w:szCs w:val="24"/>
        </w:rPr>
        <w:t>r</w:t>
      </w:r>
      <w:smartTag w:uri="urn:schemas-microsoft-com:office:smarttags" w:element="PersonName">
        <w:r w:rsidRPr="00B43CC8">
          <w:rPr>
            <w:rFonts w:eastAsia="Times New Roman"/>
            <w:sz w:val="24"/>
            <w:szCs w:val="24"/>
          </w:rPr>
          <w:t>e</w:t>
        </w:r>
      </w:smartTag>
      <w:r w:rsidRPr="00B43CC8">
        <w:rPr>
          <w:rFonts w:eastAsia="Times New Roman"/>
          <w:sz w:val="24"/>
          <w:szCs w:val="24"/>
        </w:rPr>
        <w:t>st to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actual consumer,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consum</w:t>
      </w:r>
      <w:smartTag w:uri="urn:schemas-microsoft-com:office:smarttags" w:element="PersonName">
        <w:r w:rsidRPr="00B43CC8">
          <w:rPr>
            <w:rFonts w:eastAsia="Times New Roman"/>
            <w:sz w:val="24"/>
            <w:szCs w:val="24"/>
          </w:rPr>
          <w:t>e</w:t>
        </w:r>
      </w:smartTag>
      <w:r w:rsidRPr="00B43CC8">
        <w:rPr>
          <w:rFonts w:eastAsia="Times New Roman"/>
          <w:sz w:val="24"/>
          <w:szCs w:val="24"/>
        </w:rPr>
        <w:t>r’s nam</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should b</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us</w:t>
      </w:r>
      <w:smartTag w:uri="urn:schemas-microsoft-com:office:smarttags" w:element="PersonName">
        <w:r w:rsidRPr="00B43CC8">
          <w:rPr>
            <w:rFonts w:eastAsia="Times New Roman"/>
            <w:sz w:val="24"/>
            <w:szCs w:val="24"/>
          </w:rPr>
          <w:t>e</w:t>
        </w:r>
      </w:smartTag>
      <w:r w:rsidRPr="00B43CC8">
        <w:rPr>
          <w:rFonts w:eastAsia="Times New Roman"/>
          <w:sz w:val="24"/>
          <w:szCs w:val="24"/>
        </w:rPr>
        <w:t>d in plac</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of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word “plaintiff” in paragraph 4 of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instruction.</w:t>
      </w:r>
    </w:p>
    <w:p w14:paraId="183235D5" w14:textId="77777777" w:rsidR="00B43CC8" w:rsidRPr="00B43CC8" w:rsidRDefault="00B43CC8" w:rsidP="00B43CC8">
      <w:pPr>
        <w:spacing w:after="240"/>
        <w:ind w:firstLine="720"/>
        <w:rPr>
          <w:rFonts w:eastAsia="Times New Roman"/>
          <w:sz w:val="24"/>
          <w:szCs w:val="24"/>
        </w:rPr>
      </w:pPr>
      <w:r w:rsidRPr="00B43CC8">
        <w:rPr>
          <w:rFonts w:eastAsia="Times New Roman"/>
          <w:sz w:val="24"/>
          <w:szCs w:val="24"/>
        </w:rPr>
        <w:t>4. If th</w:t>
      </w:r>
      <w:smartTag w:uri="urn:schemas-microsoft-com:office:smarttags" w:element="PersonName">
        <w:r w:rsidRPr="00B43CC8">
          <w:rPr>
            <w:rFonts w:eastAsia="Times New Roman"/>
            <w:sz w:val="24"/>
            <w:szCs w:val="24"/>
          </w:rPr>
          <w:t>e</w:t>
        </w:r>
      </w:smartTag>
      <w:r w:rsidRPr="00B43CC8">
        <w:rPr>
          <w:rFonts w:eastAsia="Times New Roman"/>
          <w:sz w:val="24"/>
          <w:szCs w:val="24"/>
        </w:rPr>
        <w:t>r</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ar</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affirmativ</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d</w:t>
      </w:r>
      <w:smartTag w:uri="urn:schemas-microsoft-com:office:smarttags" w:element="PersonName">
        <w:r w:rsidRPr="00B43CC8">
          <w:rPr>
            <w:rFonts w:eastAsia="Times New Roman"/>
            <w:sz w:val="24"/>
            <w:szCs w:val="24"/>
          </w:rPr>
          <w:t>e</w:t>
        </w:r>
      </w:smartTag>
      <w:r w:rsidRPr="00B43CC8">
        <w:rPr>
          <w:rFonts w:eastAsia="Times New Roman"/>
          <w:sz w:val="24"/>
          <w:szCs w:val="24"/>
        </w:rPr>
        <w:t>f</w:t>
      </w:r>
      <w:smartTag w:uri="urn:schemas-microsoft-com:office:smarttags" w:element="PersonName">
        <w:r w:rsidRPr="00B43CC8">
          <w:rPr>
            <w:rFonts w:eastAsia="Times New Roman"/>
            <w:sz w:val="24"/>
            <w:szCs w:val="24"/>
          </w:rPr>
          <w:t>e</w:t>
        </w:r>
      </w:smartTag>
      <w:r w:rsidRPr="00B43CC8">
        <w:rPr>
          <w:rFonts w:eastAsia="Times New Roman"/>
          <w:sz w:val="24"/>
          <w:szCs w:val="24"/>
        </w:rPr>
        <w:t>ns</w:t>
      </w:r>
      <w:smartTag w:uri="urn:schemas-microsoft-com:office:smarttags" w:element="PersonName">
        <w:r w:rsidRPr="00B43CC8">
          <w:rPr>
            <w:rFonts w:eastAsia="Times New Roman"/>
            <w:sz w:val="24"/>
            <w:szCs w:val="24"/>
          </w:rPr>
          <w:t>e</w:t>
        </w:r>
      </w:smartTag>
      <w:r w:rsidRPr="00B43CC8">
        <w:rPr>
          <w:rFonts w:eastAsia="Times New Roman"/>
          <w:sz w:val="24"/>
          <w:szCs w:val="24"/>
        </w:rPr>
        <w:t>s, additional instructions should b</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giv</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n. </w:t>
      </w:r>
      <w:r w:rsidRPr="00B43CC8">
        <w:rPr>
          <w:rFonts w:eastAsia="Times New Roman"/>
          <w:i/>
          <w:sz w:val="24"/>
          <w:szCs w:val="24"/>
        </w:rPr>
        <w:t>See, e.g.</w:t>
      </w:r>
      <w:r w:rsidRPr="00B43CC8">
        <w:rPr>
          <w:rFonts w:eastAsia="Times New Roman"/>
          <w:sz w:val="24"/>
          <w:szCs w:val="24"/>
        </w:rPr>
        <w:t>, § 6-1-106, C.R.S. (exceptions to CCPA applicability).</w:t>
      </w:r>
    </w:p>
    <w:p w14:paraId="5947F9B4" w14:textId="77777777" w:rsidR="00B43CC8" w:rsidRPr="00B43CC8" w:rsidRDefault="00B43CC8" w:rsidP="00B43CC8">
      <w:pPr>
        <w:spacing w:after="240"/>
        <w:ind w:firstLine="720"/>
        <w:rPr>
          <w:rFonts w:eastAsia="Times New Roman"/>
          <w:sz w:val="24"/>
          <w:szCs w:val="24"/>
        </w:rPr>
      </w:pPr>
      <w:r w:rsidRPr="00B43CC8">
        <w:rPr>
          <w:rFonts w:eastAsia="Times New Roman"/>
          <w:sz w:val="24"/>
          <w:szCs w:val="24"/>
        </w:rPr>
        <w:lastRenderedPageBreak/>
        <w:t xml:space="preserve">5. In </w:t>
      </w:r>
      <w:r w:rsidRPr="00B43CC8">
        <w:rPr>
          <w:rFonts w:eastAsia="Times New Roman"/>
          <w:b/>
          <w:sz w:val="24"/>
          <w:szCs w:val="24"/>
        </w:rPr>
        <w:t>Hall v. Walter</w:t>
      </w:r>
      <w:r w:rsidRPr="00B43CC8">
        <w:rPr>
          <w:rFonts w:eastAsia="Times New Roman"/>
          <w:sz w:val="24"/>
          <w:szCs w:val="24"/>
        </w:rPr>
        <w:t>, 969 P.2d 224 (Colo. 1998),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Colorado Supr</w:t>
      </w:r>
      <w:smartTag w:uri="urn:schemas-microsoft-com:office:smarttags" w:element="PersonName">
        <w:r w:rsidRPr="00B43CC8">
          <w:rPr>
            <w:rFonts w:eastAsia="Times New Roman"/>
            <w:sz w:val="24"/>
            <w:szCs w:val="24"/>
          </w:rPr>
          <w:t>e</w:t>
        </w:r>
      </w:smartTag>
      <w:r w:rsidRPr="00B43CC8">
        <w:rPr>
          <w:rFonts w:eastAsia="Times New Roman"/>
          <w:sz w:val="24"/>
          <w:szCs w:val="24"/>
        </w:rPr>
        <w:t>m</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Court 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ld that to </w:t>
      </w:r>
      <w:smartTag w:uri="urn:schemas-microsoft-com:office:smarttags" w:element="PersonName">
        <w:r w:rsidRPr="00B43CC8">
          <w:rPr>
            <w:rFonts w:eastAsia="Times New Roman"/>
            <w:sz w:val="24"/>
            <w:szCs w:val="24"/>
          </w:rPr>
          <w:t>e</w:t>
        </w:r>
      </w:smartTag>
      <w:r w:rsidRPr="00B43CC8">
        <w:rPr>
          <w:rFonts w:eastAsia="Times New Roman"/>
          <w:sz w:val="24"/>
          <w:szCs w:val="24"/>
        </w:rPr>
        <w:t>stablish a privat</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caus</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of action und</w:t>
      </w:r>
      <w:smartTag w:uri="urn:schemas-microsoft-com:office:smarttags" w:element="PersonName">
        <w:r w:rsidRPr="00B43CC8">
          <w:rPr>
            <w:rFonts w:eastAsia="Times New Roman"/>
            <w:sz w:val="24"/>
            <w:szCs w:val="24"/>
          </w:rPr>
          <w:t>e</w:t>
        </w:r>
      </w:smartTag>
      <w:r w:rsidRPr="00B43CC8">
        <w:rPr>
          <w:rFonts w:eastAsia="Times New Roman"/>
          <w:sz w:val="24"/>
          <w:szCs w:val="24"/>
        </w:rPr>
        <w:t>r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CCPA,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plaintiff must prov</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fiv</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distinct </w:t>
      </w:r>
      <w:smartTag w:uri="urn:schemas-microsoft-com:office:smarttags" w:element="PersonName">
        <w:r w:rsidRPr="00B43CC8">
          <w:rPr>
            <w:rFonts w:eastAsia="Times New Roman"/>
            <w:sz w:val="24"/>
            <w:szCs w:val="24"/>
          </w:rPr>
          <w:t>e</w:t>
        </w:r>
      </w:smartTag>
      <w:r w:rsidRPr="00B43CC8">
        <w:rPr>
          <w:rFonts w:eastAsia="Times New Roman"/>
          <w:sz w:val="24"/>
          <w:szCs w:val="24"/>
        </w:rPr>
        <w:t>l</w:t>
      </w:r>
      <w:smartTag w:uri="urn:schemas-microsoft-com:office:smarttags" w:element="PersonName">
        <w:r w:rsidRPr="00B43CC8">
          <w:rPr>
            <w:rFonts w:eastAsia="Times New Roman"/>
            <w:sz w:val="24"/>
            <w:szCs w:val="24"/>
          </w:rPr>
          <w:t>e</w:t>
        </w:r>
      </w:smartTag>
      <w:r w:rsidRPr="00B43CC8">
        <w:rPr>
          <w:rFonts w:eastAsia="Times New Roman"/>
          <w:sz w:val="24"/>
          <w:szCs w:val="24"/>
        </w:rPr>
        <w:t>m</w:t>
      </w:r>
      <w:smartTag w:uri="urn:schemas-microsoft-com:office:smarttags" w:element="PersonName">
        <w:r w:rsidRPr="00B43CC8">
          <w:rPr>
            <w:rFonts w:eastAsia="Times New Roman"/>
            <w:sz w:val="24"/>
            <w:szCs w:val="24"/>
          </w:rPr>
          <w:t>e</w:t>
        </w:r>
      </w:smartTag>
      <w:r w:rsidRPr="00B43CC8">
        <w:rPr>
          <w:rFonts w:eastAsia="Times New Roman"/>
          <w:sz w:val="24"/>
          <w:szCs w:val="24"/>
        </w:rPr>
        <w:t>nts: (1) that d</w:t>
      </w:r>
      <w:smartTag w:uri="urn:schemas-microsoft-com:office:smarttags" w:element="PersonName">
        <w:r w:rsidRPr="00B43CC8">
          <w:rPr>
            <w:rFonts w:eastAsia="Times New Roman"/>
            <w:sz w:val="24"/>
            <w:szCs w:val="24"/>
          </w:rPr>
          <w:t>e</w:t>
        </w:r>
      </w:smartTag>
      <w:r w:rsidRPr="00B43CC8">
        <w:rPr>
          <w:rFonts w:eastAsia="Times New Roman"/>
          <w:sz w:val="24"/>
          <w:szCs w:val="24"/>
        </w:rPr>
        <w:t>f</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ndant </w:t>
      </w:r>
      <w:smartTag w:uri="urn:schemas-microsoft-com:office:smarttags" w:element="PersonName">
        <w:r w:rsidRPr="00B43CC8">
          <w:rPr>
            <w:rFonts w:eastAsia="Times New Roman"/>
            <w:sz w:val="24"/>
            <w:szCs w:val="24"/>
          </w:rPr>
          <w:t>e</w:t>
        </w:r>
      </w:smartTag>
      <w:r w:rsidRPr="00B43CC8">
        <w:rPr>
          <w:rFonts w:eastAsia="Times New Roman"/>
          <w:sz w:val="24"/>
          <w:szCs w:val="24"/>
        </w:rPr>
        <w:t>ngag</w:t>
      </w:r>
      <w:smartTag w:uri="urn:schemas-microsoft-com:office:smarttags" w:element="PersonName">
        <w:r w:rsidRPr="00B43CC8">
          <w:rPr>
            <w:rFonts w:eastAsia="Times New Roman"/>
            <w:sz w:val="24"/>
            <w:szCs w:val="24"/>
          </w:rPr>
          <w:t>e</w:t>
        </w:r>
      </w:smartTag>
      <w:r w:rsidRPr="00B43CC8">
        <w:rPr>
          <w:rFonts w:eastAsia="Times New Roman"/>
          <w:sz w:val="24"/>
          <w:szCs w:val="24"/>
        </w:rPr>
        <w:t>d in an unfair or d</w:t>
      </w:r>
      <w:smartTag w:uri="urn:schemas-microsoft-com:office:smarttags" w:element="PersonName">
        <w:r w:rsidRPr="00B43CC8">
          <w:rPr>
            <w:rFonts w:eastAsia="Times New Roman"/>
            <w:sz w:val="24"/>
            <w:szCs w:val="24"/>
          </w:rPr>
          <w:t>e</w:t>
        </w:r>
      </w:smartTag>
      <w:r w:rsidRPr="00B43CC8">
        <w:rPr>
          <w:rFonts w:eastAsia="Times New Roman"/>
          <w:sz w:val="24"/>
          <w:szCs w:val="24"/>
        </w:rPr>
        <w:t>c</w:t>
      </w:r>
      <w:smartTag w:uri="urn:schemas-microsoft-com:office:smarttags" w:element="PersonName">
        <w:r w:rsidRPr="00B43CC8">
          <w:rPr>
            <w:rFonts w:eastAsia="Times New Roman"/>
            <w:sz w:val="24"/>
            <w:szCs w:val="24"/>
          </w:rPr>
          <w:t>e</w:t>
        </w:r>
      </w:smartTag>
      <w:r w:rsidRPr="00B43CC8">
        <w:rPr>
          <w:rFonts w:eastAsia="Times New Roman"/>
          <w:sz w:val="24"/>
          <w:szCs w:val="24"/>
        </w:rPr>
        <w:t>ptiv</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trad</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practic</w:t>
      </w:r>
      <w:smartTag w:uri="urn:schemas-microsoft-com:office:smarttags" w:element="PersonName">
        <w:r w:rsidRPr="00B43CC8">
          <w:rPr>
            <w:rFonts w:eastAsia="Times New Roman"/>
            <w:sz w:val="24"/>
            <w:szCs w:val="24"/>
          </w:rPr>
          <w:t>e</w:t>
        </w:r>
      </w:smartTag>
      <w:r w:rsidRPr="00B43CC8">
        <w:rPr>
          <w:rFonts w:eastAsia="Times New Roman"/>
          <w:sz w:val="24"/>
          <w:szCs w:val="24"/>
        </w:rPr>
        <w:t>; (2) that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chall</w:t>
      </w:r>
      <w:smartTag w:uri="urn:schemas-microsoft-com:office:smarttags" w:element="PersonName">
        <w:r w:rsidRPr="00B43CC8">
          <w:rPr>
            <w:rFonts w:eastAsia="Times New Roman"/>
            <w:sz w:val="24"/>
            <w:szCs w:val="24"/>
          </w:rPr>
          <w:t>e</w:t>
        </w:r>
      </w:smartTag>
      <w:r w:rsidRPr="00B43CC8">
        <w:rPr>
          <w:rFonts w:eastAsia="Times New Roman"/>
          <w:sz w:val="24"/>
          <w:szCs w:val="24"/>
        </w:rPr>
        <w:t>ng</w:t>
      </w:r>
      <w:smartTag w:uri="urn:schemas-microsoft-com:office:smarttags" w:element="PersonName">
        <w:r w:rsidRPr="00B43CC8">
          <w:rPr>
            <w:rFonts w:eastAsia="Times New Roman"/>
            <w:sz w:val="24"/>
            <w:szCs w:val="24"/>
          </w:rPr>
          <w:t>e</w:t>
        </w:r>
      </w:smartTag>
      <w:r w:rsidRPr="00B43CC8">
        <w:rPr>
          <w:rFonts w:eastAsia="Times New Roman"/>
          <w:sz w:val="24"/>
          <w:szCs w:val="24"/>
        </w:rPr>
        <w:t>d practic</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occurr</w:t>
      </w:r>
      <w:smartTag w:uri="urn:schemas-microsoft-com:office:smarttags" w:element="PersonName">
        <w:r w:rsidRPr="00B43CC8">
          <w:rPr>
            <w:rFonts w:eastAsia="Times New Roman"/>
            <w:sz w:val="24"/>
            <w:szCs w:val="24"/>
          </w:rPr>
          <w:t>e</w:t>
        </w:r>
      </w:smartTag>
      <w:r w:rsidRPr="00B43CC8">
        <w:rPr>
          <w:rFonts w:eastAsia="Times New Roman"/>
          <w:sz w:val="24"/>
          <w:szCs w:val="24"/>
        </w:rPr>
        <w:t>d in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cours</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of d</w:t>
      </w:r>
      <w:smartTag w:uri="urn:schemas-microsoft-com:office:smarttags" w:element="PersonName">
        <w:r w:rsidRPr="00B43CC8">
          <w:rPr>
            <w:rFonts w:eastAsia="Times New Roman"/>
            <w:sz w:val="24"/>
            <w:szCs w:val="24"/>
          </w:rPr>
          <w:t>e</w:t>
        </w:r>
      </w:smartTag>
      <w:r w:rsidRPr="00B43CC8">
        <w:rPr>
          <w:rFonts w:eastAsia="Times New Roman"/>
          <w:sz w:val="24"/>
          <w:szCs w:val="24"/>
        </w:rPr>
        <w:t>f</w:t>
      </w:r>
      <w:smartTag w:uri="urn:schemas-microsoft-com:office:smarttags" w:element="PersonName">
        <w:r w:rsidRPr="00B43CC8">
          <w:rPr>
            <w:rFonts w:eastAsia="Times New Roman"/>
            <w:sz w:val="24"/>
            <w:szCs w:val="24"/>
          </w:rPr>
          <w:t>e</w:t>
        </w:r>
      </w:smartTag>
      <w:r w:rsidRPr="00B43CC8">
        <w:rPr>
          <w:rFonts w:eastAsia="Times New Roman"/>
          <w:sz w:val="24"/>
          <w:szCs w:val="24"/>
        </w:rPr>
        <w:t>ndant’s busin</w:t>
      </w:r>
      <w:smartTag w:uri="urn:schemas-microsoft-com:office:smarttags" w:element="PersonName">
        <w:r w:rsidRPr="00B43CC8">
          <w:rPr>
            <w:rFonts w:eastAsia="Times New Roman"/>
            <w:sz w:val="24"/>
            <w:szCs w:val="24"/>
          </w:rPr>
          <w:t>e</w:t>
        </w:r>
      </w:smartTag>
      <w:r w:rsidRPr="00B43CC8">
        <w:rPr>
          <w:rFonts w:eastAsia="Times New Roman"/>
          <w:sz w:val="24"/>
          <w:szCs w:val="24"/>
        </w:rPr>
        <w:t>ss, vocation, or occupation; (3) that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practic</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significantly impact</w:t>
      </w:r>
      <w:smartTag w:uri="urn:schemas-microsoft-com:office:smarttags" w:element="PersonName">
        <w:r w:rsidRPr="00B43CC8">
          <w:rPr>
            <w:rFonts w:eastAsia="Times New Roman"/>
            <w:sz w:val="24"/>
            <w:szCs w:val="24"/>
          </w:rPr>
          <w:t>e</w:t>
        </w:r>
      </w:smartTag>
      <w:r w:rsidRPr="00B43CC8">
        <w:rPr>
          <w:rFonts w:eastAsia="Times New Roman"/>
          <w:sz w:val="24"/>
          <w:szCs w:val="24"/>
        </w:rPr>
        <w:t>d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public as actual or pot</w:t>
      </w:r>
      <w:smartTag w:uri="urn:schemas-microsoft-com:office:smarttags" w:element="PersonName">
        <w:r w:rsidRPr="00B43CC8">
          <w:rPr>
            <w:rFonts w:eastAsia="Times New Roman"/>
            <w:sz w:val="24"/>
            <w:szCs w:val="24"/>
          </w:rPr>
          <w:t>e</w:t>
        </w:r>
      </w:smartTag>
      <w:r w:rsidRPr="00B43CC8">
        <w:rPr>
          <w:rFonts w:eastAsia="Times New Roman"/>
          <w:sz w:val="24"/>
          <w:szCs w:val="24"/>
        </w:rPr>
        <w:t>ntial consum</w:t>
      </w:r>
      <w:smartTag w:uri="urn:schemas-microsoft-com:office:smarttags" w:element="PersonName">
        <w:r w:rsidRPr="00B43CC8">
          <w:rPr>
            <w:rFonts w:eastAsia="Times New Roman"/>
            <w:sz w:val="24"/>
            <w:szCs w:val="24"/>
          </w:rPr>
          <w:t>e</w:t>
        </w:r>
      </w:smartTag>
      <w:r w:rsidRPr="00B43CC8">
        <w:rPr>
          <w:rFonts w:eastAsia="Times New Roman"/>
          <w:sz w:val="24"/>
          <w:szCs w:val="24"/>
        </w:rPr>
        <w:t>rs of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d</w:t>
      </w:r>
      <w:smartTag w:uri="urn:schemas-microsoft-com:office:smarttags" w:element="PersonName">
        <w:r w:rsidRPr="00B43CC8">
          <w:rPr>
            <w:rFonts w:eastAsia="Times New Roman"/>
            <w:sz w:val="24"/>
            <w:szCs w:val="24"/>
          </w:rPr>
          <w:t>e</w:t>
        </w:r>
      </w:smartTag>
      <w:r w:rsidRPr="00B43CC8">
        <w:rPr>
          <w:rFonts w:eastAsia="Times New Roman"/>
          <w:sz w:val="24"/>
          <w:szCs w:val="24"/>
        </w:rPr>
        <w:t>f</w:t>
      </w:r>
      <w:smartTag w:uri="urn:schemas-microsoft-com:office:smarttags" w:element="PersonName">
        <w:r w:rsidRPr="00B43CC8">
          <w:rPr>
            <w:rFonts w:eastAsia="Times New Roman"/>
            <w:sz w:val="24"/>
            <w:szCs w:val="24"/>
          </w:rPr>
          <w:t>e</w:t>
        </w:r>
      </w:smartTag>
      <w:r w:rsidRPr="00B43CC8">
        <w:rPr>
          <w:rFonts w:eastAsia="Times New Roman"/>
          <w:sz w:val="24"/>
          <w:szCs w:val="24"/>
        </w:rPr>
        <w:t>ndant’s goods, s</w:t>
      </w:r>
      <w:smartTag w:uri="urn:schemas-microsoft-com:office:smarttags" w:element="PersonName">
        <w:r w:rsidRPr="00B43CC8">
          <w:rPr>
            <w:rFonts w:eastAsia="Times New Roman"/>
            <w:sz w:val="24"/>
            <w:szCs w:val="24"/>
          </w:rPr>
          <w:t>e</w:t>
        </w:r>
      </w:smartTag>
      <w:r w:rsidRPr="00B43CC8">
        <w:rPr>
          <w:rFonts w:eastAsia="Times New Roman"/>
          <w:sz w:val="24"/>
          <w:szCs w:val="24"/>
        </w:rPr>
        <w:t>rvic</w:t>
      </w:r>
      <w:smartTag w:uri="urn:schemas-microsoft-com:office:smarttags" w:element="PersonName">
        <w:r w:rsidRPr="00B43CC8">
          <w:rPr>
            <w:rFonts w:eastAsia="Times New Roman"/>
            <w:sz w:val="24"/>
            <w:szCs w:val="24"/>
          </w:rPr>
          <w:t>e</w:t>
        </w:r>
      </w:smartTag>
      <w:r w:rsidRPr="00B43CC8">
        <w:rPr>
          <w:rFonts w:eastAsia="Times New Roman"/>
          <w:sz w:val="24"/>
          <w:szCs w:val="24"/>
        </w:rPr>
        <w:t>s, or prop</w:t>
      </w:r>
      <w:smartTag w:uri="urn:schemas-microsoft-com:office:smarttags" w:element="PersonName">
        <w:r w:rsidRPr="00B43CC8">
          <w:rPr>
            <w:rFonts w:eastAsia="Times New Roman"/>
            <w:sz w:val="24"/>
            <w:szCs w:val="24"/>
          </w:rPr>
          <w:t>e</w:t>
        </w:r>
      </w:smartTag>
      <w:r w:rsidRPr="00B43CC8">
        <w:rPr>
          <w:rFonts w:eastAsia="Times New Roman"/>
          <w:sz w:val="24"/>
          <w:szCs w:val="24"/>
        </w:rPr>
        <w:t>rty; (4) that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plaintiff suff</w:t>
      </w:r>
      <w:smartTag w:uri="urn:schemas-microsoft-com:office:smarttags" w:element="PersonName">
        <w:r w:rsidRPr="00B43CC8">
          <w:rPr>
            <w:rFonts w:eastAsia="Times New Roman"/>
            <w:sz w:val="24"/>
            <w:szCs w:val="24"/>
          </w:rPr>
          <w:t>e</w:t>
        </w:r>
      </w:smartTag>
      <w:r w:rsidRPr="00B43CC8">
        <w:rPr>
          <w:rFonts w:eastAsia="Times New Roman"/>
          <w:sz w:val="24"/>
          <w:szCs w:val="24"/>
        </w:rPr>
        <w:t>r</w:t>
      </w:r>
      <w:smartTag w:uri="urn:schemas-microsoft-com:office:smarttags" w:element="PersonName">
        <w:r w:rsidRPr="00B43CC8">
          <w:rPr>
            <w:rFonts w:eastAsia="Times New Roman"/>
            <w:sz w:val="24"/>
            <w:szCs w:val="24"/>
          </w:rPr>
          <w:t>e</w:t>
        </w:r>
      </w:smartTag>
      <w:r w:rsidRPr="00B43CC8">
        <w:rPr>
          <w:rFonts w:eastAsia="Times New Roman"/>
          <w:sz w:val="24"/>
          <w:szCs w:val="24"/>
        </w:rPr>
        <w:t>d injury in fact to a l</w:t>
      </w:r>
      <w:smartTag w:uri="urn:schemas-microsoft-com:office:smarttags" w:element="PersonName">
        <w:r w:rsidRPr="00B43CC8">
          <w:rPr>
            <w:rFonts w:eastAsia="Times New Roman"/>
            <w:sz w:val="24"/>
            <w:szCs w:val="24"/>
          </w:rPr>
          <w:t>e</w:t>
        </w:r>
      </w:smartTag>
      <w:r w:rsidRPr="00B43CC8">
        <w:rPr>
          <w:rFonts w:eastAsia="Times New Roman"/>
          <w:sz w:val="24"/>
          <w:szCs w:val="24"/>
        </w:rPr>
        <w:t>gally prot</w:t>
      </w:r>
      <w:smartTag w:uri="urn:schemas-microsoft-com:office:smarttags" w:element="PersonName">
        <w:r w:rsidRPr="00B43CC8">
          <w:rPr>
            <w:rFonts w:eastAsia="Times New Roman"/>
            <w:sz w:val="24"/>
            <w:szCs w:val="24"/>
          </w:rPr>
          <w:t>e</w:t>
        </w:r>
      </w:smartTag>
      <w:r w:rsidRPr="00B43CC8">
        <w:rPr>
          <w:rFonts w:eastAsia="Times New Roman"/>
          <w:sz w:val="24"/>
          <w:szCs w:val="24"/>
        </w:rPr>
        <w:t>ct</w:t>
      </w:r>
      <w:smartTag w:uri="urn:schemas-microsoft-com:office:smarttags" w:element="PersonName">
        <w:r w:rsidRPr="00B43CC8">
          <w:rPr>
            <w:rFonts w:eastAsia="Times New Roman"/>
            <w:sz w:val="24"/>
            <w:szCs w:val="24"/>
          </w:rPr>
          <w:t>e</w:t>
        </w:r>
      </w:smartTag>
      <w:r w:rsidRPr="00B43CC8">
        <w:rPr>
          <w:rFonts w:eastAsia="Times New Roman"/>
          <w:sz w:val="24"/>
          <w:szCs w:val="24"/>
        </w:rPr>
        <w:t>d int</w:t>
      </w:r>
      <w:smartTag w:uri="urn:schemas-microsoft-com:office:smarttags" w:element="PersonName">
        <w:r w:rsidRPr="00B43CC8">
          <w:rPr>
            <w:rFonts w:eastAsia="Times New Roman"/>
            <w:sz w:val="24"/>
            <w:szCs w:val="24"/>
          </w:rPr>
          <w:t>e</w:t>
        </w:r>
      </w:smartTag>
      <w:r w:rsidRPr="00B43CC8">
        <w:rPr>
          <w:rFonts w:eastAsia="Times New Roman"/>
          <w:sz w:val="24"/>
          <w:szCs w:val="24"/>
        </w:rPr>
        <w:t>r</w:t>
      </w:r>
      <w:smartTag w:uri="urn:schemas-microsoft-com:office:smarttags" w:element="PersonName">
        <w:r w:rsidRPr="00B43CC8">
          <w:rPr>
            <w:rFonts w:eastAsia="Times New Roman"/>
            <w:sz w:val="24"/>
            <w:szCs w:val="24"/>
          </w:rPr>
          <w:t>e</w:t>
        </w:r>
      </w:smartTag>
      <w:r w:rsidRPr="00B43CC8">
        <w:rPr>
          <w:rFonts w:eastAsia="Times New Roman"/>
          <w:sz w:val="24"/>
          <w:szCs w:val="24"/>
        </w:rPr>
        <w:t>st; and (5) that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chall</w:t>
      </w:r>
      <w:smartTag w:uri="urn:schemas-microsoft-com:office:smarttags" w:element="PersonName">
        <w:r w:rsidRPr="00B43CC8">
          <w:rPr>
            <w:rFonts w:eastAsia="Times New Roman"/>
            <w:sz w:val="24"/>
            <w:szCs w:val="24"/>
          </w:rPr>
          <w:t>e</w:t>
        </w:r>
      </w:smartTag>
      <w:r w:rsidRPr="00B43CC8">
        <w:rPr>
          <w:rFonts w:eastAsia="Times New Roman"/>
          <w:sz w:val="24"/>
          <w:szCs w:val="24"/>
        </w:rPr>
        <w:t>ng</w:t>
      </w:r>
      <w:smartTag w:uri="urn:schemas-microsoft-com:office:smarttags" w:element="PersonName">
        <w:r w:rsidRPr="00B43CC8">
          <w:rPr>
            <w:rFonts w:eastAsia="Times New Roman"/>
            <w:sz w:val="24"/>
            <w:szCs w:val="24"/>
          </w:rPr>
          <w:t>e</w:t>
        </w:r>
      </w:smartTag>
      <w:r w:rsidRPr="00B43CC8">
        <w:rPr>
          <w:rFonts w:eastAsia="Times New Roman"/>
          <w:sz w:val="24"/>
          <w:szCs w:val="24"/>
        </w:rPr>
        <w:t>d practic</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caus</w:t>
      </w:r>
      <w:smartTag w:uri="urn:schemas-microsoft-com:office:smarttags" w:element="PersonName">
        <w:r w:rsidRPr="00B43CC8">
          <w:rPr>
            <w:rFonts w:eastAsia="Times New Roman"/>
            <w:sz w:val="24"/>
            <w:szCs w:val="24"/>
          </w:rPr>
          <w:t>e</w:t>
        </w:r>
      </w:smartTag>
      <w:r w:rsidRPr="00B43CC8">
        <w:rPr>
          <w:rFonts w:eastAsia="Times New Roman"/>
          <w:sz w:val="24"/>
          <w:szCs w:val="24"/>
        </w:rPr>
        <w:t>d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plaintiff’s injury. </w:t>
      </w:r>
      <w:r w:rsidRPr="00B43CC8">
        <w:rPr>
          <w:rFonts w:eastAsia="Times New Roman"/>
          <w:i/>
          <w:sz w:val="24"/>
          <w:szCs w:val="24"/>
        </w:rPr>
        <w:t xml:space="preserve">Accord </w:t>
      </w:r>
      <w:r w:rsidRPr="00B43CC8">
        <w:rPr>
          <w:rFonts w:eastAsia="Times New Roman"/>
          <w:b/>
          <w:sz w:val="24"/>
          <w:szCs w:val="24"/>
        </w:rPr>
        <w:t>Brodeur v. Am. Home Assur. Co.</w:t>
      </w:r>
      <w:r w:rsidRPr="00B43CC8">
        <w:rPr>
          <w:rFonts w:eastAsia="Times New Roman"/>
          <w:sz w:val="24"/>
          <w:szCs w:val="24"/>
        </w:rPr>
        <w:t>, 169 P.3d 139 (Colo. 2007);</w:t>
      </w:r>
      <w:r w:rsidRPr="00B43CC8">
        <w:rPr>
          <w:rFonts w:eastAsia="Times New Roman"/>
          <w:b/>
          <w:sz w:val="24"/>
          <w:szCs w:val="24"/>
        </w:rPr>
        <w:t xml:space="preserve"> Crowe v. Tull</w:t>
      </w:r>
      <w:r w:rsidRPr="00B43CC8">
        <w:rPr>
          <w:rFonts w:eastAsia="Times New Roman"/>
          <w:sz w:val="24"/>
          <w:szCs w:val="24"/>
        </w:rPr>
        <w:t>, 126 P.3d 196 (Colo. 2006).</w:t>
      </w:r>
    </w:p>
    <w:p w14:paraId="3943599D" w14:textId="77777777" w:rsidR="00B43CC8" w:rsidRPr="00B43CC8" w:rsidRDefault="00B43CC8" w:rsidP="00B43CC8">
      <w:pPr>
        <w:spacing w:after="240"/>
        <w:ind w:firstLine="720"/>
        <w:rPr>
          <w:rFonts w:eastAsia="Times New Roman"/>
          <w:sz w:val="24"/>
          <w:szCs w:val="24"/>
        </w:rPr>
      </w:pPr>
      <w:r w:rsidRPr="00B43CC8">
        <w:rPr>
          <w:rFonts w:eastAsia="Times New Roman"/>
          <w:sz w:val="24"/>
          <w:szCs w:val="24"/>
        </w:rPr>
        <w:t xml:space="preserve">6. The instruction omits the fourth element stated in </w:t>
      </w:r>
      <w:r w:rsidRPr="00B43CC8">
        <w:rPr>
          <w:rFonts w:eastAsia="Times New Roman"/>
          <w:b/>
          <w:sz w:val="24"/>
          <w:szCs w:val="24"/>
        </w:rPr>
        <w:t>Hall</w:t>
      </w:r>
      <w:r w:rsidRPr="00B43CC8">
        <w:rPr>
          <w:rFonts w:eastAsia="Times New Roman"/>
          <w:sz w:val="24"/>
          <w:szCs w:val="24"/>
        </w:rPr>
        <w:t xml:space="preserve">, 969 P.2d at 235, that plaintiff suffered injury-in-fact to a legally protected interest. This element presents a question of law as to standing and will thus not be submitted for jury determination. </w:t>
      </w:r>
      <w:r w:rsidRPr="00B43CC8">
        <w:rPr>
          <w:rFonts w:eastAsia="Times New Roman"/>
          <w:i/>
          <w:sz w:val="24"/>
          <w:szCs w:val="24"/>
        </w:rPr>
        <w:t>But see</w:t>
      </w:r>
      <w:r w:rsidRPr="00B43CC8">
        <w:rPr>
          <w:rFonts w:eastAsia="Times New Roman"/>
          <w:sz w:val="24"/>
          <w:szCs w:val="24"/>
        </w:rPr>
        <w:t xml:space="preserve"> </w:t>
      </w:r>
      <w:r w:rsidRPr="00B43CC8">
        <w:rPr>
          <w:rFonts w:eastAsia="Times New Roman"/>
          <w:b/>
          <w:sz w:val="24"/>
          <w:szCs w:val="24"/>
        </w:rPr>
        <w:t>Anson v. Trujillo</w:t>
      </w:r>
      <w:r w:rsidRPr="00B43CC8">
        <w:rPr>
          <w:rFonts w:eastAsia="Times New Roman"/>
          <w:sz w:val="24"/>
          <w:szCs w:val="24"/>
        </w:rPr>
        <w:t xml:space="preserve">, 56 P.3d 114 (Colo. App. 2002). Injuries to property are a legally protected interest actionable under the CCPA. </w:t>
      </w:r>
      <w:r w:rsidRPr="00B43CC8">
        <w:rPr>
          <w:rFonts w:eastAsia="Times New Roman"/>
          <w:b/>
          <w:sz w:val="24"/>
          <w:szCs w:val="24"/>
        </w:rPr>
        <w:t>Hall</w:t>
      </w:r>
      <w:r w:rsidRPr="00B43CC8">
        <w:rPr>
          <w:rFonts w:eastAsia="Times New Roman"/>
          <w:sz w:val="24"/>
          <w:szCs w:val="24"/>
        </w:rPr>
        <w:t>, 969 P.2d at 237.</w:t>
      </w:r>
    </w:p>
    <w:p w14:paraId="67D1B31A" w14:textId="77777777" w:rsidR="00B43CC8" w:rsidRPr="00B43CC8" w:rsidRDefault="00B43CC8" w:rsidP="00B43CC8">
      <w:pPr>
        <w:spacing w:after="240"/>
        <w:ind w:firstLine="720"/>
        <w:rPr>
          <w:rFonts w:eastAsia="Times New Roman"/>
          <w:sz w:val="24"/>
          <w:szCs w:val="24"/>
        </w:rPr>
      </w:pPr>
      <w:r w:rsidRPr="00B43CC8">
        <w:rPr>
          <w:rFonts w:eastAsia="Times New Roman"/>
          <w:sz w:val="24"/>
          <w:szCs w:val="24"/>
        </w:rPr>
        <w:t xml:space="preserve">7. While the causation and injury requirements may be inferred from circumstantial evidence common to a class sought to be certified under C.R.C.P. 23, the trial court must rigorously analyze individuals presented to determine if class-wide inferences are appropriate. </w:t>
      </w:r>
      <w:r w:rsidRPr="00B43CC8">
        <w:rPr>
          <w:rFonts w:eastAsia="Times New Roman"/>
          <w:b/>
          <w:sz w:val="24"/>
          <w:szCs w:val="24"/>
        </w:rPr>
        <w:t>Garcia v. Medved Chevrolet, Inc.</w:t>
      </w:r>
      <w:r w:rsidRPr="00B43CC8">
        <w:rPr>
          <w:rFonts w:eastAsia="Times New Roman"/>
          <w:sz w:val="24"/>
          <w:szCs w:val="24"/>
        </w:rPr>
        <w:t xml:space="preserve">, 263 P.3d 92 (Colo. 2011) (affirming court of appeals remand of class certification order to analyze the effect of individualized rebuttal evidence of new car sales transactions). </w:t>
      </w:r>
    </w:p>
    <w:p w14:paraId="72D0C8D4" w14:textId="77777777" w:rsidR="007952B2" w:rsidRPr="0054263B" w:rsidRDefault="007952B2" w:rsidP="007952B2">
      <w:pPr>
        <w:keepNext/>
        <w:spacing w:after="240"/>
        <w:jc w:val="center"/>
        <w:rPr>
          <w:rFonts w:eastAsia="Times New Roman"/>
          <w:b/>
          <w:sz w:val="24"/>
          <w:szCs w:val="24"/>
        </w:rPr>
      </w:pPr>
      <w:r>
        <w:rPr>
          <w:rFonts w:eastAsia="Times New Roman"/>
          <w:b/>
          <w:sz w:val="24"/>
          <w:szCs w:val="24"/>
        </w:rPr>
        <w:t>Source and Authority</w:t>
      </w:r>
    </w:p>
    <w:p w14:paraId="4EB56BCB" w14:textId="77777777" w:rsidR="00B43CC8" w:rsidRPr="00B43CC8" w:rsidRDefault="00B43CC8" w:rsidP="00B43CC8">
      <w:pPr>
        <w:spacing w:after="240"/>
        <w:ind w:firstLine="720"/>
        <w:rPr>
          <w:rFonts w:eastAsia="Times New Roman"/>
          <w:sz w:val="24"/>
          <w:szCs w:val="24"/>
        </w:rPr>
      </w:pPr>
      <w:r w:rsidRPr="00B43CC8">
        <w:rPr>
          <w:rFonts w:eastAsia="Times New Roman"/>
          <w:sz w:val="24"/>
          <w:szCs w:val="24"/>
        </w:rPr>
        <w:t>1. This instruction is support</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d by section 6-1-113(1), C.R.S.; </w:t>
      </w:r>
      <w:r w:rsidRPr="00B43CC8">
        <w:rPr>
          <w:rFonts w:eastAsia="Times New Roman"/>
          <w:b/>
          <w:sz w:val="24"/>
          <w:szCs w:val="24"/>
        </w:rPr>
        <w:t>Brodeur</w:t>
      </w:r>
      <w:r w:rsidRPr="00B43CC8">
        <w:rPr>
          <w:rFonts w:eastAsia="Times New Roman"/>
          <w:sz w:val="24"/>
          <w:szCs w:val="24"/>
        </w:rPr>
        <w:t xml:space="preserve">, 169 P.3d at 155; </w:t>
      </w:r>
      <w:r w:rsidRPr="00B43CC8">
        <w:rPr>
          <w:rFonts w:eastAsia="Times New Roman"/>
          <w:b/>
          <w:sz w:val="24"/>
          <w:szCs w:val="24"/>
        </w:rPr>
        <w:t>Rhino Linings USA, Inc. v. Rocky Mountain Rhino Lining, Inc.</w:t>
      </w:r>
      <w:r w:rsidRPr="00B43CC8">
        <w:rPr>
          <w:rFonts w:eastAsia="Times New Roman"/>
          <w:sz w:val="24"/>
          <w:szCs w:val="24"/>
        </w:rPr>
        <w:t>,</w:t>
      </w:r>
      <w:r w:rsidRPr="00B43CC8">
        <w:rPr>
          <w:rFonts w:eastAsia="Times New Roman"/>
          <w:b/>
          <w:sz w:val="24"/>
          <w:szCs w:val="24"/>
        </w:rPr>
        <w:t xml:space="preserve"> </w:t>
      </w:r>
      <w:r w:rsidRPr="00B43CC8">
        <w:rPr>
          <w:rFonts w:eastAsia="Times New Roman"/>
          <w:sz w:val="24"/>
          <w:szCs w:val="24"/>
        </w:rPr>
        <w:t>62 P.3d 142 (</w:t>
      </w:r>
      <w:smartTag w:uri="urn:schemas-microsoft-com:office:smarttags" w:element="State">
        <w:smartTag w:uri="urn:schemas-microsoft-com:office:smarttags" w:element="place">
          <w:r w:rsidRPr="00B43CC8">
            <w:rPr>
              <w:rFonts w:eastAsia="Times New Roman"/>
              <w:sz w:val="24"/>
              <w:szCs w:val="24"/>
            </w:rPr>
            <w:t>Colo.</w:t>
          </w:r>
        </w:smartTag>
      </w:smartTag>
      <w:r w:rsidRPr="00B43CC8">
        <w:rPr>
          <w:rFonts w:eastAsia="Times New Roman"/>
          <w:sz w:val="24"/>
          <w:szCs w:val="24"/>
        </w:rPr>
        <w:t xml:space="preserve"> 2003); </w:t>
      </w:r>
      <w:r w:rsidRPr="00B43CC8">
        <w:rPr>
          <w:rFonts w:eastAsia="Times New Roman"/>
          <w:b/>
          <w:sz w:val="24"/>
          <w:szCs w:val="24"/>
        </w:rPr>
        <w:t>Hall</w:t>
      </w:r>
      <w:r w:rsidRPr="00B43CC8">
        <w:rPr>
          <w:rFonts w:eastAsia="Times New Roman"/>
          <w:sz w:val="24"/>
          <w:szCs w:val="24"/>
        </w:rPr>
        <w:t xml:space="preserve">, 969 P.2d at 235; and </w:t>
      </w:r>
      <w:r w:rsidRPr="00B43CC8">
        <w:rPr>
          <w:rFonts w:eastAsia="Times New Roman"/>
          <w:b/>
          <w:sz w:val="24"/>
          <w:szCs w:val="24"/>
        </w:rPr>
        <w:t>Park Rise Homeowners Ass’n v. Resource Construction Co.</w:t>
      </w:r>
      <w:r w:rsidRPr="00B43CC8">
        <w:rPr>
          <w:rFonts w:eastAsia="Times New Roman"/>
          <w:sz w:val="24"/>
          <w:szCs w:val="24"/>
        </w:rPr>
        <w:t>, 155 P.3d 427 (Colo. App. 2006).</w:t>
      </w:r>
    </w:p>
    <w:p w14:paraId="20F5317A" w14:textId="77777777" w:rsidR="00B43CC8" w:rsidRPr="00B43CC8" w:rsidRDefault="00B43CC8" w:rsidP="00B43CC8">
      <w:pPr>
        <w:spacing w:after="240"/>
        <w:ind w:firstLine="720"/>
        <w:rPr>
          <w:rFonts w:eastAsia="Times New Roman"/>
          <w:sz w:val="24"/>
          <w:szCs w:val="24"/>
        </w:rPr>
      </w:pPr>
      <w:r w:rsidRPr="00B43CC8">
        <w:rPr>
          <w:rFonts w:eastAsia="Times New Roman"/>
          <w:sz w:val="24"/>
          <w:szCs w:val="24"/>
        </w:rPr>
        <w:t xml:space="preserve">2. Section 6-1-115, C.R.S., provides a three-year limitation of action period for actions brought under the CCPA, which period may be extended by one year if plaintiff can prove conduct by the defendant that induced the failure to commence suit on a timely basis. Given this statutory extension provision, equitable tolling may not be applied to extend the CCPA’s statute of limitations further. </w:t>
      </w:r>
      <w:r w:rsidRPr="00B43CC8">
        <w:rPr>
          <w:rFonts w:eastAsia="Times New Roman"/>
          <w:b/>
          <w:sz w:val="24"/>
          <w:szCs w:val="24"/>
        </w:rPr>
        <w:t>Damian v. Mtn. Parks Elec., Inc.</w:t>
      </w:r>
      <w:r w:rsidRPr="00B43CC8">
        <w:rPr>
          <w:rFonts w:eastAsia="Times New Roman"/>
          <w:sz w:val="24"/>
          <w:szCs w:val="24"/>
        </w:rPr>
        <w:t>, 2012 COA 217, ¶ 17, 310 P.3d 242.</w:t>
      </w:r>
    </w:p>
    <w:p w14:paraId="7977C9EB" w14:textId="77777777" w:rsidR="00B43CC8" w:rsidRPr="00B43CC8" w:rsidRDefault="00B43CC8" w:rsidP="00B43CC8">
      <w:pPr>
        <w:spacing w:after="240"/>
        <w:ind w:firstLine="720"/>
        <w:rPr>
          <w:rFonts w:eastAsia="Times New Roman"/>
          <w:sz w:val="24"/>
          <w:szCs w:val="24"/>
        </w:rPr>
      </w:pPr>
      <w:r w:rsidRPr="00B43CC8">
        <w:rPr>
          <w:rFonts w:eastAsia="Times New Roman"/>
          <w:sz w:val="24"/>
          <w:szCs w:val="24"/>
        </w:rPr>
        <w:t xml:space="preserve">3. The CCPA is not an exclusive remedy. § 6-1-105(3), C.R.S. A private cause of action under the CCPA is cumulative of other statutory and common-law remedies, and a “plaintiff may bring both ‘CCPA and other causes of action based on the same facts.’” </w:t>
      </w:r>
      <w:r w:rsidRPr="00B43CC8">
        <w:rPr>
          <w:rFonts w:eastAsia="Times New Roman"/>
          <w:b/>
          <w:sz w:val="24"/>
          <w:szCs w:val="24"/>
        </w:rPr>
        <w:t>Hall</w:t>
      </w:r>
      <w:r w:rsidRPr="00B43CC8">
        <w:rPr>
          <w:rFonts w:eastAsia="Times New Roman"/>
          <w:sz w:val="24"/>
          <w:szCs w:val="24"/>
        </w:rPr>
        <w:t xml:space="preserve">, 969 P.2d at 237 (quoting </w:t>
      </w:r>
      <w:r w:rsidRPr="00B43CC8">
        <w:rPr>
          <w:rFonts w:eastAsia="Times New Roman"/>
          <w:b/>
          <w:sz w:val="24"/>
          <w:szCs w:val="24"/>
        </w:rPr>
        <w:t>Lexton-Ancira Real Estate Fund, 1972 v. Heller</w:t>
      </w:r>
      <w:r w:rsidRPr="00B43CC8">
        <w:rPr>
          <w:rFonts w:eastAsia="Times New Roman"/>
          <w:sz w:val="24"/>
          <w:szCs w:val="24"/>
        </w:rPr>
        <w:t xml:space="preserve">, 826 P.2d 819, 823 (Colo. 1992)). </w:t>
      </w:r>
      <w:r w:rsidRPr="00B43CC8">
        <w:rPr>
          <w:rFonts w:eastAsia="Times New Roman"/>
          <w:i/>
          <w:sz w:val="24"/>
          <w:szCs w:val="24"/>
        </w:rPr>
        <w:t>See also</w:t>
      </w:r>
      <w:r w:rsidRPr="00B43CC8">
        <w:rPr>
          <w:rFonts w:eastAsia="Times New Roman"/>
          <w:sz w:val="24"/>
          <w:szCs w:val="24"/>
        </w:rPr>
        <w:t xml:space="preserve"> </w:t>
      </w:r>
      <w:r w:rsidRPr="00B43CC8">
        <w:rPr>
          <w:rFonts w:eastAsia="Times New Roman"/>
          <w:b/>
          <w:sz w:val="24"/>
          <w:szCs w:val="24"/>
        </w:rPr>
        <w:t>Crowe</w:t>
      </w:r>
      <w:r w:rsidRPr="00B43CC8">
        <w:rPr>
          <w:rFonts w:eastAsia="Times New Roman"/>
          <w:sz w:val="24"/>
          <w:szCs w:val="24"/>
        </w:rPr>
        <w:t xml:space="preserve">, 126 P.3d at 205 (claims against attorneys for professional negligence, on the one hand, and CCPA violations on the other are distinct and serve different purposes); </w:t>
      </w:r>
      <w:r w:rsidRPr="00B43CC8">
        <w:rPr>
          <w:rFonts w:eastAsia="Times New Roman"/>
          <w:b/>
          <w:sz w:val="24"/>
          <w:szCs w:val="24"/>
        </w:rPr>
        <w:t>Showpiece Homes Corp. v. Assurance Co. of Am.</w:t>
      </w:r>
      <w:r w:rsidRPr="00B43CC8">
        <w:rPr>
          <w:rFonts w:eastAsia="Times New Roman"/>
          <w:sz w:val="24"/>
          <w:szCs w:val="24"/>
        </w:rPr>
        <w:t>,</w:t>
      </w:r>
      <w:r w:rsidRPr="00B43CC8">
        <w:rPr>
          <w:rFonts w:eastAsia="Times New Roman"/>
          <w:b/>
          <w:sz w:val="24"/>
          <w:szCs w:val="24"/>
        </w:rPr>
        <w:t xml:space="preserve"> </w:t>
      </w:r>
      <w:r w:rsidRPr="00B43CC8">
        <w:rPr>
          <w:rFonts w:eastAsia="Times New Roman"/>
          <w:sz w:val="24"/>
          <w:szCs w:val="24"/>
        </w:rPr>
        <w:t>38 P.3d 47 (Colo. 2001) (insured may maintain action against its insurer for bad faith handling of the insured’s claim as well as a claim under the CCPA).</w:t>
      </w:r>
    </w:p>
    <w:p w14:paraId="038A29D8" w14:textId="77777777" w:rsidR="00B43CC8" w:rsidRPr="00B43CC8" w:rsidRDefault="00B43CC8" w:rsidP="00B43CC8">
      <w:pPr>
        <w:spacing w:after="240"/>
        <w:ind w:firstLine="720"/>
        <w:rPr>
          <w:rFonts w:eastAsia="Times New Roman"/>
          <w:sz w:val="24"/>
          <w:szCs w:val="24"/>
        </w:rPr>
      </w:pPr>
      <w:r w:rsidRPr="00B43CC8">
        <w:rPr>
          <w:rFonts w:eastAsia="Times New Roman"/>
          <w:sz w:val="24"/>
          <w:szCs w:val="24"/>
        </w:rPr>
        <w:lastRenderedPageBreak/>
        <w:t xml:space="preserve">4. Despite the fact that certain violations of the Act appear to incorporate terms of negligence, </w:t>
      </w:r>
      <w:r w:rsidRPr="00B43CC8">
        <w:rPr>
          <w:rFonts w:eastAsia="Times New Roman"/>
          <w:i/>
          <w:sz w:val="24"/>
          <w:szCs w:val="24"/>
        </w:rPr>
        <w:t>see, e.g.</w:t>
      </w:r>
      <w:r w:rsidRPr="00B43CC8">
        <w:rPr>
          <w:rFonts w:eastAsia="Times New Roman"/>
          <w:sz w:val="24"/>
          <w:szCs w:val="24"/>
        </w:rPr>
        <w:t xml:space="preserve">, § 6-1-105(1)(g) (liability created when advertiser represents that services are of certain quality when he “knows or should know” they are of another quality), “[a] CCPA claim will only lie if the plaintiff can show the defendant knowingly engaged in a deceptive trade practice.” </w:t>
      </w:r>
      <w:r w:rsidRPr="00B43CC8">
        <w:rPr>
          <w:rFonts w:eastAsia="Times New Roman"/>
          <w:b/>
          <w:sz w:val="24"/>
          <w:szCs w:val="24"/>
        </w:rPr>
        <w:t>Crowe</w:t>
      </w:r>
      <w:r w:rsidRPr="00B43CC8">
        <w:rPr>
          <w:rFonts w:eastAsia="Times New Roman"/>
          <w:sz w:val="24"/>
          <w:szCs w:val="24"/>
        </w:rPr>
        <w:t xml:space="preserve">, 126 P.3d at 204 (it is “an absolute defense” that representation was caused by negligence or honest mistake). </w:t>
      </w:r>
    </w:p>
    <w:p w14:paraId="6674057B" w14:textId="77777777" w:rsidR="00B43CC8" w:rsidRPr="00B43CC8" w:rsidRDefault="00B43CC8" w:rsidP="00B43CC8">
      <w:pPr>
        <w:spacing w:after="240"/>
        <w:ind w:firstLine="720"/>
        <w:rPr>
          <w:rFonts w:eastAsia="Times New Roman"/>
          <w:sz w:val="24"/>
          <w:szCs w:val="24"/>
        </w:rPr>
      </w:pPr>
      <w:r w:rsidRPr="00B43CC8">
        <w:rPr>
          <w:rFonts w:eastAsia="Times New Roman"/>
          <w:sz w:val="24"/>
          <w:szCs w:val="24"/>
        </w:rPr>
        <w:t xml:space="preserve">5. Corporate officers may be sued individually for their participation in deceptive practices covered by the Act. </w:t>
      </w:r>
      <w:r w:rsidRPr="00B43CC8">
        <w:rPr>
          <w:rFonts w:eastAsia="Times New Roman"/>
          <w:b/>
          <w:sz w:val="24"/>
          <w:szCs w:val="24"/>
        </w:rPr>
        <w:t>Hoang v. Arbess</w:t>
      </w:r>
      <w:r w:rsidRPr="00B43CC8">
        <w:rPr>
          <w:rFonts w:eastAsia="Times New Roman"/>
          <w:sz w:val="24"/>
          <w:szCs w:val="24"/>
        </w:rPr>
        <w:t>,</w:t>
      </w:r>
      <w:r w:rsidRPr="00B43CC8">
        <w:rPr>
          <w:rFonts w:eastAsia="Times New Roman"/>
          <w:b/>
          <w:sz w:val="24"/>
          <w:szCs w:val="24"/>
        </w:rPr>
        <w:t xml:space="preserve"> </w:t>
      </w:r>
      <w:r w:rsidRPr="00B43CC8">
        <w:rPr>
          <w:rFonts w:eastAsia="Times New Roman"/>
          <w:sz w:val="24"/>
          <w:szCs w:val="24"/>
        </w:rPr>
        <w:t xml:space="preserve">80 P.3d 863 (Colo. App. 2003); </w:t>
      </w:r>
      <w:r w:rsidRPr="00B43CC8">
        <w:rPr>
          <w:rFonts w:eastAsia="Times New Roman"/>
          <w:b/>
          <w:sz w:val="24"/>
          <w:szCs w:val="24"/>
        </w:rPr>
        <w:t>People ex rel. MacFarlane v. Albert Corp.</w:t>
      </w:r>
      <w:r w:rsidRPr="00B43CC8">
        <w:rPr>
          <w:rFonts w:eastAsia="Times New Roman"/>
          <w:sz w:val="24"/>
          <w:szCs w:val="24"/>
        </w:rPr>
        <w:t>, 660 P.2d 1295 (Colo. App. 1982).</w:t>
      </w:r>
    </w:p>
    <w:p w14:paraId="0C031A80" w14:textId="77777777" w:rsidR="00B43CC8" w:rsidRPr="00B43CC8" w:rsidRDefault="00B43CC8" w:rsidP="00B43CC8">
      <w:pPr>
        <w:spacing w:after="240"/>
        <w:ind w:firstLine="720"/>
        <w:rPr>
          <w:rFonts w:eastAsia="Times New Roman"/>
          <w:sz w:val="24"/>
          <w:szCs w:val="24"/>
        </w:rPr>
      </w:pPr>
      <w:r w:rsidRPr="00B43CC8">
        <w:rPr>
          <w:rFonts w:eastAsia="Times New Roman"/>
          <w:sz w:val="24"/>
          <w:szCs w:val="24"/>
        </w:rPr>
        <w:t xml:space="preserve">6. Under some circumstances, the CCPA may apply to post-sale conduct. </w:t>
      </w:r>
      <w:r w:rsidRPr="00B43CC8">
        <w:rPr>
          <w:rFonts w:eastAsia="Times New Roman"/>
          <w:b/>
          <w:sz w:val="24"/>
          <w:szCs w:val="24"/>
        </w:rPr>
        <w:t>Showpiece Homes</w:t>
      </w:r>
      <w:r w:rsidRPr="00B43CC8">
        <w:rPr>
          <w:rFonts w:eastAsia="Times New Roman"/>
          <w:sz w:val="24"/>
          <w:szCs w:val="24"/>
        </w:rPr>
        <w:t xml:space="preserve">, 38 P.3d at 58 (bad-faith handling of insurance claim); </w:t>
      </w:r>
      <w:r w:rsidRPr="00B43CC8">
        <w:rPr>
          <w:rFonts w:eastAsia="Times New Roman"/>
          <w:b/>
          <w:sz w:val="24"/>
          <w:szCs w:val="24"/>
        </w:rPr>
        <w:t>Dodds v. Frontier Chevrolet Sales &amp; Serv., Inc.</w:t>
      </w:r>
      <w:r w:rsidRPr="00B43CC8">
        <w:rPr>
          <w:rFonts w:eastAsia="Times New Roman"/>
          <w:sz w:val="24"/>
          <w:szCs w:val="24"/>
        </w:rPr>
        <w:t>, 676 P.2d 1237 (Colo. App. 1983) (fraudulently obtained post-sale release).</w:t>
      </w:r>
    </w:p>
    <w:p w14:paraId="6E1C59AB" w14:textId="77777777" w:rsidR="00B43CC8" w:rsidRPr="00B43CC8" w:rsidRDefault="00B43CC8" w:rsidP="00B43CC8">
      <w:pPr>
        <w:spacing w:after="240"/>
        <w:ind w:firstLine="720"/>
        <w:rPr>
          <w:rFonts w:eastAsia="Times New Roman"/>
          <w:sz w:val="24"/>
          <w:szCs w:val="24"/>
        </w:rPr>
      </w:pPr>
      <w:r w:rsidRPr="00B43CC8">
        <w:rPr>
          <w:rFonts w:eastAsia="Times New Roman"/>
          <w:sz w:val="24"/>
          <w:szCs w:val="24"/>
        </w:rPr>
        <w:t xml:space="preserve">7. A trial court’s dismissal of a class action CCPA claim involving parking fines and late fees was affirmed because (1) the use of a metered parking space is not a consumer transaction; (2) the challenged conduct complied with city ordinances and was, thus, exempt from CCPA regulation; and (3) plaintiffs were not consumers of the services at issue. </w:t>
      </w:r>
      <w:r w:rsidRPr="00B43CC8">
        <w:rPr>
          <w:rFonts w:eastAsia="Times New Roman"/>
          <w:b/>
          <w:sz w:val="24"/>
          <w:szCs w:val="24"/>
        </w:rPr>
        <w:t>Rector v. City &amp; Cty. of Denver</w:t>
      </w:r>
      <w:r w:rsidRPr="00B43CC8">
        <w:rPr>
          <w:rFonts w:eastAsia="Times New Roman"/>
          <w:sz w:val="24"/>
          <w:szCs w:val="24"/>
        </w:rPr>
        <w:t xml:space="preserve">, 122 P.3d 1010 (Colo. App. 2005); </w:t>
      </w:r>
      <w:r w:rsidRPr="00B43CC8">
        <w:rPr>
          <w:rFonts w:eastAsia="Times New Roman"/>
          <w:i/>
          <w:sz w:val="24"/>
          <w:szCs w:val="24"/>
        </w:rPr>
        <w:t>see</w:t>
      </w:r>
      <w:r w:rsidRPr="00B43CC8">
        <w:rPr>
          <w:rFonts w:eastAsia="Times New Roman"/>
          <w:sz w:val="24"/>
          <w:szCs w:val="24"/>
        </w:rPr>
        <w:t xml:space="preserve"> </w:t>
      </w:r>
      <w:r w:rsidRPr="00B43CC8">
        <w:rPr>
          <w:rFonts w:eastAsia="Times New Roman"/>
          <w:b/>
          <w:sz w:val="24"/>
          <w:szCs w:val="24"/>
        </w:rPr>
        <w:t>Shotkoski v. Denver Inv. Group, Inc.</w:t>
      </w:r>
      <w:r w:rsidRPr="00B43CC8">
        <w:rPr>
          <w:rFonts w:eastAsia="Times New Roman"/>
          <w:sz w:val="24"/>
          <w:szCs w:val="24"/>
        </w:rPr>
        <w:t>, 134 P.3d 513 (Colo. App. 2006) (real estate purchaser’s agent’s failure to have broker’s license at time she negotiated purchase was not violation of section 6-1-105(1)(z), because CCPA subsection applied to performance of services and sale of property, not to real estate purchases).</w:t>
      </w:r>
    </w:p>
    <w:p w14:paraId="50A8E5AA" w14:textId="77777777" w:rsidR="00632C7C" w:rsidRDefault="00B43CC8" w:rsidP="00632C7C">
      <w:pPr>
        <w:spacing w:after="240"/>
        <w:ind w:firstLine="720"/>
        <w:rPr>
          <w:rFonts w:eastAsia="Times New Roman"/>
          <w:sz w:val="24"/>
          <w:szCs w:val="24"/>
        </w:rPr>
      </w:pPr>
      <w:r w:rsidRPr="00B43CC8">
        <w:rPr>
          <w:rFonts w:eastAsia="Times New Roman"/>
          <w:sz w:val="24"/>
          <w:szCs w:val="24"/>
        </w:rPr>
        <w:t xml:space="preserve">8. Section 6-1-702(1)(c), C.R.S., provides that violation of the Telephone Consumer Protection Act (TCPA), 47 U.S.C. § 227, and the rules promulgated under it constitutes a deceptive trade practice. Determining that a claim for liquidated damages under the TCPA is one for a penalty and, therefore, unassignable, the supreme court reinstated a trial court’s dismissal of claims brought by an assignee for lack of standing. </w:t>
      </w:r>
      <w:r w:rsidRPr="00B43CC8">
        <w:rPr>
          <w:rFonts w:eastAsia="Times New Roman"/>
          <w:b/>
          <w:sz w:val="24"/>
          <w:szCs w:val="24"/>
        </w:rPr>
        <w:t>Kruse v. McKenna</w:t>
      </w:r>
      <w:r w:rsidRPr="00B43CC8">
        <w:rPr>
          <w:rFonts w:eastAsia="Times New Roman"/>
          <w:sz w:val="24"/>
          <w:szCs w:val="24"/>
        </w:rPr>
        <w:t xml:space="preserve">, 178 P.3d 1198 (Colo. 2008); </w:t>
      </w:r>
      <w:r w:rsidRPr="00B43CC8">
        <w:rPr>
          <w:rFonts w:eastAsia="Times New Roman"/>
          <w:i/>
          <w:sz w:val="24"/>
          <w:szCs w:val="24"/>
        </w:rPr>
        <w:t>see also</w:t>
      </w:r>
      <w:r w:rsidRPr="00B43CC8">
        <w:rPr>
          <w:rFonts w:eastAsia="Times New Roman"/>
          <w:sz w:val="24"/>
          <w:szCs w:val="24"/>
        </w:rPr>
        <w:t xml:space="preserve"> </w:t>
      </w:r>
      <w:r w:rsidRPr="00B43CC8">
        <w:rPr>
          <w:rFonts w:eastAsia="Times New Roman"/>
          <w:b/>
          <w:sz w:val="24"/>
          <w:szCs w:val="24"/>
        </w:rPr>
        <w:t>Consumer Crusade, Inc. v. Clarion Mortg. Capital, Inc.</w:t>
      </w:r>
      <w:r w:rsidRPr="00B43CC8">
        <w:rPr>
          <w:rFonts w:eastAsia="Times New Roman"/>
          <w:sz w:val="24"/>
          <w:szCs w:val="24"/>
        </w:rPr>
        <w:t xml:space="preserve">, 197 P.3d 285 (Colo. App. 2008). In </w:t>
      </w:r>
      <w:r w:rsidRPr="00B43CC8">
        <w:rPr>
          <w:rFonts w:eastAsia="Times New Roman"/>
          <w:b/>
          <w:sz w:val="24"/>
          <w:szCs w:val="24"/>
        </w:rPr>
        <w:t>McKenna v. Oliver</w:t>
      </w:r>
      <w:r w:rsidRPr="00B43CC8">
        <w:rPr>
          <w:rFonts w:eastAsia="Times New Roman"/>
          <w:sz w:val="24"/>
          <w:szCs w:val="24"/>
        </w:rPr>
        <w:t xml:space="preserve">, 159 P.3d 697 (Colo. App. 2006), the court held that assignees of claims under the TCPA lacked standing to pursue an action under the Act because it is an action in the nature of invasion of privacy, which is not assignable under Colorado law. </w:t>
      </w:r>
      <w:r w:rsidRPr="00B43CC8">
        <w:rPr>
          <w:rFonts w:eastAsia="Times New Roman"/>
          <w:i/>
          <w:sz w:val="24"/>
          <w:szCs w:val="24"/>
        </w:rPr>
        <w:t xml:space="preserve">Accord </w:t>
      </w:r>
      <w:r w:rsidRPr="00B43CC8">
        <w:rPr>
          <w:rFonts w:eastAsia="Times New Roman"/>
          <w:b/>
          <w:sz w:val="24"/>
          <w:szCs w:val="24"/>
        </w:rPr>
        <w:t>U.S. Fax Law Ctr., Inc. v. T2 Techs., Inc.</w:t>
      </w:r>
      <w:r w:rsidRPr="00B43CC8">
        <w:rPr>
          <w:rFonts w:eastAsia="Times New Roman"/>
          <w:sz w:val="24"/>
          <w:szCs w:val="24"/>
        </w:rPr>
        <w:t>, 183 P.3d 642 (Colo. App. 2007).</w:t>
      </w:r>
    </w:p>
    <w:p w14:paraId="7A7F7E00" w14:textId="77777777" w:rsidR="00B43CC8" w:rsidRDefault="00B43CC8">
      <w:pPr>
        <w:rPr>
          <w:rFonts w:eastAsia="Times New Roman"/>
          <w:sz w:val="24"/>
          <w:szCs w:val="24"/>
        </w:rPr>
      </w:pPr>
      <w:r>
        <w:rPr>
          <w:rFonts w:eastAsia="Times New Roman"/>
          <w:sz w:val="24"/>
          <w:szCs w:val="24"/>
        </w:rPr>
        <w:br w:type="page"/>
      </w:r>
    </w:p>
    <w:p w14:paraId="0811BEA3" w14:textId="77777777" w:rsidR="00B43CC8" w:rsidRPr="009E3DA4" w:rsidRDefault="00BD182E" w:rsidP="00B43CC8">
      <w:pPr>
        <w:spacing w:after="240"/>
        <w:ind w:left="720" w:hanging="720"/>
        <w:rPr>
          <w:rFonts w:eastAsia="Times New Roman"/>
          <w:b/>
          <w:sz w:val="24"/>
          <w:szCs w:val="24"/>
        </w:rPr>
      </w:pPr>
      <w:bookmarkStart w:id="4" w:name="a29_02"/>
      <w:bookmarkEnd w:id="4"/>
      <w:r w:rsidRPr="00BD182E">
        <w:rPr>
          <w:rFonts w:eastAsia="Times New Roman"/>
          <w:b/>
          <w:sz w:val="24"/>
          <w:szCs w:val="24"/>
        </w:rPr>
        <w:lastRenderedPageBreak/>
        <w:t xml:space="preserve">29:2 </w:t>
      </w:r>
      <w:r w:rsidRPr="00BD182E">
        <w:rPr>
          <w:rFonts w:eastAsia="Times New Roman"/>
          <w:b/>
          <w:sz w:val="24"/>
          <w:szCs w:val="24"/>
        </w:rPr>
        <w:tab/>
        <w:t>DECEPTIVE TRADE PRACTICES — DEFINED</w:t>
      </w:r>
    </w:p>
    <w:p w14:paraId="2BCB37C7" w14:textId="77777777" w:rsidR="00BD182E" w:rsidRPr="00BD182E" w:rsidRDefault="00BD182E" w:rsidP="00BD182E">
      <w:pPr>
        <w:spacing w:after="240"/>
        <w:ind w:firstLine="720"/>
        <w:rPr>
          <w:rFonts w:eastAsia="Times New Roman"/>
          <w:b/>
          <w:sz w:val="24"/>
          <w:szCs w:val="24"/>
        </w:rPr>
      </w:pPr>
      <w:r w:rsidRPr="00BD182E">
        <w:rPr>
          <w:rFonts w:eastAsia="Times New Roman"/>
          <w:b/>
          <w:sz w:val="24"/>
          <w:szCs w:val="24"/>
        </w:rPr>
        <w:t>A defendant engages in a deceptive trade practice if, in the course of (his) (her) (its) (business) (trade) (occupation), the defendant:</w:t>
      </w:r>
    </w:p>
    <w:p w14:paraId="2E27887D" w14:textId="77777777" w:rsidR="00BD182E" w:rsidRPr="00BD182E" w:rsidRDefault="00BD182E" w:rsidP="00BD182E">
      <w:pPr>
        <w:spacing w:after="240"/>
        <w:ind w:firstLine="720"/>
        <w:rPr>
          <w:rFonts w:eastAsia="Times New Roman"/>
          <w:i/>
          <w:sz w:val="24"/>
          <w:szCs w:val="24"/>
        </w:rPr>
      </w:pPr>
      <w:r w:rsidRPr="00BD182E">
        <w:rPr>
          <w:rFonts w:eastAsia="Times New Roman"/>
          <w:i/>
          <w:sz w:val="24"/>
          <w:szCs w:val="24"/>
        </w:rPr>
        <w:t>(Insert, using separately numbered paragraphs for each, a suitable description of any relevant deceptive trade practice(s) of which there is sufficient evidence. Additional instructions may need to be given to fully define the deceptive trade practice(s) alleged.)</w:t>
      </w:r>
    </w:p>
    <w:p w14:paraId="3DABE9EB" w14:textId="77777777" w:rsidR="00B43CC8" w:rsidRDefault="00B43CC8" w:rsidP="00B43CC8">
      <w:pPr>
        <w:jc w:val="center"/>
        <w:rPr>
          <w:rFonts w:eastAsia="Times New Roman"/>
          <w:sz w:val="24"/>
          <w:szCs w:val="24"/>
        </w:rPr>
      </w:pPr>
    </w:p>
    <w:p w14:paraId="0739B34B" w14:textId="77777777" w:rsidR="00B43CC8" w:rsidRPr="0054263B" w:rsidRDefault="00B43CC8" w:rsidP="00B43CC8">
      <w:pPr>
        <w:keepNext/>
        <w:spacing w:after="240"/>
        <w:jc w:val="center"/>
        <w:rPr>
          <w:rFonts w:eastAsia="Times New Roman"/>
          <w:b/>
          <w:sz w:val="24"/>
          <w:szCs w:val="24"/>
        </w:rPr>
      </w:pPr>
      <w:r w:rsidRPr="0054263B">
        <w:rPr>
          <w:rFonts w:eastAsia="Times New Roman"/>
          <w:b/>
          <w:sz w:val="24"/>
          <w:szCs w:val="24"/>
        </w:rPr>
        <w:t>Notes on Use</w:t>
      </w:r>
    </w:p>
    <w:p w14:paraId="4B9FEC55"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t>Th</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CCPA lists a larg</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numb</w:t>
      </w:r>
      <w:smartTag w:uri="urn:schemas-microsoft-com:office:smarttags" w:element="PersonName">
        <w:r w:rsidRPr="00BD182E">
          <w:rPr>
            <w:rFonts w:eastAsia="Times New Roman"/>
            <w:sz w:val="24"/>
            <w:szCs w:val="24"/>
          </w:rPr>
          <w:t>e</w:t>
        </w:r>
      </w:smartTag>
      <w:r w:rsidRPr="00BD182E">
        <w:rPr>
          <w:rFonts w:eastAsia="Times New Roman"/>
          <w:sz w:val="24"/>
          <w:szCs w:val="24"/>
        </w:rPr>
        <w:t>r of d</w:t>
      </w:r>
      <w:smartTag w:uri="urn:schemas-microsoft-com:office:smarttags" w:element="PersonName">
        <w:r w:rsidRPr="00BD182E">
          <w:rPr>
            <w:rFonts w:eastAsia="Times New Roman"/>
            <w:sz w:val="24"/>
            <w:szCs w:val="24"/>
          </w:rPr>
          <w:t>e</w:t>
        </w:r>
      </w:smartTag>
      <w:r w:rsidRPr="00BD182E">
        <w:rPr>
          <w:rFonts w:eastAsia="Times New Roman"/>
          <w:sz w:val="24"/>
          <w:szCs w:val="24"/>
        </w:rPr>
        <w:t>c</w:t>
      </w:r>
      <w:smartTag w:uri="urn:schemas-microsoft-com:office:smarttags" w:element="PersonName">
        <w:r w:rsidRPr="00BD182E">
          <w:rPr>
            <w:rFonts w:eastAsia="Times New Roman"/>
            <w:sz w:val="24"/>
            <w:szCs w:val="24"/>
          </w:rPr>
          <w:t>e</w:t>
        </w:r>
      </w:smartTag>
      <w:r w:rsidRPr="00BD182E">
        <w:rPr>
          <w:rFonts w:eastAsia="Times New Roman"/>
          <w:sz w:val="24"/>
          <w:szCs w:val="24"/>
        </w:rPr>
        <w:t>ptiv</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trad</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practic</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s. </w:t>
      </w:r>
      <w:r w:rsidRPr="00BD182E">
        <w:rPr>
          <w:rFonts w:eastAsia="Times New Roman"/>
          <w:i/>
          <w:sz w:val="24"/>
          <w:szCs w:val="24"/>
        </w:rPr>
        <w:t>See</w:t>
      </w:r>
      <w:r w:rsidRPr="00BD182E">
        <w:rPr>
          <w:rFonts w:eastAsia="Times New Roman"/>
          <w:sz w:val="24"/>
          <w:szCs w:val="24"/>
        </w:rPr>
        <w:t xml:space="preserve"> § 6-1-105(1), C.R.S. </w:t>
      </w:r>
    </w:p>
    <w:p w14:paraId="513A5989" w14:textId="77777777" w:rsidR="00B43CC8" w:rsidRPr="0054263B" w:rsidRDefault="00B43CC8" w:rsidP="00B43CC8">
      <w:pPr>
        <w:keepNext/>
        <w:spacing w:after="240"/>
        <w:jc w:val="center"/>
        <w:rPr>
          <w:rFonts w:eastAsia="Times New Roman"/>
          <w:b/>
          <w:sz w:val="24"/>
          <w:szCs w:val="24"/>
        </w:rPr>
      </w:pPr>
      <w:r>
        <w:rPr>
          <w:rFonts w:eastAsia="Times New Roman"/>
          <w:b/>
          <w:sz w:val="24"/>
          <w:szCs w:val="24"/>
        </w:rPr>
        <w:t>Source and Authority</w:t>
      </w:r>
    </w:p>
    <w:p w14:paraId="4689C2BF"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t>1. This instruction is support</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d by section 6-1-105(1), (2) and (3); </w:t>
      </w:r>
      <w:r w:rsidRPr="00BD182E">
        <w:rPr>
          <w:rFonts w:eastAsia="Times New Roman"/>
          <w:b/>
          <w:sz w:val="24"/>
          <w:szCs w:val="24"/>
        </w:rPr>
        <w:t>Rhino Linings USA, Inc. v. Rocky Mountain Rhino Lining, Inc.</w:t>
      </w:r>
      <w:r w:rsidRPr="00BD182E">
        <w:rPr>
          <w:rFonts w:eastAsia="Times New Roman"/>
          <w:sz w:val="24"/>
          <w:szCs w:val="24"/>
        </w:rPr>
        <w:t>, 62 P.3d 142 (</w:t>
      </w:r>
      <w:smartTag w:uri="urn:schemas-microsoft-com:office:smarttags" w:element="State">
        <w:r w:rsidRPr="00BD182E">
          <w:rPr>
            <w:rFonts w:eastAsia="Times New Roman"/>
            <w:sz w:val="24"/>
            <w:szCs w:val="24"/>
          </w:rPr>
          <w:t>Colo.</w:t>
        </w:r>
      </w:smartTag>
      <w:r w:rsidRPr="00BD182E">
        <w:rPr>
          <w:rFonts w:eastAsia="Times New Roman"/>
          <w:sz w:val="24"/>
          <w:szCs w:val="24"/>
        </w:rPr>
        <w:t xml:space="preserve"> 2003); and </w:t>
      </w:r>
      <w:r w:rsidRPr="00BD182E">
        <w:rPr>
          <w:rFonts w:eastAsia="Times New Roman"/>
          <w:b/>
          <w:sz w:val="24"/>
          <w:szCs w:val="24"/>
        </w:rPr>
        <w:t>Hall v. Walt</w:t>
      </w:r>
      <w:smartTag w:uri="urn:schemas-microsoft-com:office:smarttags" w:element="PersonName">
        <w:r w:rsidRPr="00BD182E">
          <w:rPr>
            <w:rFonts w:eastAsia="Times New Roman"/>
            <w:b/>
            <w:sz w:val="24"/>
            <w:szCs w:val="24"/>
          </w:rPr>
          <w:t>e</w:t>
        </w:r>
      </w:smartTag>
      <w:r w:rsidRPr="00BD182E">
        <w:rPr>
          <w:rFonts w:eastAsia="Times New Roman"/>
          <w:b/>
          <w:sz w:val="24"/>
          <w:szCs w:val="24"/>
        </w:rPr>
        <w:t>r</w:t>
      </w:r>
      <w:r w:rsidRPr="00BD182E">
        <w:rPr>
          <w:rFonts w:eastAsia="Times New Roman"/>
          <w:sz w:val="24"/>
          <w:szCs w:val="24"/>
        </w:rPr>
        <w:t>, 969 P.2d 224 (</w:t>
      </w:r>
      <w:smartTag w:uri="urn:schemas-microsoft-com:office:smarttags" w:element="place">
        <w:smartTag w:uri="urn:schemas-microsoft-com:office:smarttags" w:element="State">
          <w:r w:rsidRPr="00BD182E">
            <w:rPr>
              <w:rFonts w:eastAsia="Times New Roman"/>
              <w:sz w:val="24"/>
              <w:szCs w:val="24"/>
            </w:rPr>
            <w:t>Colo.</w:t>
          </w:r>
        </w:smartTag>
      </w:smartTag>
      <w:r w:rsidRPr="00BD182E">
        <w:rPr>
          <w:rFonts w:eastAsia="Times New Roman"/>
          <w:sz w:val="24"/>
          <w:szCs w:val="24"/>
        </w:rPr>
        <w:t xml:space="preserve"> 1998).</w:t>
      </w:r>
    </w:p>
    <w:p w14:paraId="2E00FB65" w14:textId="77777777" w:rsidR="00BD182E" w:rsidRPr="00BD182E" w:rsidRDefault="00BD182E" w:rsidP="00BD182E">
      <w:pPr>
        <w:spacing w:after="240"/>
        <w:ind w:firstLine="720"/>
        <w:rPr>
          <w:rFonts w:eastAsia="Times New Roman"/>
          <w:sz w:val="24"/>
          <w:szCs w:val="24"/>
        </w:rPr>
      </w:pPr>
      <w:r>
        <w:rPr>
          <w:rFonts w:eastAsia="Times New Roman"/>
          <w:sz w:val="24"/>
          <w:szCs w:val="24"/>
        </w:rPr>
        <w:t>2</w:t>
      </w:r>
      <w:r w:rsidRPr="00BD182E">
        <w:rPr>
          <w:rFonts w:eastAsia="Times New Roman"/>
          <w:sz w:val="24"/>
          <w:szCs w:val="24"/>
        </w:rPr>
        <w:t xml:space="preserve">. Although some of the deceptive practices listed suggest that there can be a negligent violation of the statute, </w:t>
      </w:r>
      <w:r w:rsidRPr="00BD182E">
        <w:rPr>
          <w:rFonts w:eastAsia="Times New Roman"/>
          <w:i/>
          <w:sz w:val="24"/>
          <w:szCs w:val="24"/>
        </w:rPr>
        <w:t>see, e.g.</w:t>
      </w:r>
      <w:r w:rsidRPr="00BD182E">
        <w:rPr>
          <w:rFonts w:eastAsia="Times New Roman"/>
          <w:sz w:val="24"/>
          <w:szCs w:val="24"/>
        </w:rPr>
        <w:t xml:space="preserve">, § 6-1-105(1)(f) and (g), the Colorado Supreme Court has held that liability under the CCPA may be implicated only by intentional conduct, and that there can be no liability where a misrepresentation was “caused by negligence or an honest mistake.” </w:t>
      </w:r>
      <w:r w:rsidRPr="00BD182E">
        <w:rPr>
          <w:rFonts w:eastAsia="Times New Roman"/>
          <w:b/>
          <w:sz w:val="24"/>
          <w:szCs w:val="24"/>
        </w:rPr>
        <w:t>Crowe v. Tull</w:t>
      </w:r>
      <w:r w:rsidRPr="00BD182E">
        <w:rPr>
          <w:rFonts w:eastAsia="Times New Roman"/>
          <w:sz w:val="24"/>
          <w:szCs w:val="24"/>
        </w:rPr>
        <w:t>, 126 P.3d 196, 204 (</w:t>
      </w:r>
      <w:smartTag w:uri="urn:schemas-microsoft-com:office:smarttags" w:element="place">
        <w:smartTag w:uri="urn:schemas-microsoft-com:office:smarttags" w:element="State">
          <w:r w:rsidRPr="00BD182E">
            <w:rPr>
              <w:rFonts w:eastAsia="Times New Roman"/>
              <w:sz w:val="24"/>
              <w:szCs w:val="24"/>
            </w:rPr>
            <w:t>Colo.</w:t>
          </w:r>
        </w:smartTag>
      </w:smartTag>
      <w:r w:rsidRPr="00BD182E">
        <w:rPr>
          <w:rFonts w:eastAsia="Times New Roman"/>
          <w:sz w:val="24"/>
          <w:szCs w:val="24"/>
        </w:rPr>
        <w:t xml:space="preserve"> 2006); </w:t>
      </w:r>
      <w:r w:rsidRPr="00BD182E">
        <w:rPr>
          <w:rFonts w:eastAsia="Times New Roman"/>
          <w:i/>
          <w:sz w:val="24"/>
          <w:szCs w:val="24"/>
        </w:rPr>
        <w:t>see also</w:t>
      </w:r>
      <w:r w:rsidRPr="00BD182E">
        <w:rPr>
          <w:rFonts w:eastAsia="Times New Roman"/>
          <w:sz w:val="24"/>
          <w:szCs w:val="24"/>
        </w:rPr>
        <w:t xml:space="preserve"> </w:t>
      </w:r>
      <w:r w:rsidRPr="00BD182E">
        <w:rPr>
          <w:rFonts w:eastAsia="Times New Roman"/>
          <w:b/>
          <w:sz w:val="24"/>
          <w:szCs w:val="24"/>
        </w:rPr>
        <w:t>Brodeur v. Am. Home Assur. Co.</w:t>
      </w:r>
      <w:r w:rsidRPr="00BD182E">
        <w:rPr>
          <w:rFonts w:eastAsia="Times New Roman"/>
          <w:sz w:val="24"/>
          <w:szCs w:val="24"/>
        </w:rPr>
        <w:t xml:space="preserve">, 169 P.3d 139, 156 (Colo. 2007) (“The crux of a CCPA claim is a deceptive trade practice, which, by definition, must be intentionally inflicted on the consumer public.” (quoting </w:t>
      </w:r>
      <w:r w:rsidRPr="00BD182E">
        <w:rPr>
          <w:rFonts w:eastAsia="Times New Roman"/>
          <w:b/>
          <w:sz w:val="24"/>
          <w:szCs w:val="24"/>
        </w:rPr>
        <w:t>Crowe</w:t>
      </w:r>
      <w:r w:rsidRPr="00BD182E">
        <w:rPr>
          <w:rFonts w:eastAsia="Times New Roman"/>
          <w:sz w:val="24"/>
          <w:szCs w:val="24"/>
        </w:rPr>
        <w:t xml:space="preserve">, 126 P.3d at 204)); </w:t>
      </w:r>
      <w:r w:rsidRPr="00BD182E">
        <w:rPr>
          <w:rFonts w:eastAsia="Times New Roman"/>
          <w:b/>
          <w:sz w:val="24"/>
          <w:szCs w:val="24"/>
        </w:rPr>
        <w:t>Gen. Steel Domestic Sales, LLC v. Hogan &amp; Hartson, LLP</w:t>
      </w:r>
      <w:r w:rsidRPr="00BD182E">
        <w:rPr>
          <w:rFonts w:eastAsia="Times New Roman"/>
          <w:sz w:val="24"/>
          <w:szCs w:val="24"/>
        </w:rPr>
        <w:t xml:space="preserve">, 230 P.3d 1275 (Colo. App. 2010) (“bait-and-switch” claim requires intent to deceive); </w:t>
      </w:r>
      <w:r w:rsidRPr="00BD182E">
        <w:rPr>
          <w:rFonts w:eastAsia="Times New Roman"/>
          <w:b/>
          <w:sz w:val="24"/>
          <w:szCs w:val="24"/>
        </w:rPr>
        <w:t>State ex rel. Suthers v. Mandatory Poster Agency, Inc.</w:t>
      </w:r>
      <w:r w:rsidRPr="00BD182E">
        <w:rPr>
          <w:rFonts w:eastAsia="Times New Roman"/>
          <w:sz w:val="24"/>
          <w:szCs w:val="24"/>
        </w:rPr>
        <w:t>, 260 P.3d 9 (Colo. App. 2009) (defendant who acted with mere negligence and not actual knowledge of falsity did not “knowingly” make a false representation under section 6-1-105(1)(b), (c), and (e)).</w:t>
      </w:r>
    </w:p>
    <w:p w14:paraId="76B91BA5"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t xml:space="preserve">3. As a matter of law, the failure of a service provider to inform a consumer that it was acting in conformity with the law does not state a claim for an unfair or deceptive trade practice under the CCPA. </w:t>
      </w:r>
      <w:r w:rsidRPr="00BD182E">
        <w:rPr>
          <w:rFonts w:eastAsia="Times New Roman"/>
          <w:b/>
          <w:sz w:val="24"/>
          <w:szCs w:val="24"/>
        </w:rPr>
        <w:t>Wainscott v. Centura Health Corp.</w:t>
      </w:r>
      <w:r w:rsidRPr="00BD182E">
        <w:rPr>
          <w:rFonts w:eastAsia="Times New Roman"/>
          <w:sz w:val="24"/>
          <w:szCs w:val="24"/>
        </w:rPr>
        <w:t>, 2014 COA 105, ¶ 67, 351 P.3d 513 (hospital’s failure to inform a patient that it was pursuing a statutory hospital lien to collect actual charges rather than bill Medicare for a reduced amount, as it was legally allowed to do, was not an unfair or deceptive trade practice).</w:t>
      </w:r>
    </w:p>
    <w:p w14:paraId="36666D7F"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t>4. For discussions conc</w:t>
      </w:r>
      <w:smartTag w:uri="urn:schemas-microsoft-com:office:smarttags" w:element="PersonName">
        <w:r w:rsidRPr="00BD182E">
          <w:rPr>
            <w:rFonts w:eastAsia="Times New Roman"/>
            <w:sz w:val="24"/>
            <w:szCs w:val="24"/>
          </w:rPr>
          <w:t>e</w:t>
        </w:r>
      </w:smartTag>
      <w:r w:rsidRPr="00BD182E">
        <w:rPr>
          <w:rFonts w:eastAsia="Times New Roman"/>
          <w:sz w:val="24"/>
          <w:szCs w:val="24"/>
        </w:rPr>
        <w:t>rning th</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scop</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of th</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CCPA, s</w:t>
      </w:r>
      <w:smartTag w:uri="urn:schemas-microsoft-com:office:smarttags" w:element="PersonName">
        <w:r w:rsidRPr="00BD182E">
          <w:rPr>
            <w:rFonts w:eastAsia="Times New Roman"/>
            <w:sz w:val="24"/>
            <w:szCs w:val="24"/>
          </w:rPr>
          <w:t>e</w:t>
        </w:r>
      </w:smartTag>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w:t>
      </w:r>
      <w:r w:rsidRPr="00BD182E">
        <w:rPr>
          <w:rFonts w:eastAsia="Times New Roman"/>
          <w:b/>
          <w:sz w:val="24"/>
          <w:szCs w:val="24"/>
        </w:rPr>
        <w:t>Crowe</w:t>
      </w:r>
      <w:r w:rsidRPr="00BD182E">
        <w:rPr>
          <w:rFonts w:eastAsia="Times New Roman"/>
          <w:sz w:val="24"/>
          <w:szCs w:val="24"/>
        </w:rPr>
        <w:t>,</w:t>
      </w:r>
      <w:r w:rsidRPr="00BD182E">
        <w:rPr>
          <w:rFonts w:eastAsia="Times New Roman"/>
          <w:b/>
          <w:sz w:val="24"/>
          <w:szCs w:val="24"/>
        </w:rPr>
        <w:t xml:space="preserve"> </w:t>
      </w:r>
      <w:r w:rsidRPr="00BD182E">
        <w:rPr>
          <w:rFonts w:eastAsia="Times New Roman"/>
          <w:sz w:val="24"/>
          <w:szCs w:val="24"/>
        </w:rPr>
        <w:t>126 P.3d 196;</w:t>
      </w:r>
      <w:r w:rsidRPr="00BD182E">
        <w:rPr>
          <w:rFonts w:eastAsia="Times New Roman"/>
          <w:b/>
          <w:sz w:val="24"/>
          <w:szCs w:val="24"/>
        </w:rPr>
        <w:t xml:space="preserve"> Showpiece Hom</w:t>
      </w:r>
      <w:smartTag w:uri="urn:schemas-microsoft-com:office:smarttags" w:element="PersonName">
        <w:r w:rsidRPr="00BD182E">
          <w:rPr>
            <w:rFonts w:eastAsia="Times New Roman"/>
            <w:b/>
            <w:sz w:val="24"/>
            <w:szCs w:val="24"/>
          </w:rPr>
          <w:t>e</w:t>
        </w:r>
      </w:smartTag>
      <w:r w:rsidRPr="00BD182E">
        <w:rPr>
          <w:rFonts w:eastAsia="Times New Roman"/>
          <w:b/>
          <w:sz w:val="24"/>
          <w:szCs w:val="24"/>
        </w:rPr>
        <w:t>s Corp. v. Assuranc</w:t>
      </w:r>
      <w:smartTag w:uri="urn:schemas-microsoft-com:office:smarttags" w:element="PersonName">
        <w:r w:rsidRPr="00BD182E">
          <w:rPr>
            <w:rFonts w:eastAsia="Times New Roman"/>
            <w:b/>
            <w:sz w:val="24"/>
            <w:szCs w:val="24"/>
          </w:rPr>
          <w:t>e</w:t>
        </w:r>
      </w:smartTag>
      <w:r w:rsidRPr="00BD182E">
        <w:rPr>
          <w:rFonts w:eastAsia="Times New Roman"/>
          <w:b/>
          <w:sz w:val="24"/>
          <w:szCs w:val="24"/>
        </w:rPr>
        <w:t xml:space="preserve"> Co. of Am</w:t>
      </w:r>
      <w:smartTag w:uri="urn:schemas-microsoft-com:office:smarttags" w:element="PersonName">
        <w:r w:rsidRPr="00BD182E">
          <w:rPr>
            <w:rFonts w:eastAsia="Times New Roman"/>
            <w:b/>
            <w:sz w:val="24"/>
            <w:szCs w:val="24"/>
          </w:rPr>
          <w:t>e</w:t>
        </w:r>
      </w:smartTag>
      <w:r w:rsidRPr="00BD182E">
        <w:rPr>
          <w:rFonts w:eastAsia="Times New Roman"/>
          <w:b/>
          <w:sz w:val="24"/>
          <w:szCs w:val="24"/>
        </w:rPr>
        <w:t>rica</w:t>
      </w:r>
      <w:r w:rsidRPr="00BD182E">
        <w:rPr>
          <w:rFonts w:eastAsia="Times New Roman"/>
          <w:sz w:val="24"/>
          <w:szCs w:val="24"/>
        </w:rPr>
        <w:t>,</w:t>
      </w:r>
      <w:r w:rsidRPr="00BD182E">
        <w:rPr>
          <w:rFonts w:eastAsia="Times New Roman"/>
          <w:b/>
          <w:sz w:val="24"/>
          <w:szCs w:val="24"/>
        </w:rPr>
        <w:t xml:space="preserve"> </w:t>
      </w:r>
      <w:r w:rsidRPr="00BD182E">
        <w:rPr>
          <w:rFonts w:eastAsia="Times New Roman"/>
          <w:sz w:val="24"/>
          <w:szCs w:val="24"/>
        </w:rPr>
        <w:t>38 P.3d 47 (Colo. 2001) (answ</w:t>
      </w:r>
      <w:smartTag w:uri="urn:schemas-microsoft-com:office:smarttags" w:element="PersonName">
        <w:r w:rsidRPr="00BD182E">
          <w:rPr>
            <w:rFonts w:eastAsia="Times New Roman"/>
            <w:sz w:val="24"/>
            <w:szCs w:val="24"/>
          </w:rPr>
          <w:t>e</w:t>
        </w:r>
      </w:smartTag>
      <w:r w:rsidRPr="00BD182E">
        <w:rPr>
          <w:rFonts w:eastAsia="Times New Roman"/>
          <w:sz w:val="24"/>
          <w:szCs w:val="24"/>
        </w:rPr>
        <w:t>ring c</w:t>
      </w:r>
      <w:smartTag w:uri="urn:schemas-microsoft-com:office:smarttags" w:element="PersonName">
        <w:r w:rsidRPr="00BD182E">
          <w:rPr>
            <w:rFonts w:eastAsia="Times New Roman"/>
            <w:sz w:val="24"/>
            <w:szCs w:val="24"/>
          </w:rPr>
          <w:t>e</w:t>
        </w:r>
      </w:smartTag>
      <w:r w:rsidRPr="00BD182E">
        <w:rPr>
          <w:rFonts w:eastAsia="Times New Roman"/>
          <w:sz w:val="24"/>
          <w:szCs w:val="24"/>
        </w:rPr>
        <w:t>rtifi</w:t>
      </w:r>
      <w:smartTag w:uri="urn:schemas-microsoft-com:office:smarttags" w:element="PersonName">
        <w:r w:rsidRPr="00BD182E">
          <w:rPr>
            <w:rFonts w:eastAsia="Times New Roman"/>
            <w:sz w:val="24"/>
            <w:szCs w:val="24"/>
          </w:rPr>
          <w:t>e</w:t>
        </w:r>
      </w:smartTag>
      <w:r w:rsidRPr="00BD182E">
        <w:rPr>
          <w:rFonts w:eastAsia="Times New Roman"/>
          <w:sz w:val="24"/>
          <w:szCs w:val="24"/>
        </w:rPr>
        <w:t>d qu</w:t>
      </w:r>
      <w:smartTag w:uri="urn:schemas-microsoft-com:office:smarttags" w:element="PersonName">
        <w:r w:rsidRPr="00BD182E">
          <w:rPr>
            <w:rFonts w:eastAsia="Times New Roman"/>
            <w:sz w:val="24"/>
            <w:szCs w:val="24"/>
          </w:rPr>
          <w:t>e</w:t>
        </w:r>
      </w:smartTag>
      <w:r w:rsidRPr="00BD182E">
        <w:rPr>
          <w:rFonts w:eastAsia="Times New Roman"/>
          <w:sz w:val="24"/>
          <w:szCs w:val="24"/>
        </w:rPr>
        <w:t>stions in th</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insuranc</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cont</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xt); and </w:t>
      </w:r>
      <w:r w:rsidRPr="00BD182E">
        <w:rPr>
          <w:rFonts w:eastAsia="Times New Roman"/>
          <w:b/>
          <w:sz w:val="24"/>
          <w:szCs w:val="24"/>
        </w:rPr>
        <w:t>Coors v. S</w:t>
      </w:r>
      <w:smartTag w:uri="urn:schemas-microsoft-com:office:smarttags" w:element="PersonName">
        <w:r w:rsidRPr="00BD182E">
          <w:rPr>
            <w:rFonts w:eastAsia="Times New Roman"/>
            <w:b/>
            <w:sz w:val="24"/>
            <w:szCs w:val="24"/>
          </w:rPr>
          <w:t>e</w:t>
        </w:r>
      </w:smartTag>
      <w:r w:rsidRPr="00BD182E">
        <w:rPr>
          <w:rFonts w:eastAsia="Times New Roman"/>
          <w:b/>
          <w:sz w:val="24"/>
          <w:szCs w:val="24"/>
        </w:rPr>
        <w:t>curity Lif</w:t>
      </w:r>
      <w:smartTag w:uri="urn:schemas-microsoft-com:office:smarttags" w:element="PersonName">
        <w:r w:rsidRPr="00BD182E">
          <w:rPr>
            <w:rFonts w:eastAsia="Times New Roman"/>
            <w:b/>
            <w:sz w:val="24"/>
            <w:szCs w:val="24"/>
          </w:rPr>
          <w:t>e</w:t>
        </w:r>
      </w:smartTag>
      <w:r w:rsidRPr="00BD182E">
        <w:rPr>
          <w:rFonts w:eastAsia="Times New Roman"/>
          <w:b/>
          <w:sz w:val="24"/>
          <w:szCs w:val="24"/>
        </w:rPr>
        <w:t xml:space="preserve"> of D</w:t>
      </w:r>
      <w:smartTag w:uri="urn:schemas-microsoft-com:office:smarttags" w:element="PersonName">
        <w:r w:rsidRPr="00BD182E">
          <w:rPr>
            <w:rFonts w:eastAsia="Times New Roman"/>
            <w:b/>
            <w:sz w:val="24"/>
            <w:szCs w:val="24"/>
          </w:rPr>
          <w:t>e</w:t>
        </w:r>
      </w:smartTag>
      <w:r w:rsidRPr="00BD182E">
        <w:rPr>
          <w:rFonts w:eastAsia="Times New Roman"/>
          <w:b/>
          <w:sz w:val="24"/>
          <w:szCs w:val="24"/>
        </w:rPr>
        <w:t>nv</w:t>
      </w:r>
      <w:smartTag w:uri="urn:schemas-microsoft-com:office:smarttags" w:element="PersonName">
        <w:r w:rsidRPr="00BD182E">
          <w:rPr>
            <w:rFonts w:eastAsia="Times New Roman"/>
            <w:b/>
            <w:sz w:val="24"/>
            <w:szCs w:val="24"/>
          </w:rPr>
          <w:t>e</w:t>
        </w:r>
      </w:smartTag>
      <w:r w:rsidRPr="00BD182E">
        <w:rPr>
          <w:rFonts w:eastAsia="Times New Roman"/>
          <w:b/>
          <w:sz w:val="24"/>
          <w:szCs w:val="24"/>
        </w:rPr>
        <w:t>r Insuranc</w:t>
      </w:r>
      <w:smartTag w:uri="urn:schemas-microsoft-com:office:smarttags" w:element="PersonName">
        <w:r w:rsidRPr="00BD182E">
          <w:rPr>
            <w:rFonts w:eastAsia="Times New Roman"/>
            <w:b/>
            <w:sz w:val="24"/>
            <w:szCs w:val="24"/>
          </w:rPr>
          <w:t>e</w:t>
        </w:r>
      </w:smartTag>
      <w:r w:rsidRPr="00BD182E">
        <w:rPr>
          <w:rFonts w:eastAsia="Times New Roman"/>
          <w:b/>
          <w:sz w:val="24"/>
          <w:szCs w:val="24"/>
        </w:rPr>
        <w:t xml:space="preserve"> Co.</w:t>
      </w:r>
      <w:r w:rsidRPr="00BD182E">
        <w:rPr>
          <w:rFonts w:eastAsia="Times New Roman"/>
          <w:sz w:val="24"/>
          <w:szCs w:val="24"/>
        </w:rPr>
        <w:t>, 91 P.3d 393 (Colo. App. 2003) (</w:t>
      </w:r>
      <w:smartTag w:uri="urn:schemas-microsoft-com:office:smarttags" w:element="PersonName">
        <w:r w:rsidRPr="00BD182E">
          <w:rPr>
            <w:rFonts w:eastAsia="Times New Roman"/>
            <w:sz w:val="24"/>
            <w:szCs w:val="24"/>
          </w:rPr>
          <w:t>e</w:t>
        </w:r>
      </w:smartTag>
      <w:r w:rsidRPr="00BD182E">
        <w:rPr>
          <w:rFonts w:eastAsia="Times New Roman"/>
          <w:sz w:val="24"/>
          <w:szCs w:val="24"/>
        </w:rPr>
        <w:t>xamining r</w:t>
      </w:r>
      <w:smartTag w:uri="urn:schemas-microsoft-com:office:smarttags" w:element="PersonName">
        <w:r w:rsidRPr="00BD182E">
          <w:rPr>
            <w:rFonts w:eastAsia="Times New Roman"/>
            <w:sz w:val="24"/>
            <w:szCs w:val="24"/>
          </w:rPr>
          <w:t>e</w:t>
        </w:r>
      </w:smartTag>
      <w:r w:rsidRPr="00BD182E">
        <w:rPr>
          <w:rFonts w:eastAsia="Times New Roman"/>
          <w:sz w:val="24"/>
          <w:szCs w:val="24"/>
        </w:rPr>
        <w:t>lationship b</w:t>
      </w:r>
      <w:smartTag w:uri="urn:schemas-microsoft-com:office:smarttags" w:element="PersonName">
        <w:r w:rsidRPr="00BD182E">
          <w:rPr>
            <w:rFonts w:eastAsia="Times New Roman"/>
            <w:sz w:val="24"/>
            <w:szCs w:val="24"/>
          </w:rPr>
          <w:t>e</w:t>
        </w:r>
      </w:smartTag>
      <w:r w:rsidRPr="00BD182E">
        <w:rPr>
          <w:rFonts w:eastAsia="Times New Roman"/>
          <w:sz w:val="24"/>
          <w:szCs w:val="24"/>
        </w:rPr>
        <w:t>tw</w:t>
      </w:r>
      <w:smartTag w:uri="urn:schemas-microsoft-com:office:smarttags" w:element="PersonName">
        <w:r w:rsidRPr="00BD182E">
          <w:rPr>
            <w:rFonts w:eastAsia="Times New Roman"/>
            <w:sz w:val="24"/>
            <w:szCs w:val="24"/>
          </w:rPr>
          <w:t>e</w:t>
        </w:r>
      </w:smartTag>
      <w:smartTag w:uri="urn:schemas-microsoft-com:office:smarttags" w:element="PersonName">
        <w:r w:rsidRPr="00BD182E">
          <w:rPr>
            <w:rFonts w:eastAsia="Times New Roman"/>
            <w:sz w:val="24"/>
            <w:szCs w:val="24"/>
          </w:rPr>
          <w:t>e</w:t>
        </w:r>
      </w:smartTag>
      <w:r w:rsidRPr="00BD182E">
        <w:rPr>
          <w:rFonts w:eastAsia="Times New Roman"/>
          <w:sz w:val="24"/>
          <w:szCs w:val="24"/>
        </w:rPr>
        <w:t>n th</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Unfair Claims-Dec</w:t>
      </w:r>
      <w:smartTag w:uri="urn:schemas-microsoft-com:office:smarttags" w:element="PersonName">
        <w:r w:rsidRPr="00BD182E">
          <w:rPr>
            <w:rFonts w:eastAsia="Times New Roman"/>
            <w:sz w:val="24"/>
            <w:szCs w:val="24"/>
          </w:rPr>
          <w:t>e</w:t>
        </w:r>
      </w:smartTag>
      <w:r w:rsidRPr="00BD182E">
        <w:rPr>
          <w:rFonts w:eastAsia="Times New Roman"/>
          <w:sz w:val="24"/>
          <w:szCs w:val="24"/>
        </w:rPr>
        <w:t>ptiv</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Practic</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s Act and CCPA), </w:t>
      </w:r>
      <w:r w:rsidRPr="00BD182E">
        <w:rPr>
          <w:rFonts w:eastAsia="Times New Roman"/>
          <w:i/>
          <w:sz w:val="24"/>
          <w:szCs w:val="24"/>
        </w:rPr>
        <w:t>aff’d in part, r</w:t>
      </w:r>
      <w:smartTag w:uri="urn:schemas-microsoft-com:office:smarttags" w:element="PersonName">
        <w:r w:rsidRPr="00BD182E">
          <w:rPr>
            <w:rFonts w:eastAsia="Times New Roman"/>
            <w:i/>
            <w:sz w:val="24"/>
            <w:szCs w:val="24"/>
          </w:rPr>
          <w:t>e</w:t>
        </w:r>
      </w:smartTag>
      <w:r w:rsidRPr="00BD182E">
        <w:rPr>
          <w:rFonts w:eastAsia="Times New Roman"/>
          <w:i/>
          <w:sz w:val="24"/>
          <w:szCs w:val="24"/>
        </w:rPr>
        <w:t>v’d in part on oth</w:t>
      </w:r>
      <w:smartTag w:uri="urn:schemas-microsoft-com:office:smarttags" w:element="PersonName">
        <w:r w:rsidRPr="00BD182E">
          <w:rPr>
            <w:rFonts w:eastAsia="Times New Roman"/>
            <w:i/>
            <w:sz w:val="24"/>
            <w:szCs w:val="24"/>
          </w:rPr>
          <w:t>e</w:t>
        </w:r>
      </w:smartTag>
      <w:r w:rsidRPr="00BD182E">
        <w:rPr>
          <w:rFonts w:eastAsia="Times New Roman"/>
          <w:i/>
          <w:sz w:val="24"/>
          <w:szCs w:val="24"/>
        </w:rPr>
        <w:t>r grounds</w:t>
      </w:r>
      <w:r w:rsidRPr="00BD182E">
        <w:rPr>
          <w:rFonts w:eastAsia="Times New Roman"/>
          <w:sz w:val="24"/>
          <w:szCs w:val="24"/>
        </w:rPr>
        <w:t>,</w:t>
      </w:r>
      <w:r w:rsidRPr="00BD182E">
        <w:rPr>
          <w:rFonts w:eastAsia="Times New Roman"/>
          <w:i/>
          <w:sz w:val="24"/>
          <w:szCs w:val="24"/>
        </w:rPr>
        <w:t xml:space="preserve"> </w:t>
      </w:r>
      <w:r w:rsidRPr="00BD182E">
        <w:rPr>
          <w:rFonts w:eastAsia="Times New Roman"/>
          <w:sz w:val="24"/>
          <w:szCs w:val="24"/>
        </w:rPr>
        <w:t>112 P.3d 59 (Colo. 2005).</w:t>
      </w:r>
    </w:p>
    <w:p w14:paraId="128371FD"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lastRenderedPageBreak/>
        <w:t xml:space="preserve">5. In </w:t>
      </w:r>
      <w:r w:rsidRPr="00BD182E">
        <w:rPr>
          <w:rFonts w:eastAsia="Times New Roman"/>
          <w:b/>
          <w:sz w:val="24"/>
          <w:szCs w:val="24"/>
        </w:rPr>
        <w:t>Mendoza v. Pioneer General Insurance Co.</w:t>
      </w:r>
      <w:r w:rsidRPr="00BD182E">
        <w:rPr>
          <w:rFonts w:eastAsia="Times New Roman"/>
          <w:sz w:val="24"/>
          <w:szCs w:val="24"/>
        </w:rPr>
        <w:t>, 2014 COA 29, ¶ 31, 365 P.3d 371, a jury’s finding that automobile dealer engaged in a deceptive practice was constituted a final determination of fraud as a matter of law for purposes of triggering a bond issued pursuant to the Motor Vehicle Dealer Bond Statute.</w:t>
      </w:r>
    </w:p>
    <w:p w14:paraId="57B8AA03" w14:textId="77777777" w:rsidR="00BD182E" w:rsidRDefault="00BD182E">
      <w:pPr>
        <w:rPr>
          <w:rFonts w:eastAsia="Times New Roman"/>
          <w:sz w:val="24"/>
          <w:szCs w:val="24"/>
        </w:rPr>
      </w:pPr>
      <w:r>
        <w:rPr>
          <w:rFonts w:eastAsia="Times New Roman"/>
          <w:sz w:val="24"/>
          <w:szCs w:val="24"/>
        </w:rPr>
        <w:br w:type="page"/>
      </w:r>
    </w:p>
    <w:p w14:paraId="625F0A48" w14:textId="77777777" w:rsidR="00BD182E" w:rsidRPr="009E3DA4" w:rsidRDefault="00BD182E" w:rsidP="00BD182E">
      <w:pPr>
        <w:spacing w:after="240"/>
        <w:ind w:left="720" w:hanging="720"/>
        <w:rPr>
          <w:rFonts w:eastAsia="Times New Roman"/>
          <w:b/>
          <w:sz w:val="24"/>
          <w:szCs w:val="24"/>
        </w:rPr>
      </w:pPr>
      <w:bookmarkStart w:id="5" w:name="a29_03"/>
      <w:bookmarkEnd w:id="5"/>
      <w:r w:rsidRPr="00BD182E">
        <w:rPr>
          <w:rFonts w:eastAsia="Times New Roman"/>
          <w:b/>
          <w:sz w:val="24"/>
          <w:szCs w:val="24"/>
        </w:rPr>
        <w:lastRenderedPageBreak/>
        <w:t xml:space="preserve">29:3 </w:t>
      </w:r>
      <w:r w:rsidRPr="00BD182E">
        <w:rPr>
          <w:rFonts w:eastAsia="Times New Roman"/>
          <w:b/>
          <w:sz w:val="24"/>
          <w:szCs w:val="24"/>
        </w:rPr>
        <w:tab/>
        <w:t>FALSE REPRESENTATION/MISREPRESENTATION — DEFINED</w:t>
      </w:r>
    </w:p>
    <w:p w14:paraId="731A5A26" w14:textId="77777777" w:rsidR="00BD182E" w:rsidRPr="00BD182E" w:rsidRDefault="00BD182E" w:rsidP="00BD182E">
      <w:pPr>
        <w:spacing w:after="240"/>
        <w:ind w:firstLine="720"/>
        <w:rPr>
          <w:rFonts w:eastAsia="Times New Roman"/>
          <w:b/>
          <w:sz w:val="24"/>
          <w:szCs w:val="24"/>
        </w:rPr>
      </w:pPr>
      <w:r w:rsidRPr="00BD182E">
        <w:rPr>
          <w:rFonts w:eastAsia="Times New Roman"/>
          <w:b/>
          <w:sz w:val="24"/>
          <w:szCs w:val="24"/>
        </w:rPr>
        <w:t>A “misrepresentation” or “false representation” is a false statement that (induces the person to whom it is made to act or to refrain from acting) (has the capacity or tendency to attract consumers) (has the capacity to deceive the recipient even if it did not).</w:t>
      </w:r>
    </w:p>
    <w:p w14:paraId="55015685" w14:textId="77777777" w:rsidR="00BD182E" w:rsidRDefault="00BD182E" w:rsidP="00BD182E">
      <w:pPr>
        <w:jc w:val="center"/>
        <w:rPr>
          <w:rFonts w:eastAsia="Times New Roman"/>
          <w:sz w:val="24"/>
          <w:szCs w:val="24"/>
        </w:rPr>
      </w:pPr>
    </w:p>
    <w:p w14:paraId="2F6109C1" w14:textId="77777777" w:rsidR="00BD182E" w:rsidRPr="0054263B" w:rsidRDefault="00BD182E" w:rsidP="00BD182E">
      <w:pPr>
        <w:keepNext/>
        <w:spacing w:after="240"/>
        <w:jc w:val="center"/>
        <w:rPr>
          <w:rFonts w:eastAsia="Times New Roman"/>
          <w:b/>
          <w:sz w:val="24"/>
          <w:szCs w:val="24"/>
        </w:rPr>
      </w:pPr>
      <w:r w:rsidRPr="0054263B">
        <w:rPr>
          <w:rFonts w:eastAsia="Times New Roman"/>
          <w:b/>
          <w:sz w:val="24"/>
          <w:szCs w:val="24"/>
        </w:rPr>
        <w:t>Notes on Use</w:t>
      </w:r>
    </w:p>
    <w:p w14:paraId="38BFF7FF"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t>This instruction should b</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giv</w:t>
      </w:r>
      <w:smartTag w:uri="urn:schemas-microsoft-com:office:smarttags" w:element="PersonName">
        <w:r w:rsidRPr="00BD182E">
          <w:rPr>
            <w:rFonts w:eastAsia="Times New Roman"/>
            <w:sz w:val="24"/>
            <w:szCs w:val="24"/>
          </w:rPr>
          <w:t>e</w:t>
        </w:r>
      </w:smartTag>
      <w:r w:rsidRPr="00BD182E">
        <w:rPr>
          <w:rFonts w:eastAsia="Times New Roman"/>
          <w:sz w:val="24"/>
          <w:szCs w:val="24"/>
        </w:rPr>
        <w:t>n wh</w:t>
      </w:r>
      <w:smartTag w:uri="urn:schemas-microsoft-com:office:smarttags" w:element="PersonName">
        <w:r w:rsidRPr="00BD182E">
          <w:rPr>
            <w:rFonts w:eastAsia="Times New Roman"/>
            <w:sz w:val="24"/>
            <w:szCs w:val="24"/>
          </w:rPr>
          <w:t>e</w:t>
        </w:r>
      </w:smartTag>
      <w:r w:rsidRPr="00BD182E">
        <w:rPr>
          <w:rFonts w:eastAsia="Times New Roman"/>
          <w:sz w:val="24"/>
          <w:szCs w:val="24"/>
        </w:rPr>
        <w:t>n th</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CCPA claim us</w:t>
      </w:r>
      <w:smartTag w:uri="urn:schemas-microsoft-com:office:smarttags" w:element="PersonName">
        <w:r w:rsidRPr="00BD182E">
          <w:rPr>
            <w:rFonts w:eastAsia="Times New Roman"/>
            <w:sz w:val="24"/>
            <w:szCs w:val="24"/>
          </w:rPr>
          <w:t>e</w:t>
        </w:r>
      </w:smartTag>
      <w:r w:rsidRPr="00BD182E">
        <w:rPr>
          <w:rFonts w:eastAsia="Times New Roman"/>
          <w:sz w:val="24"/>
          <w:szCs w:val="24"/>
        </w:rPr>
        <w:t>s th</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words “misr</w:t>
      </w:r>
      <w:smartTag w:uri="urn:schemas-microsoft-com:office:smarttags" w:element="PersonName">
        <w:r w:rsidRPr="00BD182E">
          <w:rPr>
            <w:rFonts w:eastAsia="Times New Roman"/>
            <w:sz w:val="24"/>
            <w:szCs w:val="24"/>
          </w:rPr>
          <w:t>e</w:t>
        </w:r>
      </w:smartTag>
      <w:r w:rsidRPr="00BD182E">
        <w:rPr>
          <w:rFonts w:eastAsia="Times New Roman"/>
          <w:sz w:val="24"/>
          <w:szCs w:val="24"/>
        </w:rPr>
        <w:t>pr</w:t>
      </w:r>
      <w:smartTag w:uri="urn:schemas-microsoft-com:office:smarttags" w:element="PersonName">
        <w:r w:rsidRPr="00BD182E">
          <w:rPr>
            <w:rFonts w:eastAsia="Times New Roman"/>
            <w:sz w:val="24"/>
            <w:szCs w:val="24"/>
          </w:rPr>
          <w:t>e</w:t>
        </w:r>
      </w:smartTag>
      <w:r w:rsidRPr="00BD182E">
        <w:rPr>
          <w:rFonts w:eastAsia="Times New Roman"/>
          <w:sz w:val="24"/>
          <w:szCs w:val="24"/>
        </w:rPr>
        <w:t>s</w:t>
      </w:r>
      <w:smartTag w:uri="urn:schemas-microsoft-com:office:smarttags" w:element="PersonName">
        <w:r w:rsidRPr="00BD182E">
          <w:rPr>
            <w:rFonts w:eastAsia="Times New Roman"/>
            <w:sz w:val="24"/>
            <w:szCs w:val="24"/>
          </w:rPr>
          <w:t>e</w:t>
        </w:r>
      </w:smartTag>
      <w:r w:rsidRPr="00BD182E">
        <w:rPr>
          <w:rFonts w:eastAsia="Times New Roman"/>
          <w:sz w:val="24"/>
          <w:szCs w:val="24"/>
        </w:rPr>
        <w:t>ntation” or “fals</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r</w:t>
      </w:r>
      <w:smartTag w:uri="urn:schemas-microsoft-com:office:smarttags" w:element="PersonName">
        <w:r w:rsidRPr="00BD182E">
          <w:rPr>
            <w:rFonts w:eastAsia="Times New Roman"/>
            <w:sz w:val="24"/>
            <w:szCs w:val="24"/>
          </w:rPr>
          <w:t>e</w:t>
        </w:r>
      </w:smartTag>
      <w:r w:rsidRPr="00BD182E">
        <w:rPr>
          <w:rFonts w:eastAsia="Times New Roman"/>
          <w:sz w:val="24"/>
          <w:szCs w:val="24"/>
        </w:rPr>
        <w:t>pr</w:t>
      </w:r>
      <w:smartTag w:uri="urn:schemas-microsoft-com:office:smarttags" w:element="PersonName">
        <w:r w:rsidRPr="00BD182E">
          <w:rPr>
            <w:rFonts w:eastAsia="Times New Roman"/>
            <w:sz w:val="24"/>
            <w:szCs w:val="24"/>
          </w:rPr>
          <w:t>e</w:t>
        </w:r>
      </w:smartTag>
      <w:r w:rsidRPr="00BD182E">
        <w:rPr>
          <w:rFonts w:eastAsia="Times New Roman"/>
          <w:sz w:val="24"/>
          <w:szCs w:val="24"/>
        </w:rPr>
        <w:t>s</w:t>
      </w:r>
      <w:smartTag w:uri="urn:schemas-microsoft-com:office:smarttags" w:element="PersonName">
        <w:r w:rsidRPr="00BD182E">
          <w:rPr>
            <w:rFonts w:eastAsia="Times New Roman"/>
            <w:sz w:val="24"/>
            <w:szCs w:val="24"/>
          </w:rPr>
          <w:t>e</w:t>
        </w:r>
      </w:smartTag>
      <w:r w:rsidRPr="00BD182E">
        <w:rPr>
          <w:rFonts w:eastAsia="Times New Roman"/>
          <w:sz w:val="24"/>
          <w:szCs w:val="24"/>
        </w:rPr>
        <w:t>ntation.” § 6-1-105(1), C.R.S.</w:t>
      </w:r>
    </w:p>
    <w:p w14:paraId="3799C508" w14:textId="77777777" w:rsidR="00BD182E" w:rsidRPr="0054263B" w:rsidRDefault="00BD182E" w:rsidP="00BD182E">
      <w:pPr>
        <w:keepNext/>
        <w:spacing w:after="240"/>
        <w:jc w:val="center"/>
        <w:rPr>
          <w:rFonts w:eastAsia="Times New Roman"/>
          <w:b/>
          <w:sz w:val="24"/>
          <w:szCs w:val="24"/>
        </w:rPr>
      </w:pPr>
      <w:r>
        <w:rPr>
          <w:rFonts w:eastAsia="Times New Roman"/>
          <w:b/>
          <w:sz w:val="24"/>
          <w:szCs w:val="24"/>
        </w:rPr>
        <w:t>Source and Authority</w:t>
      </w:r>
    </w:p>
    <w:p w14:paraId="2128A41E"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t>1. This instruction is support</w:t>
      </w:r>
      <w:smartTag w:uri="urn:schemas-microsoft-com:office:smarttags" w:element="PersonName">
        <w:r w:rsidRPr="00BD182E">
          <w:rPr>
            <w:rFonts w:eastAsia="Times New Roman"/>
            <w:sz w:val="24"/>
            <w:szCs w:val="24"/>
          </w:rPr>
          <w:t>e</w:t>
        </w:r>
      </w:smartTag>
      <w:r w:rsidRPr="00BD182E">
        <w:rPr>
          <w:rFonts w:eastAsia="Times New Roman"/>
          <w:sz w:val="24"/>
          <w:szCs w:val="24"/>
        </w:rPr>
        <w:t>d by</w:t>
      </w:r>
      <w:r w:rsidRPr="00BD182E">
        <w:rPr>
          <w:rFonts w:eastAsia="Times New Roman"/>
          <w:b/>
          <w:sz w:val="24"/>
          <w:szCs w:val="24"/>
        </w:rPr>
        <w:t xml:space="preserve"> Rhino Linings USA, Inc. v. Rocky Mountain Rhino Lining, Inc.</w:t>
      </w:r>
      <w:r w:rsidRPr="00BD182E">
        <w:rPr>
          <w:rFonts w:eastAsia="Times New Roman"/>
          <w:sz w:val="24"/>
          <w:szCs w:val="24"/>
        </w:rPr>
        <w:t>,</w:t>
      </w:r>
      <w:r w:rsidRPr="00BD182E">
        <w:rPr>
          <w:rFonts w:eastAsia="Times New Roman"/>
          <w:b/>
          <w:sz w:val="24"/>
          <w:szCs w:val="24"/>
        </w:rPr>
        <w:t xml:space="preserve"> </w:t>
      </w:r>
      <w:r w:rsidRPr="00BD182E">
        <w:rPr>
          <w:rFonts w:eastAsia="Times New Roman"/>
          <w:sz w:val="24"/>
          <w:szCs w:val="24"/>
        </w:rPr>
        <w:t>62 P.3d 142 (</w:t>
      </w:r>
      <w:smartTag w:uri="urn:schemas-microsoft-com:office:smarttags" w:element="place">
        <w:smartTag w:uri="urn:schemas-microsoft-com:office:smarttags" w:element="State">
          <w:r w:rsidRPr="00BD182E">
            <w:rPr>
              <w:rFonts w:eastAsia="Times New Roman"/>
              <w:sz w:val="24"/>
              <w:szCs w:val="24"/>
            </w:rPr>
            <w:t>Colo.</w:t>
          </w:r>
        </w:smartTag>
      </w:smartTag>
      <w:r w:rsidRPr="00BD182E">
        <w:rPr>
          <w:rFonts w:eastAsia="Times New Roman"/>
          <w:sz w:val="24"/>
          <w:szCs w:val="24"/>
        </w:rPr>
        <w:t xml:space="preserve"> 2003).</w:t>
      </w:r>
    </w:p>
    <w:p w14:paraId="2F2CCF11"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t>2. A promis</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mad</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in a contract cannot constitut</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a misr</w:t>
      </w:r>
      <w:smartTag w:uri="urn:schemas-microsoft-com:office:smarttags" w:element="PersonName">
        <w:r w:rsidRPr="00BD182E">
          <w:rPr>
            <w:rFonts w:eastAsia="Times New Roman"/>
            <w:sz w:val="24"/>
            <w:szCs w:val="24"/>
          </w:rPr>
          <w:t>e</w:t>
        </w:r>
      </w:smartTag>
      <w:r w:rsidRPr="00BD182E">
        <w:rPr>
          <w:rFonts w:eastAsia="Times New Roman"/>
          <w:sz w:val="24"/>
          <w:szCs w:val="24"/>
        </w:rPr>
        <w:t>pr</w:t>
      </w:r>
      <w:smartTag w:uri="urn:schemas-microsoft-com:office:smarttags" w:element="PersonName">
        <w:r w:rsidRPr="00BD182E">
          <w:rPr>
            <w:rFonts w:eastAsia="Times New Roman"/>
            <w:sz w:val="24"/>
            <w:szCs w:val="24"/>
          </w:rPr>
          <w:t>e</w:t>
        </w:r>
      </w:smartTag>
      <w:r w:rsidRPr="00BD182E">
        <w:rPr>
          <w:rFonts w:eastAsia="Times New Roman"/>
          <w:sz w:val="24"/>
          <w:szCs w:val="24"/>
        </w:rPr>
        <w:t>s</w:t>
      </w:r>
      <w:smartTag w:uri="urn:schemas-microsoft-com:office:smarttags" w:element="PersonName">
        <w:r w:rsidRPr="00BD182E">
          <w:rPr>
            <w:rFonts w:eastAsia="Times New Roman"/>
            <w:sz w:val="24"/>
            <w:szCs w:val="24"/>
          </w:rPr>
          <w:t>e</w:t>
        </w:r>
      </w:smartTag>
      <w:r w:rsidRPr="00BD182E">
        <w:rPr>
          <w:rFonts w:eastAsia="Times New Roman"/>
          <w:sz w:val="24"/>
          <w:szCs w:val="24"/>
        </w:rPr>
        <w:t>ntation unl</w:t>
      </w:r>
      <w:smartTag w:uri="urn:schemas-microsoft-com:office:smarttags" w:element="PersonName">
        <w:r w:rsidRPr="00BD182E">
          <w:rPr>
            <w:rFonts w:eastAsia="Times New Roman"/>
            <w:sz w:val="24"/>
            <w:szCs w:val="24"/>
          </w:rPr>
          <w:t>e</w:t>
        </w:r>
      </w:smartTag>
      <w:r w:rsidRPr="00BD182E">
        <w:rPr>
          <w:rFonts w:eastAsia="Times New Roman"/>
          <w:sz w:val="24"/>
          <w:szCs w:val="24"/>
        </w:rPr>
        <w:t>ss th</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promisor did not int</w:t>
      </w:r>
      <w:smartTag w:uri="urn:schemas-microsoft-com:office:smarttags" w:element="PersonName">
        <w:r w:rsidRPr="00BD182E">
          <w:rPr>
            <w:rFonts w:eastAsia="Times New Roman"/>
            <w:sz w:val="24"/>
            <w:szCs w:val="24"/>
          </w:rPr>
          <w:t>e</w:t>
        </w:r>
      </w:smartTag>
      <w:r w:rsidRPr="00BD182E">
        <w:rPr>
          <w:rFonts w:eastAsia="Times New Roman"/>
          <w:sz w:val="24"/>
          <w:szCs w:val="24"/>
        </w:rPr>
        <w:t>nd to honor th</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promis</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at th</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tim</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it was mad</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w:t>
      </w:r>
      <w:r w:rsidRPr="00BD182E">
        <w:rPr>
          <w:rFonts w:eastAsia="Times New Roman"/>
          <w:b/>
          <w:sz w:val="24"/>
          <w:szCs w:val="24"/>
        </w:rPr>
        <w:t>Rhino Linings USA</w:t>
      </w:r>
      <w:r w:rsidRPr="00BD182E">
        <w:rPr>
          <w:rFonts w:eastAsia="Times New Roman"/>
          <w:sz w:val="24"/>
          <w:szCs w:val="24"/>
        </w:rPr>
        <w:t>,</w:t>
      </w:r>
      <w:r w:rsidRPr="00BD182E">
        <w:rPr>
          <w:rFonts w:eastAsia="Times New Roman"/>
          <w:b/>
          <w:sz w:val="24"/>
          <w:szCs w:val="24"/>
        </w:rPr>
        <w:t xml:space="preserve"> </w:t>
      </w:r>
      <w:r w:rsidRPr="00BD182E">
        <w:rPr>
          <w:rFonts w:eastAsia="Times New Roman"/>
          <w:sz w:val="24"/>
          <w:szCs w:val="24"/>
        </w:rPr>
        <w:t>62 P.3d at 148. In such cas</w:t>
      </w:r>
      <w:smartTag w:uri="urn:schemas-microsoft-com:office:smarttags" w:element="PersonName">
        <w:r w:rsidRPr="00BD182E">
          <w:rPr>
            <w:rFonts w:eastAsia="Times New Roman"/>
            <w:sz w:val="24"/>
            <w:szCs w:val="24"/>
          </w:rPr>
          <w:t>e</w:t>
        </w:r>
      </w:smartTag>
      <w:r w:rsidRPr="00BD182E">
        <w:rPr>
          <w:rFonts w:eastAsia="Times New Roman"/>
          <w:sz w:val="24"/>
          <w:szCs w:val="24"/>
        </w:rPr>
        <w:t>s, it may be appropriat</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to giv</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a modified version of Instruction 19:12. </w:t>
      </w:r>
    </w:p>
    <w:p w14:paraId="6510938B"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t xml:space="preserve">3. Only knowing misrepresentations are actionable under the CCPA, as there must be an intent to defraud. </w:t>
      </w:r>
      <w:r w:rsidRPr="00BD182E">
        <w:rPr>
          <w:rFonts w:eastAsia="Times New Roman"/>
          <w:b/>
          <w:sz w:val="24"/>
          <w:szCs w:val="24"/>
        </w:rPr>
        <w:t>Crowe v. Tull</w:t>
      </w:r>
      <w:r w:rsidRPr="00BD182E">
        <w:rPr>
          <w:rFonts w:eastAsia="Times New Roman"/>
          <w:sz w:val="24"/>
          <w:szCs w:val="24"/>
        </w:rPr>
        <w:t>, 126 P.3d 196 (</w:t>
      </w:r>
      <w:smartTag w:uri="urn:schemas-microsoft-com:office:smarttags" w:element="place">
        <w:smartTag w:uri="urn:schemas-microsoft-com:office:smarttags" w:element="State">
          <w:r w:rsidRPr="00BD182E">
            <w:rPr>
              <w:rFonts w:eastAsia="Times New Roman"/>
              <w:sz w:val="24"/>
              <w:szCs w:val="24"/>
            </w:rPr>
            <w:t>Colo.</w:t>
          </w:r>
        </w:smartTag>
      </w:smartTag>
      <w:r w:rsidRPr="00BD182E">
        <w:rPr>
          <w:rFonts w:eastAsia="Times New Roman"/>
          <w:sz w:val="24"/>
          <w:szCs w:val="24"/>
        </w:rPr>
        <w:t xml:space="preserve"> 2006); </w:t>
      </w:r>
      <w:r w:rsidRPr="00BD182E">
        <w:rPr>
          <w:rFonts w:eastAsia="Times New Roman"/>
          <w:i/>
          <w:sz w:val="24"/>
          <w:szCs w:val="24"/>
        </w:rPr>
        <w:t xml:space="preserve">see </w:t>
      </w:r>
      <w:r w:rsidRPr="00BD182E">
        <w:rPr>
          <w:rFonts w:eastAsia="Times New Roman"/>
          <w:b/>
          <w:sz w:val="24"/>
          <w:szCs w:val="24"/>
        </w:rPr>
        <w:t>Brodeur v. Am. Home Assur. Co.</w:t>
      </w:r>
      <w:r w:rsidRPr="00BD182E">
        <w:rPr>
          <w:rFonts w:eastAsia="Times New Roman"/>
          <w:sz w:val="24"/>
          <w:szCs w:val="24"/>
        </w:rPr>
        <w:t>, 169 P.3d 139 (Colo. 2007);</w:t>
      </w:r>
      <w:r w:rsidRPr="00BD182E">
        <w:rPr>
          <w:rFonts w:eastAsia="Times New Roman"/>
          <w:b/>
          <w:sz w:val="24"/>
          <w:szCs w:val="24"/>
        </w:rPr>
        <w:t xml:space="preserve"> State ex rel. Suthers v. Mandatory Poster Agency, Inc.</w:t>
      </w:r>
      <w:r w:rsidRPr="00BD182E">
        <w:rPr>
          <w:rFonts w:eastAsia="Times New Roman"/>
          <w:sz w:val="24"/>
          <w:szCs w:val="24"/>
        </w:rPr>
        <w:t>, 260 P.3d 9 (Colo. App. 2009) (defendant who did not have actual knowledge of falsity of his statements acted with mere negligence and did not “knowingly” make a false representation within the meaning of CCPA).</w:t>
      </w:r>
    </w:p>
    <w:p w14:paraId="47F92991"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t xml:space="preserve">4. As a matter of law, “mere puffery” is not actionable under the CCPA. </w:t>
      </w:r>
      <w:r w:rsidRPr="00BD182E">
        <w:rPr>
          <w:rFonts w:eastAsia="Times New Roman"/>
          <w:b/>
          <w:sz w:val="24"/>
          <w:szCs w:val="24"/>
        </w:rPr>
        <w:t>Park Rise Homeowners Ass’n v. Res. Constr. Co.</w:t>
      </w:r>
      <w:r w:rsidRPr="00BD182E">
        <w:rPr>
          <w:rFonts w:eastAsia="Times New Roman"/>
          <w:sz w:val="24"/>
          <w:szCs w:val="24"/>
        </w:rPr>
        <w:t>, 155 P.3d 427 (Colo. App. 2006) (touting “quality construction” of condominiums was “mere puffery,” not actionable under the CCPA).</w:t>
      </w:r>
    </w:p>
    <w:p w14:paraId="3CBC72FF" w14:textId="77777777" w:rsidR="00BD182E" w:rsidRDefault="00BD182E">
      <w:pPr>
        <w:rPr>
          <w:rFonts w:eastAsia="Times New Roman"/>
          <w:sz w:val="24"/>
          <w:szCs w:val="24"/>
        </w:rPr>
      </w:pPr>
      <w:r>
        <w:rPr>
          <w:rFonts w:eastAsia="Times New Roman"/>
          <w:sz w:val="24"/>
          <w:szCs w:val="24"/>
        </w:rPr>
        <w:br w:type="page"/>
      </w:r>
    </w:p>
    <w:p w14:paraId="249479E1" w14:textId="77777777" w:rsidR="00BD182E" w:rsidRPr="009E3DA4" w:rsidRDefault="00BD182E" w:rsidP="00BD182E">
      <w:pPr>
        <w:spacing w:after="240"/>
        <w:ind w:left="720" w:hanging="720"/>
        <w:rPr>
          <w:rFonts w:eastAsia="Times New Roman"/>
          <w:b/>
          <w:sz w:val="24"/>
          <w:szCs w:val="24"/>
        </w:rPr>
      </w:pPr>
      <w:bookmarkStart w:id="6" w:name="a29_04"/>
      <w:bookmarkEnd w:id="6"/>
      <w:r w:rsidRPr="00BD182E">
        <w:rPr>
          <w:rFonts w:eastAsia="Times New Roman"/>
          <w:b/>
          <w:sz w:val="24"/>
          <w:szCs w:val="24"/>
        </w:rPr>
        <w:lastRenderedPageBreak/>
        <w:t xml:space="preserve">29:4 </w:t>
      </w:r>
      <w:r w:rsidRPr="00BD182E">
        <w:rPr>
          <w:rFonts w:eastAsia="Times New Roman"/>
          <w:b/>
          <w:sz w:val="24"/>
          <w:szCs w:val="24"/>
        </w:rPr>
        <w:tab/>
        <w:t>SIGNIFICANT IMPACT ON THE PUBLIC — DEFINED</w:t>
      </w:r>
    </w:p>
    <w:p w14:paraId="6F146D06" w14:textId="77777777" w:rsidR="00BD182E" w:rsidRPr="00BD182E" w:rsidRDefault="00BD182E" w:rsidP="00BD182E">
      <w:pPr>
        <w:spacing w:after="240"/>
        <w:ind w:firstLine="720"/>
        <w:rPr>
          <w:rFonts w:eastAsia="Times New Roman"/>
          <w:b/>
          <w:sz w:val="24"/>
          <w:szCs w:val="24"/>
        </w:rPr>
      </w:pPr>
      <w:r w:rsidRPr="00BD182E">
        <w:rPr>
          <w:rFonts w:eastAsia="Times New Roman"/>
          <w:b/>
          <w:sz w:val="24"/>
          <w:szCs w:val="24"/>
        </w:rPr>
        <w:t>In determining whether the challenged trade practice(s) significantly impacted the public as actual or potential consumers of the defendant’s (goods), (services), or (property), you shall consider all of the following:</w:t>
      </w:r>
    </w:p>
    <w:p w14:paraId="7DA77989" w14:textId="77777777" w:rsidR="00BD182E" w:rsidRPr="00BD182E" w:rsidRDefault="00BD182E" w:rsidP="00BD182E">
      <w:pPr>
        <w:spacing w:after="240"/>
        <w:ind w:firstLine="720"/>
        <w:rPr>
          <w:rFonts w:eastAsia="Times New Roman"/>
          <w:b/>
          <w:sz w:val="24"/>
          <w:szCs w:val="24"/>
        </w:rPr>
      </w:pPr>
      <w:r w:rsidRPr="00BD182E">
        <w:rPr>
          <w:rFonts w:eastAsia="Times New Roman"/>
          <w:b/>
          <w:sz w:val="24"/>
          <w:szCs w:val="24"/>
        </w:rPr>
        <w:t>1. The number of consumers directly affected by the challenged trade practice(s); (and)</w:t>
      </w:r>
    </w:p>
    <w:p w14:paraId="1CEE6E70" w14:textId="77777777" w:rsidR="00BD182E" w:rsidRPr="00BD182E" w:rsidRDefault="00BD182E" w:rsidP="00BD182E">
      <w:pPr>
        <w:spacing w:after="240"/>
        <w:ind w:firstLine="720"/>
        <w:rPr>
          <w:rFonts w:eastAsia="Times New Roman"/>
          <w:b/>
          <w:sz w:val="24"/>
          <w:szCs w:val="24"/>
        </w:rPr>
      </w:pPr>
      <w:r w:rsidRPr="00BD182E">
        <w:rPr>
          <w:rFonts w:eastAsia="Times New Roman"/>
          <w:b/>
          <w:sz w:val="24"/>
          <w:szCs w:val="24"/>
        </w:rPr>
        <w:t>2. The relative sophistication of the consumers directly affected by the challenged trade practice(s); (and)</w:t>
      </w:r>
    </w:p>
    <w:p w14:paraId="020F874C" w14:textId="77777777" w:rsidR="00BD182E" w:rsidRPr="00BD182E" w:rsidRDefault="00BD182E" w:rsidP="00BD182E">
      <w:pPr>
        <w:spacing w:after="240"/>
        <w:ind w:firstLine="720"/>
        <w:rPr>
          <w:rFonts w:eastAsia="Times New Roman"/>
          <w:b/>
          <w:sz w:val="24"/>
          <w:szCs w:val="24"/>
        </w:rPr>
      </w:pPr>
      <w:r w:rsidRPr="00BD182E">
        <w:rPr>
          <w:rFonts w:eastAsia="Times New Roman"/>
          <w:b/>
          <w:sz w:val="24"/>
          <w:szCs w:val="24"/>
        </w:rPr>
        <w:t>3. The bargaining power of the consumers directly affected by the challenged trade practice(s); (and)</w:t>
      </w:r>
    </w:p>
    <w:p w14:paraId="28C62276" w14:textId="77777777" w:rsidR="00BD182E" w:rsidRPr="00BD182E" w:rsidRDefault="00BD182E" w:rsidP="00BD182E">
      <w:pPr>
        <w:spacing w:after="240"/>
        <w:ind w:firstLine="720"/>
        <w:rPr>
          <w:rFonts w:eastAsia="Times New Roman"/>
          <w:b/>
          <w:sz w:val="24"/>
          <w:szCs w:val="24"/>
        </w:rPr>
      </w:pPr>
      <w:r w:rsidRPr="00BD182E">
        <w:rPr>
          <w:rFonts w:eastAsia="Times New Roman"/>
          <w:b/>
          <w:sz w:val="24"/>
          <w:szCs w:val="24"/>
        </w:rPr>
        <w:t>4. Evidence that the challenged trade practice(s) (has) (have) previously impacted other consumers; (and)</w:t>
      </w:r>
    </w:p>
    <w:p w14:paraId="5424D705" w14:textId="77777777" w:rsidR="00BD182E" w:rsidRPr="00BD182E" w:rsidRDefault="00BD182E" w:rsidP="00BD182E">
      <w:pPr>
        <w:spacing w:after="240"/>
        <w:ind w:firstLine="720"/>
        <w:rPr>
          <w:rFonts w:eastAsia="Times New Roman"/>
          <w:b/>
          <w:sz w:val="24"/>
          <w:szCs w:val="24"/>
        </w:rPr>
      </w:pPr>
      <w:r w:rsidRPr="00BD182E">
        <w:rPr>
          <w:rFonts w:eastAsia="Times New Roman"/>
          <w:b/>
          <w:sz w:val="24"/>
          <w:szCs w:val="24"/>
        </w:rPr>
        <w:t xml:space="preserve">5. Evidence that the challenged trade practice(s) (has) (have) a significant potential to impact other consumers in the future(.) (; and) </w:t>
      </w:r>
    </w:p>
    <w:p w14:paraId="2459B69B" w14:textId="77777777" w:rsidR="00BD182E" w:rsidRPr="00BD182E" w:rsidRDefault="00BD182E" w:rsidP="00BD182E">
      <w:pPr>
        <w:spacing w:after="240"/>
        <w:ind w:firstLine="720"/>
        <w:rPr>
          <w:rFonts w:eastAsia="Times New Roman"/>
          <w:b/>
          <w:i/>
          <w:sz w:val="24"/>
          <w:szCs w:val="24"/>
        </w:rPr>
      </w:pPr>
      <w:r w:rsidRPr="00BD182E">
        <w:rPr>
          <w:rFonts w:eastAsia="Times New Roman"/>
          <w:b/>
          <w:sz w:val="24"/>
          <w:szCs w:val="24"/>
        </w:rPr>
        <w:t>(6</w:t>
      </w:r>
      <w:r w:rsidRPr="00BD182E">
        <w:rPr>
          <w:rFonts w:eastAsia="Times New Roman"/>
          <w:b/>
          <w:i/>
          <w:sz w:val="24"/>
          <w:szCs w:val="24"/>
        </w:rPr>
        <w:t xml:space="preserve">. </w:t>
      </w:r>
      <w:r w:rsidRPr="00BD182E">
        <w:rPr>
          <w:rFonts w:eastAsia="Times New Roman"/>
          <w:i/>
          <w:sz w:val="24"/>
          <w:szCs w:val="24"/>
        </w:rPr>
        <w:t>Include any other factors the court has determined are relevant in determining significant public impact</w:t>
      </w:r>
      <w:r w:rsidRPr="00BD182E">
        <w:rPr>
          <w:rFonts w:eastAsia="Times New Roman"/>
          <w:b/>
          <w:i/>
          <w:sz w:val="24"/>
          <w:szCs w:val="24"/>
        </w:rPr>
        <w:t>.</w:t>
      </w:r>
      <w:r w:rsidRPr="00BD182E">
        <w:rPr>
          <w:rFonts w:eastAsia="Times New Roman"/>
          <w:b/>
          <w:sz w:val="24"/>
          <w:szCs w:val="24"/>
        </w:rPr>
        <w:t>)</w:t>
      </w:r>
    </w:p>
    <w:p w14:paraId="20BF1F58" w14:textId="77777777" w:rsidR="00BD182E" w:rsidRDefault="00BD182E" w:rsidP="00BD182E">
      <w:pPr>
        <w:jc w:val="center"/>
        <w:rPr>
          <w:rFonts w:eastAsia="Times New Roman"/>
          <w:sz w:val="24"/>
          <w:szCs w:val="24"/>
        </w:rPr>
      </w:pPr>
    </w:p>
    <w:p w14:paraId="5F222DF0" w14:textId="77777777" w:rsidR="00BD182E" w:rsidRPr="0054263B" w:rsidRDefault="00BD182E" w:rsidP="00BD182E">
      <w:pPr>
        <w:keepNext/>
        <w:spacing w:after="240"/>
        <w:jc w:val="center"/>
        <w:rPr>
          <w:rFonts w:eastAsia="Times New Roman"/>
          <w:b/>
          <w:sz w:val="24"/>
          <w:szCs w:val="24"/>
        </w:rPr>
      </w:pPr>
      <w:r w:rsidRPr="0054263B">
        <w:rPr>
          <w:rFonts w:eastAsia="Times New Roman"/>
          <w:b/>
          <w:sz w:val="24"/>
          <w:szCs w:val="24"/>
        </w:rPr>
        <w:t>Notes on Use</w:t>
      </w:r>
    </w:p>
    <w:p w14:paraId="3D492827"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t xml:space="preserve">1. Unless the facts are undisputed, the determination as to whether there is a significant public impact is a factual one and not a question of law. </w:t>
      </w:r>
      <w:r w:rsidRPr="00BD182E">
        <w:rPr>
          <w:rFonts w:eastAsia="Times New Roman"/>
          <w:b/>
          <w:sz w:val="24"/>
          <w:szCs w:val="24"/>
        </w:rPr>
        <w:t>One Creative Place, LLC v. Jet Ctr. Partners, LLC</w:t>
      </w:r>
      <w:r w:rsidRPr="00BD182E">
        <w:rPr>
          <w:rFonts w:eastAsia="Times New Roman"/>
          <w:sz w:val="24"/>
          <w:szCs w:val="24"/>
        </w:rPr>
        <w:t xml:space="preserve">, 259 P.3d 1287 (Colo. App. 2011). </w:t>
      </w:r>
    </w:p>
    <w:p w14:paraId="3A964373"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t xml:space="preserve">2. Conclusory allegations of public impact without reference to facts that allege harm or potential harm to identifiable member of the public are insufficient to support a CCPA claim. </w:t>
      </w:r>
      <w:r w:rsidRPr="00BD182E">
        <w:rPr>
          <w:rFonts w:eastAsia="Times New Roman"/>
          <w:b/>
          <w:sz w:val="24"/>
          <w:szCs w:val="24"/>
        </w:rPr>
        <w:t>Rees v. Unleaded Software, Inc.</w:t>
      </w:r>
      <w:r w:rsidRPr="00BD182E">
        <w:rPr>
          <w:rFonts w:eastAsia="Times New Roman"/>
          <w:sz w:val="24"/>
          <w:szCs w:val="24"/>
        </w:rPr>
        <w:t xml:space="preserve">, 2013 COA 164, ¶ 42, 383 P.3d 20, </w:t>
      </w:r>
      <w:r w:rsidRPr="00BD182E">
        <w:rPr>
          <w:rFonts w:eastAsia="Times New Roman"/>
          <w:i/>
          <w:sz w:val="24"/>
          <w:szCs w:val="24"/>
        </w:rPr>
        <w:t>aff’d in part, rev’d in part on other grounds</w:t>
      </w:r>
      <w:r w:rsidRPr="00BD182E">
        <w:rPr>
          <w:rFonts w:eastAsia="Times New Roman"/>
          <w:sz w:val="24"/>
          <w:szCs w:val="24"/>
        </w:rPr>
        <w:t>, 2016 CO 51, 373 P.3d 603.</w:t>
      </w:r>
    </w:p>
    <w:p w14:paraId="31A6601B"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t xml:space="preserve">3. The factors set forth in this instruction are relevant considerations on the public impact issue and should be used as applicable but appear not conclusive or exhaustive of the issue in every case. </w:t>
      </w:r>
      <w:r w:rsidRPr="00BD182E">
        <w:rPr>
          <w:rFonts w:eastAsia="Times New Roman"/>
          <w:b/>
          <w:sz w:val="24"/>
          <w:szCs w:val="24"/>
        </w:rPr>
        <w:t>Rhino Linings USA, Inc. v. Rocky Mtn. Rhino Lining, Inc.</w:t>
      </w:r>
      <w:r w:rsidRPr="00BD182E">
        <w:rPr>
          <w:rFonts w:eastAsia="Times New Roman"/>
          <w:sz w:val="24"/>
          <w:szCs w:val="24"/>
        </w:rPr>
        <w:t xml:space="preserve">, 62 P.3d 142 (Colo. 2003); </w:t>
      </w:r>
      <w:r w:rsidRPr="00BD182E">
        <w:rPr>
          <w:rFonts w:eastAsia="Times New Roman"/>
          <w:b/>
          <w:sz w:val="24"/>
          <w:szCs w:val="24"/>
        </w:rPr>
        <w:t>Martinez v. Lewis</w:t>
      </w:r>
      <w:r w:rsidRPr="00BD182E">
        <w:rPr>
          <w:rFonts w:eastAsia="Times New Roman"/>
          <w:sz w:val="24"/>
          <w:szCs w:val="24"/>
        </w:rPr>
        <w:t xml:space="preserve">, 969 P.2d 213 (Colo. 1998). </w:t>
      </w:r>
    </w:p>
    <w:p w14:paraId="56C1B0AB"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t xml:space="preserve">4. It is uncertain whether “relative sophistication” referred to in the second factor refers to sophistication regarding the business out of which the challenged practices arise or to general business sophistication. </w:t>
      </w:r>
      <w:r w:rsidRPr="00BD182E">
        <w:rPr>
          <w:rFonts w:eastAsia="Times New Roman"/>
          <w:i/>
          <w:sz w:val="24"/>
          <w:szCs w:val="24"/>
        </w:rPr>
        <w:t>See</w:t>
      </w:r>
      <w:r w:rsidRPr="00BD182E">
        <w:rPr>
          <w:rFonts w:eastAsia="Times New Roman"/>
          <w:sz w:val="24"/>
          <w:szCs w:val="24"/>
        </w:rPr>
        <w:t xml:space="preserve"> </w:t>
      </w:r>
      <w:r w:rsidRPr="00BD182E">
        <w:rPr>
          <w:rFonts w:eastAsia="Times New Roman"/>
          <w:b/>
          <w:sz w:val="24"/>
          <w:szCs w:val="24"/>
        </w:rPr>
        <w:t>Rhino Linings USA</w:t>
      </w:r>
      <w:r w:rsidRPr="00BD182E">
        <w:rPr>
          <w:rFonts w:eastAsia="Times New Roman"/>
          <w:sz w:val="24"/>
          <w:szCs w:val="24"/>
        </w:rPr>
        <w:t xml:space="preserve">, 62 P.3d at 150 (one plaintiff was represented by counsel and the other plaintiff was “relatively sophisticated in his education and knowledge of the business of selling the product”); </w:t>
      </w:r>
      <w:r w:rsidRPr="00BD182E">
        <w:rPr>
          <w:rFonts w:eastAsia="Times New Roman"/>
          <w:b/>
          <w:sz w:val="24"/>
          <w:szCs w:val="24"/>
        </w:rPr>
        <w:t>Martinez</w:t>
      </w:r>
      <w:r w:rsidRPr="00BD182E">
        <w:rPr>
          <w:rFonts w:eastAsia="Times New Roman"/>
          <w:sz w:val="24"/>
          <w:szCs w:val="24"/>
        </w:rPr>
        <w:t>,</w:t>
      </w:r>
      <w:r w:rsidRPr="00BD182E">
        <w:rPr>
          <w:rFonts w:eastAsia="Times New Roman"/>
          <w:b/>
          <w:sz w:val="24"/>
          <w:szCs w:val="24"/>
        </w:rPr>
        <w:t xml:space="preserve"> </w:t>
      </w:r>
      <w:r w:rsidRPr="00BD182E">
        <w:rPr>
          <w:rFonts w:eastAsia="Times New Roman"/>
          <w:sz w:val="24"/>
          <w:szCs w:val="24"/>
        </w:rPr>
        <w:t xml:space="preserve">969 P.2d at 222 (State Farm “has extensive experience as a consumer of this type of service.”); </w:t>
      </w:r>
      <w:r w:rsidRPr="00BD182E">
        <w:rPr>
          <w:rFonts w:eastAsia="Times New Roman"/>
          <w:b/>
          <w:sz w:val="24"/>
          <w:szCs w:val="24"/>
        </w:rPr>
        <w:t>Coors v. Sec. Life of Denver Ins. Co.</w:t>
      </w:r>
      <w:r w:rsidRPr="00BD182E">
        <w:rPr>
          <w:rFonts w:eastAsia="Times New Roman"/>
          <w:sz w:val="24"/>
          <w:szCs w:val="24"/>
        </w:rPr>
        <w:t xml:space="preserve">, 91 P.3d 393 (Colo. App. 2003) (noting that plaintiff was “a sophisticated businessman” in a general </w:t>
      </w:r>
      <w:r w:rsidRPr="00BD182E">
        <w:rPr>
          <w:rFonts w:eastAsia="Times New Roman"/>
          <w:sz w:val="24"/>
          <w:szCs w:val="24"/>
        </w:rPr>
        <w:lastRenderedPageBreak/>
        <w:t>sense),</w:t>
      </w:r>
      <w:r w:rsidRPr="00BD182E">
        <w:rPr>
          <w:rFonts w:eastAsia="Times New Roman"/>
          <w:i/>
          <w:sz w:val="24"/>
          <w:szCs w:val="24"/>
        </w:rPr>
        <w:t xml:space="preserve"> aff’d in part, rev’d in part on other grounds</w:t>
      </w:r>
      <w:r w:rsidRPr="00BD182E">
        <w:rPr>
          <w:rFonts w:eastAsia="Times New Roman"/>
          <w:sz w:val="24"/>
          <w:szCs w:val="24"/>
        </w:rPr>
        <w:t>,</w:t>
      </w:r>
      <w:r w:rsidRPr="00BD182E">
        <w:rPr>
          <w:rFonts w:eastAsia="Times New Roman"/>
          <w:i/>
          <w:sz w:val="24"/>
          <w:szCs w:val="24"/>
        </w:rPr>
        <w:t xml:space="preserve"> </w:t>
      </w:r>
      <w:r w:rsidRPr="00BD182E">
        <w:rPr>
          <w:rFonts w:eastAsia="Times New Roman"/>
          <w:sz w:val="24"/>
          <w:szCs w:val="24"/>
        </w:rPr>
        <w:t xml:space="preserve">112 P.3d 59 (Colo. 2005); </w:t>
      </w:r>
      <w:r w:rsidRPr="00BD182E">
        <w:rPr>
          <w:rFonts w:eastAsia="Times New Roman"/>
          <w:b/>
          <w:sz w:val="24"/>
          <w:szCs w:val="24"/>
        </w:rPr>
        <w:t>Rees</w:t>
      </w:r>
      <w:r w:rsidRPr="00BD182E">
        <w:rPr>
          <w:rFonts w:eastAsia="Times New Roman"/>
          <w:sz w:val="24"/>
          <w:szCs w:val="24"/>
        </w:rPr>
        <w:t>, 2013 COA 164, ¶¶ 43-44 (a private contract dispute between sophisticated business entities does not state a CCPA claim).</w:t>
      </w:r>
    </w:p>
    <w:p w14:paraId="5FA36730" w14:textId="77777777" w:rsidR="00BD182E" w:rsidRPr="0054263B" w:rsidRDefault="00BD182E" w:rsidP="00BD182E">
      <w:pPr>
        <w:keepNext/>
        <w:spacing w:after="240"/>
        <w:jc w:val="center"/>
        <w:rPr>
          <w:rFonts w:eastAsia="Times New Roman"/>
          <w:b/>
          <w:sz w:val="24"/>
          <w:szCs w:val="24"/>
        </w:rPr>
      </w:pPr>
      <w:r>
        <w:rPr>
          <w:rFonts w:eastAsia="Times New Roman"/>
          <w:b/>
          <w:sz w:val="24"/>
          <w:szCs w:val="24"/>
        </w:rPr>
        <w:t>Source and Authority</w:t>
      </w:r>
    </w:p>
    <w:p w14:paraId="1ABA78D4"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t>1. This instruction is support</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d by </w:t>
      </w:r>
      <w:r w:rsidRPr="00BD182E">
        <w:rPr>
          <w:rFonts w:eastAsia="Times New Roman"/>
          <w:b/>
          <w:sz w:val="24"/>
          <w:szCs w:val="24"/>
        </w:rPr>
        <w:t>Rhino Linings USA</w:t>
      </w:r>
      <w:r w:rsidRPr="00BD182E">
        <w:rPr>
          <w:rFonts w:eastAsia="Times New Roman"/>
          <w:sz w:val="24"/>
          <w:szCs w:val="24"/>
        </w:rPr>
        <w:t>,</w:t>
      </w:r>
      <w:r w:rsidRPr="00BD182E">
        <w:rPr>
          <w:rFonts w:eastAsia="Times New Roman"/>
          <w:b/>
          <w:sz w:val="24"/>
          <w:szCs w:val="24"/>
        </w:rPr>
        <w:t xml:space="preserve"> </w:t>
      </w:r>
      <w:r w:rsidRPr="00BD182E">
        <w:rPr>
          <w:rFonts w:eastAsia="Times New Roman"/>
          <w:sz w:val="24"/>
          <w:szCs w:val="24"/>
        </w:rPr>
        <w:t xml:space="preserve">62 P.3d at 150; </w:t>
      </w:r>
      <w:r w:rsidRPr="00BD182E">
        <w:rPr>
          <w:rFonts w:eastAsia="Times New Roman"/>
          <w:b/>
          <w:sz w:val="24"/>
          <w:szCs w:val="24"/>
        </w:rPr>
        <w:t>Hall v. Walt</w:t>
      </w:r>
      <w:smartTag w:uri="urn:schemas-microsoft-com:office:smarttags" w:element="PersonName">
        <w:r w:rsidRPr="00BD182E">
          <w:rPr>
            <w:rFonts w:eastAsia="Times New Roman"/>
            <w:b/>
            <w:sz w:val="24"/>
            <w:szCs w:val="24"/>
          </w:rPr>
          <w:t>e</w:t>
        </w:r>
      </w:smartTag>
      <w:r w:rsidRPr="00BD182E">
        <w:rPr>
          <w:rFonts w:eastAsia="Times New Roman"/>
          <w:b/>
          <w:sz w:val="24"/>
          <w:szCs w:val="24"/>
        </w:rPr>
        <w:t>r</w:t>
      </w:r>
      <w:r w:rsidRPr="00BD182E">
        <w:rPr>
          <w:rFonts w:eastAsia="Times New Roman"/>
          <w:sz w:val="24"/>
          <w:szCs w:val="24"/>
        </w:rPr>
        <w:t>, 969 P.2d 224 (</w:t>
      </w:r>
      <w:smartTag w:uri="urn:schemas-microsoft-com:office:smarttags" w:element="State">
        <w:smartTag w:uri="urn:schemas-microsoft-com:office:smarttags" w:element="place">
          <w:r w:rsidRPr="00BD182E">
            <w:rPr>
              <w:rFonts w:eastAsia="Times New Roman"/>
              <w:sz w:val="24"/>
              <w:szCs w:val="24"/>
            </w:rPr>
            <w:t>Colo.</w:t>
          </w:r>
        </w:smartTag>
      </w:smartTag>
      <w:r w:rsidRPr="00BD182E">
        <w:rPr>
          <w:rFonts w:eastAsia="Times New Roman"/>
          <w:sz w:val="24"/>
          <w:szCs w:val="24"/>
        </w:rPr>
        <w:t xml:space="preserve"> 1998); and </w:t>
      </w:r>
      <w:r w:rsidRPr="00BD182E">
        <w:rPr>
          <w:rFonts w:eastAsia="Times New Roman"/>
          <w:b/>
          <w:sz w:val="24"/>
          <w:szCs w:val="24"/>
        </w:rPr>
        <w:t>Martin</w:t>
      </w:r>
      <w:smartTag w:uri="urn:schemas-microsoft-com:office:smarttags" w:element="PersonName">
        <w:r w:rsidRPr="00BD182E">
          <w:rPr>
            <w:rFonts w:eastAsia="Times New Roman"/>
            <w:b/>
            <w:sz w:val="24"/>
            <w:szCs w:val="24"/>
          </w:rPr>
          <w:t>e</w:t>
        </w:r>
      </w:smartTag>
      <w:r w:rsidRPr="00BD182E">
        <w:rPr>
          <w:rFonts w:eastAsia="Times New Roman"/>
          <w:b/>
          <w:sz w:val="24"/>
          <w:szCs w:val="24"/>
        </w:rPr>
        <w:t>z v. L</w:t>
      </w:r>
      <w:smartTag w:uri="urn:schemas-microsoft-com:office:smarttags" w:element="PersonName">
        <w:r w:rsidRPr="00BD182E">
          <w:rPr>
            <w:rFonts w:eastAsia="Times New Roman"/>
            <w:b/>
            <w:sz w:val="24"/>
            <w:szCs w:val="24"/>
          </w:rPr>
          <w:t>e</w:t>
        </w:r>
      </w:smartTag>
      <w:r w:rsidRPr="00BD182E">
        <w:rPr>
          <w:rFonts w:eastAsia="Times New Roman"/>
          <w:b/>
          <w:sz w:val="24"/>
          <w:szCs w:val="24"/>
        </w:rPr>
        <w:t>wis</w:t>
      </w:r>
      <w:r w:rsidRPr="00BD182E">
        <w:rPr>
          <w:rFonts w:eastAsia="Times New Roman"/>
          <w:sz w:val="24"/>
          <w:szCs w:val="24"/>
        </w:rPr>
        <w:t>, 969 P.2d 213 (</w:t>
      </w:r>
      <w:smartTag w:uri="urn:schemas-microsoft-com:office:smarttags" w:element="State">
        <w:smartTag w:uri="urn:schemas-microsoft-com:office:smarttags" w:element="place">
          <w:r w:rsidRPr="00BD182E">
            <w:rPr>
              <w:rFonts w:eastAsia="Times New Roman"/>
              <w:sz w:val="24"/>
              <w:szCs w:val="24"/>
            </w:rPr>
            <w:t>Colo.</w:t>
          </w:r>
        </w:smartTag>
      </w:smartTag>
      <w:r w:rsidRPr="00BD182E">
        <w:rPr>
          <w:rFonts w:eastAsia="Times New Roman"/>
          <w:sz w:val="24"/>
          <w:szCs w:val="24"/>
        </w:rPr>
        <w:t xml:space="preserve"> 1998).</w:t>
      </w:r>
    </w:p>
    <w:p w14:paraId="7EBA0F10"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t xml:space="preserve">2. The CCPA is not intended to provide additional remedies to claimants whose disputes have no public impact but are purely private transactions. </w:t>
      </w:r>
      <w:r w:rsidRPr="00BD182E">
        <w:rPr>
          <w:rFonts w:eastAsia="Times New Roman"/>
          <w:b/>
          <w:sz w:val="24"/>
          <w:szCs w:val="24"/>
        </w:rPr>
        <w:t>Rhino Linings USA</w:t>
      </w:r>
      <w:r w:rsidRPr="00BD182E">
        <w:rPr>
          <w:rFonts w:eastAsia="Times New Roman"/>
          <w:sz w:val="24"/>
          <w:szCs w:val="24"/>
        </w:rPr>
        <w:t xml:space="preserve">, 62 P.3d at 150. Factors to be considered in determining whether there was significant public impact include: (1) the number of consumers directly affected by the challenged practice; (2) the relative sophistication and bargaining power of the consumers; and (3) evidence that the challenged practice has previously impacted other consumers or has significant potential to do so in the future. </w:t>
      </w:r>
      <w:r w:rsidRPr="00BD182E">
        <w:rPr>
          <w:rFonts w:eastAsia="Times New Roman"/>
          <w:i/>
          <w:sz w:val="24"/>
          <w:szCs w:val="24"/>
        </w:rPr>
        <w:t>Id.</w:t>
      </w:r>
      <w:r w:rsidRPr="00BD182E">
        <w:rPr>
          <w:rFonts w:eastAsia="Times New Roman"/>
          <w:sz w:val="24"/>
          <w:szCs w:val="24"/>
        </w:rPr>
        <w:t xml:space="preserve">; </w:t>
      </w:r>
      <w:r w:rsidRPr="00BD182E">
        <w:rPr>
          <w:rFonts w:eastAsia="Times New Roman"/>
          <w:i/>
          <w:sz w:val="24"/>
          <w:szCs w:val="24"/>
        </w:rPr>
        <w:t xml:space="preserve">accord </w:t>
      </w:r>
      <w:r w:rsidRPr="00BD182E">
        <w:rPr>
          <w:rFonts w:eastAsia="Times New Roman"/>
          <w:b/>
          <w:sz w:val="24"/>
          <w:szCs w:val="24"/>
        </w:rPr>
        <w:t>Brodeur v. Am. Home Assur. Co.</w:t>
      </w:r>
      <w:r w:rsidRPr="00BD182E">
        <w:rPr>
          <w:rFonts w:eastAsia="Times New Roman"/>
          <w:sz w:val="24"/>
          <w:szCs w:val="24"/>
        </w:rPr>
        <w:t>, 169 P.3d 139 (Colo. 2007);</w:t>
      </w:r>
      <w:r w:rsidRPr="00BD182E">
        <w:rPr>
          <w:rFonts w:eastAsia="Times New Roman"/>
          <w:b/>
          <w:sz w:val="24"/>
          <w:szCs w:val="24"/>
        </w:rPr>
        <w:t xml:space="preserve"> Crowe v. Tull</w:t>
      </w:r>
      <w:r w:rsidRPr="00BD182E">
        <w:rPr>
          <w:rFonts w:eastAsia="Times New Roman"/>
          <w:sz w:val="24"/>
          <w:szCs w:val="24"/>
        </w:rPr>
        <w:t xml:space="preserve">, 126 P.3d 196 (Colo. 2006); </w:t>
      </w:r>
      <w:r w:rsidRPr="00BD182E">
        <w:rPr>
          <w:rFonts w:eastAsia="Times New Roman"/>
          <w:b/>
          <w:sz w:val="24"/>
          <w:szCs w:val="24"/>
        </w:rPr>
        <w:t>Bankr. Estate of Morris v. COPIC Ins Co.</w:t>
      </w:r>
      <w:r w:rsidRPr="00BD182E">
        <w:rPr>
          <w:rFonts w:eastAsia="Times New Roman"/>
          <w:sz w:val="24"/>
          <w:szCs w:val="24"/>
        </w:rPr>
        <w:t xml:space="preserve">, 192 P.3d 519 (Colo. App. 2008); </w:t>
      </w:r>
      <w:r w:rsidRPr="00BD182E">
        <w:rPr>
          <w:rFonts w:eastAsia="Times New Roman"/>
          <w:i/>
          <w:sz w:val="24"/>
          <w:szCs w:val="24"/>
        </w:rPr>
        <w:t>see also</w:t>
      </w:r>
      <w:r w:rsidRPr="00BD182E">
        <w:rPr>
          <w:rFonts w:eastAsia="Times New Roman"/>
          <w:sz w:val="24"/>
          <w:szCs w:val="24"/>
        </w:rPr>
        <w:t xml:space="preserve"> </w:t>
      </w:r>
      <w:r w:rsidRPr="00BD182E">
        <w:rPr>
          <w:rFonts w:eastAsia="Times New Roman"/>
          <w:b/>
          <w:sz w:val="24"/>
          <w:szCs w:val="24"/>
        </w:rPr>
        <w:t>Martinez</w:t>
      </w:r>
      <w:r w:rsidRPr="00BD182E">
        <w:rPr>
          <w:rFonts w:eastAsia="Times New Roman"/>
          <w:sz w:val="24"/>
          <w:szCs w:val="24"/>
        </w:rPr>
        <w:t xml:space="preserve">, 969 P.2d at 222; </w:t>
      </w:r>
      <w:r w:rsidRPr="00BD182E">
        <w:rPr>
          <w:rFonts w:eastAsia="Times New Roman"/>
          <w:b/>
          <w:sz w:val="24"/>
          <w:szCs w:val="24"/>
        </w:rPr>
        <w:t>Coors</w:t>
      </w:r>
      <w:r w:rsidRPr="00BD182E">
        <w:rPr>
          <w:rFonts w:eastAsia="Times New Roman"/>
          <w:sz w:val="24"/>
          <w:szCs w:val="24"/>
        </w:rPr>
        <w:t xml:space="preserve">, 91 P.3d at 399. Further, although the public nature of a business may be a factor to consider in determining whether a challenged practice significantly affects the public, that fact alone is insufficient to satisfy this element. </w:t>
      </w:r>
      <w:r w:rsidRPr="00BD182E">
        <w:rPr>
          <w:rFonts w:eastAsia="Times New Roman"/>
          <w:b/>
          <w:sz w:val="24"/>
          <w:szCs w:val="24"/>
        </w:rPr>
        <w:t>Brodeur</w:t>
      </w:r>
      <w:r w:rsidRPr="00BD182E">
        <w:rPr>
          <w:rFonts w:eastAsia="Times New Roman"/>
          <w:sz w:val="24"/>
          <w:szCs w:val="24"/>
        </w:rPr>
        <w:t xml:space="preserve">, 169 P.3d at 155-56 (public nature of state’s workers’ compensation program is not enough to constitute per se public impact under Act); </w:t>
      </w:r>
      <w:r w:rsidRPr="00BD182E">
        <w:rPr>
          <w:rFonts w:eastAsia="Times New Roman"/>
          <w:i/>
          <w:sz w:val="24"/>
          <w:szCs w:val="24"/>
        </w:rPr>
        <w:t>see</w:t>
      </w:r>
      <w:r w:rsidRPr="00BD182E">
        <w:rPr>
          <w:rFonts w:eastAsia="Times New Roman"/>
          <w:sz w:val="24"/>
          <w:szCs w:val="24"/>
        </w:rPr>
        <w:t xml:space="preserve"> </w:t>
      </w:r>
      <w:r w:rsidRPr="00BD182E">
        <w:rPr>
          <w:rFonts w:eastAsia="Times New Roman"/>
          <w:b/>
          <w:sz w:val="24"/>
          <w:szCs w:val="24"/>
        </w:rPr>
        <w:t>Bankr. Estate of Morris</w:t>
      </w:r>
      <w:r w:rsidRPr="00BD182E">
        <w:rPr>
          <w:rFonts w:eastAsia="Times New Roman"/>
          <w:sz w:val="24"/>
          <w:szCs w:val="24"/>
        </w:rPr>
        <w:t>, 192 P.3d at 528 (rejecting notion that tort of insurance bad faith, by its very nature, involves public impact).</w:t>
      </w:r>
    </w:p>
    <w:p w14:paraId="42E0E5E7" w14:textId="52505AE3" w:rsidR="00BD182E" w:rsidRDefault="00BD182E" w:rsidP="004E50D4">
      <w:pPr>
        <w:shd w:val="clear" w:color="auto" w:fill="FFFFFF"/>
        <w:ind w:firstLine="720"/>
        <w:rPr>
          <w:rFonts w:eastAsia="Times New Roman"/>
          <w:sz w:val="24"/>
          <w:szCs w:val="24"/>
        </w:rPr>
      </w:pPr>
      <w:r w:rsidRPr="00BD182E">
        <w:rPr>
          <w:rFonts w:eastAsia="Times New Roman"/>
          <w:sz w:val="24"/>
          <w:szCs w:val="24"/>
        </w:rPr>
        <w:t xml:space="preserve">3. The “public impact” element was held satisfied in </w:t>
      </w:r>
      <w:r w:rsidR="004E50D4" w:rsidRPr="00CB65C8">
        <w:rPr>
          <w:rFonts w:eastAsia="Times New Roman"/>
          <w:b/>
          <w:color w:val="000000"/>
          <w:sz w:val="24"/>
          <w:szCs w:val="24"/>
        </w:rPr>
        <w:t>Shekarchian v. Maxx Auto Recovery, Inc.</w:t>
      </w:r>
      <w:r w:rsidR="004E50D4" w:rsidRPr="004E50D4">
        <w:rPr>
          <w:rFonts w:eastAsia="Times New Roman"/>
          <w:color w:val="000000"/>
          <w:sz w:val="24"/>
          <w:szCs w:val="24"/>
        </w:rPr>
        <w:t>, 2019 COA 60, ¶ 56</w:t>
      </w:r>
      <w:r w:rsidR="00DB325C">
        <w:rPr>
          <w:rFonts w:eastAsia="Times New Roman"/>
          <w:color w:val="000000"/>
          <w:sz w:val="24"/>
          <w:szCs w:val="24"/>
        </w:rPr>
        <w:t xml:space="preserve"> (towing company’s practice of requiring vehicle owners to sign a form release containing a false statement before inspecting the impounded vehicle at the request of a third-party lender)</w:t>
      </w:r>
      <w:r w:rsidR="004E50D4">
        <w:rPr>
          <w:rFonts w:eastAsia="Times New Roman"/>
          <w:color w:val="000000"/>
          <w:sz w:val="24"/>
          <w:szCs w:val="24"/>
        </w:rPr>
        <w:t xml:space="preserve">; and </w:t>
      </w:r>
      <w:r w:rsidRPr="00BD182E">
        <w:rPr>
          <w:rFonts w:eastAsia="Times New Roman"/>
          <w:b/>
          <w:sz w:val="24"/>
          <w:szCs w:val="24"/>
        </w:rPr>
        <w:t>Vista Resorts, Inc. v. Goodyear Tire &amp; Rubber Co.</w:t>
      </w:r>
      <w:r w:rsidRPr="00BD182E">
        <w:rPr>
          <w:rFonts w:eastAsia="Times New Roman"/>
          <w:sz w:val="24"/>
          <w:szCs w:val="24"/>
        </w:rPr>
        <w:t>,</w:t>
      </w:r>
      <w:r w:rsidRPr="00BD182E">
        <w:rPr>
          <w:rFonts w:eastAsia="Times New Roman"/>
          <w:b/>
          <w:sz w:val="24"/>
          <w:szCs w:val="24"/>
        </w:rPr>
        <w:t xml:space="preserve"> </w:t>
      </w:r>
      <w:r w:rsidRPr="00BD182E">
        <w:rPr>
          <w:rFonts w:eastAsia="Times New Roman"/>
          <w:sz w:val="24"/>
          <w:szCs w:val="24"/>
        </w:rPr>
        <w:t xml:space="preserve">117 P.3d 60 (Colo. App. 2004) (affirming CCPA judgment based on evidence that 950 other consumers lodged complaints of product defect similar to those made by plaintiff). </w:t>
      </w:r>
    </w:p>
    <w:p w14:paraId="22CCA01A" w14:textId="77777777" w:rsidR="004E50D4" w:rsidRPr="00BD182E" w:rsidRDefault="004E50D4" w:rsidP="004E50D4">
      <w:pPr>
        <w:shd w:val="clear" w:color="auto" w:fill="FFFFFF"/>
        <w:ind w:firstLine="720"/>
        <w:rPr>
          <w:rFonts w:eastAsia="Times New Roman"/>
          <w:sz w:val="24"/>
          <w:szCs w:val="24"/>
        </w:rPr>
      </w:pPr>
    </w:p>
    <w:p w14:paraId="48E0A9F5" w14:textId="76463EF0" w:rsidR="00BD182E" w:rsidRPr="00BD182E" w:rsidRDefault="00BD182E" w:rsidP="004E50D4">
      <w:pPr>
        <w:shd w:val="clear" w:color="auto" w:fill="FFFFFF"/>
        <w:spacing w:after="240"/>
        <w:ind w:firstLine="720"/>
        <w:rPr>
          <w:rFonts w:eastAsia="Times New Roman"/>
          <w:sz w:val="24"/>
          <w:szCs w:val="24"/>
        </w:rPr>
      </w:pPr>
      <w:r w:rsidRPr="00BD182E">
        <w:rPr>
          <w:rFonts w:eastAsia="Times New Roman"/>
          <w:sz w:val="24"/>
          <w:szCs w:val="24"/>
        </w:rPr>
        <w:t xml:space="preserve">4. The “public impact” element was found not shown in </w:t>
      </w:r>
      <w:r w:rsidRPr="00BD182E">
        <w:rPr>
          <w:rFonts w:eastAsia="Times New Roman"/>
          <w:b/>
          <w:sz w:val="24"/>
          <w:szCs w:val="24"/>
        </w:rPr>
        <w:t>Brodeur</w:t>
      </w:r>
      <w:r w:rsidRPr="00BD182E">
        <w:rPr>
          <w:rFonts w:eastAsia="Times New Roman"/>
          <w:sz w:val="24"/>
          <w:szCs w:val="24"/>
        </w:rPr>
        <w:t xml:space="preserve">, 169 P.3d at 156 (public nature of workers’ compensation insurance program is not sufficient to constitute per se public impact under CCPA); </w:t>
      </w:r>
      <w:r w:rsidR="004E50D4" w:rsidRPr="00CB65C8">
        <w:rPr>
          <w:rFonts w:eastAsia="Times New Roman"/>
          <w:b/>
          <w:color w:val="000000"/>
          <w:sz w:val="24"/>
          <w:szCs w:val="24"/>
        </w:rPr>
        <w:t>State ex rel. Weiser v. Castle Law Gr</w:t>
      </w:r>
      <w:r w:rsidR="00B271FA" w:rsidRPr="00CB65C8">
        <w:rPr>
          <w:rFonts w:eastAsia="Times New Roman"/>
          <w:b/>
          <w:color w:val="000000"/>
          <w:sz w:val="24"/>
          <w:szCs w:val="24"/>
        </w:rPr>
        <w:t>ou</w:t>
      </w:r>
      <w:r w:rsidR="004E50D4" w:rsidRPr="00CB65C8">
        <w:rPr>
          <w:rFonts w:eastAsia="Times New Roman"/>
          <w:b/>
          <w:color w:val="000000"/>
          <w:sz w:val="24"/>
          <w:szCs w:val="24"/>
        </w:rPr>
        <w:t>p, LLC</w:t>
      </w:r>
      <w:r w:rsidR="004E50D4" w:rsidRPr="004E50D4">
        <w:rPr>
          <w:rFonts w:eastAsia="Times New Roman"/>
          <w:color w:val="000000"/>
          <w:sz w:val="24"/>
          <w:szCs w:val="24"/>
        </w:rPr>
        <w:t>, 2019 COA 49, ¶ 116</w:t>
      </w:r>
      <w:r w:rsidR="00C4351F">
        <w:rPr>
          <w:rFonts w:eastAsia="Times New Roman"/>
          <w:color w:val="000000"/>
          <w:sz w:val="24"/>
          <w:szCs w:val="24"/>
        </w:rPr>
        <w:t>, 457 P.3d 699</w:t>
      </w:r>
      <w:r w:rsidR="00B271FA">
        <w:rPr>
          <w:rFonts w:eastAsia="Times New Roman"/>
          <w:color w:val="000000"/>
          <w:sz w:val="24"/>
          <w:szCs w:val="24"/>
        </w:rPr>
        <w:t xml:space="preserve"> (law firm’s failure to disclose to two of its clients that its principals had ownership interest in one of its vendors did not significantly impact actual or potential consumers of its services)</w:t>
      </w:r>
      <w:r w:rsidR="004E50D4">
        <w:rPr>
          <w:rFonts w:eastAsia="Times New Roman"/>
          <w:color w:val="000000"/>
          <w:sz w:val="24"/>
          <w:szCs w:val="24"/>
        </w:rPr>
        <w:t xml:space="preserve">; </w:t>
      </w:r>
      <w:r w:rsidRPr="00BD182E">
        <w:rPr>
          <w:rFonts w:eastAsia="Times New Roman"/>
          <w:b/>
          <w:sz w:val="24"/>
          <w:szCs w:val="24"/>
        </w:rPr>
        <w:t>Hildebrand v. New Vista Homes II, LLC</w:t>
      </w:r>
      <w:r w:rsidRPr="00BD182E">
        <w:rPr>
          <w:rFonts w:eastAsia="Times New Roman"/>
          <w:sz w:val="24"/>
          <w:szCs w:val="24"/>
        </w:rPr>
        <w:t xml:space="preserve">, 252 P.3d 1159 (Colo. App. 2010) (reversing CCPA judgment for owners who bought a home in a 38-residence development where proof of direct impact of the builder-vendor’s misrepresentations was confined to plaintiffs, and the record contained no evidence of impact on other home buyers, the bargaining power and sophistication of other purchasers, or widespread dissemination of sales brochure); </w:t>
      </w:r>
      <w:r w:rsidRPr="00BD182E">
        <w:rPr>
          <w:rFonts w:eastAsia="Times New Roman"/>
          <w:b/>
          <w:sz w:val="24"/>
          <w:szCs w:val="24"/>
        </w:rPr>
        <w:t>General Steel Domestic Sales, LLC v. Hogan &amp; Hartson, LLP</w:t>
      </w:r>
      <w:r w:rsidRPr="00BD182E">
        <w:rPr>
          <w:rFonts w:eastAsia="Times New Roman"/>
          <w:sz w:val="24"/>
          <w:szCs w:val="24"/>
        </w:rPr>
        <w:t xml:space="preserve">, 230 P.3d 1275 (Colo. App. 2010) (where no false information was conveyed that attorney would act as lead counsel in all cases for his firm, there was no public impact); </w:t>
      </w:r>
      <w:r w:rsidRPr="00BD182E">
        <w:rPr>
          <w:rFonts w:eastAsia="Times New Roman"/>
          <w:b/>
          <w:sz w:val="24"/>
          <w:szCs w:val="24"/>
        </w:rPr>
        <w:t>Colorado Coffee Bean, LLC v. Peaberry Coffee</w:t>
      </w:r>
      <w:r w:rsidRPr="00BD182E">
        <w:rPr>
          <w:rFonts w:eastAsia="Times New Roman"/>
          <w:sz w:val="24"/>
          <w:szCs w:val="24"/>
        </w:rPr>
        <w:t xml:space="preserve"> </w:t>
      </w:r>
      <w:r w:rsidRPr="00BD182E">
        <w:rPr>
          <w:rFonts w:eastAsia="Times New Roman"/>
          <w:b/>
          <w:sz w:val="24"/>
          <w:szCs w:val="24"/>
        </w:rPr>
        <w:t>Inc.</w:t>
      </w:r>
      <w:r w:rsidRPr="00BD182E">
        <w:rPr>
          <w:rFonts w:eastAsia="Times New Roman"/>
          <w:sz w:val="24"/>
          <w:szCs w:val="24"/>
        </w:rPr>
        <w:t xml:space="preserve">, 251 P.3d 9 (Colo. App. 2009) (no direct public impact because Internet posting seeking possible franchise purchasers was widely available, where only 68 packets of information were actually sent out to persons responding to posting, nothing in posting was </w:t>
      </w:r>
      <w:r w:rsidRPr="00BD182E">
        <w:rPr>
          <w:rFonts w:eastAsia="Times New Roman"/>
          <w:sz w:val="24"/>
          <w:szCs w:val="24"/>
        </w:rPr>
        <w:lastRenderedPageBreak/>
        <w:t xml:space="preserve">untrue, and posting was not an offer to contract); </w:t>
      </w:r>
      <w:r w:rsidRPr="00BD182E">
        <w:rPr>
          <w:rFonts w:eastAsia="Times New Roman"/>
          <w:b/>
          <w:sz w:val="24"/>
          <w:szCs w:val="24"/>
        </w:rPr>
        <w:t>Bankruptcy Estate of Morris</w:t>
      </w:r>
      <w:r w:rsidRPr="00BD182E">
        <w:rPr>
          <w:rFonts w:eastAsia="Times New Roman"/>
          <w:sz w:val="24"/>
          <w:szCs w:val="24"/>
        </w:rPr>
        <w:t xml:space="preserve">, 192 P.3d at 528 (rejecting assertion that claim for insurance bad faith, by its very nature, involves public impact); and </w:t>
      </w:r>
      <w:r w:rsidRPr="00BD182E">
        <w:rPr>
          <w:rFonts w:eastAsia="Times New Roman"/>
          <w:b/>
          <w:sz w:val="24"/>
          <w:szCs w:val="24"/>
        </w:rPr>
        <w:t>Coors</w:t>
      </w:r>
      <w:r w:rsidRPr="00BD182E">
        <w:rPr>
          <w:rFonts w:eastAsia="Times New Roman"/>
          <w:sz w:val="24"/>
          <w:szCs w:val="24"/>
        </w:rPr>
        <w:t>, 91 P.3d at 399 (evidence that defendant’s deception involved 223 other consumers did not satisfy public impact element because number affected was only 1% of all consumers of product, which was insufficient proof of public impact, and record contained no evidence of actual harm to other consumers).</w:t>
      </w:r>
    </w:p>
    <w:p w14:paraId="6DE4EA14" w14:textId="77777777" w:rsidR="005F68C9" w:rsidRDefault="005F68C9">
      <w:pPr>
        <w:rPr>
          <w:rFonts w:eastAsia="Times New Roman"/>
          <w:sz w:val="24"/>
          <w:szCs w:val="24"/>
        </w:rPr>
      </w:pPr>
      <w:r>
        <w:rPr>
          <w:rFonts w:eastAsia="Times New Roman"/>
          <w:sz w:val="24"/>
          <w:szCs w:val="24"/>
        </w:rPr>
        <w:br w:type="page"/>
      </w:r>
    </w:p>
    <w:p w14:paraId="01F4E573" w14:textId="77777777" w:rsidR="005F68C9" w:rsidRPr="009E3DA4" w:rsidRDefault="005F68C9" w:rsidP="005F68C9">
      <w:pPr>
        <w:spacing w:after="240"/>
        <w:ind w:left="720" w:hanging="720"/>
        <w:rPr>
          <w:rFonts w:eastAsia="Times New Roman"/>
          <w:b/>
          <w:sz w:val="24"/>
          <w:szCs w:val="24"/>
        </w:rPr>
      </w:pPr>
      <w:bookmarkStart w:id="7" w:name="a29_05"/>
      <w:bookmarkEnd w:id="7"/>
      <w:r w:rsidRPr="005F68C9">
        <w:rPr>
          <w:rFonts w:eastAsia="Times New Roman"/>
          <w:b/>
          <w:sz w:val="24"/>
          <w:szCs w:val="24"/>
        </w:rPr>
        <w:lastRenderedPageBreak/>
        <w:t xml:space="preserve">29:5 </w:t>
      </w:r>
      <w:r w:rsidRPr="005F68C9">
        <w:rPr>
          <w:rFonts w:eastAsia="Times New Roman"/>
          <w:b/>
          <w:sz w:val="24"/>
          <w:szCs w:val="24"/>
        </w:rPr>
        <w:tab/>
        <w:t>ACTUAL DAMAGES</w:t>
      </w:r>
    </w:p>
    <w:p w14:paraId="2B131AB6" w14:textId="77777777" w:rsidR="005F68C9" w:rsidRPr="005F68C9" w:rsidRDefault="005F68C9" w:rsidP="005F68C9">
      <w:pPr>
        <w:spacing w:after="240"/>
        <w:ind w:firstLine="720"/>
        <w:rPr>
          <w:rFonts w:eastAsia="Times New Roman"/>
          <w:b/>
          <w:sz w:val="24"/>
          <w:szCs w:val="24"/>
        </w:rPr>
      </w:pPr>
      <w:r w:rsidRPr="005F68C9">
        <w:rPr>
          <w:rFonts w:eastAsia="Times New Roman"/>
          <w:b/>
          <w:sz w:val="24"/>
          <w:szCs w:val="24"/>
        </w:rPr>
        <w:t>No instruction provided.</w:t>
      </w:r>
    </w:p>
    <w:p w14:paraId="16F478DC" w14:textId="77777777" w:rsidR="005F68C9" w:rsidRDefault="005F68C9" w:rsidP="005F68C9">
      <w:pPr>
        <w:jc w:val="center"/>
        <w:rPr>
          <w:rFonts w:eastAsia="Times New Roman"/>
          <w:sz w:val="24"/>
          <w:szCs w:val="24"/>
        </w:rPr>
      </w:pPr>
    </w:p>
    <w:p w14:paraId="3BCD5801" w14:textId="3077F69B" w:rsidR="005F68C9" w:rsidRPr="0054263B" w:rsidRDefault="005F68C9" w:rsidP="005F68C9">
      <w:pPr>
        <w:keepNext/>
        <w:spacing w:after="240"/>
        <w:jc w:val="center"/>
        <w:rPr>
          <w:rFonts w:eastAsia="Times New Roman"/>
          <w:b/>
          <w:sz w:val="24"/>
          <w:szCs w:val="24"/>
        </w:rPr>
      </w:pPr>
      <w:r w:rsidRPr="0054263B">
        <w:rPr>
          <w:rFonts w:eastAsia="Times New Roman"/>
          <w:b/>
          <w:sz w:val="24"/>
          <w:szCs w:val="24"/>
        </w:rPr>
        <w:t>Note</w:t>
      </w:r>
    </w:p>
    <w:p w14:paraId="4FB5EE29" w14:textId="77777777" w:rsidR="005F68C9" w:rsidRPr="005F68C9" w:rsidRDefault="005F68C9" w:rsidP="005F68C9">
      <w:pPr>
        <w:spacing w:after="240"/>
        <w:ind w:firstLine="720"/>
        <w:rPr>
          <w:rFonts w:eastAsia="Times New Roman"/>
          <w:sz w:val="24"/>
          <w:szCs w:val="24"/>
        </w:rPr>
      </w:pPr>
      <w:r w:rsidRPr="005F68C9">
        <w:rPr>
          <w:rFonts w:eastAsia="Times New Roman"/>
          <w:sz w:val="24"/>
          <w:szCs w:val="24"/>
        </w:rPr>
        <w:t>1. Neither the statute nor Colorado case law defines what “actual damages” means in the CCPA; however, where actual damages have been proven, the plaintiff is entitled to at least $500.00. § 6-1-113(2)(a)(I) &amp; (II), C.R.S.</w:t>
      </w:r>
    </w:p>
    <w:p w14:paraId="117E85E5" w14:textId="77777777" w:rsidR="005F68C9" w:rsidRPr="005F68C9" w:rsidRDefault="005F68C9" w:rsidP="005F68C9">
      <w:pPr>
        <w:spacing w:after="240"/>
        <w:ind w:firstLine="720"/>
        <w:rPr>
          <w:rFonts w:eastAsia="Times New Roman"/>
          <w:sz w:val="24"/>
          <w:szCs w:val="24"/>
        </w:rPr>
      </w:pPr>
      <w:r w:rsidRPr="005F68C9">
        <w:rPr>
          <w:rFonts w:eastAsia="Times New Roman"/>
          <w:sz w:val="24"/>
          <w:szCs w:val="24"/>
        </w:rPr>
        <w:t xml:space="preserve">2. Although a plaintiff may bring both a CCPA claim and other causes of action based on the same conduct, double recovery of the same actual damages or of both punitive and treble damages is not permitted. </w:t>
      </w:r>
      <w:r w:rsidRPr="005F68C9">
        <w:rPr>
          <w:rFonts w:eastAsia="Times New Roman"/>
          <w:b/>
          <w:sz w:val="24"/>
          <w:szCs w:val="24"/>
        </w:rPr>
        <w:t>Coors v. Sec. Life of Denver Ins. Co.</w:t>
      </w:r>
      <w:r w:rsidRPr="005F68C9">
        <w:rPr>
          <w:rFonts w:eastAsia="Times New Roman"/>
          <w:sz w:val="24"/>
          <w:szCs w:val="24"/>
        </w:rPr>
        <w:t xml:space="preserve">, 112 P.3d 59 (Colo. 2005); </w:t>
      </w:r>
      <w:r w:rsidRPr="005F68C9">
        <w:rPr>
          <w:rFonts w:eastAsia="Times New Roman"/>
          <w:b/>
          <w:sz w:val="24"/>
          <w:szCs w:val="24"/>
        </w:rPr>
        <w:t>Lexton-Ancira Real Estate Fund, 1972 v. Heller</w:t>
      </w:r>
      <w:r w:rsidRPr="005F68C9">
        <w:rPr>
          <w:rFonts w:eastAsia="Times New Roman"/>
          <w:sz w:val="24"/>
          <w:szCs w:val="24"/>
        </w:rPr>
        <w:t>, 826 P.2d 819 (Colo. 1992).</w:t>
      </w:r>
    </w:p>
    <w:p w14:paraId="3DE3645B" w14:textId="77777777" w:rsidR="005F68C9" w:rsidRPr="005F68C9" w:rsidRDefault="005F68C9" w:rsidP="005F68C9">
      <w:pPr>
        <w:spacing w:after="240"/>
        <w:ind w:firstLine="720"/>
        <w:rPr>
          <w:rFonts w:eastAsia="Times New Roman"/>
          <w:sz w:val="24"/>
          <w:szCs w:val="24"/>
        </w:rPr>
      </w:pPr>
      <w:r w:rsidRPr="005F68C9">
        <w:rPr>
          <w:rFonts w:eastAsia="Times New Roman"/>
          <w:sz w:val="24"/>
          <w:szCs w:val="24"/>
        </w:rPr>
        <w:t xml:space="preserve">3. A statutory offer to settle “all claims” in a case that included a CCPA claim was held to encompass “all relief sought on the basis of a claim in the original complaint,” including statutory attorney fees awardable under section 6-1-113(2)(b). </w:t>
      </w:r>
      <w:r w:rsidRPr="005F68C9">
        <w:rPr>
          <w:rFonts w:eastAsia="Times New Roman"/>
          <w:b/>
          <w:sz w:val="24"/>
          <w:szCs w:val="24"/>
        </w:rPr>
        <w:t>Bumbal v. Smith</w:t>
      </w:r>
      <w:r w:rsidRPr="005F68C9">
        <w:rPr>
          <w:rFonts w:eastAsia="Times New Roman"/>
          <w:sz w:val="24"/>
          <w:szCs w:val="24"/>
        </w:rPr>
        <w:t>, 165 P.3d 844, 846 (Colo. App. 2007).</w:t>
      </w:r>
    </w:p>
    <w:p w14:paraId="578DB972" w14:textId="77777777" w:rsidR="005F68C9" w:rsidRPr="005F68C9" w:rsidRDefault="005F68C9" w:rsidP="005F68C9">
      <w:pPr>
        <w:spacing w:after="240"/>
        <w:ind w:firstLine="720"/>
        <w:rPr>
          <w:rFonts w:eastAsia="Times New Roman"/>
          <w:sz w:val="24"/>
          <w:szCs w:val="24"/>
        </w:rPr>
      </w:pPr>
      <w:r w:rsidRPr="005F68C9">
        <w:rPr>
          <w:rFonts w:eastAsia="Times New Roman"/>
          <w:sz w:val="24"/>
          <w:szCs w:val="24"/>
        </w:rPr>
        <w:t xml:space="preserve">4. Except in class actions or an action brought to enforce liability under section 6-1-709, C.R.S. (sales of manufactured homes), a successful claimant under the Act is entitled to an award of “costs of the action together with reasonable attorney fees as determined by the court.” § 6-1-113(2)(b), C.R.S.; </w:t>
      </w:r>
      <w:r w:rsidRPr="005F68C9">
        <w:rPr>
          <w:rFonts w:eastAsia="Times New Roman"/>
          <w:i/>
          <w:sz w:val="24"/>
          <w:szCs w:val="24"/>
        </w:rPr>
        <w:t>see</w:t>
      </w:r>
      <w:r w:rsidRPr="005F68C9">
        <w:rPr>
          <w:rFonts w:eastAsia="Times New Roman"/>
          <w:sz w:val="24"/>
          <w:szCs w:val="24"/>
        </w:rPr>
        <w:t xml:space="preserve"> </w:t>
      </w:r>
      <w:r w:rsidRPr="005F68C9">
        <w:rPr>
          <w:rFonts w:eastAsia="Times New Roman"/>
          <w:b/>
          <w:sz w:val="24"/>
          <w:szCs w:val="24"/>
        </w:rPr>
        <w:t>Holcomb v. Steven D. Smith, Inc.</w:t>
      </w:r>
      <w:r w:rsidRPr="005F68C9">
        <w:rPr>
          <w:rFonts w:eastAsia="Times New Roman"/>
          <w:sz w:val="24"/>
          <w:szCs w:val="24"/>
        </w:rPr>
        <w:t>, 170 P.3d 815, 817 (Colo.</w:t>
      </w:r>
      <w:r w:rsidR="005D0DD7">
        <w:rPr>
          <w:rFonts w:eastAsia="Times New Roman"/>
          <w:sz w:val="24"/>
          <w:szCs w:val="24"/>
        </w:rPr>
        <w:t xml:space="preserve"> </w:t>
      </w:r>
      <w:r w:rsidRPr="005F68C9">
        <w:rPr>
          <w:rFonts w:eastAsia="Times New Roman"/>
          <w:sz w:val="24"/>
          <w:szCs w:val="24"/>
        </w:rPr>
        <w:t xml:space="preserve">App. 2007). </w:t>
      </w:r>
    </w:p>
    <w:p w14:paraId="731021B4" w14:textId="6F85C369" w:rsidR="005F68C9" w:rsidRPr="005F68C9" w:rsidRDefault="005F68C9" w:rsidP="005F68C9">
      <w:pPr>
        <w:spacing w:after="240"/>
        <w:ind w:firstLine="720"/>
        <w:rPr>
          <w:rFonts w:eastAsia="Times New Roman"/>
          <w:sz w:val="24"/>
          <w:szCs w:val="24"/>
        </w:rPr>
      </w:pPr>
      <w:r w:rsidRPr="005F68C9">
        <w:rPr>
          <w:rFonts w:eastAsia="Times New Roman"/>
          <w:sz w:val="24"/>
          <w:szCs w:val="24"/>
        </w:rPr>
        <w:t xml:space="preserve">5. When the award of attorney fees depends upon “a successful result in the litigation in which they are to be awarded and the fees are for services rendered </w:t>
      </w:r>
      <w:r w:rsidR="00016CA9">
        <w:rPr>
          <w:rFonts w:eastAsia="Times New Roman"/>
          <w:sz w:val="24"/>
          <w:szCs w:val="24"/>
        </w:rPr>
        <w:t xml:space="preserve">in </w:t>
      </w:r>
      <w:r w:rsidRPr="005F68C9">
        <w:rPr>
          <w:rFonts w:eastAsia="Times New Roman"/>
          <w:sz w:val="24"/>
          <w:szCs w:val="24"/>
        </w:rPr>
        <w:t xml:space="preserve">connection with that litigation, a determination of the propriety of an award of fees need not be made until that litigation is completed and the result is known.” </w:t>
      </w:r>
      <w:r w:rsidRPr="005F68C9">
        <w:rPr>
          <w:rFonts w:eastAsia="Times New Roman"/>
          <w:b/>
          <w:sz w:val="24"/>
          <w:szCs w:val="24"/>
        </w:rPr>
        <w:t>Roa v. Miller</w:t>
      </w:r>
      <w:r w:rsidRPr="005F68C9">
        <w:rPr>
          <w:rFonts w:eastAsia="Times New Roman"/>
          <w:sz w:val="24"/>
          <w:szCs w:val="24"/>
        </w:rPr>
        <w:t xml:space="preserve">, 784 P.2d 826, 829 (Colo. App. 1989). </w:t>
      </w:r>
    </w:p>
    <w:p w14:paraId="4CE9E7AF" w14:textId="77777777" w:rsidR="005F68C9" w:rsidRPr="005F68C9" w:rsidRDefault="005F68C9" w:rsidP="005F68C9">
      <w:pPr>
        <w:spacing w:after="240"/>
        <w:ind w:firstLine="720"/>
        <w:rPr>
          <w:rFonts w:eastAsia="Times New Roman"/>
          <w:sz w:val="24"/>
          <w:szCs w:val="24"/>
        </w:rPr>
      </w:pPr>
      <w:r w:rsidRPr="005F68C9">
        <w:rPr>
          <w:rFonts w:eastAsia="Times New Roman"/>
          <w:sz w:val="24"/>
          <w:szCs w:val="24"/>
        </w:rPr>
        <w:t>6. Because entitlement to attorney fees under the Act requires successful proof of defendant’s liability for commission of deceptive acts, attorney fees recoverable under the CCPA are “costs” under</w:t>
      </w:r>
      <w:r w:rsidRPr="005F68C9">
        <w:rPr>
          <w:rFonts w:eastAsia="Times New Roman"/>
          <w:b/>
          <w:sz w:val="24"/>
          <w:szCs w:val="24"/>
        </w:rPr>
        <w:t xml:space="preserve"> </w:t>
      </w:r>
      <w:r w:rsidRPr="005F68C9">
        <w:rPr>
          <w:rFonts w:eastAsia="Times New Roman"/>
          <w:sz w:val="24"/>
          <w:szCs w:val="24"/>
        </w:rPr>
        <w:t xml:space="preserve">section 13-16-122(1)(h), C.R.S. (attorney fees authorized by statute may be awarded as costs). </w:t>
      </w:r>
    </w:p>
    <w:p w14:paraId="4469F0A0" w14:textId="77777777" w:rsidR="005F68C9" w:rsidRPr="005F68C9" w:rsidRDefault="005F68C9" w:rsidP="005F68C9">
      <w:pPr>
        <w:spacing w:after="240"/>
        <w:ind w:firstLine="720"/>
        <w:rPr>
          <w:rFonts w:eastAsia="Times New Roman"/>
          <w:sz w:val="24"/>
          <w:szCs w:val="24"/>
        </w:rPr>
      </w:pPr>
      <w:r w:rsidRPr="005F68C9">
        <w:rPr>
          <w:rFonts w:eastAsia="Times New Roman"/>
          <w:sz w:val="24"/>
          <w:szCs w:val="24"/>
        </w:rPr>
        <w:t xml:space="preserve">7. Fees awarded as costs need not be specifically pleaded, are determined by the court post-trial, and are not subject to doubling or trebling; their determination does not delay the time for appeal of the underlying judgment. </w:t>
      </w:r>
      <w:r w:rsidRPr="005F68C9">
        <w:rPr>
          <w:rFonts w:eastAsia="Times New Roman"/>
          <w:b/>
          <w:sz w:val="24"/>
          <w:szCs w:val="24"/>
        </w:rPr>
        <w:t>Ferrell v. Glenwood Brokers, Ltd.</w:t>
      </w:r>
      <w:r w:rsidRPr="005F68C9">
        <w:rPr>
          <w:rFonts w:eastAsia="Times New Roman"/>
          <w:sz w:val="24"/>
          <w:szCs w:val="24"/>
        </w:rPr>
        <w:t>, 848 P.2d 936 (Colo. 1993).</w:t>
      </w:r>
    </w:p>
    <w:p w14:paraId="2F4111FA" w14:textId="77777777" w:rsidR="005F68C9" w:rsidRPr="005F68C9" w:rsidRDefault="005F68C9" w:rsidP="005F68C9">
      <w:pPr>
        <w:spacing w:after="240"/>
        <w:ind w:firstLine="720"/>
        <w:rPr>
          <w:rFonts w:eastAsia="Times New Roman"/>
          <w:sz w:val="24"/>
          <w:szCs w:val="24"/>
        </w:rPr>
      </w:pPr>
      <w:r w:rsidRPr="005F68C9">
        <w:rPr>
          <w:rFonts w:eastAsia="Times New Roman"/>
          <w:sz w:val="24"/>
          <w:szCs w:val="24"/>
        </w:rPr>
        <w:t>8. For a discussion of the method to be used and factors to be considered in determining the amount of the mandatory award of attorney fees and costs under section 6-1-113(2)(b), see</w:t>
      </w:r>
      <w:r w:rsidRPr="005F68C9">
        <w:rPr>
          <w:rFonts w:eastAsia="Times New Roman"/>
          <w:i/>
          <w:sz w:val="24"/>
          <w:szCs w:val="24"/>
        </w:rPr>
        <w:t xml:space="preserve"> </w:t>
      </w:r>
      <w:r w:rsidRPr="005F68C9">
        <w:rPr>
          <w:rFonts w:eastAsia="Times New Roman"/>
          <w:b/>
          <w:sz w:val="24"/>
          <w:szCs w:val="24"/>
        </w:rPr>
        <w:t>Payan v. Nash Finch Co.</w:t>
      </w:r>
      <w:r w:rsidRPr="005F68C9">
        <w:rPr>
          <w:rFonts w:eastAsia="Times New Roman"/>
          <w:sz w:val="24"/>
          <w:szCs w:val="24"/>
        </w:rPr>
        <w:t>, 2012 COA 135M, 310 P.3d 212.</w:t>
      </w:r>
    </w:p>
    <w:p w14:paraId="6E5B7437" w14:textId="77777777" w:rsidR="005F68C9" w:rsidRPr="005F68C9" w:rsidRDefault="005F68C9" w:rsidP="005F68C9">
      <w:pPr>
        <w:spacing w:after="240"/>
        <w:ind w:firstLine="720"/>
        <w:rPr>
          <w:rFonts w:eastAsia="Times New Roman"/>
          <w:sz w:val="24"/>
          <w:szCs w:val="24"/>
        </w:rPr>
      </w:pPr>
      <w:r w:rsidRPr="005F68C9">
        <w:rPr>
          <w:rFonts w:eastAsia="Times New Roman"/>
          <w:sz w:val="24"/>
          <w:szCs w:val="24"/>
        </w:rPr>
        <w:t xml:space="preserve">9. This chapter does not address public enforcement mechanisms. </w:t>
      </w:r>
      <w:r w:rsidRPr="005F68C9">
        <w:rPr>
          <w:rFonts w:eastAsia="Times New Roman"/>
          <w:i/>
          <w:iCs/>
          <w:sz w:val="24"/>
          <w:szCs w:val="24"/>
        </w:rPr>
        <w:t>But see</w:t>
      </w:r>
      <w:r w:rsidRPr="005F68C9">
        <w:rPr>
          <w:rFonts w:eastAsia="Times New Roman"/>
          <w:sz w:val="24"/>
          <w:szCs w:val="24"/>
        </w:rPr>
        <w:t xml:space="preserve"> </w:t>
      </w:r>
      <w:r w:rsidRPr="005F68C9">
        <w:rPr>
          <w:rFonts w:eastAsia="Times New Roman"/>
          <w:b/>
          <w:bCs/>
          <w:sz w:val="24"/>
          <w:szCs w:val="24"/>
        </w:rPr>
        <w:t>People v. Wunder</w:t>
      </w:r>
      <w:r w:rsidRPr="005F68C9">
        <w:rPr>
          <w:rFonts w:eastAsia="Times New Roman"/>
          <w:sz w:val="24"/>
          <w:szCs w:val="24"/>
        </w:rPr>
        <w:t xml:space="preserve">, 2016 COA 46, ¶¶ 21-28, 371 P.3d 785 (reversing criminal enforcement judgment </w:t>
      </w:r>
      <w:r w:rsidRPr="005F68C9">
        <w:rPr>
          <w:rFonts w:eastAsia="Times New Roman"/>
          <w:sz w:val="24"/>
          <w:szCs w:val="24"/>
        </w:rPr>
        <w:lastRenderedPageBreak/>
        <w:t xml:space="preserve">awarding civil penalties and restitution in amounts unverifiable by statute or other fixed standard and remanding with directions to hold an evidentiary hearing with C.R.C.P. 52 findings of fact and conclusions of law supporting monetary awards). </w:t>
      </w:r>
    </w:p>
    <w:p w14:paraId="45865E5D" w14:textId="77777777" w:rsidR="005F68C9" w:rsidRDefault="005F68C9" w:rsidP="005F68C9">
      <w:pPr>
        <w:spacing w:after="240"/>
        <w:ind w:firstLine="720"/>
        <w:rPr>
          <w:rFonts w:eastAsia="Times New Roman"/>
          <w:sz w:val="24"/>
          <w:szCs w:val="24"/>
        </w:rPr>
      </w:pPr>
      <w:r w:rsidRPr="005F68C9" w:rsidDel="00612E6E">
        <w:rPr>
          <w:rFonts w:eastAsia="Times New Roman"/>
          <w:sz w:val="24"/>
          <w:szCs w:val="24"/>
        </w:rPr>
        <w:t xml:space="preserve"> </w:t>
      </w:r>
    </w:p>
    <w:p w14:paraId="4EDEDD57" w14:textId="77777777" w:rsidR="005F68C9" w:rsidRDefault="005F68C9">
      <w:pPr>
        <w:rPr>
          <w:rFonts w:eastAsia="Times New Roman"/>
          <w:sz w:val="24"/>
          <w:szCs w:val="24"/>
        </w:rPr>
      </w:pPr>
      <w:r>
        <w:rPr>
          <w:rFonts w:eastAsia="Times New Roman"/>
          <w:sz w:val="24"/>
          <w:szCs w:val="24"/>
        </w:rPr>
        <w:br w:type="page"/>
      </w:r>
    </w:p>
    <w:p w14:paraId="56DE3E5A" w14:textId="77777777" w:rsidR="005F68C9" w:rsidRPr="009E3DA4" w:rsidRDefault="005F68C9" w:rsidP="005F68C9">
      <w:pPr>
        <w:spacing w:after="240"/>
        <w:ind w:left="720" w:hanging="720"/>
        <w:rPr>
          <w:rFonts w:eastAsia="Times New Roman"/>
          <w:b/>
          <w:sz w:val="24"/>
          <w:szCs w:val="24"/>
        </w:rPr>
      </w:pPr>
      <w:bookmarkStart w:id="8" w:name="a29_06"/>
      <w:bookmarkEnd w:id="8"/>
      <w:r w:rsidRPr="005F68C9">
        <w:rPr>
          <w:rFonts w:eastAsia="Times New Roman"/>
          <w:b/>
          <w:sz w:val="24"/>
          <w:szCs w:val="24"/>
        </w:rPr>
        <w:lastRenderedPageBreak/>
        <w:t xml:space="preserve">29:6 </w:t>
      </w:r>
      <w:r w:rsidRPr="005F68C9">
        <w:rPr>
          <w:rFonts w:eastAsia="Times New Roman"/>
          <w:b/>
          <w:sz w:val="24"/>
          <w:szCs w:val="24"/>
        </w:rPr>
        <w:tab/>
        <w:t>TREBLE DAMAGES</w:t>
      </w:r>
    </w:p>
    <w:p w14:paraId="270AE42E" w14:textId="77777777" w:rsidR="005F68C9" w:rsidRPr="005F68C9" w:rsidRDefault="005F68C9" w:rsidP="005F68C9">
      <w:pPr>
        <w:spacing w:after="240"/>
        <w:ind w:firstLine="720"/>
        <w:rPr>
          <w:rFonts w:eastAsia="Times New Roman"/>
          <w:b/>
          <w:sz w:val="24"/>
          <w:szCs w:val="24"/>
        </w:rPr>
      </w:pPr>
      <w:r w:rsidRPr="005F68C9">
        <w:rPr>
          <w:rFonts w:eastAsia="Times New Roman"/>
          <w:b/>
          <w:sz w:val="24"/>
          <w:szCs w:val="24"/>
        </w:rPr>
        <w:t>If you find in favor of plaintiff and award (him) (her) (it) actual damages on (his) (her) (its) claim of violation of the Colorado Consumer Protection Act, then you must consider whether the plaintiff has proved by clear and convincing evidence that the defendant engaged in bad faith conduct.</w:t>
      </w:r>
    </w:p>
    <w:p w14:paraId="67E0783F" w14:textId="77777777" w:rsidR="005F68C9" w:rsidRPr="005F68C9" w:rsidRDefault="005F68C9" w:rsidP="005F68C9">
      <w:pPr>
        <w:spacing w:after="240"/>
        <w:ind w:firstLine="720"/>
        <w:rPr>
          <w:rFonts w:eastAsia="Times New Roman"/>
          <w:b/>
          <w:sz w:val="24"/>
          <w:szCs w:val="24"/>
        </w:rPr>
      </w:pPr>
      <w:r w:rsidRPr="005F68C9">
        <w:rPr>
          <w:rFonts w:eastAsia="Times New Roman"/>
          <w:b/>
          <w:sz w:val="24"/>
          <w:szCs w:val="24"/>
        </w:rPr>
        <w:t>“Bad faith conduct” means fraudulent, willful, knowing, or intentional conduct that causes (injuries) (damages) (or) (losses).</w:t>
      </w:r>
    </w:p>
    <w:p w14:paraId="29720A4A" w14:textId="77777777" w:rsidR="005F68C9" w:rsidRPr="005F68C9" w:rsidRDefault="005F68C9" w:rsidP="005F68C9">
      <w:pPr>
        <w:spacing w:after="240"/>
        <w:ind w:firstLine="720"/>
        <w:rPr>
          <w:rFonts w:eastAsia="Times New Roman"/>
          <w:b/>
          <w:sz w:val="24"/>
          <w:szCs w:val="24"/>
        </w:rPr>
      </w:pPr>
      <w:r w:rsidRPr="005F68C9">
        <w:rPr>
          <w:rFonts w:eastAsia="Times New Roman"/>
          <w:b/>
          <w:sz w:val="24"/>
          <w:szCs w:val="24"/>
        </w:rPr>
        <w:t>A fact has been proved by “clear and convincing evidence” if, considering all evidence, you find it to be highly probable and you have no serious or substantial doubt.</w:t>
      </w:r>
    </w:p>
    <w:p w14:paraId="170186F6" w14:textId="77777777" w:rsidR="005F68C9" w:rsidRDefault="005F68C9" w:rsidP="005F68C9">
      <w:pPr>
        <w:jc w:val="center"/>
        <w:rPr>
          <w:rFonts w:eastAsia="Times New Roman"/>
          <w:sz w:val="24"/>
          <w:szCs w:val="24"/>
        </w:rPr>
      </w:pPr>
    </w:p>
    <w:p w14:paraId="30A3492F" w14:textId="77777777" w:rsidR="005F68C9" w:rsidRPr="0054263B" w:rsidRDefault="005F68C9" w:rsidP="005F68C9">
      <w:pPr>
        <w:keepNext/>
        <w:spacing w:after="240"/>
        <w:jc w:val="center"/>
        <w:rPr>
          <w:rFonts w:eastAsia="Times New Roman"/>
          <w:b/>
          <w:sz w:val="24"/>
          <w:szCs w:val="24"/>
        </w:rPr>
      </w:pPr>
      <w:r w:rsidRPr="0054263B">
        <w:rPr>
          <w:rFonts w:eastAsia="Times New Roman"/>
          <w:b/>
          <w:sz w:val="24"/>
          <w:szCs w:val="24"/>
        </w:rPr>
        <w:t>Notes on Use</w:t>
      </w:r>
    </w:p>
    <w:p w14:paraId="033B644C" w14:textId="77777777" w:rsidR="005F68C9" w:rsidRPr="005F68C9" w:rsidRDefault="005F68C9" w:rsidP="005F68C9">
      <w:pPr>
        <w:spacing w:after="240"/>
        <w:ind w:firstLine="720"/>
        <w:rPr>
          <w:rFonts w:eastAsia="Times New Roman"/>
          <w:sz w:val="24"/>
          <w:szCs w:val="24"/>
        </w:rPr>
      </w:pPr>
      <w:r w:rsidRPr="005F68C9">
        <w:rPr>
          <w:rFonts w:eastAsia="Times New Roman"/>
          <w:sz w:val="24"/>
          <w:szCs w:val="24"/>
        </w:rPr>
        <w:t>1. Wh</w:t>
      </w:r>
      <w:smartTag w:uri="urn:schemas-microsoft-com:office:smarttags" w:element="PersonName">
        <w:r w:rsidRPr="005F68C9">
          <w:rPr>
            <w:rFonts w:eastAsia="Times New Roman"/>
            <w:sz w:val="24"/>
            <w:szCs w:val="24"/>
          </w:rPr>
          <w:t>e</w:t>
        </w:r>
      </w:smartTag>
      <w:r w:rsidRPr="005F68C9">
        <w:rPr>
          <w:rFonts w:eastAsia="Times New Roman"/>
          <w:sz w:val="24"/>
          <w:szCs w:val="24"/>
        </w:rPr>
        <w:t>n th</w:t>
      </w:r>
      <w:smartTag w:uri="urn:schemas-microsoft-com:office:smarttags" w:element="PersonName">
        <w:r w:rsidRPr="005F68C9">
          <w:rPr>
            <w:rFonts w:eastAsia="Times New Roman"/>
            <w:sz w:val="24"/>
            <w:szCs w:val="24"/>
          </w:rPr>
          <w:t>e</w:t>
        </w:r>
      </w:smartTag>
      <w:r w:rsidRPr="005F68C9">
        <w:rPr>
          <w:rFonts w:eastAsia="Times New Roman"/>
          <w:sz w:val="24"/>
          <w:szCs w:val="24"/>
        </w:rPr>
        <w:t>r</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is suffici</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nt </w:t>
      </w:r>
      <w:smartTag w:uri="urn:schemas-microsoft-com:office:smarttags" w:element="PersonName">
        <w:r w:rsidRPr="005F68C9">
          <w:rPr>
            <w:rFonts w:eastAsia="Times New Roman"/>
            <w:sz w:val="24"/>
            <w:szCs w:val="24"/>
          </w:rPr>
          <w:t>e</w:t>
        </w:r>
      </w:smartTag>
      <w:r w:rsidRPr="005F68C9">
        <w:rPr>
          <w:rFonts w:eastAsia="Times New Roman"/>
          <w:sz w:val="24"/>
          <w:szCs w:val="24"/>
        </w:rPr>
        <w:t>vid</w:t>
      </w:r>
      <w:smartTag w:uri="urn:schemas-microsoft-com:office:smarttags" w:element="PersonName">
        <w:r w:rsidRPr="005F68C9">
          <w:rPr>
            <w:rFonts w:eastAsia="Times New Roman"/>
            <w:sz w:val="24"/>
            <w:szCs w:val="24"/>
          </w:rPr>
          <w:t>e</w:t>
        </w:r>
      </w:smartTag>
      <w:r w:rsidRPr="005F68C9">
        <w:rPr>
          <w:rFonts w:eastAsia="Times New Roman"/>
          <w:sz w:val="24"/>
          <w:szCs w:val="24"/>
        </w:rPr>
        <w:t>nc</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to submit th</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qu</w:t>
      </w:r>
      <w:smartTag w:uri="urn:schemas-microsoft-com:office:smarttags" w:element="PersonName">
        <w:r w:rsidRPr="005F68C9">
          <w:rPr>
            <w:rFonts w:eastAsia="Times New Roman"/>
            <w:sz w:val="24"/>
            <w:szCs w:val="24"/>
          </w:rPr>
          <w:t>e</w:t>
        </w:r>
      </w:smartTag>
      <w:r w:rsidRPr="005F68C9">
        <w:rPr>
          <w:rFonts w:eastAsia="Times New Roman"/>
          <w:sz w:val="24"/>
          <w:szCs w:val="24"/>
        </w:rPr>
        <w:t>stion of bad faith conduct to th</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jury, th</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qu</w:t>
      </w:r>
      <w:smartTag w:uri="urn:schemas-microsoft-com:office:smarttags" w:element="PersonName">
        <w:r w:rsidRPr="005F68C9">
          <w:rPr>
            <w:rFonts w:eastAsia="Times New Roman"/>
            <w:sz w:val="24"/>
            <w:szCs w:val="24"/>
          </w:rPr>
          <w:t>e</w:t>
        </w:r>
      </w:smartTag>
      <w:r w:rsidRPr="005F68C9">
        <w:rPr>
          <w:rFonts w:eastAsia="Times New Roman"/>
          <w:sz w:val="24"/>
          <w:szCs w:val="24"/>
        </w:rPr>
        <w:t>stion should b</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submitt</w:t>
      </w:r>
      <w:smartTag w:uri="urn:schemas-microsoft-com:office:smarttags" w:element="PersonName">
        <w:r w:rsidRPr="005F68C9">
          <w:rPr>
            <w:rFonts w:eastAsia="Times New Roman"/>
            <w:sz w:val="24"/>
            <w:szCs w:val="24"/>
          </w:rPr>
          <w:t>e</w:t>
        </w:r>
      </w:smartTag>
      <w:r w:rsidRPr="005F68C9">
        <w:rPr>
          <w:rFonts w:eastAsia="Times New Roman"/>
          <w:sz w:val="24"/>
          <w:szCs w:val="24"/>
        </w:rPr>
        <w:t>d as a sp</w:t>
      </w:r>
      <w:smartTag w:uri="urn:schemas-microsoft-com:office:smarttags" w:element="PersonName">
        <w:r w:rsidRPr="005F68C9">
          <w:rPr>
            <w:rFonts w:eastAsia="Times New Roman"/>
            <w:sz w:val="24"/>
            <w:szCs w:val="24"/>
          </w:rPr>
          <w:t>e</w:t>
        </w:r>
      </w:smartTag>
      <w:r w:rsidRPr="005F68C9">
        <w:rPr>
          <w:rFonts w:eastAsia="Times New Roman"/>
          <w:sz w:val="24"/>
          <w:szCs w:val="24"/>
        </w:rPr>
        <w:t>cial int</w:t>
      </w:r>
      <w:smartTag w:uri="urn:schemas-microsoft-com:office:smarttags" w:element="PersonName">
        <w:r w:rsidRPr="005F68C9">
          <w:rPr>
            <w:rFonts w:eastAsia="Times New Roman"/>
            <w:sz w:val="24"/>
            <w:szCs w:val="24"/>
          </w:rPr>
          <w:t>e</w:t>
        </w:r>
      </w:smartTag>
      <w:r w:rsidRPr="005F68C9">
        <w:rPr>
          <w:rFonts w:eastAsia="Times New Roman"/>
          <w:sz w:val="24"/>
          <w:szCs w:val="24"/>
        </w:rPr>
        <w:t>rrogatory on th</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jury v</w:t>
      </w:r>
      <w:smartTag w:uri="urn:schemas-microsoft-com:office:smarttags" w:element="PersonName">
        <w:r w:rsidRPr="005F68C9">
          <w:rPr>
            <w:rFonts w:eastAsia="Times New Roman"/>
            <w:sz w:val="24"/>
            <w:szCs w:val="24"/>
          </w:rPr>
          <w:t>e</w:t>
        </w:r>
      </w:smartTag>
      <w:r w:rsidRPr="005F68C9">
        <w:rPr>
          <w:rFonts w:eastAsia="Times New Roman"/>
          <w:sz w:val="24"/>
          <w:szCs w:val="24"/>
        </w:rPr>
        <w:t>rdict form.</w:t>
      </w:r>
    </w:p>
    <w:p w14:paraId="18837162" w14:textId="77777777" w:rsidR="005F68C9" w:rsidRPr="005F68C9" w:rsidRDefault="005F68C9" w:rsidP="005F68C9">
      <w:pPr>
        <w:spacing w:after="240"/>
        <w:ind w:firstLine="720"/>
        <w:rPr>
          <w:rFonts w:eastAsia="Times New Roman"/>
          <w:sz w:val="24"/>
          <w:szCs w:val="24"/>
        </w:rPr>
      </w:pPr>
      <w:r w:rsidRPr="005F68C9">
        <w:rPr>
          <w:rFonts w:eastAsia="Times New Roman"/>
          <w:sz w:val="24"/>
          <w:szCs w:val="24"/>
        </w:rPr>
        <w:t>2. Instruction 3.2, defining clear and convincing evidence, should be given with this instruction.</w:t>
      </w:r>
    </w:p>
    <w:p w14:paraId="05A171CF" w14:textId="77777777" w:rsidR="005F68C9" w:rsidRPr="005F68C9" w:rsidRDefault="005F68C9" w:rsidP="005F68C9">
      <w:pPr>
        <w:spacing w:after="240"/>
        <w:ind w:firstLine="720"/>
        <w:rPr>
          <w:rFonts w:eastAsia="Times New Roman"/>
          <w:sz w:val="24"/>
          <w:szCs w:val="24"/>
        </w:rPr>
      </w:pPr>
      <w:r w:rsidRPr="005F68C9">
        <w:rPr>
          <w:rFonts w:eastAsia="Times New Roman"/>
          <w:sz w:val="24"/>
          <w:szCs w:val="24"/>
        </w:rPr>
        <w:t>3. If liability und</w:t>
      </w:r>
      <w:smartTag w:uri="urn:schemas-microsoft-com:office:smarttags" w:element="PersonName">
        <w:r w:rsidRPr="005F68C9">
          <w:rPr>
            <w:rFonts w:eastAsia="Times New Roman"/>
            <w:sz w:val="24"/>
            <w:szCs w:val="24"/>
          </w:rPr>
          <w:t>e</w:t>
        </w:r>
      </w:smartTag>
      <w:r w:rsidRPr="005F68C9">
        <w:rPr>
          <w:rFonts w:eastAsia="Times New Roman"/>
          <w:sz w:val="24"/>
          <w:szCs w:val="24"/>
        </w:rPr>
        <w:t>r th</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CCPA and “bad faith conduct” und</w:t>
      </w:r>
      <w:smartTag w:uri="urn:schemas-microsoft-com:office:smarttags" w:element="PersonName">
        <w:r w:rsidRPr="005F68C9">
          <w:rPr>
            <w:rFonts w:eastAsia="Times New Roman"/>
            <w:sz w:val="24"/>
            <w:szCs w:val="24"/>
          </w:rPr>
          <w:t>e</w:t>
        </w:r>
      </w:smartTag>
      <w:r w:rsidRPr="005F68C9">
        <w:rPr>
          <w:rFonts w:eastAsia="Times New Roman"/>
          <w:sz w:val="24"/>
          <w:szCs w:val="24"/>
        </w:rPr>
        <w:t>r this instruction ar</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w:t>
      </w:r>
      <w:smartTag w:uri="urn:schemas-microsoft-com:office:smarttags" w:element="PersonName">
        <w:r w:rsidRPr="005F68C9">
          <w:rPr>
            <w:rFonts w:eastAsia="Times New Roman"/>
            <w:sz w:val="24"/>
            <w:szCs w:val="24"/>
          </w:rPr>
          <w:t>e</w:t>
        </w:r>
      </w:smartTag>
      <w:r w:rsidRPr="005F68C9">
        <w:rPr>
          <w:rFonts w:eastAsia="Times New Roman"/>
          <w:sz w:val="24"/>
          <w:szCs w:val="24"/>
        </w:rPr>
        <w:t>stablish</w:t>
      </w:r>
      <w:smartTag w:uri="urn:schemas-microsoft-com:office:smarttags" w:element="PersonName">
        <w:r w:rsidRPr="005F68C9">
          <w:rPr>
            <w:rFonts w:eastAsia="Times New Roman"/>
            <w:sz w:val="24"/>
            <w:szCs w:val="24"/>
          </w:rPr>
          <w:t>e</w:t>
        </w:r>
      </w:smartTag>
      <w:r w:rsidRPr="005F68C9">
        <w:rPr>
          <w:rFonts w:eastAsia="Times New Roman"/>
          <w:sz w:val="24"/>
          <w:szCs w:val="24"/>
        </w:rPr>
        <w:t>d, an award of tr</w:t>
      </w:r>
      <w:smartTag w:uri="urn:schemas-microsoft-com:office:smarttags" w:element="PersonName">
        <w:r w:rsidRPr="005F68C9">
          <w:rPr>
            <w:rFonts w:eastAsia="Times New Roman"/>
            <w:sz w:val="24"/>
            <w:szCs w:val="24"/>
          </w:rPr>
          <w:t>e</w:t>
        </w:r>
      </w:smartTag>
      <w:r w:rsidRPr="005F68C9">
        <w:rPr>
          <w:rFonts w:eastAsia="Times New Roman"/>
          <w:sz w:val="24"/>
          <w:szCs w:val="24"/>
        </w:rPr>
        <w:t>bl</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damag</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s is mandatory. </w:t>
      </w:r>
      <w:r w:rsidRPr="005F68C9">
        <w:rPr>
          <w:rFonts w:eastAsia="Times New Roman"/>
          <w:b/>
          <w:sz w:val="24"/>
          <w:szCs w:val="24"/>
        </w:rPr>
        <w:t>Vista Resorts, Inc. v. Goodyear Tire &amp; Rubber Co.</w:t>
      </w:r>
      <w:r w:rsidRPr="005F68C9">
        <w:rPr>
          <w:rFonts w:eastAsia="Times New Roman"/>
          <w:sz w:val="24"/>
          <w:szCs w:val="24"/>
        </w:rPr>
        <w:t>, 117 P.3d 60 (Colo. App. 2004).</w:t>
      </w:r>
    </w:p>
    <w:p w14:paraId="1D97B4F8" w14:textId="77777777" w:rsidR="005F68C9" w:rsidRPr="005F68C9" w:rsidRDefault="005F68C9" w:rsidP="005F68C9">
      <w:pPr>
        <w:spacing w:after="240"/>
        <w:ind w:firstLine="720"/>
        <w:rPr>
          <w:rFonts w:eastAsia="Times New Roman"/>
          <w:sz w:val="24"/>
          <w:szCs w:val="24"/>
        </w:rPr>
      </w:pPr>
      <w:r w:rsidRPr="005F68C9">
        <w:rPr>
          <w:rFonts w:eastAsia="Times New Roman"/>
          <w:sz w:val="24"/>
          <w:szCs w:val="24"/>
        </w:rPr>
        <w:t>4. Th</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court of app</w:t>
      </w:r>
      <w:smartTag w:uri="urn:schemas-microsoft-com:office:smarttags" w:element="PersonName">
        <w:r w:rsidRPr="005F68C9">
          <w:rPr>
            <w:rFonts w:eastAsia="Times New Roman"/>
            <w:sz w:val="24"/>
            <w:szCs w:val="24"/>
          </w:rPr>
          <w:t>e</w:t>
        </w:r>
      </w:smartTag>
      <w:r w:rsidRPr="005F68C9">
        <w:rPr>
          <w:rFonts w:eastAsia="Times New Roman"/>
          <w:sz w:val="24"/>
          <w:szCs w:val="24"/>
        </w:rPr>
        <w:t>als has held that a trial court’s r</w:t>
      </w:r>
      <w:smartTag w:uri="urn:schemas-microsoft-com:office:smarttags" w:element="PersonName">
        <w:r w:rsidRPr="005F68C9">
          <w:rPr>
            <w:rFonts w:eastAsia="Times New Roman"/>
            <w:sz w:val="24"/>
            <w:szCs w:val="24"/>
          </w:rPr>
          <w:t>e</w:t>
        </w:r>
      </w:smartTag>
      <w:r w:rsidRPr="005F68C9">
        <w:rPr>
          <w:rFonts w:eastAsia="Times New Roman"/>
          <w:sz w:val="24"/>
          <w:szCs w:val="24"/>
        </w:rPr>
        <w:t>fusal to advis</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th</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jury that any award of actual damag</w:t>
      </w:r>
      <w:smartTag w:uri="urn:schemas-microsoft-com:office:smarttags" w:element="PersonName">
        <w:r w:rsidRPr="005F68C9">
          <w:rPr>
            <w:rFonts w:eastAsia="Times New Roman"/>
            <w:sz w:val="24"/>
            <w:szCs w:val="24"/>
          </w:rPr>
          <w:t>e</w:t>
        </w:r>
      </w:smartTag>
      <w:r w:rsidRPr="005F68C9">
        <w:rPr>
          <w:rFonts w:eastAsia="Times New Roman"/>
          <w:sz w:val="24"/>
          <w:szCs w:val="24"/>
        </w:rPr>
        <w:t>s may b</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tr</w:t>
      </w:r>
      <w:smartTag w:uri="urn:schemas-microsoft-com:office:smarttags" w:element="PersonName">
        <w:r w:rsidRPr="005F68C9">
          <w:rPr>
            <w:rFonts w:eastAsia="Times New Roman"/>
            <w:sz w:val="24"/>
            <w:szCs w:val="24"/>
          </w:rPr>
          <w:t>e</w:t>
        </w:r>
      </w:smartTag>
      <w:r w:rsidRPr="005F68C9">
        <w:rPr>
          <w:rFonts w:eastAsia="Times New Roman"/>
          <w:sz w:val="24"/>
          <w:szCs w:val="24"/>
        </w:rPr>
        <w:t>bl</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d was not </w:t>
      </w:r>
      <w:smartTag w:uri="urn:schemas-microsoft-com:office:smarttags" w:element="PersonName">
        <w:r w:rsidRPr="005F68C9">
          <w:rPr>
            <w:rFonts w:eastAsia="Times New Roman"/>
            <w:sz w:val="24"/>
            <w:szCs w:val="24"/>
          </w:rPr>
          <w:t>e</w:t>
        </w:r>
      </w:smartTag>
      <w:r w:rsidRPr="005F68C9">
        <w:rPr>
          <w:rFonts w:eastAsia="Times New Roman"/>
          <w:sz w:val="24"/>
          <w:szCs w:val="24"/>
        </w:rPr>
        <w:t>rror but declined to hold that a jury may n</w:t>
      </w:r>
      <w:smartTag w:uri="urn:schemas-microsoft-com:office:smarttags" w:element="PersonName">
        <w:r w:rsidRPr="005F68C9">
          <w:rPr>
            <w:rFonts w:eastAsia="Times New Roman"/>
            <w:sz w:val="24"/>
            <w:szCs w:val="24"/>
          </w:rPr>
          <w:t>e</w:t>
        </w:r>
      </w:smartTag>
      <w:r w:rsidRPr="005F68C9">
        <w:rPr>
          <w:rFonts w:eastAsia="Times New Roman"/>
          <w:sz w:val="24"/>
          <w:szCs w:val="24"/>
        </w:rPr>
        <w:t>v</w:t>
      </w:r>
      <w:smartTag w:uri="urn:schemas-microsoft-com:office:smarttags" w:element="PersonName">
        <w:r w:rsidRPr="005F68C9">
          <w:rPr>
            <w:rFonts w:eastAsia="Times New Roman"/>
            <w:sz w:val="24"/>
            <w:szCs w:val="24"/>
          </w:rPr>
          <w:t>e</w:t>
        </w:r>
      </w:smartTag>
      <w:r w:rsidRPr="005F68C9">
        <w:rPr>
          <w:rFonts w:eastAsia="Times New Roman"/>
          <w:sz w:val="24"/>
          <w:szCs w:val="24"/>
        </w:rPr>
        <w:t>r b</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advis</w:t>
      </w:r>
      <w:smartTag w:uri="urn:schemas-microsoft-com:office:smarttags" w:element="PersonName">
        <w:r w:rsidRPr="005F68C9">
          <w:rPr>
            <w:rFonts w:eastAsia="Times New Roman"/>
            <w:sz w:val="24"/>
            <w:szCs w:val="24"/>
          </w:rPr>
          <w:t>e</w:t>
        </w:r>
      </w:smartTag>
      <w:r w:rsidRPr="005F68C9">
        <w:rPr>
          <w:rFonts w:eastAsia="Times New Roman"/>
          <w:sz w:val="24"/>
          <w:szCs w:val="24"/>
        </w:rPr>
        <w:t>d of tr</w:t>
      </w:r>
      <w:smartTag w:uri="urn:schemas-microsoft-com:office:smarttags" w:element="PersonName">
        <w:r w:rsidRPr="005F68C9">
          <w:rPr>
            <w:rFonts w:eastAsia="Times New Roman"/>
            <w:sz w:val="24"/>
            <w:szCs w:val="24"/>
          </w:rPr>
          <w:t>e</w:t>
        </w:r>
      </w:smartTag>
      <w:r w:rsidRPr="005F68C9">
        <w:rPr>
          <w:rFonts w:eastAsia="Times New Roman"/>
          <w:sz w:val="24"/>
          <w:szCs w:val="24"/>
        </w:rPr>
        <w:t>bl</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damag</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s. </w:t>
      </w:r>
      <w:r w:rsidRPr="005F68C9">
        <w:rPr>
          <w:rFonts w:eastAsia="Times New Roman"/>
          <w:b/>
          <w:sz w:val="24"/>
          <w:szCs w:val="24"/>
        </w:rPr>
        <w:t>Heritage Vill. Owners Ass’n v. Golden Heritage Inv’rs, Ltd.</w:t>
      </w:r>
      <w:r w:rsidRPr="005F68C9">
        <w:rPr>
          <w:rFonts w:eastAsia="Times New Roman"/>
          <w:sz w:val="24"/>
          <w:szCs w:val="24"/>
        </w:rPr>
        <w:t>, 89 P.3d 513 (Colo. App. 2004).</w:t>
      </w:r>
    </w:p>
    <w:p w14:paraId="60064C5C" w14:textId="77777777" w:rsidR="005F68C9" w:rsidRPr="0054263B" w:rsidRDefault="005F68C9" w:rsidP="005F68C9">
      <w:pPr>
        <w:keepNext/>
        <w:spacing w:after="240"/>
        <w:jc w:val="center"/>
        <w:rPr>
          <w:rFonts w:eastAsia="Times New Roman"/>
          <w:b/>
          <w:sz w:val="24"/>
          <w:szCs w:val="24"/>
        </w:rPr>
      </w:pPr>
      <w:r>
        <w:rPr>
          <w:rFonts w:eastAsia="Times New Roman"/>
          <w:b/>
          <w:sz w:val="24"/>
          <w:szCs w:val="24"/>
        </w:rPr>
        <w:t>Source and Authority</w:t>
      </w:r>
    </w:p>
    <w:p w14:paraId="6CAC3D16" w14:textId="77777777" w:rsidR="005F68C9" w:rsidRPr="005F68C9" w:rsidRDefault="005F68C9" w:rsidP="005F68C9">
      <w:pPr>
        <w:spacing w:after="240"/>
        <w:ind w:firstLine="720"/>
        <w:rPr>
          <w:rFonts w:eastAsia="Times New Roman"/>
          <w:sz w:val="24"/>
          <w:szCs w:val="24"/>
        </w:rPr>
      </w:pPr>
      <w:r w:rsidRPr="005F68C9">
        <w:rPr>
          <w:rFonts w:eastAsia="Times New Roman"/>
          <w:sz w:val="24"/>
          <w:szCs w:val="24"/>
        </w:rPr>
        <w:t>1. This instruction is support</w:t>
      </w:r>
      <w:smartTag w:uri="urn:schemas-microsoft-com:office:smarttags" w:element="PersonName">
        <w:r w:rsidRPr="005F68C9">
          <w:rPr>
            <w:rFonts w:eastAsia="Times New Roman"/>
            <w:sz w:val="24"/>
            <w:szCs w:val="24"/>
          </w:rPr>
          <w:t>e</w:t>
        </w:r>
      </w:smartTag>
      <w:r w:rsidRPr="005F68C9">
        <w:rPr>
          <w:rFonts w:eastAsia="Times New Roman"/>
          <w:sz w:val="24"/>
          <w:szCs w:val="24"/>
        </w:rPr>
        <w:t>d by section 6-1-113(2)(a)(III), (2.3), C.R.S.</w:t>
      </w:r>
    </w:p>
    <w:p w14:paraId="26B062C4" w14:textId="77777777" w:rsidR="005F68C9" w:rsidRPr="005F68C9" w:rsidRDefault="005F68C9" w:rsidP="005F68C9">
      <w:pPr>
        <w:spacing w:after="240"/>
        <w:ind w:firstLine="720"/>
        <w:rPr>
          <w:rFonts w:eastAsia="Times New Roman"/>
          <w:sz w:val="24"/>
          <w:szCs w:val="24"/>
        </w:rPr>
      </w:pPr>
      <w:r w:rsidRPr="005F68C9">
        <w:rPr>
          <w:rFonts w:eastAsia="Times New Roman"/>
          <w:sz w:val="24"/>
          <w:szCs w:val="24"/>
        </w:rPr>
        <w:t>2. If both treble and punitive damages are awarded based on the same conduct, the claimant must elect between the awards and may not recover both types of these statutory damages</w:t>
      </w:r>
      <w:r w:rsidRPr="005F68C9">
        <w:rPr>
          <w:rFonts w:eastAsia="Times New Roman"/>
          <w:b/>
          <w:sz w:val="24"/>
          <w:szCs w:val="24"/>
        </w:rPr>
        <w:t>. L</w:t>
      </w:r>
      <w:smartTag w:uri="urn:schemas-microsoft-com:office:smarttags" w:element="PersonName">
        <w:r w:rsidRPr="005F68C9">
          <w:rPr>
            <w:rFonts w:eastAsia="Times New Roman"/>
            <w:b/>
            <w:sz w:val="24"/>
            <w:szCs w:val="24"/>
          </w:rPr>
          <w:t>e</w:t>
        </w:r>
      </w:smartTag>
      <w:r w:rsidRPr="005F68C9">
        <w:rPr>
          <w:rFonts w:eastAsia="Times New Roman"/>
          <w:b/>
          <w:sz w:val="24"/>
          <w:szCs w:val="24"/>
        </w:rPr>
        <w:t>xton-Ancira R</w:t>
      </w:r>
      <w:smartTag w:uri="urn:schemas-microsoft-com:office:smarttags" w:element="PersonName">
        <w:r w:rsidRPr="005F68C9">
          <w:rPr>
            <w:rFonts w:eastAsia="Times New Roman"/>
            <w:b/>
            <w:sz w:val="24"/>
            <w:szCs w:val="24"/>
          </w:rPr>
          <w:t>e</w:t>
        </w:r>
      </w:smartTag>
      <w:r w:rsidRPr="005F68C9">
        <w:rPr>
          <w:rFonts w:eastAsia="Times New Roman"/>
          <w:b/>
          <w:sz w:val="24"/>
          <w:szCs w:val="24"/>
        </w:rPr>
        <w:t>al Estat</w:t>
      </w:r>
      <w:smartTag w:uri="urn:schemas-microsoft-com:office:smarttags" w:element="PersonName">
        <w:r w:rsidRPr="005F68C9">
          <w:rPr>
            <w:rFonts w:eastAsia="Times New Roman"/>
            <w:b/>
            <w:sz w:val="24"/>
            <w:szCs w:val="24"/>
          </w:rPr>
          <w:t>e</w:t>
        </w:r>
      </w:smartTag>
      <w:r w:rsidRPr="005F68C9">
        <w:rPr>
          <w:rFonts w:eastAsia="Times New Roman"/>
          <w:b/>
          <w:sz w:val="24"/>
          <w:szCs w:val="24"/>
        </w:rPr>
        <w:t xml:space="preserve"> Fund, 1972 v. H</w:t>
      </w:r>
      <w:smartTag w:uri="urn:schemas-microsoft-com:office:smarttags" w:element="PersonName">
        <w:r w:rsidRPr="005F68C9">
          <w:rPr>
            <w:rFonts w:eastAsia="Times New Roman"/>
            <w:b/>
            <w:sz w:val="24"/>
            <w:szCs w:val="24"/>
          </w:rPr>
          <w:t>e</w:t>
        </w:r>
      </w:smartTag>
      <w:r w:rsidRPr="005F68C9">
        <w:rPr>
          <w:rFonts w:eastAsia="Times New Roman"/>
          <w:b/>
          <w:sz w:val="24"/>
          <w:szCs w:val="24"/>
        </w:rPr>
        <w:t>ll</w:t>
      </w:r>
      <w:smartTag w:uri="urn:schemas-microsoft-com:office:smarttags" w:element="PersonName">
        <w:r w:rsidRPr="005F68C9">
          <w:rPr>
            <w:rFonts w:eastAsia="Times New Roman"/>
            <w:b/>
            <w:sz w:val="24"/>
            <w:szCs w:val="24"/>
          </w:rPr>
          <w:t>e</w:t>
        </w:r>
      </w:smartTag>
      <w:r w:rsidRPr="005F68C9">
        <w:rPr>
          <w:rFonts w:eastAsia="Times New Roman"/>
          <w:b/>
          <w:sz w:val="24"/>
          <w:szCs w:val="24"/>
        </w:rPr>
        <w:t>r</w:t>
      </w:r>
      <w:r w:rsidRPr="005F68C9">
        <w:rPr>
          <w:rFonts w:eastAsia="Times New Roman"/>
          <w:sz w:val="24"/>
          <w:szCs w:val="24"/>
        </w:rPr>
        <w:t xml:space="preserve">, 826 P.2d 819 (Colo. 1992); </w:t>
      </w:r>
      <w:r w:rsidRPr="005F68C9">
        <w:rPr>
          <w:rFonts w:eastAsia="Times New Roman"/>
          <w:i/>
          <w:sz w:val="24"/>
          <w:szCs w:val="24"/>
        </w:rPr>
        <w:t>s</w:t>
      </w:r>
      <w:smartTag w:uri="urn:schemas-microsoft-com:office:smarttags" w:element="PersonName">
        <w:r w:rsidRPr="005F68C9">
          <w:rPr>
            <w:rFonts w:eastAsia="Times New Roman"/>
            <w:i/>
            <w:sz w:val="24"/>
            <w:szCs w:val="24"/>
          </w:rPr>
          <w:t>e</w:t>
        </w:r>
      </w:smartTag>
      <w:smartTag w:uri="urn:schemas-microsoft-com:office:smarttags" w:element="PersonName">
        <w:r w:rsidRPr="005F68C9">
          <w:rPr>
            <w:rFonts w:eastAsia="Times New Roman"/>
            <w:i/>
            <w:sz w:val="24"/>
            <w:szCs w:val="24"/>
          </w:rPr>
          <w:t>e</w:t>
        </w:r>
      </w:smartTag>
      <w:r w:rsidRPr="005F68C9">
        <w:rPr>
          <w:rFonts w:eastAsia="Times New Roman"/>
          <w:i/>
          <w:sz w:val="24"/>
          <w:szCs w:val="24"/>
        </w:rPr>
        <w:t xml:space="preserve"> also</w:t>
      </w:r>
      <w:r w:rsidRPr="005F68C9">
        <w:rPr>
          <w:rFonts w:eastAsia="Times New Roman"/>
          <w:sz w:val="24"/>
          <w:szCs w:val="24"/>
        </w:rPr>
        <w:t xml:space="preserve"> </w:t>
      </w:r>
      <w:r w:rsidRPr="005F68C9">
        <w:rPr>
          <w:rFonts w:eastAsia="Times New Roman"/>
          <w:b/>
          <w:sz w:val="24"/>
          <w:szCs w:val="24"/>
        </w:rPr>
        <w:t>Martin</w:t>
      </w:r>
      <w:smartTag w:uri="urn:schemas-microsoft-com:office:smarttags" w:element="PersonName">
        <w:r w:rsidRPr="005F68C9">
          <w:rPr>
            <w:rFonts w:eastAsia="Times New Roman"/>
            <w:b/>
            <w:sz w:val="24"/>
            <w:szCs w:val="24"/>
          </w:rPr>
          <w:t>e</w:t>
        </w:r>
      </w:smartTag>
      <w:r w:rsidRPr="005F68C9">
        <w:rPr>
          <w:rFonts w:eastAsia="Times New Roman"/>
          <w:b/>
          <w:sz w:val="24"/>
          <w:szCs w:val="24"/>
        </w:rPr>
        <w:t>z v. Affordabl</w:t>
      </w:r>
      <w:smartTag w:uri="urn:schemas-microsoft-com:office:smarttags" w:element="PersonName">
        <w:r w:rsidRPr="005F68C9">
          <w:rPr>
            <w:rFonts w:eastAsia="Times New Roman"/>
            <w:b/>
            <w:sz w:val="24"/>
            <w:szCs w:val="24"/>
          </w:rPr>
          <w:t>e</w:t>
        </w:r>
      </w:smartTag>
      <w:r w:rsidRPr="005F68C9">
        <w:rPr>
          <w:rFonts w:eastAsia="Times New Roman"/>
          <w:b/>
          <w:sz w:val="24"/>
          <w:szCs w:val="24"/>
        </w:rPr>
        <w:t xml:space="preserve"> Housing N</w:t>
      </w:r>
      <w:smartTag w:uri="urn:schemas-microsoft-com:office:smarttags" w:element="PersonName">
        <w:r w:rsidRPr="005F68C9">
          <w:rPr>
            <w:rFonts w:eastAsia="Times New Roman"/>
            <w:b/>
            <w:sz w:val="24"/>
            <w:szCs w:val="24"/>
          </w:rPr>
          <w:t>e</w:t>
        </w:r>
      </w:smartTag>
      <w:r w:rsidRPr="005F68C9">
        <w:rPr>
          <w:rFonts w:eastAsia="Times New Roman"/>
          <w:b/>
          <w:sz w:val="24"/>
          <w:szCs w:val="24"/>
        </w:rPr>
        <w:t>twork, Inc.</w:t>
      </w:r>
      <w:r w:rsidRPr="005F68C9">
        <w:rPr>
          <w:rFonts w:eastAsia="Times New Roman"/>
          <w:sz w:val="24"/>
          <w:szCs w:val="24"/>
        </w:rPr>
        <w:t xml:space="preserve">, 109 P.3d 983 (Colo. App. 2004) (trial court properly remitted punitive damages award because it awarded treble damages under section 6-1-113), </w:t>
      </w:r>
      <w:r w:rsidRPr="005F68C9">
        <w:rPr>
          <w:rFonts w:eastAsia="Times New Roman"/>
          <w:i/>
          <w:sz w:val="24"/>
          <w:szCs w:val="24"/>
        </w:rPr>
        <w:t>rev’d on other grounds</w:t>
      </w:r>
      <w:r w:rsidRPr="005F68C9">
        <w:rPr>
          <w:rFonts w:eastAsia="Times New Roman"/>
          <w:sz w:val="24"/>
          <w:szCs w:val="24"/>
        </w:rPr>
        <w:t xml:space="preserve">, 123 P.3d 1201 (Colo. 2005). </w:t>
      </w:r>
    </w:p>
    <w:p w14:paraId="57C9B0B9" w14:textId="77777777" w:rsidR="005F68C9" w:rsidRPr="005F68C9" w:rsidRDefault="005F68C9" w:rsidP="005F68C9">
      <w:pPr>
        <w:spacing w:after="240"/>
        <w:ind w:firstLine="720"/>
        <w:rPr>
          <w:rFonts w:eastAsia="Times New Roman"/>
          <w:b/>
          <w:sz w:val="24"/>
          <w:szCs w:val="24"/>
        </w:rPr>
      </w:pPr>
      <w:r w:rsidRPr="005F68C9">
        <w:rPr>
          <w:rFonts w:eastAsia="Times New Roman"/>
          <w:sz w:val="24"/>
          <w:szCs w:val="24"/>
        </w:rPr>
        <w:t>3. Wh</w:t>
      </w:r>
      <w:smartTag w:uri="urn:schemas-microsoft-com:office:smarttags" w:element="PersonName">
        <w:r w:rsidRPr="005F68C9">
          <w:rPr>
            <w:rFonts w:eastAsia="Times New Roman"/>
            <w:sz w:val="24"/>
            <w:szCs w:val="24"/>
          </w:rPr>
          <w:t>e</w:t>
        </w:r>
      </w:smartTag>
      <w:r w:rsidRPr="005F68C9">
        <w:rPr>
          <w:rFonts w:eastAsia="Times New Roman"/>
          <w:sz w:val="24"/>
          <w:szCs w:val="24"/>
        </w:rPr>
        <w:t>r</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th</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r</w:t>
      </w:r>
      <w:smartTag w:uri="urn:schemas-microsoft-com:office:smarttags" w:element="PersonName">
        <w:r w:rsidRPr="005F68C9">
          <w:rPr>
            <w:rFonts w:eastAsia="Times New Roman"/>
            <w:sz w:val="24"/>
            <w:szCs w:val="24"/>
          </w:rPr>
          <w:t>e</w:t>
        </w:r>
      </w:smartTag>
      <w:r w:rsidRPr="005F68C9">
        <w:rPr>
          <w:rFonts w:eastAsia="Times New Roman"/>
          <w:sz w:val="24"/>
          <w:szCs w:val="24"/>
        </w:rPr>
        <w:t>cord supports v</w:t>
      </w:r>
      <w:smartTag w:uri="urn:schemas-microsoft-com:office:smarttags" w:element="PersonName">
        <w:r w:rsidRPr="005F68C9">
          <w:rPr>
            <w:rFonts w:eastAsia="Times New Roman"/>
            <w:sz w:val="24"/>
            <w:szCs w:val="24"/>
          </w:rPr>
          <w:t>e</w:t>
        </w:r>
      </w:smartTag>
      <w:r w:rsidRPr="005F68C9">
        <w:rPr>
          <w:rFonts w:eastAsia="Times New Roman"/>
          <w:sz w:val="24"/>
          <w:szCs w:val="24"/>
        </w:rPr>
        <w:t>rdicts for both punitive and tr</w:t>
      </w:r>
      <w:smartTag w:uri="urn:schemas-microsoft-com:office:smarttags" w:element="PersonName">
        <w:r w:rsidRPr="005F68C9">
          <w:rPr>
            <w:rFonts w:eastAsia="Times New Roman"/>
            <w:sz w:val="24"/>
            <w:szCs w:val="24"/>
          </w:rPr>
          <w:t>e</w:t>
        </w:r>
      </w:smartTag>
      <w:r w:rsidRPr="005F68C9">
        <w:rPr>
          <w:rFonts w:eastAsia="Times New Roman"/>
          <w:sz w:val="24"/>
          <w:szCs w:val="24"/>
        </w:rPr>
        <w:t>bl</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damag</w:t>
      </w:r>
      <w:smartTag w:uri="urn:schemas-microsoft-com:office:smarttags" w:element="PersonName">
        <w:r w:rsidRPr="005F68C9">
          <w:rPr>
            <w:rFonts w:eastAsia="Times New Roman"/>
            <w:sz w:val="24"/>
            <w:szCs w:val="24"/>
          </w:rPr>
          <w:t>e</w:t>
        </w:r>
      </w:smartTag>
      <w:r w:rsidRPr="005F68C9">
        <w:rPr>
          <w:rFonts w:eastAsia="Times New Roman"/>
          <w:sz w:val="24"/>
          <w:szCs w:val="24"/>
        </w:rPr>
        <w:t>s, r</w:t>
      </w:r>
      <w:smartTag w:uri="urn:schemas-microsoft-com:office:smarttags" w:element="PersonName">
        <w:r w:rsidRPr="005F68C9">
          <w:rPr>
            <w:rFonts w:eastAsia="Times New Roman"/>
            <w:sz w:val="24"/>
            <w:szCs w:val="24"/>
          </w:rPr>
          <w:t>e</w:t>
        </w:r>
      </w:smartTag>
      <w:r w:rsidRPr="005F68C9">
        <w:rPr>
          <w:rFonts w:eastAsia="Times New Roman"/>
          <w:sz w:val="24"/>
          <w:szCs w:val="24"/>
        </w:rPr>
        <w:t>v</w:t>
      </w:r>
      <w:smartTag w:uri="urn:schemas-microsoft-com:office:smarttags" w:element="PersonName">
        <w:r w:rsidRPr="005F68C9">
          <w:rPr>
            <w:rFonts w:eastAsia="Times New Roman"/>
            <w:sz w:val="24"/>
            <w:szCs w:val="24"/>
          </w:rPr>
          <w:t>e</w:t>
        </w:r>
      </w:smartTag>
      <w:r w:rsidRPr="005F68C9">
        <w:rPr>
          <w:rFonts w:eastAsia="Times New Roman"/>
          <w:sz w:val="24"/>
          <w:szCs w:val="24"/>
        </w:rPr>
        <w:t>rsal of a judgm</w:t>
      </w:r>
      <w:smartTag w:uri="urn:schemas-microsoft-com:office:smarttags" w:element="PersonName">
        <w:r w:rsidRPr="005F68C9">
          <w:rPr>
            <w:rFonts w:eastAsia="Times New Roman"/>
            <w:sz w:val="24"/>
            <w:szCs w:val="24"/>
          </w:rPr>
          <w:t>e</w:t>
        </w:r>
      </w:smartTag>
      <w:r w:rsidRPr="005F68C9">
        <w:rPr>
          <w:rFonts w:eastAsia="Times New Roman"/>
          <w:sz w:val="24"/>
          <w:szCs w:val="24"/>
        </w:rPr>
        <w:t>nt und</w:t>
      </w:r>
      <w:smartTag w:uri="urn:schemas-microsoft-com:office:smarttags" w:element="PersonName">
        <w:r w:rsidRPr="005F68C9">
          <w:rPr>
            <w:rFonts w:eastAsia="Times New Roman"/>
            <w:sz w:val="24"/>
            <w:szCs w:val="24"/>
          </w:rPr>
          <w:t>e</w:t>
        </w:r>
      </w:smartTag>
      <w:r w:rsidRPr="005F68C9">
        <w:rPr>
          <w:rFonts w:eastAsia="Times New Roman"/>
          <w:sz w:val="24"/>
          <w:szCs w:val="24"/>
        </w:rPr>
        <w:t>r th</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CCPA may r</w:t>
      </w:r>
      <w:smartTag w:uri="urn:schemas-microsoft-com:office:smarttags" w:element="PersonName">
        <w:r w:rsidRPr="005F68C9">
          <w:rPr>
            <w:rFonts w:eastAsia="Times New Roman"/>
            <w:sz w:val="24"/>
            <w:szCs w:val="24"/>
          </w:rPr>
          <w:t>e</w:t>
        </w:r>
      </w:smartTag>
      <w:r w:rsidRPr="005F68C9">
        <w:rPr>
          <w:rFonts w:eastAsia="Times New Roman"/>
          <w:sz w:val="24"/>
          <w:szCs w:val="24"/>
        </w:rPr>
        <w:t>quir</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r</w:t>
      </w:r>
      <w:smartTag w:uri="urn:schemas-microsoft-com:office:smarttags" w:element="PersonName">
        <w:r w:rsidRPr="005F68C9">
          <w:rPr>
            <w:rFonts w:eastAsia="Times New Roman"/>
            <w:sz w:val="24"/>
            <w:szCs w:val="24"/>
          </w:rPr>
          <w:t>e</w:t>
        </w:r>
      </w:smartTag>
      <w:r w:rsidRPr="005F68C9">
        <w:rPr>
          <w:rFonts w:eastAsia="Times New Roman"/>
          <w:sz w:val="24"/>
          <w:szCs w:val="24"/>
        </w:rPr>
        <w:t>mand to consid</w:t>
      </w:r>
      <w:smartTag w:uri="urn:schemas-microsoft-com:office:smarttags" w:element="PersonName">
        <w:r w:rsidRPr="005F68C9">
          <w:rPr>
            <w:rFonts w:eastAsia="Times New Roman"/>
            <w:sz w:val="24"/>
            <w:szCs w:val="24"/>
          </w:rPr>
          <w:t>e</w:t>
        </w:r>
      </w:smartTag>
      <w:r w:rsidRPr="005F68C9">
        <w:rPr>
          <w:rFonts w:eastAsia="Times New Roman"/>
          <w:sz w:val="24"/>
          <w:szCs w:val="24"/>
        </w:rPr>
        <w:t>r r</w:t>
      </w:r>
      <w:smartTag w:uri="urn:schemas-microsoft-com:office:smarttags" w:element="PersonName">
        <w:r w:rsidRPr="005F68C9">
          <w:rPr>
            <w:rFonts w:eastAsia="Times New Roman"/>
            <w:sz w:val="24"/>
            <w:szCs w:val="24"/>
          </w:rPr>
          <w:t>e</w:t>
        </w:r>
      </w:smartTag>
      <w:r w:rsidRPr="005F68C9">
        <w:rPr>
          <w:rFonts w:eastAsia="Times New Roman"/>
          <w:sz w:val="24"/>
          <w:szCs w:val="24"/>
        </w:rPr>
        <w:t>instat</w:t>
      </w:r>
      <w:smartTag w:uri="urn:schemas-microsoft-com:office:smarttags" w:element="PersonName">
        <w:r w:rsidRPr="005F68C9">
          <w:rPr>
            <w:rFonts w:eastAsia="Times New Roman"/>
            <w:sz w:val="24"/>
            <w:szCs w:val="24"/>
          </w:rPr>
          <w:t>e</w:t>
        </w:r>
      </w:smartTag>
      <w:r w:rsidRPr="005F68C9">
        <w:rPr>
          <w:rFonts w:eastAsia="Times New Roman"/>
          <w:sz w:val="24"/>
          <w:szCs w:val="24"/>
        </w:rPr>
        <w:t>m</w:t>
      </w:r>
      <w:smartTag w:uri="urn:schemas-microsoft-com:office:smarttags" w:element="PersonName">
        <w:r w:rsidRPr="005F68C9">
          <w:rPr>
            <w:rFonts w:eastAsia="Times New Roman"/>
            <w:sz w:val="24"/>
            <w:szCs w:val="24"/>
          </w:rPr>
          <w:t>e</w:t>
        </w:r>
      </w:smartTag>
      <w:r w:rsidRPr="005F68C9">
        <w:rPr>
          <w:rFonts w:eastAsia="Times New Roman"/>
          <w:sz w:val="24"/>
          <w:szCs w:val="24"/>
        </w:rPr>
        <w:t>nt of th</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punitive damag</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award. </w:t>
      </w:r>
      <w:r w:rsidRPr="005F68C9">
        <w:rPr>
          <w:rFonts w:eastAsia="Times New Roman"/>
          <w:b/>
          <w:sz w:val="24"/>
          <w:szCs w:val="24"/>
        </w:rPr>
        <w:t>Coors v. Sec. Life of Denver Ins. Co.</w:t>
      </w:r>
      <w:r w:rsidRPr="005F68C9">
        <w:rPr>
          <w:rFonts w:eastAsia="Times New Roman"/>
          <w:sz w:val="24"/>
          <w:szCs w:val="24"/>
        </w:rPr>
        <w:t>,</w:t>
      </w:r>
      <w:r w:rsidRPr="005F68C9">
        <w:rPr>
          <w:rFonts w:eastAsia="Times New Roman"/>
          <w:b/>
          <w:sz w:val="24"/>
          <w:szCs w:val="24"/>
        </w:rPr>
        <w:t xml:space="preserve"> </w:t>
      </w:r>
      <w:r w:rsidRPr="005F68C9">
        <w:rPr>
          <w:rFonts w:eastAsia="Times New Roman"/>
          <w:sz w:val="24"/>
          <w:szCs w:val="24"/>
        </w:rPr>
        <w:t>112 P.3d 59 (Colo. 2005).</w:t>
      </w:r>
    </w:p>
    <w:p w14:paraId="6F8D99E6" w14:textId="77777777" w:rsidR="005F68C9" w:rsidRPr="005F68C9" w:rsidRDefault="005F68C9" w:rsidP="005F68C9">
      <w:pPr>
        <w:spacing w:after="240"/>
        <w:ind w:firstLine="720"/>
        <w:rPr>
          <w:rFonts w:eastAsia="Times New Roman"/>
          <w:sz w:val="24"/>
          <w:szCs w:val="24"/>
        </w:rPr>
      </w:pPr>
      <w:r w:rsidRPr="005F68C9">
        <w:rPr>
          <w:rFonts w:eastAsia="Times New Roman"/>
          <w:sz w:val="24"/>
          <w:szCs w:val="24"/>
        </w:rPr>
        <w:lastRenderedPageBreak/>
        <w:t xml:space="preserve">4. No </w:t>
      </w:r>
      <w:smartTag w:uri="urn:schemas-microsoft-com:office:smarttags" w:element="place">
        <w:smartTag w:uri="urn:schemas-microsoft-com:office:smarttags" w:element="State">
          <w:r w:rsidRPr="005F68C9">
            <w:rPr>
              <w:rFonts w:eastAsia="Times New Roman"/>
              <w:sz w:val="24"/>
              <w:szCs w:val="24"/>
            </w:rPr>
            <w:t>Colorado</w:t>
          </w:r>
        </w:smartTag>
      </w:smartTag>
      <w:r w:rsidRPr="005F68C9">
        <w:rPr>
          <w:rFonts w:eastAsia="Times New Roman"/>
          <w:sz w:val="24"/>
          <w:szCs w:val="24"/>
        </w:rPr>
        <w:t xml:space="preserve"> app</w:t>
      </w:r>
      <w:smartTag w:uri="urn:schemas-microsoft-com:office:smarttags" w:element="PersonName">
        <w:r w:rsidRPr="005F68C9">
          <w:rPr>
            <w:rFonts w:eastAsia="Times New Roman"/>
            <w:sz w:val="24"/>
            <w:szCs w:val="24"/>
          </w:rPr>
          <w:t>e</w:t>
        </w:r>
      </w:smartTag>
      <w:r w:rsidRPr="005F68C9">
        <w:rPr>
          <w:rFonts w:eastAsia="Times New Roman"/>
          <w:sz w:val="24"/>
          <w:szCs w:val="24"/>
        </w:rPr>
        <w:t>llat</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d</w:t>
      </w:r>
      <w:smartTag w:uri="urn:schemas-microsoft-com:office:smarttags" w:element="PersonName">
        <w:r w:rsidRPr="005F68C9">
          <w:rPr>
            <w:rFonts w:eastAsia="Times New Roman"/>
            <w:sz w:val="24"/>
            <w:szCs w:val="24"/>
          </w:rPr>
          <w:t>e</w:t>
        </w:r>
      </w:smartTag>
      <w:r w:rsidRPr="005F68C9">
        <w:rPr>
          <w:rFonts w:eastAsia="Times New Roman"/>
          <w:sz w:val="24"/>
          <w:szCs w:val="24"/>
        </w:rPr>
        <w:t>cision has y</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t </w:t>
      </w:r>
      <w:smartTag w:uri="urn:schemas-microsoft-com:office:smarttags" w:element="PersonName">
        <w:r w:rsidRPr="005F68C9">
          <w:rPr>
            <w:rFonts w:eastAsia="Times New Roman"/>
            <w:sz w:val="24"/>
            <w:szCs w:val="24"/>
          </w:rPr>
          <w:t>e</w:t>
        </w:r>
      </w:smartTag>
      <w:r w:rsidRPr="005F68C9">
        <w:rPr>
          <w:rFonts w:eastAsia="Times New Roman"/>
          <w:sz w:val="24"/>
          <w:szCs w:val="24"/>
        </w:rPr>
        <w:t>xpr</w:t>
      </w:r>
      <w:smartTag w:uri="urn:schemas-microsoft-com:office:smarttags" w:element="PersonName">
        <w:r w:rsidRPr="005F68C9">
          <w:rPr>
            <w:rFonts w:eastAsia="Times New Roman"/>
            <w:sz w:val="24"/>
            <w:szCs w:val="24"/>
          </w:rPr>
          <w:t>e</w:t>
        </w:r>
      </w:smartTag>
      <w:r w:rsidRPr="005F68C9">
        <w:rPr>
          <w:rFonts w:eastAsia="Times New Roman"/>
          <w:sz w:val="24"/>
          <w:szCs w:val="24"/>
        </w:rPr>
        <w:t>ssly addr</w:t>
      </w:r>
      <w:smartTag w:uri="urn:schemas-microsoft-com:office:smarttags" w:element="PersonName">
        <w:r w:rsidRPr="005F68C9">
          <w:rPr>
            <w:rFonts w:eastAsia="Times New Roman"/>
            <w:sz w:val="24"/>
            <w:szCs w:val="24"/>
          </w:rPr>
          <w:t>e</w:t>
        </w:r>
      </w:smartTag>
      <w:r w:rsidRPr="005F68C9">
        <w:rPr>
          <w:rFonts w:eastAsia="Times New Roman"/>
          <w:sz w:val="24"/>
          <w:szCs w:val="24"/>
        </w:rPr>
        <w:t>ss</w:t>
      </w:r>
      <w:smartTag w:uri="urn:schemas-microsoft-com:office:smarttags" w:element="PersonName">
        <w:r w:rsidRPr="005F68C9">
          <w:rPr>
            <w:rFonts w:eastAsia="Times New Roman"/>
            <w:sz w:val="24"/>
            <w:szCs w:val="24"/>
          </w:rPr>
          <w:t>e</w:t>
        </w:r>
      </w:smartTag>
      <w:r w:rsidRPr="005F68C9">
        <w:rPr>
          <w:rFonts w:eastAsia="Times New Roman"/>
          <w:sz w:val="24"/>
          <w:szCs w:val="24"/>
        </w:rPr>
        <w:t>d th</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issu</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of wh</w:t>
      </w:r>
      <w:smartTag w:uri="urn:schemas-microsoft-com:office:smarttags" w:element="PersonName">
        <w:r w:rsidRPr="005F68C9">
          <w:rPr>
            <w:rFonts w:eastAsia="Times New Roman"/>
            <w:sz w:val="24"/>
            <w:szCs w:val="24"/>
          </w:rPr>
          <w:t>e</w:t>
        </w:r>
      </w:smartTag>
      <w:r w:rsidRPr="005F68C9">
        <w:rPr>
          <w:rFonts w:eastAsia="Times New Roman"/>
          <w:sz w:val="24"/>
          <w:szCs w:val="24"/>
        </w:rPr>
        <w:t>th</w:t>
      </w:r>
      <w:smartTag w:uri="urn:schemas-microsoft-com:office:smarttags" w:element="PersonName">
        <w:r w:rsidRPr="005F68C9">
          <w:rPr>
            <w:rFonts w:eastAsia="Times New Roman"/>
            <w:sz w:val="24"/>
            <w:szCs w:val="24"/>
          </w:rPr>
          <w:t>e</w:t>
        </w:r>
      </w:smartTag>
      <w:r w:rsidRPr="005F68C9">
        <w:rPr>
          <w:rFonts w:eastAsia="Times New Roman"/>
          <w:sz w:val="24"/>
          <w:szCs w:val="24"/>
        </w:rPr>
        <w:t>r, in a cas</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wh</w:t>
      </w:r>
      <w:smartTag w:uri="urn:schemas-microsoft-com:office:smarttags" w:element="PersonName">
        <w:r w:rsidRPr="005F68C9">
          <w:rPr>
            <w:rFonts w:eastAsia="Times New Roman"/>
            <w:sz w:val="24"/>
            <w:szCs w:val="24"/>
          </w:rPr>
          <w:t>e</w:t>
        </w:r>
      </w:smartTag>
      <w:r w:rsidRPr="005F68C9">
        <w:rPr>
          <w:rFonts w:eastAsia="Times New Roman"/>
          <w:sz w:val="24"/>
          <w:szCs w:val="24"/>
        </w:rPr>
        <w:t>r</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w:t>
      </w:r>
      <w:smartTag w:uri="urn:schemas-microsoft-com:office:smarttags" w:element="PersonName">
        <w:r w:rsidRPr="005F68C9">
          <w:rPr>
            <w:rFonts w:eastAsia="Times New Roman"/>
            <w:sz w:val="24"/>
            <w:szCs w:val="24"/>
          </w:rPr>
          <w:t>e</w:t>
        </w:r>
      </w:smartTag>
      <w:r w:rsidRPr="005F68C9">
        <w:rPr>
          <w:rFonts w:eastAsia="Times New Roman"/>
          <w:sz w:val="24"/>
          <w:szCs w:val="24"/>
        </w:rPr>
        <w:t>ntitl</w:t>
      </w:r>
      <w:smartTag w:uri="urn:schemas-microsoft-com:office:smarttags" w:element="PersonName">
        <w:r w:rsidRPr="005F68C9">
          <w:rPr>
            <w:rFonts w:eastAsia="Times New Roman"/>
            <w:sz w:val="24"/>
            <w:szCs w:val="24"/>
          </w:rPr>
          <w:t>e</w:t>
        </w:r>
      </w:smartTag>
      <w:r w:rsidRPr="005F68C9">
        <w:rPr>
          <w:rFonts w:eastAsia="Times New Roman"/>
          <w:sz w:val="24"/>
          <w:szCs w:val="24"/>
        </w:rPr>
        <w:t>m</w:t>
      </w:r>
      <w:smartTag w:uri="urn:schemas-microsoft-com:office:smarttags" w:element="PersonName">
        <w:r w:rsidRPr="005F68C9">
          <w:rPr>
            <w:rFonts w:eastAsia="Times New Roman"/>
            <w:sz w:val="24"/>
            <w:szCs w:val="24"/>
          </w:rPr>
          <w:t>e</w:t>
        </w:r>
      </w:smartTag>
      <w:r w:rsidRPr="005F68C9">
        <w:rPr>
          <w:rFonts w:eastAsia="Times New Roman"/>
          <w:sz w:val="24"/>
          <w:szCs w:val="24"/>
        </w:rPr>
        <w:t>nt to tr</w:t>
      </w:r>
      <w:smartTag w:uri="urn:schemas-microsoft-com:office:smarttags" w:element="PersonName">
        <w:r w:rsidRPr="005F68C9">
          <w:rPr>
            <w:rFonts w:eastAsia="Times New Roman"/>
            <w:sz w:val="24"/>
            <w:szCs w:val="24"/>
          </w:rPr>
          <w:t>e</w:t>
        </w:r>
      </w:smartTag>
      <w:r w:rsidRPr="005F68C9">
        <w:rPr>
          <w:rFonts w:eastAsia="Times New Roman"/>
          <w:sz w:val="24"/>
          <w:szCs w:val="24"/>
        </w:rPr>
        <w:t>bl</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damag</w:t>
      </w:r>
      <w:smartTag w:uri="urn:schemas-microsoft-com:office:smarttags" w:element="PersonName">
        <w:r w:rsidRPr="005F68C9">
          <w:rPr>
            <w:rFonts w:eastAsia="Times New Roman"/>
            <w:sz w:val="24"/>
            <w:szCs w:val="24"/>
          </w:rPr>
          <w:t>e</w:t>
        </w:r>
      </w:smartTag>
      <w:r w:rsidRPr="005F68C9">
        <w:rPr>
          <w:rFonts w:eastAsia="Times New Roman"/>
          <w:sz w:val="24"/>
          <w:szCs w:val="24"/>
        </w:rPr>
        <w:t>s has b</w:t>
      </w:r>
      <w:smartTag w:uri="urn:schemas-microsoft-com:office:smarttags" w:element="PersonName">
        <w:r w:rsidRPr="005F68C9">
          <w:rPr>
            <w:rFonts w:eastAsia="Times New Roman"/>
            <w:sz w:val="24"/>
            <w:szCs w:val="24"/>
          </w:rPr>
          <w:t>e</w:t>
        </w:r>
      </w:smartTag>
      <w:smartTag w:uri="urn:schemas-microsoft-com:office:smarttags" w:element="PersonName">
        <w:r w:rsidRPr="005F68C9">
          <w:rPr>
            <w:rFonts w:eastAsia="Times New Roman"/>
            <w:sz w:val="24"/>
            <w:szCs w:val="24"/>
          </w:rPr>
          <w:t>e</w:t>
        </w:r>
      </w:smartTag>
      <w:r w:rsidRPr="005F68C9">
        <w:rPr>
          <w:rFonts w:eastAsia="Times New Roman"/>
          <w:sz w:val="24"/>
          <w:szCs w:val="24"/>
        </w:rPr>
        <w:t>n prov</w:t>
      </w:r>
      <w:smartTag w:uri="urn:schemas-microsoft-com:office:smarttags" w:element="PersonName">
        <w:r w:rsidRPr="005F68C9">
          <w:rPr>
            <w:rFonts w:eastAsia="Times New Roman"/>
            <w:sz w:val="24"/>
            <w:szCs w:val="24"/>
          </w:rPr>
          <w:t>e</w:t>
        </w:r>
      </w:smartTag>
      <w:r w:rsidRPr="005F68C9">
        <w:rPr>
          <w:rFonts w:eastAsia="Times New Roman"/>
          <w:sz w:val="24"/>
          <w:szCs w:val="24"/>
        </w:rPr>
        <w:t>d, pr</w:t>
      </w:r>
      <w:smartTag w:uri="urn:schemas-microsoft-com:office:smarttags" w:element="PersonName">
        <w:r w:rsidRPr="005F68C9">
          <w:rPr>
            <w:rFonts w:eastAsia="Times New Roman"/>
            <w:sz w:val="24"/>
            <w:szCs w:val="24"/>
          </w:rPr>
          <w:t>e</w:t>
        </w:r>
      </w:smartTag>
      <w:r w:rsidRPr="005F68C9">
        <w:rPr>
          <w:rFonts w:eastAsia="Times New Roman"/>
          <w:sz w:val="24"/>
          <w:szCs w:val="24"/>
        </w:rPr>
        <w:t>judgm</w:t>
      </w:r>
      <w:smartTag w:uri="urn:schemas-microsoft-com:office:smarttags" w:element="PersonName">
        <w:r w:rsidRPr="005F68C9">
          <w:rPr>
            <w:rFonts w:eastAsia="Times New Roman"/>
            <w:sz w:val="24"/>
            <w:szCs w:val="24"/>
          </w:rPr>
          <w:t>e</w:t>
        </w:r>
      </w:smartTag>
      <w:r w:rsidRPr="005F68C9">
        <w:rPr>
          <w:rFonts w:eastAsia="Times New Roman"/>
          <w:sz w:val="24"/>
          <w:szCs w:val="24"/>
        </w:rPr>
        <w:t>nt int</w:t>
      </w:r>
      <w:smartTag w:uri="urn:schemas-microsoft-com:office:smarttags" w:element="PersonName">
        <w:r w:rsidRPr="005F68C9">
          <w:rPr>
            <w:rFonts w:eastAsia="Times New Roman"/>
            <w:sz w:val="24"/>
            <w:szCs w:val="24"/>
          </w:rPr>
          <w:t>e</w:t>
        </w:r>
      </w:smartTag>
      <w:r w:rsidRPr="005F68C9">
        <w:rPr>
          <w:rFonts w:eastAsia="Times New Roman"/>
          <w:sz w:val="24"/>
          <w:szCs w:val="24"/>
        </w:rPr>
        <w:t>r</w:t>
      </w:r>
      <w:smartTag w:uri="urn:schemas-microsoft-com:office:smarttags" w:element="PersonName">
        <w:r w:rsidRPr="005F68C9">
          <w:rPr>
            <w:rFonts w:eastAsia="Times New Roman"/>
            <w:sz w:val="24"/>
            <w:szCs w:val="24"/>
          </w:rPr>
          <w:t>e</w:t>
        </w:r>
      </w:smartTag>
      <w:r w:rsidRPr="005F68C9">
        <w:rPr>
          <w:rFonts w:eastAsia="Times New Roman"/>
          <w:sz w:val="24"/>
          <w:szCs w:val="24"/>
        </w:rPr>
        <w:t>st should b</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add</w:t>
      </w:r>
      <w:smartTag w:uri="urn:schemas-microsoft-com:office:smarttags" w:element="PersonName">
        <w:r w:rsidRPr="005F68C9">
          <w:rPr>
            <w:rFonts w:eastAsia="Times New Roman"/>
            <w:sz w:val="24"/>
            <w:szCs w:val="24"/>
          </w:rPr>
          <w:t>e</w:t>
        </w:r>
      </w:smartTag>
      <w:r w:rsidRPr="005F68C9">
        <w:rPr>
          <w:rFonts w:eastAsia="Times New Roman"/>
          <w:sz w:val="24"/>
          <w:szCs w:val="24"/>
        </w:rPr>
        <w:t>d to th</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actual damag</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award b</w:t>
      </w:r>
      <w:smartTag w:uri="urn:schemas-microsoft-com:office:smarttags" w:element="PersonName">
        <w:r w:rsidRPr="005F68C9">
          <w:rPr>
            <w:rFonts w:eastAsia="Times New Roman"/>
            <w:sz w:val="24"/>
            <w:szCs w:val="24"/>
          </w:rPr>
          <w:t>e</w:t>
        </w:r>
      </w:smartTag>
      <w:r w:rsidRPr="005F68C9">
        <w:rPr>
          <w:rFonts w:eastAsia="Times New Roman"/>
          <w:sz w:val="24"/>
          <w:szCs w:val="24"/>
        </w:rPr>
        <w:t>for</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or aft</w:t>
      </w:r>
      <w:smartTag w:uri="urn:schemas-microsoft-com:office:smarttags" w:element="PersonName">
        <w:r w:rsidRPr="005F68C9">
          <w:rPr>
            <w:rFonts w:eastAsia="Times New Roman"/>
            <w:sz w:val="24"/>
            <w:szCs w:val="24"/>
          </w:rPr>
          <w:t>e</w:t>
        </w:r>
      </w:smartTag>
      <w:r w:rsidRPr="005F68C9">
        <w:rPr>
          <w:rFonts w:eastAsia="Times New Roman"/>
          <w:sz w:val="24"/>
          <w:szCs w:val="24"/>
        </w:rPr>
        <w:t>r tr</w:t>
      </w:r>
      <w:smartTag w:uri="urn:schemas-microsoft-com:office:smarttags" w:element="PersonName">
        <w:r w:rsidRPr="005F68C9">
          <w:rPr>
            <w:rFonts w:eastAsia="Times New Roman"/>
            <w:sz w:val="24"/>
            <w:szCs w:val="24"/>
          </w:rPr>
          <w:t>e</w:t>
        </w:r>
      </w:smartTag>
      <w:r w:rsidRPr="005F68C9">
        <w:rPr>
          <w:rFonts w:eastAsia="Times New Roman"/>
          <w:sz w:val="24"/>
          <w:szCs w:val="24"/>
        </w:rPr>
        <w:t>bling.</w:t>
      </w:r>
    </w:p>
    <w:sectPr w:rsidR="005F68C9" w:rsidRPr="005F68C9" w:rsidSect="0054263B">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01A44D" w14:textId="77777777" w:rsidR="00A303C9" w:rsidRDefault="00A303C9" w:rsidP="0054263B">
      <w:r>
        <w:separator/>
      </w:r>
    </w:p>
    <w:p w14:paraId="0508DB91" w14:textId="77777777" w:rsidR="00A303C9" w:rsidRDefault="00A303C9"/>
  </w:endnote>
  <w:endnote w:type="continuationSeparator" w:id="0">
    <w:p w14:paraId="7751BE67" w14:textId="77777777" w:rsidR="00A303C9" w:rsidRDefault="00A303C9" w:rsidP="0054263B">
      <w:r>
        <w:continuationSeparator/>
      </w:r>
    </w:p>
    <w:p w14:paraId="16027639" w14:textId="77777777" w:rsidR="00A303C9" w:rsidRDefault="00A303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04159"/>
      <w:docPartObj>
        <w:docPartGallery w:val="Page Numbers (Bottom of Page)"/>
        <w:docPartUnique/>
      </w:docPartObj>
    </w:sdtPr>
    <w:sdtEndPr>
      <w:rPr>
        <w:noProof/>
      </w:rPr>
    </w:sdtEndPr>
    <w:sdtContent>
      <w:p w14:paraId="7FE3D14C" w14:textId="77777777" w:rsidR="00512C04" w:rsidRDefault="00512C04">
        <w:pPr>
          <w:pStyle w:val="Footer"/>
          <w:jc w:val="center"/>
        </w:pPr>
        <w:r>
          <w:fldChar w:fldCharType="begin"/>
        </w:r>
        <w:r>
          <w:instrText xml:space="preserve"> PAGE   \* MERGEFORMAT </w:instrText>
        </w:r>
        <w:r>
          <w:fldChar w:fldCharType="separate"/>
        </w:r>
        <w:r w:rsidR="00ED4CF8">
          <w:rPr>
            <w:noProof/>
          </w:rPr>
          <w:t>16</w:t>
        </w:r>
        <w:r>
          <w:rPr>
            <w:noProof/>
          </w:rPr>
          <w:fldChar w:fldCharType="end"/>
        </w:r>
      </w:p>
    </w:sdtContent>
  </w:sdt>
  <w:p w14:paraId="61E158D4" w14:textId="77777777" w:rsidR="00512C04" w:rsidRDefault="00512C04">
    <w:pPr>
      <w:pStyle w:val="Footer"/>
    </w:pPr>
  </w:p>
  <w:p w14:paraId="1D19AAF0" w14:textId="77777777" w:rsidR="00512C04" w:rsidRDefault="00512C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C38E79" w14:textId="77777777" w:rsidR="00A303C9" w:rsidRDefault="00A303C9" w:rsidP="0054263B">
      <w:r>
        <w:separator/>
      </w:r>
    </w:p>
    <w:p w14:paraId="5F3D9CA9" w14:textId="77777777" w:rsidR="00A303C9" w:rsidRDefault="00A303C9"/>
  </w:footnote>
  <w:footnote w:type="continuationSeparator" w:id="0">
    <w:p w14:paraId="4AE59C31" w14:textId="77777777" w:rsidR="00A303C9" w:rsidRDefault="00A303C9" w:rsidP="0054263B">
      <w:r>
        <w:continuationSeparator/>
      </w:r>
    </w:p>
    <w:p w14:paraId="65A5E1FC" w14:textId="77777777" w:rsidR="00A303C9" w:rsidRDefault="00A303C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98"/>
    <w:rsid w:val="000029B0"/>
    <w:rsid w:val="00004B85"/>
    <w:rsid w:val="00010330"/>
    <w:rsid w:val="00016CA9"/>
    <w:rsid w:val="00020CF1"/>
    <w:rsid w:val="0003150A"/>
    <w:rsid w:val="00037111"/>
    <w:rsid w:val="00041323"/>
    <w:rsid w:val="000534F7"/>
    <w:rsid w:val="0006367C"/>
    <w:rsid w:val="00074558"/>
    <w:rsid w:val="000824C8"/>
    <w:rsid w:val="00085495"/>
    <w:rsid w:val="000921F1"/>
    <w:rsid w:val="0009462F"/>
    <w:rsid w:val="000962C8"/>
    <w:rsid w:val="000A040F"/>
    <w:rsid w:val="000B1B7A"/>
    <w:rsid w:val="000B3A17"/>
    <w:rsid w:val="000C204E"/>
    <w:rsid w:val="000C503A"/>
    <w:rsid w:val="000C6F97"/>
    <w:rsid w:val="000D18C8"/>
    <w:rsid w:val="000D4856"/>
    <w:rsid w:val="000F205C"/>
    <w:rsid w:val="000F24CC"/>
    <w:rsid w:val="001007E7"/>
    <w:rsid w:val="00101A07"/>
    <w:rsid w:val="00107079"/>
    <w:rsid w:val="001117D9"/>
    <w:rsid w:val="00112C8E"/>
    <w:rsid w:val="00112FF9"/>
    <w:rsid w:val="001134B3"/>
    <w:rsid w:val="00116A3D"/>
    <w:rsid w:val="00125209"/>
    <w:rsid w:val="00126B7A"/>
    <w:rsid w:val="001300D4"/>
    <w:rsid w:val="001303C5"/>
    <w:rsid w:val="00143A15"/>
    <w:rsid w:val="00144917"/>
    <w:rsid w:val="001608FF"/>
    <w:rsid w:val="001671A9"/>
    <w:rsid w:val="00171705"/>
    <w:rsid w:val="00172674"/>
    <w:rsid w:val="00174BB5"/>
    <w:rsid w:val="0018388B"/>
    <w:rsid w:val="00184D62"/>
    <w:rsid w:val="001903CB"/>
    <w:rsid w:val="001913B1"/>
    <w:rsid w:val="00191498"/>
    <w:rsid w:val="00191C86"/>
    <w:rsid w:val="00195972"/>
    <w:rsid w:val="001A2648"/>
    <w:rsid w:val="001A688B"/>
    <w:rsid w:val="001B0F63"/>
    <w:rsid w:val="001D31A6"/>
    <w:rsid w:val="001D3C7C"/>
    <w:rsid w:val="001E0F3B"/>
    <w:rsid w:val="001E1DB5"/>
    <w:rsid w:val="001F0193"/>
    <w:rsid w:val="00200BA5"/>
    <w:rsid w:val="00202B81"/>
    <w:rsid w:val="00205110"/>
    <w:rsid w:val="002065D8"/>
    <w:rsid w:val="0021368F"/>
    <w:rsid w:val="0021730E"/>
    <w:rsid w:val="00217435"/>
    <w:rsid w:val="0022134E"/>
    <w:rsid w:val="00223286"/>
    <w:rsid w:val="00227D3A"/>
    <w:rsid w:val="00231BC4"/>
    <w:rsid w:val="00232C53"/>
    <w:rsid w:val="0024003A"/>
    <w:rsid w:val="0024062B"/>
    <w:rsid w:val="0024597C"/>
    <w:rsid w:val="00254258"/>
    <w:rsid w:val="002547C3"/>
    <w:rsid w:val="00257C82"/>
    <w:rsid w:val="00260F67"/>
    <w:rsid w:val="002654B4"/>
    <w:rsid w:val="00267805"/>
    <w:rsid w:val="00273777"/>
    <w:rsid w:val="0027486C"/>
    <w:rsid w:val="00290935"/>
    <w:rsid w:val="00293941"/>
    <w:rsid w:val="00293F7E"/>
    <w:rsid w:val="002953C9"/>
    <w:rsid w:val="002A23B0"/>
    <w:rsid w:val="002A6EC7"/>
    <w:rsid w:val="002B5FCF"/>
    <w:rsid w:val="002D0987"/>
    <w:rsid w:val="002D163D"/>
    <w:rsid w:val="002E0970"/>
    <w:rsid w:val="002E562A"/>
    <w:rsid w:val="002E5708"/>
    <w:rsid w:val="002F0E75"/>
    <w:rsid w:val="002F48D6"/>
    <w:rsid w:val="00304398"/>
    <w:rsid w:val="00305D08"/>
    <w:rsid w:val="00314052"/>
    <w:rsid w:val="00316D33"/>
    <w:rsid w:val="00320613"/>
    <w:rsid w:val="0032367C"/>
    <w:rsid w:val="003247EA"/>
    <w:rsid w:val="003259EE"/>
    <w:rsid w:val="00333886"/>
    <w:rsid w:val="00335934"/>
    <w:rsid w:val="00336CE4"/>
    <w:rsid w:val="00345533"/>
    <w:rsid w:val="00352111"/>
    <w:rsid w:val="00352433"/>
    <w:rsid w:val="00352696"/>
    <w:rsid w:val="00353044"/>
    <w:rsid w:val="00354221"/>
    <w:rsid w:val="00361234"/>
    <w:rsid w:val="003613FE"/>
    <w:rsid w:val="00370240"/>
    <w:rsid w:val="00375595"/>
    <w:rsid w:val="00382177"/>
    <w:rsid w:val="003837B6"/>
    <w:rsid w:val="00392F02"/>
    <w:rsid w:val="003937B8"/>
    <w:rsid w:val="00397418"/>
    <w:rsid w:val="003A2F1C"/>
    <w:rsid w:val="003A5A75"/>
    <w:rsid w:val="003B5ABE"/>
    <w:rsid w:val="003D027F"/>
    <w:rsid w:val="003D1B54"/>
    <w:rsid w:val="003D370E"/>
    <w:rsid w:val="003E472A"/>
    <w:rsid w:val="003E5B38"/>
    <w:rsid w:val="003F108C"/>
    <w:rsid w:val="003F6E89"/>
    <w:rsid w:val="003F7237"/>
    <w:rsid w:val="00407AAB"/>
    <w:rsid w:val="00434371"/>
    <w:rsid w:val="004425AA"/>
    <w:rsid w:val="00456038"/>
    <w:rsid w:val="00456B2B"/>
    <w:rsid w:val="00467B80"/>
    <w:rsid w:val="0047120C"/>
    <w:rsid w:val="00471618"/>
    <w:rsid w:val="0047374D"/>
    <w:rsid w:val="00473B65"/>
    <w:rsid w:val="00474B1B"/>
    <w:rsid w:val="00474C80"/>
    <w:rsid w:val="004768A3"/>
    <w:rsid w:val="0048541F"/>
    <w:rsid w:val="00485635"/>
    <w:rsid w:val="0049313F"/>
    <w:rsid w:val="00496096"/>
    <w:rsid w:val="004A1210"/>
    <w:rsid w:val="004A32E6"/>
    <w:rsid w:val="004B7032"/>
    <w:rsid w:val="004B753E"/>
    <w:rsid w:val="004C1A04"/>
    <w:rsid w:val="004C62F9"/>
    <w:rsid w:val="004C723A"/>
    <w:rsid w:val="004D2C99"/>
    <w:rsid w:val="004D3FF2"/>
    <w:rsid w:val="004D44C8"/>
    <w:rsid w:val="004E0408"/>
    <w:rsid w:val="004E50D4"/>
    <w:rsid w:val="004E7EF1"/>
    <w:rsid w:val="004F003D"/>
    <w:rsid w:val="00502D97"/>
    <w:rsid w:val="005065E6"/>
    <w:rsid w:val="00512C04"/>
    <w:rsid w:val="0051385E"/>
    <w:rsid w:val="00516447"/>
    <w:rsid w:val="0052537F"/>
    <w:rsid w:val="00527A18"/>
    <w:rsid w:val="00531F87"/>
    <w:rsid w:val="0053544D"/>
    <w:rsid w:val="0054263B"/>
    <w:rsid w:val="00547D97"/>
    <w:rsid w:val="00550AFD"/>
    <w:rsid w:val="005517EC"/>
    <w:rsid w:val="00557FCC"/>
    <w:rsid w:val="005648EF"/>
    <w:rsid w:val="00574D5B"/>
    <w:rsid w:val="0057771F"/>
    <w:rsid w:val="00590DCC"/>
    <w:rsid w:val="00596F05"/>
    <w:rsid w:val="005A22A6"/>
    <w:rsid w:val="005A6E78"/>
    <w:rsid w:val="005B27FE"/>
    <w:rsid w:val="005B3A78"/>
    <w:rsid w:val="005C56C9"/>
    <w:rsid w:val="005C5CCB"/>
    <w:rsid w:val="005D0DD7"/>
    <w:rsid w:val="005D1AD3"/>
    <w:rsid w:val="005D3156"/>
    <w:rsid w:val="005E712D"/>
    <w:rsid w:val="005F1017"/>
    <w:rsid w:val="005F19FD"/>
    <w:rsid w:val="005F5A94"/>
    <w:rsid w:val="005F68C9"/>
    <w:rsid w:val="00604F03"/>
    <w:rsid w:val="006053F6"/>
    <w:rsid w:val="006073F4"/>
    <w:rsid w:val="00625BF7"/>
    <w:rsid w:val="006272FE"/>
    <w:rsid w:val="00631BFF"/>
    <w:rsid w:val="00632C7C"/>
    <w:rsid w:val="00642649"/>
    <w:rsid w:val="00647CC5"/>
    <w:rsid w:val="00651A64"/>
    <w:rsid w:val="0065395F"/>
    <w:rsid w:val="00653CF5"/>
    <w:rsid w:val="00655CF1"/>
    <w:rsid w:val="0066100E"/>
    <w:rsid w:val="00661D05"/>
    <w:rsid w:val="00675252"/>
    <w:rsid w:val="00675BD1"/>
    <w:rsid w:val="00682B93"/>
    <w:rsid w:val="0068336D"/>
    <w:rsid w:val="00683FA1"/>
    <w:rsid w:val="00685E76"/>
    <w:rsid w:val="00687304"/>
    <w:rsid w:val="00697DF2"/>
    <w:rsid w:val="006A47FD"/>
    <w:rsid w:val="006A74B6"/>
    <w:rsid w:val="006A7F32"/>
    <w:rsid w:val="006B2457"/>
    <w:rsid w:val="006B26D7"/>
    <w:rsid w:val="006B6CF1"/>
    <w:rsid w:val="006C1516"/>
    <w:rsid w:val="006D00EC"/>
    <w:rsid w:val="006D531A"/>
    <w:rsid w:val="006E0D06"/>
    <w:rsid w:val="006E3575"/>
    <w:rsid w:val="006E62F0"/>
    <w:rsid w:val="006F67C8"/>
    <w:rsid w:val="006F7581"/>
    <w:rsid w:val="006F7DC0"/>
    <w:rsid w:val="00702B5A"/>
    <w:rsid w:val="0070752A"/>
    <w:rsid w:val="007119D8"/>
    <w:rsid w:val="0071225B"/>
    <w:rsid w:val="00712E33"/>
    <w:rsid w:val="00713866"/>
    <w:rsid w:val="007216DA"/>
    <w:rsid w:val="00724230"/>
    <w:rsid w:val="00726E21"/>
    <w:rsid w:val="00726FFC"/>
    <w:rsid w:val="00734052"/>
    <w:rsid w:val="007340B5"/>
    <w:rsid w:val="007532AB"/>
    <w:rsid w:val="00763095"/>
    <w:rsid w:val="00766F81"/>
    <w:rsid w:val="00770FFC"/>
    <w:rsid w:val="00787065"/>
    <w:rsid w:val="00792028"/>
    <w:rsid w:val="007952B2"/>
    <w:rsid w:val="007A3A0E"/>
    <w:rsid w:val="007A4C03"/>
    <w:rsid w:val="007A56C2"/>
    <w:rsid w:val="007A612E"/>
    <w:rsid w:val="007B1633"/>
    <w:rsid w:val="007C42D5"/>
    <w:rsid w:val="007C4B12"/>
    <w:rsid w:val="007C4B23"/>
    <w:rsid w:val="007D168F"/>
    <w:rsid w:val="007D198E"/>
    <w:rsid w:val="007D2BCE"/>
    <w:rsid w:val="007D39CC"/>
    <w:rsid w:val="007E1675"/>
    <w:rsid w:val="007F40A8"/>
    <w:rsid w:val="007F7129"/>
    <w:rsid w:val="00801691"/>
    <w:rsid w:val="00806282"/>
    <w:rsid w:val="00813A6B"/>
    <w:rsid w:val="0082168C"/>
    <w:rsid w:val="00821BC1"/>
    <w:rsid w:val="0083254A"/>
    <w:rsid w:val="0083264A"/>
    <w:rsid w:val="00832DB4"/>
    <w:rsid w:val="00834584"/>
    <w:rsid w:val="0083763B"/>
    <w:rsid w:val="00837F81"/>
    <w:rsid w:val="00845F81"/>
    <w:rsid w:val="00850A48"/>
    <w:rsid w:val="008531AB"/>
    <w:rsid w:val="00853ECF"/>
    <w:rsid w:val="008557E1"/>
    <w:rsid w:val="00863B38"/>
    <w:rsid w:val="0086735A"/>
    <w:rsid w:val="008703EF"/>
    <w:rsid w:val="00875064"/>
    <w:rsid w:val="00876ED9"/>
    <w:rsid w:val="008812A8"/>
    <w:rsid w:val="00881431"/>
    <w:rsid w:val="008859AF"/>
    <w:rsid w:val="0088674B"/>
    <w:rsid w:val="00895065"/>
    <w:rsid w:val="008A1099"/>
    <w:rsid w:val="008A475A"/>
    <w:rsid w:val="008A6339"/>
    <w:rsid w:val="008A637B"/>
    <w:rsid w:val="008B1617"/>
    <w:rsid w:val="008B49E2"/>
    <w:rsid w:val="008B7480"/>
    <w:rsid w:val="008C1739"/>
    <w:rsid w:val="008D2D56"/>
    <w:rsid w:val="008D4A28"/>
    <w:rsid w:val="008D609F"/>
    <w:rsid w:val="008D7ECC"/>
    <w:rsid w:val="008E41F1"/>
    <w:rsid w:val="008E51AF"/>
    <w:rsid w:val="008F19CE"/>
    <w:rsid w:val="008F4C42"/>
    <w:rsid w:val="008F746C"/>
    <w:rsid w:val="009007E8"/>
    <w:rsid w:val="009022AA"/>
    <w:rsid w:val="0090292A"/>
    <w:rsid w:val="00902A25"/>
    <w:rsid w:val="00914128"/>
    <w:rsid w:val="009256BD"/>
    <w:rsid w:val="00926354"/>
    <w:rsid w:val="00932723"/>
    <w:rsid w:val="00935DA8"/>
    <w:rsid w:val="00936D0A"/>
    <w:rsid w:val="00945E5F"/>
    <w:rsid w:val="00950692"/>
    <w:rsid w:val="00952BBB"/>
    <w:rsid w:val="00954DD2"/>
    <w:rsid w:val="0095709A"/>
    <w:rsid w:val="009725D8"/>
    <w:rsid w:val="00973884"/>
    <w:rsid w:val="009902F2"/>
    <w:rsid w:val="009931B9"/>
    <w:rsid w:val="0099627C"/>
    <w:rsid w:val="009A273C"/>
    <w:rsid w:val="009A5AA6"/>
    <w:rsid w:val="009B2577"/>
    <w:rsid w:val="009B6746"/>
    <w:rsid w:val="009C03DD"/>
    <w:rsid w:val="009C0C3F"/>
    <w:rsid w:val="009C22FE"/>
    <w:rsid w:val="009D035C"/>
    <w:rsid w:val="009E20C7"/>
    <w:rsid w:val="009E3DA4"/>
    <w:rsid w:val="009E5868"/>
    <w:rsid w:val="009E5CC5"/>
    <w:rsid w:val="009E7881"/>
    <w:rsid w:val="009F581C"/>
    <w:rsid w:val="00A005E6"/>
    <w:rsid w:val="00A038A6"/>
    <w:rsid w:val="00A06ED6"/>
    <w:rsid w:val="00A10F3D"/>
    <w:rsid w:val="00A110C7"/>
    <w:rsid w:val="00A303C9"/>
    <w:rsid w:val="00A36457"/>
    <w:rsid w:val="00A50F20"/>
    <w:rsid w:val="00A54915"/>
    <w:rsid w:val="00A632A0"/>
    <w:rsid w:val="00A677E8"/>
    <w:rsid w:val="00A73AE6"/>
    <w:rsid w:val="00A76341"/>
    <w:rsid w:val="00A80C10"/>
    <w:rsid w:val="00A82D0A"/>
    <w:rsid w:val="00A85AAA"/>
    <w:rsid w:val="00A9205E"/>
    <w:rsid w:val="00A92C18"/>
    <w:rsid w:val="00AB1D6F"/>
    <w:rsid w:val="00AB2019"/>
    <w:rsid w:val="00AB4A3B"/>
    <w:rsid w:val="00AB71A7"/>
    <w:rsid w:val="00AC78F7"/>
    <w:rsid w:val="00AD4B56"/>
    <w:rsid w:val="00AD61CD"/>
    <w:rsid w:val="00AE258C"/>
    <w:rsid w:val="00AF40E1"/>
    <w:rsid w:val="00AF7D47"/>
    <w:rsid w:val="00B0264D"/>
    <w:rsid w:val="00B13A13"/>
    <w:rsid w:val="00B271FA"/>
    <w:rsid w:val="00B338E2"/>
    <w:rsid w:val="00B35185"/>
    <w:rsid w:val="00B37722"/>
    <w:rsid w:val="00B43CC8"/>
    <w:rsid w:val="00B567C1"/>
    <w:rsid w:val="00B579DF"/>
    <w:rsid w:val="00B6275E"/>
    <w:rsid w:val="00B649E0"/>
    <w:rsid w:val="00B70D68"/>
    <w:rsid w:val="00B719C2"/>
    <w:rsid w:val="00B72D6B"/>
    <w:rsid w:val="00B80FD1"/>
    <w:rsid w:val="00B937E4"/>
    <w:rsid w:val="00B97801"/>
    <w:rsid w:val="00BA2389"/>
    <w:rsid w:val="00BA27A8"/>
    <w:rsid w:val="00BA510E"/>
    <w:rsid w:val="00BB344E"/>
    <w:rsid w:val="00BB436B"/>
    <w:rsid w:val="00BC49BF"/>
    <w:rsid w:val="00BC60AE"/>
    <w:rsid w:val="00BC65EF"/>
    <w:rsid w:val="00BC789A"/>
    <w:rsid w:val="00BD182E"/>
    <w:rsid w:val="00BE2B09"/>
    <w:rsid w:val="00BE654D"/>
    <w:rsid w:val="00BE6634"/>
    <w:rsid w:val="00BF5DF3"/>
    <w:rsid w:val="00C161A1"/>
    <w:rsid w:val="00C21D93"/>
    <w:rsid w:val="00C225C9"/>
    <w:rsid w:val="00C24CF7"/>
    <w:rsid w:val="00C26751"/>
    <w:rsid w:val="00C40968"/>
    <w:rsid w:val="00C4351F"/>
    <w:rsid w:val="00C473A2"/>
    <w:rsid w:val="00C60E95"/>
    <w:rsid w:val="00C610EC"/>
    <w:rsid w:val="00C724B6"/>
    <w:rsid w:val="00C84E71"/>
    <w:rsid w:val="00C87463"/>
    <w:rsid w:val="00C8797B"/>
    <w:rsid w:val="00C93B0B"/>
    <w:rsid w:val="00C94C5E"/>
    <w:rsid w:val="00CA41CC"/>
    <w:rsid w:val="00CA7EF2"/>
    <w:rsid w:val="00CB008B"/>
    <w:rsid w:val="00CB0E16"/>
    <w:rsid w:val="00CB5C67"/>
    <w:rsid w:val="00CB62DC"/>
    <w:rsid w:val="00CB65C8"/>
    <w:rsid w:val="00CC0502"/>
    <w:rsid w:val="00CC1AC8"/>
    <w:rsid w:val="00CC512B"/>
    <w:rsid w:val="00CC6A95"/>
    <w:rsid w:val="00CC7E17"/>
    <w:rsid w:val="00CD23A0"/>
    <w:rsid w:val="00CD4A7D"/>
    <w:rsid w:val="00CE593D"/>
    <w:rsid w:val="00CF07F1"/>
    <w:rsid w:val="00D00330"/>
    <w:rsid w:val="00D0050C"/>
    <w:rsid w:val="00D014AE"/>
    <w:rsid w:val="00D05926"/>
    <w:rsid w:val="00D06D8D"/>
    <w:rsid w:val="00D16901"/>
    <w:rsid w:val="00D23BD0"/>
    <w:rsid w:val="00D333AA"/>
    <w:rsid w:val="00D347CA"/>
    <w:rsid w:val="00D51E80"/>
    <w:rsid w:val="00D53848"/>
    <w:rsid w:val="00D53AC5"/>
    <w:rsid w:val="00D54276"/>
    <w:rsid w:val="00D5484F"/>
    <w:rsid w:val="00D66858"/>
    <w:rsid w:val="00D72662"/>
    <w:rsid w:val="00D767EB"/>
    <w:rsid w:val="00D8125F"/>
    <w:rsid w:val="00D90E67"/>
    <w:rsid w:val="00D9448D"/>
    <w:rsid w:val="00DA1796"/>
    <w:rsid w:val="00DA2814"/>
    <w:rsid w:val="00DA7D9C"/>
    <w:rsid w:val="00DB18BB"/>
    <w:rsid w:val="00DB2C90"/>
    <w:rsid w:val="00DB325C"/>
    <w:rsid w:val="00DB5333"/>
    <w:rsid w:val="00DB5962"/>
    <w:rsid w:val="00DC0393"/>
    <w:rsid w:val="00DC2F89"/>
    <w:rsid w:val="00DC63A9"/>
    <w:rsid w:val="00DC66A6"/>
    <w:rsid w:val="00DC7533"/>
    <w:rsid w:val="00DD344A"/>
    <w:rsid w:val="00DE2930"/>
    <w:rsid w:val="00DF2CB7"/>
    <w:rsid w:val="00DF3BF1"/>
    <w:rsid w:val="00DF7595"/>
    <w:rsid w:val="00E007F8"/>
    <w:rsid w:val="00E01DE0"/>
    <w:rsid w:val="00E0552C"/>
    <w:rsid w:val="00E058BA"/>
    <w:rsid w:val="00E111AA"/>
    <w:rsid w:val="00E172C8"/>
    <w:rsid w:val="00E21120"/>
    <w:rsid w:val="00E24E10"/>
    <w:rsid w:val="00E2724A"/>
    <w:rsid w:val="00E30D4B"/>
    <w:rsid w:val="00E311E5"/>
    <w:rsid w:val="00E31A03"/>
    <w:rsid w:val="00E372EA"/>
    <w:rsid w:val="00E37E56"/>
    <w:rsid w:val="00E41870"/>
    <w:rsid w:val="00E50187"/>
    <w:rsid w:val="00E55147"/>
    <w:rsid w:val="00E551EB"/>
    <w:rsid w:val="00E662F3"/>
    <w:rsid w:val="00E67638"/>
    <w:rsid w:val="00E70C9B"/>
    <w:rsid w:val="00E71646"/>
    <w:rsid w:val="00E71BCE"/>
    <w:rsid w:val="00E72FF1"/>
    <w:rsid w:val="00E7526A"/>
    <w:rsid w:val="00E87248"/>
    <w:rsid w:val="00E87C31"/>
    <w:rsid w:val="00E87FFB"/>
    <w:rsid w:val="00E92B4F"/>
    <w:rsid w:val="00E93068"/>
    <w:rsid w:val="00E970B9"/>
    <w:rsid w:val="00EA097A"/>
    <w:rsid w:val="00EB113C"/>
    <w:rsid w:val="00EB5133"/>
    <w:rsid w:val="00EB6247"/>
    <w:rsid w:val="00EC16F4"/>
    <w:rsid w:val="00EC17E3"/>
    <w:rsid w:val="00EC29A6"/>
    <w:rsid w:val="00EC3919"/>
    <w:rsid w:val="00EC7C98"/>
    <w:rsid w:val="00ED32E8"/>
    <w:rsid w:val="00ED4CF8"/>
    <w:rsid w:val="00ED5E52"/>
    <w:rsid w:val="00ED7176"/>
    <w:rsid w:val="00ED75EA"/>
    <w:rsid w:val="00EE08AC"/>
    <w:rsid w:val="00EE26F9"/>
    <w:rsid w:val="00EE57DE"/>
    <w:rsid w:val="00EF4043"/>
    <w:rsid w:val="00EF6460"/>
    <w:rsid w:val="00F022D4"/>
    <w:rsid w:val="00F062A4"/>
    <w:rsid w:val="00F32AA4"/>
    <w:rsid w:val="00F573CF"/>
    <w:rsid w:val="00F57A2B"/>
    <w:rsid w:val="00F60050"/>
    <w:rsid w:val="00F658E5"/>
    <w:rsid w:val="00F764F4"/>
    <w:rsid w:val="00F82676"/>
    <w:rsid w:val="00F857C8"/>
    <w:rsid w:val="00F86F49"/>
    <w:rsid w:val="00F94DD6"/>
    <w:rsid w:val="00FA333E"/>
    <w:rsid w:val="00FA7B76"/>
    <w:rsid w:val="00FC0980"/>
    <w:rsid w:val="00FC544C"/>
    <w:rsid w:val="00FD22D9"/>
    <w:rsid w:val="00FD2DF4"/>
    <w:rsid w:val="00FD6810"/>
    <w:rsid w:val="00FD7D4E"/>
    <w:rsid w:val="00FE00D7"/>
    <w:rsid w:val="00FE156B"/>
    <w:rsid w:val="00FE1F3D"/>
    <w:rsid w:val="00FE21DA"/>
    <w:rsid w:val="00FE3F09"/>
    <w:rsid w:val="00FE5FC9"/>
    <w:rsid w:val="00FF171F"/>
    <w:rsid w:val="00FF7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F2EE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664549711">
      <w:bodyDiv w:val="1"/>
      <w:marLeft w:val="0"/>
      <w:marRight w:val="0"/>
      <w:marTop w:val="0"/>
      <w:marBottom w:val="0"/>
      <w:divBdr>
        <w:top w:val="none" w:sz="0" w:space="0" w:color="auto"/>
        <w:left w:val="none" w:sz="0" w:space="0" w:color="auto"/>
        <w:bottom w:val="none" w:sz="0" w:space="0" w:color="auto"/>
        <w:right w:val="none" w:sz="0" w:space="0" w:color="auto"/>
      </w:divBdr>
      <w:divsChild>
        <w:div w:id="2140997975">
          <w:marLeft w:val="0"/>
          <w:marRight w:val="0"/>
          <w:marTop w:val="0"/>
          <w:marBottom w:val="0"/>
          <w:divBdr>
            <w:top w:val="none" w:sz="0" w:space="0" w:color="auto"/>
            <w:left w:val="none" w:sz="0" w:space="0" w:color="auto"/>
            <w:bottom w:val="none" w:sz="0" w:space="0" w:color="auto"/>
            <w:right w:val="none" w:sz="0" w:space="0" w:color="auto"/>
          </w:divBdr>
          <w:divsChild>
            <w:div w:id="515272238">
              <w:marLeft w:val="0"/>
              <w:marRight w:val="0"/>
              <w:marTop w:val="0"/>
              <w:marBottom w:val="0"/>
              <w:divBdr>
                <w:top w:val="none" w:sz="0" w:space="0" w:color="auto"/>
                <w:left w:val="none" w:sz="0" w:space="0" w:color="auto"/>
                <w:bottom w:val="none" w:sz="0" w:space="0" w:color="auto"/>
                <w:right w:val="none" w:sz="0" w:space="0" w:color="auto"/>
              </w:divBdr>
              <w:divsChild>
                <w:div w:id="19626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60043789">
      <w:bodyDiv w:val="1"/>
      <w:marLeft w:val="0"/>
      <w:marRight w:val="0"/>
      <w:marTop w:val="0"/>
      <w:marBottom w:val="0"/>
      <w:divBdr>
        <w:top w:val="none" w:sz="0" w:space="0" w:color="auto"/>
        <w:left w:val="none" w:sz="0" w:space="0" w:color="auto"/>
        <w:bottom w:val="none" w:sz="0" w:space="0" w:color="auto"/>
        <w:right w:val="none" w:sz="0" w:space="0" w:color="auto"/>
      </w:divBdr>
      <w:divsChild>
        <w:div w:id="1302462790">
          <w:marLeft w:val="0"/>
          <w:marRight w:val="0"/>
          <w:marTop w:val="0"/>
          <w:marBottom w:val="0"/>
          <w:divBdr>
            <w:top w:val="none" w:sz="0" w:space="0" w:color="auto"/>
            <w:left w:val="none" w:sz="0" w:space="0" w:color="auto"/>
            <w:bottom w:val="none" w:sz="0" w:space="0" w:color="auto"/>
            <w:right w:val="none" w:sz="0" w:space="0" w:color="auto"/>
          </w:divBdr>
          <w:divsChild>
            <w:div w:id="2133355493">
              <w:marLeft w:val="0"/>
              <w:marRight w:val="0"/>
              <w:marTop w:val="0"/>
              <w:marBottom w:val="0"/>
              <w:divBdr>
                <w:top w:val="none" w:sz="0" w:space="0" w:color="auto"/>
                <w:left w:val="none" w:sz="0" w:space="0" w:color="auto"/>
                <w:bottom w:val="none" w:sz="0" w:space="0" w:color="auto"/>
                <w:right w:val="none" w:sz="0" w:space="0" w:color="auto"/>
              </w:divBdr>
              <w:divsChild>
                <w:div w:id="187010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 w:id="1991980175">
      <w:bodyDiv w:val="1"/>
      <w:marLeft w:val="0"/>
      <w:marRight w:val="0"/>
      <w:marTop w:val="0"/>
      <w:marBottom w:val="0"/>
      <w:divBdr>
        <w:top w:val="none" w:sz="0" w:space="0" w:color="auto"/>
        <w:left w:val="none" w:sz="0" w:space="0" w:color="auto"/>
        <w:bottom w:val="none" w:sz="0" w:space="0" w:color="auto"/>
        <w:right w:val="none" w:sz="0" w:space="0" w:color="auto"/>
      </w:divBdr>
      <w:divsChild>
        <w:div w:id="1406876803">
          <w:marLeft w:val="0"/>
          <w:marRight w:val="0"/>
          <w:marTop w:val="0"/>
          <w:marBottom w:val="0"/>
          <w:divBdr>
            <w:top w:val="none" w:sz="0" w:space="0" w:color="auto"/>
            <w:left w:val="none" w:sz="0" w:space="0" w:color="auto"/>
            <w:bottom w:val="none" w:sz="0" w:space="0" w:color="auto"/>
            <w:right w:val="none" w:sz="0" w:space="0" w:color="auto"/>
          </w:divBdr>
          <w:divsChild>
            <w:div w:id="1980258082">
              <w:marLeft w:val="0"/>
              <w:marRight w:val="0"/>
              <w:marTop w:val="0"/>
              <w:marBottom w:val="0"/>
              <w:divBdr>
                <w:top w:val="none" w:sz="0" w:space="0" w:color="auto"/>
                <w:left w:val="none" w:sz="0" w:space="0" w:color="auto"/>
                <w:bottom w:val="none" w:sz="0" w:space="0" w:color="auto"/>
                <w:right w:val="none" w:sz="0" w:space="0" w:color="auto"/>
              </w:divBdr>
              <w:divsChild>
                <w:div w:id="63545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4818</Words>
  <Characters>27465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2</cp:revision>
  <dcterms:created xsi:type="dcterms:W3CDTF">2020-12-05T16:10:00Z</dcterms:created>
  <dcterms:modified xsi:type="dcterms:W3CDTF">2020-12-05T16:10:00Z</dcterms:modified>
</cp:coreProperties>
</file>