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9F063" w14:textId="50B9BFEF" w:rsidR="00CA41CC" w:rsidRPr="00914128" w:rsidRDefault="0068336D" w:rsidP="00914128">
      <w:pPr>
        <w:pStyle w:val="Heading1"/>
      </w:pPr>
      <w:bookmarkStart w:id="0" w:name="_GoBack"/>
      <w:bookmarkEnd w:id="0"/>
      <w:r>
        <w:t xml:space="preserve">CHAPTER </w:t>
      </w:r>
      <w:r w:rsidR="00645D6D">
        <w:t>31</w:t>
      </w:r>
    </w:p>
    <w:p w14:paraId="51A7F5E8" w14:textId="77777777" w:rsidR="00EC7C98" w:rsidRPr="00914128" w:rsidRDefault="00B473E5" w:rsidP="00914128">
      <w:pPr>
        <w:pStyle w:val="Heading1"/>
      </w:pPr>
      <w:r w:rsidRPr="00B473E5">
        <w:t>WRONGFUL DISCHARGE</w:t>
      </w:r>
    </w:p>
    <w:p w14:paraId="3391AD5C" w14:textId="77777777"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14:paraId="76B4615C" w14:textId="77777777" w:rsidR="00EC7C98" w:rsidRDefault="00C765B0" w:rsidP="00914128">
      <w:pPr>
        <w:pStyle w:val="ToC"/>
      </w:pPr>
      <w:hyperlink w:anchor="a31_01" w:history="1">
        <w:r w:rsidR="00533E74" w:rsidRPr="00645D6D">
          <w:rPr>
            <w:rStyle w:val="Hyperlink"/>
          </w:rPr>
          <w:t>31:1</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 xml:space="preserve">for a </w:t>
      </w:r>
      <w:r w:rsidR="00533E74" w:rsidRPr="00645D6D">
        <w:t xml:space="preserve">Definite Period </w:t>
      </w:r>
      <w:r w:rsidR="003B47A9">
        <w:t xml:space="preserve">of </w:t>
      </w:r>
      <w:r w:rsidR="00533E74" w:rsidRPr="00645D6D">
        <w:t xml:space="preserve">Time — Elements </w:t>
      </w:r>
      <w:r w:rsidR="003B47A9">
        <w:t xml:space="preserve">of </w:t>
      </w:r>
      <w:r w:rsidR="00533E74" w:rsidRPr="00645D6D">
        <w:t>Liability</w:t>
      </w:r>
    </w:p>
    <w:p w14:paraId="0107F672" w14:textId="77777777" w:rsidR="00645D6D" w:rsidRDefault="00C765B0" w:rsidP="00914128">
      <w:pPr>
        <w:pStyle w:val="ToC"/>
      </w:pPr>
      <w:hyperlink w:anchor="a31_02" w:history="1">
        <w:r w:rsidR="00533E74" w:rsidRPr="00645D6D">
          <w:rPr>
            <w:rStyle w:val="Hyperlink"/>
          </w:rPr>
          <w:t>31:2</w:t>
        </w:r>
      </w:hyperlink>
      <w:r w:rsidR="00533E74" w:rsidRPr="00645D6D">
        <w:t xml:space="preserve"> </w:t>
      </w:r>
      <w:r w:rsidR="00533E74" w:rsidRPr="00645D6D">
        <w:tab/>
        <w:t xml:space="preserve">Employment Contract Providing </w:t>
      </w:r>
      <w:r w:rsidR="003B47A9">
        <w:t>for</w:t>
      </w:r>
      <w:r w:rsidR="00533E74" w:rsidRPr="00645D6D">
        <w:t xml:space="preserve"> Fixed Term Salary — Cautionary Instruction</w:t>
      </w:r>
    </w:p>
    <w:p w14:paraId="298615CF" w14:textId="77777777" w:rsidR="00645D6D" w:rsidRDefault="00C765B0" w:rsidP="00914128">
      <w:pPr>
        <w:pStyle w:val="ToC"/>
      </w:pPr>
      <w:hyperlink w:anchor="a31_03" w:history="1">
        <w:r w:rsidR="00533E74" w:rsidRPr="00645D6D">
          <w:rPr>
            <w:rStyle w:val="Hyperlink"/>
          </w:rPr>
          <w:t>31:3</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for</w:t>
      </w:r>
      <w:r w:rsidR="00533E74" w:rsidRPr="00645D6D">
        <w:t xml:space="preserve"> </w:t>
      </w:r>
      <w:r w:rsidR="003B47A9">
        <w:t xml:space="preserve">an </w:t>
      </w:r>
      <w:r w:rsidR="00533E74" w:rsidRPr="00645D6D">
        <w:t xml:space="preserve">Indefinite Period </w:t>
      </w:r>
      <w:r w:rsidR="003B47A9">
        <w:t xml:space="preserve">of </w:t>
      </w:r>
      <w:r w:rsidR="00533E74" w:rsidRPr="00645D6D">
        <w:t xml:space="preserve">Time Requiring Good </w:t>
      </w:r>
      <w:r w:rsidR="003B47A9">
        <w:t>or</w:t>
      </w:r>
      <w:r w:rsidR="00533E74" w:rsidRPr="00645D6D">
        <w:t xml:space="preserve"> Just Cause </w:t>
      </w:r>
      <w:r w:rsidR="003B47A9">
        <w:t>for</w:t>
      </w:r>
      <w:r w:rsidR="00533E74" w:rsidRPr="00645D6D">
        <w:t xml:space="preserve"> Termination — Elements </w:t>
      </w:r>
      <w:r w:rsidR="003B47A9">
        <w:t xml:space="preserve">of </w:t>
      </w:r>
      <w:r w:rsidR="00533E74" w:rsidRPr="00645D6D">
        <w:t>Liability</w:t>
      </w:r>
    </w:p>
    <w:p w14:paraId="17FF67FD" w14:textId="77777777" w:rsidR="00645D6D" w:rsidRDefault="00C765B0" w:rsidP="00914128">
      <w:pPr>
        <w:pStyle w:val="ToC"/>
      </w:pPr>
      <w:hyperlink w:anchor="a31_04" w:history="1">
        <w:r w:rsidR="00533E74" w:rsidRPr="00645D6D">
          <w:rPr>
            <w:rStyle w:val="Hyperlink"/>
          </w:rPr>
          <w:t>31:4</w:t>
        </w:r>
      </w:hyperlink>
      <w:r w:rsidR="00533E74" w:rsidRPr="00645D6D">
        <w:t xml:space="preserve"> </w:t>
      </w:r>
      <w:r w:rsidR="00533E74" w:rsidRPr="00645D6D">
        <w:tab/>
        <w:t xml:space="preserve">Breach </w:t>
      </w:r>
      <w:r w:rsidR="003B47A9">
        <w:t xml:space="preserve">of </w:t>
      </w:r>
      <w:r w:rsidR="00533E74" w:rsidRPr="00645D6D">
        <w:t xml:space="preserve">Implied Contract Based </w:t>
      </w:r>
      <w:r w:rsidR="003B47A9">
        <w:t xml:space="preserve">on </w:t>
      </w:r>
      <w:r w:rsidR="00533E74" w:rsidRPr="00645D6D">
        <w:t xml:space="preserve">Violation </w:t>
      </w:r>
      <w:r w:rsidR="003B47A9">
        <w:t xml:space="preserve">of </w:t>
      </w:r>
      <w:r w:rsidR="00533E74" w:rsidRPr="00645D6D">
        <w:t xml:space="preserve">Employer’s Termination Policies </w:t>
      </w:r>
      <w:r w:rsidR="003B47A9">
        <w:t>or</w:t>
      </w:r>
      <w:r w:rsidR="00533E74" w:rsidRPr="00645D6D">
        <w:t xml:space="preserve"> Procedures — Elements </w:t>
      </w:r>
      <w:r w:rsidR="003B47A9">
        <w:t xml:space="preserve">of </w:t>
      </w:r>
      <w:r w:rsidR="00533E74" w:rsidRPr="00645D6D">
        <w:t>Liability</w:t>
      </w:r>
    </w:p>
    <w:p w14:paraId="3C452652" w14:textId="77777777" w:rsidR="00645D6D" w:rsidRDefault="00C765B0" w:rsidP="00914128">
      <w:pPr>
        <w:pStyle w:val="ToC"/>
      </w:pPr>
      <w:hyperlink w:anchor="a31_05" w:history="1">
        <w:r w:rsidR="00533E74" w:rsidRPr="00645D6D">
          <w:rPr>
            <w:rStyle w:val="Hyperlink"/>
          </w:rPr>
          <w:t>31:5</w:t>
        </w:r>
      </w:hyperlink>
      <w:r w:rsidR="00533E74" w:rsidRPr="00645D6D">
        <w:t xml:space="preserve"> </w:t>
      </w:r>
      <w:r w:rsidR="00533E74" w:rsidRPr="00645D6D">
        <w:tab/>
        <w:t>At-Will Employment — Defined</w:t>
      </w:r>
    </w:p>
    <w:p w14:paraId="43DBEBF9" w14:textId="77777777" w:rsidR="00A20521" w:rsidRDefault="00C765B0" w:rsidP="00914128">
      <w:pPr>
        <w:pStyle w:val="ToC"/>
      </w:pPr>
      <w:hyperlink w:anchor="a31_06" w:history="1">
        <w:r w:rsidR="00533E74" w:rsidRPr="00A20521">
          <w:rPr>
            <w:rStyle w:val="Hyperlink"/>
          </w:rPr>
          <w:t>31:6</w:t>
        </w:r>
      </w:hyperlink>
      <w:r w:rsidR="00533E74" w:rsidRPr="00A20521">
        <w:t xml:space="preserve"> </w:t>
      </w:r>
      <w:r w:rsidR="00533E74" w:rsidRPr="00A20521">
        <w:tab/>
        <w:t xml:space="preserve">Good </w:t>
      </w:r>
      <w:r w:rsidR="003B47A9">
        <w:t>or</w:t>
      </w:r>
      <w:r w:rsidR="00533E74" w:rsidRPr="00A20521">
        <w:t xml:space="preserve"> Just Cause — Defined</w:t>
      </w:r>
    </w:p>
    <w:p w14:paraId="66F878E2" w14:textId="77777777" w:rsidR="00A20521" w:rsidRDefault="00C765B0" w:rsidP="00914128">
      <w:pPr>
        <w:pStyle w:val="ToC"/>
      </w:pPr>
      <w:hyperlink w:anchor="a31_07" w:history="1">
        <w:r w:rsidR="00533E74" w:rsidRPr="00A20521">
          <w:rPr>
            <w:rStyle w:val="Hyperlink"/>
          </w:rPr>
          <w:t>31:7</w:t>
        </w:r>
      </w:hyperlink>
      <w:r w:rsidR="00533E74" w:rsidRPr="00A20521">
        <w:t xml:space="preserve"> </w:t>
      </w:r>
      <w:r w:rsidR="00533E74" w:rsidRPr="00A20521">
        <w:tab/>
        <w:t xml:space="preserve">General Damages </w:t>
      </w:r>
      <w:r w:rsidR="003B47A9">
        <w:t>for</w:t>
      </w:r>
      <w:r w:rsidR="00533E74" w:rsidRPr="00A20521">
        <w:t xml:space="preserve"> Wrongful Discharge — Breach </w:t>
      </w:r>
      <w:r w:rsidR="003B47A9">
        <w:t xml:space="preserve">of </w:t>
      </w:r>
      <w:r w:rsidR="00533E74" w:rsidRPr="00A20521">
        <w:t>Contract Claim</w:t>
      </w:r>
    </w:p>
    <w:p w14:paraId="6542769A" w14:textId="77777777" w:rsidR="00A20521" w:rsidRDefault="00C765B0" w:rsidP="00914128">
      <w:pPr>
        <w:pStyle w:val="ToC"/>
      </w:pPr>
      <w:hyperlink w:anchor="a31_08" w:history="1">
        <w:r w:rsidR="00533E74" w:rsidRPr="00A20521">
          <w:rPr>
            <w:rStyle w:val="Hyperlink"/>
          </w:rPr>
          <w:t>31:8</w:t>
        </w:r>
      </w:hyperlink>
      <w:r w:rsidR="00533E74" w:rsidRPr="00A20521">
        <w:t xml:space="preserve"> </w:t>
      </w:r>
      <w:r w:rsidR="00533E74" w:rsidRPr="00A20521">
        <w:tab/>
        <w:t xml:space="preserve">Mitigation </w:t>
      </w:r>
      <w:r w:rsidR="003B47A9">
        <w:t xml:space="preserve">of </w:t>
      </w:r>
      <w:r w:rsidR="00533E74" w:rsidRPr="00A20521">
        <w:t xml:space="preserve">Damages </w:t>
      </w:r>
      <w:r w:rsidR="003B47A9">
        <w:t>for</w:t>
      </w:r>
      <w:r w:rsidR="00533E74" w:rsidRPr="00A20521">
        <w:t xml:space="preserve"> Wrongful Discharge</w:t>
      </w:r>
    </w:p>
    <w:p w14:paraId="41CCDF7E" w14:textId="77777777" w:rsidR="00A20521" w:rsidRDefault="00C765B0" w:rsidP="00914128">
      <w:pPr>
        <w:pStyle w:val="ToC"/>
      </w:pPr>
      <w:hyperlink w:anchor="a31_09" w:history="1">
        <w:r w:rsidR="00533E74" w:rsidRPr="00A20521">
          <w:rPr>
            <w:rStyle w:val="Hyperlink"/>
          </w:rPr>
          <w:t>31:9</w:t>
        </w:r>
      </w:hyperlink>
      <w:r w:rsidR="00533E74" w:rsidRPr="00A20521">
        <w:t xml:space="preserve"> </w:t>
      </w:r>
      <w:r w:rsidR="00533E74" w:rsidRPr="00A20521">
        <w:tab/>
        <w:t>Constructive Discharge — Defined</w:t>
      </w:r>
    </w:p>
    <w:p w14:paraId="6BA6ADAD" w14:textId="77777777" w:rsidR="00A20521" w:rsidRDefault="00C765B0" w:rsidP="00914128">
      <w:pPr>
        <w:pStyle w:val="ToC"/>
      </w:pPr>
      <w:hyperlink w:anchor="a31_10" w:history="1">
        <w:r w:rsidR="00533E74" w:rsidRPr="00533E74">
          <w:rPr>
            <w:rStyle w:val="Hyperlink"/>
          </w:rPr>
          <w:t>31:10</w:t>
        </w:r>
      </w:hyperlink>
      <w:r w:rsidR="00533E74" w:rsidRPr="00A20521">
        <w:t xml:space="preserve"> </w:t>
      </w:r>
      <w:r w:rsidR="00533E74" w:rsidRPr="00A20521">
        <w:tab/>
        <w:t>Constructive (Implied) Discharge</w:t>
      </w:r>
    </w:p>
    <w:p w14:paraId="7461BBEF" w14:textId="77777777" w:rsidR="00533E74" w:rsidRDefault="00C765B0" w:rsidP="00914128">
      <w:pPr>
        <w:pStyle w:val="ToC"/>
      </w:pPr>
      <w:hyperlink w:anchor="a31_11" w:history="1">
        <w:r w:rsidR="00533E74" w:rsidRPr="00533E74">
          <w:rPr>
            <w:rStyle w:val="Hyperlink"/>
          </w:rPr>
          <w:t>31:11</w:t>
        </w:r>
      </w:hyperlink>
      <w:r w:rsidR="00533E74" w:rsidRPr="00533E74">
        <w:tab/>
        <w:t xml:space="preserve">Affirmative Defense </w:t>
      </w:r>
      <w:r w:rsidR="003B47A9">
        <w:t xml:space="preserve">to </w:t>
      </w:r>
      <w:r w:rsidR="00533E74" w:rsidRPr="00533E74">
        <w:t xml:space="preserve">Contract Claim — After-Acquired Evidence </w:t>
      </w:r>
      <w:r w:rsidR="003B47A9">
        <w:t xml:space="preserve">of </w:t>
      </w:r>
      <w:r w:rsidR="00533E74" w:rsidRPr="00533E74">
        <w:t xml:space="preserve">Fraud </w:t>
      </w:r>
      <w:r w:rsidR="003B47A9">
        <w:t>or</w:t>
      </w:r>
      <w:r w:rsidR="00533E74" w:rsidRPr="00533E74">
        <w:t xml:space="preserve"> Other Misconduct</w:t>
      </w:r>
    </w:p>
    <w:p w14:paraId="6473A3DA" w14:textId="77777777" w:rsidR="00533E74" w:rsidRDefault="00533E74" w:rsidP="00533E74">
      <w:pPr>
        <w:pStyle w:val="ToC"/>
      </w:pPr>
    </w:p>
    <w:p w14:paraId="4361CEEB" w14:textId="77777777"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14:paraId="1A4BD65B" w14:textId="77777777" w:rsidR="00533E74" w:rsidRDefault="00C765B0" w:rsidP="00914128">
      <w:pPr>
        <w:pStyle w:val="ToC"/>
      </w:pPr>
      <w:hyperlink w:anchor="a31_12" w:history="1">
        <w:r w:rsidR="00533E74" w:rsidRPr="00533E74">
          <w:rPr>
            <w:rStyle w:val="Hyperlink"/>
          </w:rPr>
          <w:t>31:12</w:t>
        </w:r>
      </w:hyperlink>
      <w:r w:rsidR="00533E74" w:rsidRPr="00533E74">
        <w:tab/>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Refusal </w:t>
      </w:r>
      <w:r w:rsidR="003B47A9">
        <w:t xml:space="preserve">to </w:t>
      </w:r>
      <w:r w:rsidR="00533E74" w:rsidRPr="00533E74">
        <w:t xml:space="preserve">Comply </w:t>
      </w:r>
      <w:r w:rsidR="00180579">
        <w:t>w</w:t>
      </w:r>
      <w:r w:rsidR="00533E74" w:rsidRPr="00533E74">
        <w:t xml:space="preserve">ith Employer’s Improper Directive — Elements </w:t>
      </w:r>
      <w:r w:rsidR="003B47A9">
        <w:t xml:space="preserve">of </w:t>
      </w:r>
      <w:r w:rsidR="00533E74" w:rsidRPr="00533E74">
        <w:t>Liability</w:t>
      </w:r>
    </w:p>
    <w:p w14:paraId="6A6B1163" w14:textId="01ADB017" w:rsidR="00533E74" w:rsidRDefault="00C765B0" w:rsidP="00914128">
      <w:pPr>
        <w:pStyle w:val="ToC"/>
      </w:pPr>
      <w:hyperlink w:anchor="a31_13" w:history="1">
        <w:r w:rsidR="00533E74" w:rsidRPr="00533E74">
          <w:rPr>
            <w:rStyle w:val="Hyperlink"/>
          </w:rPr>
          <w:t>31:13</w:t>
        </w:r>
      </w:hyperlink>
      <w:r w:rsidR="006B6C08">
        <w:tab/>
      </w:r>
      <w:r w:rsidR="00533E74" w:rsidRPr="00533E74">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Exercising</w:t>
      </w:r>
      <w:r w:rsidR="003B47A9">
        <w:t xml:space="preserve"> a </w:t>
      </w:r>
      <w:r w:rsidR="00533E74" w:rsidRPr="00533E74">
        <w:t xml:space="preserve">Right </w:t>
      </w:r>
      <w:r w:rsidR="003B47A9">
        <w:t>or</w:t>
      </w:r>
      <w:r w:rsidR="00533E74" w:rsidRPr="00533E74">
        <w:t xml:space="preserve"> Performing</w:t>
      </w:r>
      <w:r w:rsidR="003B47A9">
        <w:t xml:space="preserve"> a </w:t>
      </w:r>
      <w:r w:rsidR="00533E74" w:rsidRPr="00533E74">
        <w:t xml:space="preserve">Public Duty — Elements </w:t>
      </w:r>
      <w:r w:rsidR="003B47A9">
        <w:t xml:space="preserve">of </w:t>
      </w:r>
      <w:r w:rsidR="00533E74" w:rsidRPr="00533E74">
        <w:t>Liability</w:t>
      </w:r>
    </w:p>
    <w:p w14:paraId="2886E2E0" w14:textId="77777777" w:rsidR="00533E74" w:rsidRDefault="00C765B0" w:rsidP="00914128">
      <w:pPr>
        <w:pStyle w:val="ToC"/>
      </w:pPr>
      <w:hyperlink w:anchor="a31_14" w:history="1">
        <w:r w:rsidR="00533E74" w:rsidRPr="00533E74">
          <w:rPr>
            <w:rStyle w:val="Hyperlink"/>
          </w:rPr>
          <w:t>31:14</w:t>
        </w:r>
      </w:hyperlink>
      <w:r w:rsidR="00533E74" w:rsidRPr="00533E74">
        <w:tab/>
        <w:t xml:space="preserve">Advisory Instruction </w:t>
      </w:r>
      <w:r w:rsidR="003B47A9">
        <w:t xml:space="preserve">on </w:t>
      </w:r>
      <w:r w:rsidR="00533E74" w:rsidRPr="00533E74">
        <w:t xml:space="preserve">Wrongful Discharge </w:t>
      </w:r>
      <w:r w:rsidR="003B47A9">
        <w:t xml:space="preserve">in </w:t>
      </w:r>
      <w:r w:rsidR="00533E74" w:rsidRPr="00533E74">
        <w:t xml:space="preserve">Violation </w:t>
      </w:r>
      <w:r w:rsidR="003B47A9">
        <w:t xml:space="preserve">of </w:t>
      </w:r>
      <w:r w:rsidR="00533E74" w:rsidRPr="00533E74">
        <w:t>Public Policy</w:t>
      </w:r>
    </w:p>
    <w:p w14:paraId="59BA7208" w14:textId="77777777" w:rsidR="00533E74" w:rsidRDefault="00C765B0" w:rsidP="00914128">
      <w:pPr>
        <w:pStyle w:val="ToC"/>
      </w:pPr>
      <w:hyperlink w:anchor="a31_15" w:history="1">
        <w:r w:rsidR="00533E74" w:rsidRPr="00533E74">
          <w:rPr>
            <w:rStyle w:val="Hyperlink"/>
          </w:rPr>
          <w:t>31:15</w:t>
        </w:r>
      </w:hyperlink>
      <w:r w:rsidR="00533E74" w:rsidRPr="00533E74">
        <w:t xml:space="preserve"> </w:t>
      </w:r>
      <w:r w:rsidR="00533E74" w:rsidRPr="00533E74">
        <w:tab/>
        <w:t xml:space="preserve">Damages </w:t>
      </w:r>
      <w:r w:rsidR="003B47A9">
        <w:t>for</w:t>
      </w:r>
      <w:r w:rsidR="00533E74" w:rsidRPr="00533E74">
        <w:t xml:space="preserve"> Wrongful Discharge — Tort Claim</w:t>
      </w:r>
    </w:p>
    <w:p w14:paraId="60B581C2" w14:textId="77777777" w:rsidR="00533E74" w:rsidRDefault="00C765B0" w:rsidP="00914128">
      <w:pPr>
        <w:pStyle w:val="ToC"/>
      </w:pPr>
      <w:hyperlink w:anchor="a31_16" w:history="1">
        <w:r w:rsidR="00533E74" w:rsidRPr="00533E74">
          <w:rPr>
            <w:rStyle w:val="Hyperlink"/>
          </w:rPr>
          <w:t>31:16</w:t>
        </w:r>
      </w:hyperlink>
      <w:r w:rsidR="00533E74" w:rsidRPr="00533E74">
        <w:tab/>
        <w:t xml:space="preserve">Affirmative Defense </w:t>
      </w:r>
      <w:r w:rsidR="003B47A9">
        <w:t xml:space="preserve">to </w:t>
      </w:r>
      <w:r w:rsidR="00533E74" w:rsidRPr="00533E74">
        <w:t xml:space="preserve">Damages </w:t>
      </w:r>
      <w:r w:rsidR="003B47A9">
        <w:t>for</w:t>
      </w:r>
      <w:r w:rsidR="00533E74" w:rsidRPr="00533E74">
        <w:t xml:space="preserve"> Public-Policy Discharge Claim — After-Acquired Evidence </w:t>
      </w:r>
      <w:r w:rsidR="003B47A9">
        <w:t xml:space="preserve">of </w:t>
      </w:r>
      <w:r w:rsidR="00533E74" w:rsidRPr="00533E74">
        <w:t xml:space="preserve">Fraud </w:t>
      </w:r>
      <w:r w:rsidR="003B47A9">
        <w:t>or</w:t>
      </w:r>
      <w:r w:rsidR="00533E74" w:rsidRPr="00533E74">
        <w:t xml:space="preserve"> Other Misconduct</w:t>
      </w:r>
    </w:p>
    <w:p w14:paraId="2E3FDC0D" w14:textId="77777777" w:rsidR="00352111" w:rsidRPr="00352111" w:rsidRDefault="00352111">
      <w:pPr>
        <w:rPr>
          <w:rFonts w:eastAsia="Times New Roman"/>
          <w:sz w:val="24"/>
          <w:szCs w:val="24"/>
        </w:rPr>
      </w:pPr>
      <w:r w:rsidRPr="00352111">
        <w:rPr>
          <w:rFonts w:eastAsia="Times New Roman"/>
          <w:sz w:val="24"/>
          <w:szCs w:val="24"/>
        </w:rPr>
        <w:br w:type="page"/>
      </w:r>
    </w:p>
    <w:p w14:paraId="62E999C4" w14:textId="77777777"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14:paraId="36BCD323" w14:textId="77777777" w:rsidR="009E3DA4" w:rsidRPr="009E3DA4" w:rsidRDefault="00B473E5" w:rsidP="00CC0502">
      <w:pPr>
        <w:spacing w:after="240"/>
        <w:ind w:left="720" w:hanging="720"/>
        <w:rPr>
          <w:rFonts w:eastAsia="Times New Roman"/>
          <w:b/>
          <w:sz w:val="24"/>
          <w:szCs w:val="24"/>
        </w:rPr>
      </w:pPr>
      <w:bookmarkStart w:id="1" w:name="a31_01"/>
      <w:bookmarkEnd w:id="1"/>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14:paraId="04FCC4E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 definite period of time, you must find that all of the following have been proved by a preponderance of the evidence:</w:t>
      </w:r>
    </w:p>
    <w:p w14:paraId="70199313"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202C279B"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14:paraId="58F827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14:paraId="431A8ED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 (she) ([substantially] performed [his] [her] part of the contract) (had some justification for not performing [his] [her] part of the contract); and</w:t>
      </w:r>
    </w:p>
    <w:p w14:paraId="6CE621D2"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53AC681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1821AB9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5EC0C86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3E2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6FAF5583" w14:textId="77777777" w:rsidR="00832DB4" w:rsidRDefault="00832DB4" w:rsidP="0054263B">
      <w:pPr>
        <w:jc w:val="center"/>
        <w:rPr>
          <w:rFonts w:eastAsia="Times New Roman"/>
          <w:sz w:val="24"/>
          <w:szCs w:val="24"/>
        </w:rPr>
      </w:pPr>
    </w:p>
    <w:p w14:paraId="34707A6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A1485F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14:paraId="6064A96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6415DA">
        <w:rPr>
          <w:rFonts w:eastAsia="Times New Roman"/>
          <w:i/>
          <w:sz w:val="24"/>
          <w:szCs w:val="24"/>
        </w:rPr>
        <w:t>See</w:t>
      </w:r>
      <w:r w:rsidRPr="00B473E5">
        <w:rPr>
          <w:rFonts w:eastAsia="Times New Roman"/>
          <w:sz w:val="24"/>
          <w:szCs w:val="24"/>
        </w:rPr>
        <w:t xml:space="preserve"> Chapter 30</w:t>
      </w:r>
      <w:r w:rsidR="00F7774D">
        <w:rPr>
          <w:rFonts w:eastAsia="Times New Roman"/>
          <w:sz w:val="24"/>
          <w:szCs w:val="24"/>
        </w:rPr>
        <w:t xml:space="preserve"> (instructions and</w:t>
      </w:r>
      <w:r w:rsidRPr="00B473E5">
        <w:rPr>
          <w:rFonts w:eastAsia="Times New Roman"/>
          <w:sz w:val="24"/>
          <w:szCs w:val="24"/>
        </w:rPr>
        <w:t xml:space="preserve"> affirmative defenses to breach of contract claim</w:t>
      </w:r>
      <w:r w:rsidR="00F7774D">
        <w:rPr>
          <w:rFonts w:eastAsia="Times New Roman"/>
          <w:sz w:val="24"/>
          <w:szCs w:val="24"/>
        </w:rPr>
        <w:t>s)</w:t>
      </w:r>
      <w:r w:rsidRPr="00B473E5">
        <w:rPr>
          <w:rFonts w:eastAsia="Times New Roman"/>
          <w:sz w:val="24"/>
          <w:szCs w:val="24"/>
        </w:rPr>
        <w:t xml:space="preserve">. To instruct as to what constitutes an employment relationship, Instruction </w:t>
      </w:r>
      <w:r w:rsidR="001811AB">
        <w:rPr>
          <w:rFonts w:eastAsia="Times New Roman"/>
          <w:sz w:val="24"/>
          <w:szCs w:val="24"/>
        </w:rPr>
        <w:t>8:4</w:t>
      </w:r>
      <w:r w:rsidRPr="00B473E5">
        <w:rPr>
          <w:rFonts w:eastAsia="Times New Roman"/>
          <w:sz w:val="24"/>
          <w:szCs w:val="24"/>
        </w:rPr>
        <w:t xml:space="preserve">, appropriately modified, may be used. </w:t>
      </w:r>
      <w:r w:rsidRPr="00B473E5">
        <w:rPr>
          <w:rFonts w:eastAsia="Times New Roman"/>
          <w:sz w:val="24"/>
          <w:szCs w:val="24"/>
        </w:rPr>
        <w:lastRenderedPageBreak/>
        <w:t xml:space="preserve">Where the plaintiff asserts justification for nonperformance, additional instructions may be necessary. </w:t>
      </w:r>
      <w:r w:rsidRPr="006415DA">
        <w:rPr>
          <w:rFonts w:eastAsia="Times New Roman"/>
          <w:i/>
          <w:sz w:val="24"/>
          <w:szCs w:val="24"/>
        </w:rPr>
        <w:t>See</w:t>
      </w:r>
      <w:r w:rsidR="006415DA">
        <w:rPr>
          <w:rFonts w:eastAsia="Times New Roman"/>
          <w:i/>
          <w:sz w:val="24"/>
          <w:szCs w:val="24"/>
        </w:rPr>
        <w:t xml:space="preserve">, </w:t>
      </w:r>
      <w:r w:rsidRPr="006415DA">
        <w:rPr>
          <w:rFonts w:eastAsia="Times New Roman"/>
          <w:i/>
          <w:sz w:val="24"/>
          <w:szCs w:val="24"/>
        </w:rPr>
        <w:t>e.g.</w:t>
      </w:r>
      <w:r w:rsidRPr="00B473E5">
        <w:rPr>
          <w:rFonts w:eastAsia="Times New Roman"/>
          <w:sz w:val="24"/>
          <w:szCs w:val="24"/>
        </w:rPr>
        <w:t>, Instruction 3</w:t>
      </w:r>
      <w:r w:rsidR="007339DB">
        <w:rPr>
          <w:rFonts w:eastAsia="Times New Roman"/>
          <w:sz w:val="24"/>
          <w:szCs w:val="24"/>
        </w:rPr>
        <w:t>0</w:t>
      </w:r>
      <w:r w:rsidR="001E108E">
        <w:rPr>
          <w:rFonts w:eastAsia="Times New Roman"/>
          <w:sz w:val="24"/>
          <w:szCs w:val="24"/>
        </w:rPr>
        <w:t>:12</w:t>
      </w:r>
      <w:r w:rsidRPr="00B473E5">
        <w:rPr>
          <w:rFonts w:eastAsia="Times New Roman"/>
          <w:sz w:val="24"/>
          <w:szCs w:val="24"/>
        </w:rPr>
        <w:t>.</w:t>
      </w:r>
    </w:p>
    <w:p w14:paraId="10C2B4C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If there is a factual dispute as to whether the employment contract was for a definite period of time, see </w:t>
      </w:r>
      <w:r w:rsidR="001811AB">
        <w:rPr>
          <w:rFonts w:eastAsia="Times New Roman"/>
          <w:sz w:val="24"/>
          <w:szCs w:val="24"/>
        </w:rPr>
        <w:t xml:space="preserve">the </w:t>
      </w:r>
      <w:r w:rsidRPr="00B473E5">
        <w:rPr>
          <w:rFonts w:eastAsia="Times New Roman"/>
          <w:sz w:val="24"/>
          <w:szCs w:val="24"/>
        </w:rPr>
        <w:t>Notes on Use to Instruction 31:5</w:t>
      </w:r>
      <w:r w:rsidR="001811AB">
        <w:rPr>
          <w:rFonts w:eastAsia="Times New Roman"/>
          <w:sz w:val="24"/>
          <w:szCs w:val="24"/>
        </w:rPr>
        <w:t xml:space="preserve"> (defining at-will employment)</w:t>
      </w:r>
      <w:r w:rsidRPr="00B473E5">
        <w:rPr>
          <w:rFonts w:eastAsia="Times New Roman"/>
          <w:sz w:val="24"/>
          <w:szCs w:val="24"/>
        </w:rPr>
        <w:t xml:space="preserve">. </w:t>
      </w:r>
      <w:r w:rsidRPr="00B473E5">
        <w:rPr>
          <w:rFonts w:eastAsia="Times New Roman"/>
          <w:i/>
          <w:sz w:val="24"/>
          <w:szCs w:val="24"/>
        </w:rPr>
        <w:t>See</w:t>
      </w:r>
      <w:r w:rsidRPr="00B473E5">
        <w:rPr>
          <w:rFonts w:eastAsia="Times New Roman"/>
          <w:sz w:val="24"/>
          <w:szCs w:val="24"/>
        </w:rPr>
        <w:t xml:space="preserve"> </w:t>
      </w:r>
      <w:r w:rsidRPr="00B473E5">
        <w:rPr>
          <w:rFonts w:eastAsia="Times New Roman"/>
          <w:b/>
          <w:sz w:val="24"/>
          <w:szCs w:val="24"/>
        </w:rPr>
        <w:t>Pickell v. Ariz</w:t>
      </w:r>
      <w:r w:rsidR="001811AB">
        <w:rPr>
          <w:rFonts w:eastAsia="Times New Roman"/>
          <w:b/>
          <w:sz w:val="24"/>
          <w:szCs w:val="24"/>
        </w:rPr>
        <w:t>.</w:t>
      </w:r>
      <w:r w:rsidRPr="00B473E5">
        <w:rPr>
          <w:rFonts w:eastAsia="Times New Roman"/>
          <w:b/>
          <w:sz w:val="24"/>
          <w:szCs w:val="24"/>
        </w:rPr>
        <w:t xml:space="preserve"> Components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(Colo. 1997);</w:t>
      </w:r>
      <w:r w:rsidRPr="00B473E5">
        <w:rPr>
          <w:rFonts w:eastAsia="Times New Roman"/>
          <w:b/>
          <w:sz w:val="24"/>
          <w:szCs w:val="24"/>
        </w:rPr>
        <w:t xml:space="preserve"> Dorman v. Petrol Aspen, Inc.</w:t>
      </w:r>
      <w:r w:rsidRPr="00B473E5">
        <w:rPr>
          <w:rFonts w:eastAsia="Times New Roman"/>
          <w:sz w:val="24"/>
          <w:szCs w:val="24"/>
        </w:rPr>
        <w:t>, 914 P.2d 909 (Colo. 1996).</w:t>
      </w:r>
    </w:p>
    <w:p w14:paraId="189CDA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46FB0C9"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Western Distributing Co. v. Diodosio</w:t>
      </w:r>
      <w:r w:rsidRPr="00B473E5">
        <w:rPr>
          <w:rFonts w:eastAsia="Times New Roman"/>
          <w:sz w:val="24"/>
          <w:szCs w:val="24"/>
        </w:rPr>
        <w:t xml:space="preserve">, 841 P.2d 1053 (Colo. 1992); </w:t>
      </w:r>
      <w:r w:rsidRPr="00B473E5">
        <w:rPr>
          <w:rFonts w:eastAsia="Times New Roman"/>
          <w:b/>
          <w:sz w:val="24"/>
          <w:szCs w:val="24"/>
        </w:rPr>
        <w:t>Nelson v. Centennial Casualty Co.</w:t>
      </w:r>
      <w:r w:rsidRPr="00B473E5">
        <w:rPr>
          <w:rFonts w:eastAsia="Times New Roman"/>
          <w:sz w:val="24"/>
          <w:szCs w:val="24"/>
        </w:rPr>
        <w:t xml:space="preserve">, 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2350AB">
        <w:rPr>
          <w:rFonts w:eastAsia="Times New Roman"/>
          <w:sz w:val="24"/>
          <w:szCs w:val="24"/>
        </w:rPr>
        <w:t xml:space="preserve">and </w:t>
      </w:r>
      <w:r w:rsidRPr="00B473E5">
        <w:rPr>
          <w:rFonts w:eastAsia="Times New Roman"/>
          <w:b/>
          <w:sz w:val="24"/>
          <w:szCs w:val="24"/>
        </w:rPr>
        <w:t>Pittman v. Larson Distributing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App.</w:t>
      </w:r>
      <w:r w:rsidR="004C1468">
        <w:rPr>
          <w:rFonts w:eastAsia="Times New Roman"/>
          <w:sz w:val="24"/>
          <w:szCs w:val="24"/>
        </w:rPr>
        <w:t xml:space="preserve"> </w:t>
      </w:r>
      <w:r w:rsidRPr="00B473E5">
        <w:rPr>
          <w:rFonts w:eastAsia="Times New Roman"/>
          <w:sz w:val="24"/>
          <w:szCs w:val="24"/>
        </w:rPr>
        <w:t>1986).</w:t>
      </w:r>
    </w:p>
    <w:p w14:paraId="5BDDEFAD"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 xml:space="preserve">, 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6C40A5D3"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Where an employer discovers a misrepresentation on an employment application or résumé after the employee has been terminated for other reasons, such “after-acquired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B473E5">
        <w:rPr>
          <w:rFonts w:eastAsia="Times New Roman"/>
          <w:b/>
          <w:sz w:val="24"/>
          <w:szCs w:val="24"/>
        </w:rPr>
        <w:t>Crawford Rehab. Servs., Inc. v. Weissman</w:t>
      </w:r>
      <w:r w:rsidRPr="00B473E5">
        <w:rPr>
          <w:rFonts w:eastAsia="Times New Roman"/>
          <w:sz w:val="24"/>
          <w:szCs w:val="24"/>
        </w:rPr>
        <w:t>, 938 P.2d 540, 549 (Colo. 1997)</w:t>
      </w:r>
      <w:r w:rsidR="008C35E5">
        <w:rPr>
          <w:rFonts w:eastAsia="Times New Roman"/>
          <w:sz w:val="24"/>
          <w:szCs w:val="24"/>
        </w:rPr>
        <w:t>;</w:t>
      </w:r>
      <w:r w:rsidRPr="00B473E5">
        <w:rPr>
          <w:rFonts w:eastAsia="Times New Roman"/>
          <w:sz w:val="24"/>
          <w:szCs w:val="24"/>
        </w:rPr>
        <w:t xml:space="preserve"> </w:t>
      </w:r>
      <w:r w:rsidR="008C35E5" w:rsidRPr="006415DA">
        <w:rPr>
          <w:rFonts w:eastAsia="Times New Roman"/>
          <w:i/>
          <w:sz w:val="24"/>
          <w:szCs w:val="24"/>
        </w:rPr>
        <w:t>s</w:t>
      </w:r>
      <w:r w:rsidRPr="006415DA">
        <w:rPr>
          <w:rFonts w:eastAsia="Times New Roman"/>
          <w:i/>
          <w:sz w:val="24"/>
          <w:szCs w:val="24"/>
        </w:rPr>
        <w:t>ee</w:t>
      </w:r>
      <w:r w:rsidRPr="00B473E5">
        <w:rPr>
          <w:rFonts w:eastAsia="Times New Roman"/>
          <w:sz w:val="24"/>
          <w:szCs w:val="24"/>
        </w:rPr>
        <w:t xml:space="preserve"> Instruction 31:11.</w:t>
      </w:r>
    </w:p>
    <w:p w14:paraId="072671A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4. A breach of a covenant of good faith and fair dealing in an employment contract does not give rise to a tort claim.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931 P.2d 436 (Colo. 1997);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947 P.2d 937 (Colo. 1997). Moreover, to be judicially enforceable, such a covenant must be “sufficiently specific </w:t>
      </w:r>
      <w:r w:rsidR="0005697A">
        <w:rPr>
          <w:rFonts w:eastAsia="Times New Roman"/>
          <w:sz w:val="24"/>
          <w:szCs w:val="24"/>
        </w:rPr>
        <w:t xml:space="preserve">so as </w:t>
      </w:r>
      <w:r w:rsidRPr="00B473E5">
        <w:rPr>
          <w:rFonts w:eastAsia="Times New Roman"/>
          <w:sz w:val="24"/>
          <w:szCs w:val="24"/>
        </w:rPr>
        <w:t xml:space="preserve">to allow a court to determine whether a breach has occurred and to adopt an appropriate remedy for any breach.” </w:t>
      </w:r>
      <w:r w:rsidRPr="00B473E5">
        <w:rPr>
          <w:rFonts w:eastAsia="Times New Roman"/>
          <w:b/>
          <w:sz w:val="24"/>
          <w:szCs w:val="24"/>
        </w:rPr>
        <w:t>Valdez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r w:rsidR="0005697A">
        <w:rPr>
          <w:rFonts w:eastAsia="Times New Roman"/>
          <w:sz w:val="24"/>
          <w:szCs w:val="24"/>
        </w:rPr>
        <w:t>;</w:t>
      </w:r>
      <w:r w:rsidRPr="00B473E5">
        <w:rPr>
          <w:rFonts w:eastAsia="Times New Roman"/>
          <w:sz w:val="24"/>
          <w:szCs w:val="24"/>
        </w:rPr>
        <w:t xml:space="preserve"> </w:t>
      </w:r>
      <w:r w:rsidR="00362653">
        <w:rPr>
          <w:rFonts w:eastAsia="Times New Roman"/>
          <w:i/>
          <w:sz w:val="24"/>
          <w:szCs w:val="24"/>
        </w:rPr>
        <w:t>see</w:t>
      </w:r>
      <w:r w:rsidRPr="00B473E5">
        <w:rPr>
          <w:rFonts w:eastAsia="Times New Roman"/>
          <w:i/>
          <w:sz w:val="24"/>
          <w:szCs w:val="24"/>
        </w:rPr>
        <w:t xml:space="preserve"> </w:t>
      </w:r>
      <w:r w:rsidRPr="00B473E5">
        <w:rPr>
          <w:rFonts w:eastAsia="Times New Roman"/>
          <w:b/>
          <w:sz w:val="24"/>
          <w:szCs w:val="24"/>
        </w:rPr>
        <w:t>Hoyt v. Target Stores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(vague assurances of fair treatment are unenforceable).</w:t>
      </w:r>
    </w:p>
    <w:p w14:paraId="68E32A59" w14:textId="77777777" w:rsidR="00B473E5" w:rsidRDefault="00B473E5">
      <w:pPr>
        <w:rPr>
          <w:rFonts w:eastAsia="Times New Roman"/>
          <w:bCs/>
          <w:sz w:val="24"/>
          <w:szCs w:val="24"/>
        </w:rPr>
      </w:pPr>
      <w:r>
        <w:rPr>
          <w:rFonts w:eastAsia="Times New Roman"/>
          <w:bCs/>
          <w:sz w:val="24"/>
          <w:szCs w:val="24"/>
        </w:rPr>
        <w:br w:type="page"/>
      </w:r>
    </w:p>
    <w:p w14:paraId="6DDC7CE2" w14:textId="77777777" w:rsidR="00B473E5" w:rsidRPr="009E3DA4" w:rsidRDefault="00B473E5" w:rsidP="00B473E5">
      <w:pPr>
        <w:spacing w:after="240"/>
        <w:ind w:left="720" w:hanging="720"/>
        <w:rPr>
          <w:rFonts w:eastAsia="Times New Roman"/>
          <w:b/>
          <w:sz w:val="24"/>
          <w:szCs w:val="24"/>
        </w:rPr>
      </w:pPr>
      <w:bookmarkStart w:id="2" w:name="a31_02"/>
      <w:bookmarkEnd w:id="2"/>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14:paraId="3EAFE12A"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14:paraId="7C5DD3DB" w14:textId="77777777" w:rsidR="00B473E5" w:rsidRDefault="00B473E5" w:rsidP="00B473E5">
      <w:pPr>
        <w:jc w:val="center"/>
        <w:rPr>
          <w:rFonts w:eastAsia="Times New Roman"/>
          <w:sz w:val="24"/>
          <w:szCs w:val="24"/>
        </w:rPr>
      </w:pPr>
    </w:p>
    <w:p w14:paraId="3695835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20DBF047"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should be given with Instruction 31:1 when there is a factual dispute as to whether the contract of employment was for a definite term and there is evidence that the contract provided for an annual salary or similar fixed term rate of pay. </w:t>
      </w:r>
      <w:r w:rsidRPr="00B473E5">
        <w:rPr>
          <w:rFonts w:eastAsia="Times New Roman"/>
          <w:i/>
          <w:sz w:val="24"/>
          <w:szCs w:val="24"/>
        </w:rPr>
        <w:t>See, e.g.</w:t>
      </w:r>
      <w:r w:rsidRPr="00B473E5">
        <w:rPr>
          <w:rFonts w:eastAsia="Times New Roman"/>
          <w:sz w:val="24"/>
          <w:szCs w:val="24"/>
        </w:rPr>
        <w:t xml:space="preserve">, </w:t>
      </w:r>
      <w:r w:rsidRPr="00B473E5">
        <w:rPr>
          <w:rFonts w:eastAsia="Times New Roman"/>
          <w:b/>
          <w:sz w:val="24"/>
          <w:szCs w:val="24"/>
        </w:rPr>
        <w:t>Dorman v. Petrol Aspen, Inc.</w:t>
      </w:r>
      <w:r w:rsidRPr="00B473E5">
        <w:rPr>
          <w:rFonts w:eastAsia="Times New Roman"/>
          <w:sz w:val="24"/>
          <w:szCs w:val="24"/>
        </w:rPr>
        <w:t>, 914 P.2d 909 (Colo. 1996) (where provisions in employment contract created ambiguities regarding term of employment, trial court erred in granting summary judgment in favor of employer).</w:t>
      </w:r>
    </w:p>
    <w:p w14:paraId="309DA79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2B321C0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is based on </w:t>
      </w:r>
      <w:r w:rsidRPr="00B473E5">
        <w:rPr>
          <w:rFonts w:eastAsia="Times New Roman"/>
          <w:b/>
          <w:sz w:val="24"/>
          <w:szCs w:val="24"/>
        </w:rPr>
        <w:t>Justice v. Stanley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See also</w:t>
      </w:r>
      <w:r w:rsidRPr="00B473E5">
        <w:rPr>
          <w:rFonts w:eastAsia="Times New Roman"/>
          <w:sz w:val="24"/>
          <w:szCs w:val="24"/>
        </w:rPr>
        <w:t xml:space="preserve"> </w:t>
      </w:r>
      <w:r w:rsidRPr="00B473E5">
        <w:rPr>
          <w:rFonts w:eastAsia="Times New Roman"/>
          <w:b/>
          <w:sz w:val="24"/>
          <w:szCs w:val="24"/>
        </w:rPr>
        <w:t>Lee v. Great Empire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(agreement to guarantee an employee a certain sum during a particular period of time did not necessarily constitute an agreement or guarantee that the employment relationship was to continue for such period).</w:t>
      </w:r>
    </w:p>
    <w:p w14:paraId="3C68F9ED" w14:textId="77777777" w:rsidR="00B473E5" w:rsidRDefault="00B473E5">
      <w:pPr>
        <w:rPr>
          <w:rFonts w:eastAsia="Times New Roman"/>
          <w:bCs/>
          <w:sz w:val="24"/>
          <w:szCs w:val="24"/>
        </w:rPr>
      </w:pPr>
      <w:r>
        <w:rPr>
          <w:rFonts w:eastAsia="Times New Roman"/>
          <w:bCs/>
          <w:sz w:val="24"/>
          <w:szCs w:val="24"/>
        </w:rPr>
        <w:br w:type="page"/>
      </w:r>
    </w:p>
    <w:p w14:paraId="2248CF58" w14:textId="77777777" w:rsidR="00B473E5" w:rsidRPr="009E3DA4" w:rsidRDefault="00B473E5" w:rsidP="00B473E5">
      <w:pPr>
        <w:spacing w:after="240"/>
        <w:ind w:left="720" w:hanging="720"/>
        <w:rPr>
          <w:rFonts w:eastAsia="Times New Roman"/>
          <w:b/>
          <w:sz w:val="24"/>
          <w:szCs w:val="24"/>
        </w:rPr>
      </w:pPr>
      <w:bookmarkStart w:id="3" w:name="a31_03"/>
      <w:bookmarkEnd w:id="3"/>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14:paraId="5E47191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an indefinite period of time, you must find that all of the following have been proved by a preponderance of the evidence:</w:t>
      </w:r>
    </w:p>
    <w:p w14:paraId="6899808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63E5D08E"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14:paraId="027EB2E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14:paraId="51A2F1A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w:t>
      </w:r>
      <w:r w:rsidR="0005426E">
        <w:rPr>
          <w:rFonts w:eastAsia="Times New Roman"/>
          <w:b/>
          <w:sz w:val="24"/>
          <w:szCs w:val="24"/>
        </w:rPr>
        <w:t xml:space="preserve"> </w:t>
      </w:r>
      <w:r w:rsidRPr="00B473E5">
        <w:rPr>
          <w:rFonts w:eastAsia="Times New Roman"/>
          <w:b/>
          <w:sz w:val="24"/>
          <w:szCs w:val="24"/>
        </w:rPr>
        <w:t>(she) ([substantially] performed [his] [her] part of the contract) (had some justification for not performing [his] [her] part of the contract</w:t>
      </w:r>
      <w:r w:rsidRPr="00B473E5" w:rsidDel="0016015F">
        <w:rPr>
          <w:rFonts w:eastAsia="Times New Roman"/>
          <w:b/>
          <w:sz w:val="24"/>
          <w:szCs w:val="24"/>
        </w:rPr>
        <w:t xml:space="preserve"> </w:t>
      </w:r>
      <w:r w:rsidRPr="00B473E5">
        <w:rPr>
          <w:rFonts w:eastAsia="Times New Roman"/>
          <w:b/>
          <w:sz w:val="24"/>
          <w:szCs w:val="24"/>
        </w:rPr>
        <w:t>); and</w:t>
      </w:r>
    </w:p>
    <w:p w14:paraId="731E9A4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781135C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47494F7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6279596C"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46866F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1443E130" w14:textId="77777777" w:rsidR="00B473E5" w:rsidRDefault="00B473E5" w:rsidP="00B473E5">
      <w:pPr>
        <w:jc w:val="center"/>
        <w:rPr>
          <w:rFonts w:eastAsia="Times New Roman"/>
          <w:sz w:val="24"/>
          <w:szCs w:val="24"/>
        </w:rPr>
      </w:pPr>
    </w:p>
    <w:p w14:paraId="0B22A9C9"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4BD8321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14:paraId="4006DE1F"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If the defendant raises issues regarding the existence of the employment contract itself, additional instructions relating to the formation of contracts may be necessary. </w:t>
      </w:r>
      <w:r w:rsidRPr="000403DD">
        <w:rPr>
          <w:rFonts w:eastAsia="Times New Roman"/>
          <w:i/>
          <w:sz w:val="24"/>
          <w:szCs w:val="24"/>
        </w:rPr>
        <w:t>See</w:t>
      </w:r>
      <w:r w:rsidRPr="00B473E5">
        <w:rPr>
          <w:rFonts w:eastAsia="Times New Roman"/>
          <w:sz w:val="24"/>
          <w:szCs w:val="24"/>
        </w:rPr>
        <w:t xml:space="preserve"> Chapter 30</w:t>
      </w:r>
      <w:r w:rsidR="008E3290">
        <w:rPr>
          <w:rFonts w:eastAsia="Times New Roman"/>
          <w:sz w:val="24"/>
          <w:szCs w:val="24"/>
        </w:rPr>
        <w:t xml:space="preserve"> (</w:t>
      </w:r>
      <w:r w:rsidRPr="00B473E5">
        <w:rPr>
          <w:rFonts w:eastAsia="Times New Roman"/>
          <w:sz w:val="24"/>
          <w:szCs w:val="24"/>
        </w:rPr>
        <w:t xml:space="preserve">instructions </w:t>
      </w:r>
      <w:r w:rsidR="008E3290">
        <w:rPr>
          <w:rFonts w:eastAsia="Times New Roman"/>
          <w:sz w:val="24"/>
          <w:szCs w:val="24"/>
        </w:rPr>
        <w:t>and</w:t>
      </w:r>
      <w:r w:rsidRPr="00B473E5">
        <w:rPr>
          <w:rFonts w:eastAsia="Times New Roman"/>
          <w:sz w:val="24"/>
          <w:szCs w:val="24"/>
        </w:rPr>
        <w:t xml:space="preserve"> affirmative defenses to breach of contract claim</w:t>
      </w:r>
      <w:r w:rsidR="008E3290">
        <w:rPr>
          <w:rFonts w:eastAsia="Times New Roman"/>
          <w:sz w:val="24"/>
          <w:szCs w:val="24"/>
        </w:rPr>
        <w:t>s)</w:t>
      </w:r>
      <w:r w:rsidRPr="00B473E5">
        <w:rPr>
          <w:rFonts w:eastAsia="Times New Roman"/>
          <w:sz w:val="24"/>
          <w:szCs w:val="24"/>
        </w:rPr>
        <w:t xml:space="preserve">. To instruct as to what constitutes an “employment relationship,” Instruction </w:t>
      </w:r>
      <w:r w:rsidR="008E3290">
        <w:rPr>
          <w:rFonts w:eastAsia="Times New Roman"/>
          <w:sz w:val="24"/>
          <w:szCs w:val="24"/>
        </w:rPr>
        <w:t>8:4</w:t>
      </w:r>
      <w:r w:rsidRPr="00B473E5">
        <w:rPr>
          <w:rFonts w:eastAsia="Times New Roman"/>
          <w:sz w:val="24"/>
          <w:szCs w:val="24"/>
        </w:rPr>
        <w:t>, appropriately modified, may be used.</w:t>
      </w:r>
    </w:p>
    <w:p w14:paraId="62841A76"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 xml:space="preserve">3. If there is a factual dispute as to whether the employment contract provided that plaintiff would not be discharged without cause, see </w:t>
      </w:r>
      <w:r w:rsidR="008E3290">
        <w:rPr>
          <w:rFonts w:eastAsia="Times New Roman"/>
          <w:sz w:val="24"/>
          <w:szCs w:val="24"/>
        </w:rPr>
        <w:t xml:space="preserve">the </w:t>
      </w:r>
      <w:r w:rsidRPr="00B473E5">
        <w:rPr>
          <w:rFonts w:eastAsia="Times New Roman"/>
          <w:sz w:val="24"/>
          <w:szCs w:val="24"/>
        </w:rPr>
        <w:t>Notes on Use to Instruction 31:5.</w:t>
      </w:r>
    </w:p>
    <w:p w14:paraId="00F7FA7C"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the employee’s breach of contract claim is based on the employer’s personnel policies or procedures, Instruction 31:4 should be used rather than this instruction.</w:t>
      </w:r>
    </w:p>
    <w:p w14:paraId="445123D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77D7C85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Western Distrib</w:t>
      </w:r>
      <w:r w:rsidR="002350AB">
        <w:rPr>
          <w:rFonts w:eastAsia="Times New Roman"/>
          <w:b/>
          <w:sz w:val="24"/>
          <w:szCs w:val="24"/>
        </w:rPr>
        <w:t>uting</w:t>
      </w:r>
      <w:r w:rsidRPr="00B473E5">
        <w:rPr>
          <w:rFonts w:eastAsia="Times New Roman"/>
          <w:b/>
          <w:sz w:val="24"/>
          <w:szCs w:val="24"/>
        </w:rPr>
        <w:t xml:space="preserve">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841 P.2d 1053 (Colo. 1992); </w:t>
      </w:r>
      <w:r w:rsidRPr="00B473E5">
        <w:rPr>
          <w:rFonts w:eastAsia="Times New Roman"/>
          <w:b/>
          <w:sz w:val="24"/>
          <w:szCs w:val="24"/>
        </w:rPr>
        <w:t>Nelson v. Centennial Cas</w:t>
      </w:r>
      <w:r w:rsidR="004C1468">
        <w:rPr>
          <w:rFonts w:eastAsia="Times New Roman"/>
          <w:b/>
          <w:sz w:val="24"/>
          <w:szCs w:val="24"/>
        </w:rPr>
        <w:t>ualty</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4C1468">
        <w:rPr>
          <w:rFonts w:eastAsia="Times New Roman"/>
          <w:sz w:val="24"/>
          <w:szCs w:val="24"/>
        </w:rPr>
        <w:t xml:space="preserve">and </w:t>
      </w:r>
      <w:r w:rsidRPr="00B473E5">
        <w:rPr>
          <w:rFonts w:eastAsia="Times New Roman"/>
          <w:b/>
          <w:sz w:val="24"/>
          <w:szCs w:val="24"/>
        </w:rPr>
        <w:t>Pittman v. Larson Distrib</w:t>
      </w:r>
      <w:r w:rsidR="004C1468">
        <w:rPr>
          <w:rFonts w:eastAsia="Times New Roman"/>
          <w:b/>
          <w:sz w:val="24"/>
          <w:szCs w:val="24"/>
        </w:rPr>
        <w:t>uting</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004C1468">
        <w:rPr>
          <w:rFonts w:eastAsia="Times New Roman"/>
          <w:sz w:val="24"/>
          <w:szCs w:val="24"/>
        </w:rPr>
        <w:t xml:space="preserve"> </w:t>
      </w:r>
      <w:r w:rsidRPr="00B473E5">
        <w:rPr>
          <w:rFonts w:eastAsia="Times New Roman"/>
          <w:sz w:val="24"/>
          <w:szCs w:val="24"/>
        </w:rPr>
        <w:t>1986).</w:t>
      </w:r>
    </w:p>
    <w:p w14:paraId="2C2CA3FE"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479C15B9" w14:textId="77777777" w:rsidR="00B473E5" w:rsidRDefault="00B473E5">
      <w:pPr>
        <w:rPr>
          <w:rFonts w:eastAsia="Times New Roman"/>
          <w:bCs/>
          <w:sz w:val="24"/>
          <w:szCs w:val="24"/>
        </w:rPr>
      </w:pPr>
      <w:r>
        <w:rPr>
          <w:rFonts w:eastAsia="Times New Roman"/>
          <w:bCs/>
          <w:sz w:val="24"/>
          <w:szCs w:val="24"/>
        </w:rPr>
        <w:br w:type="page"/>
      </w:r>
    </w:p>
    <w:p w14:paraId="49FA3ADD" w14:textId="77777777" w:rsidR="00B473E5" w:rsidRPr="009E3DA4" w:rsidRDefault="0039769C" w:rsidP="00B473E5">
      <w:pPr>
        <w:spacing w:after="240"/>
        <w:ind w:left="720" w:hanging="720"/>
        <w:rPr>
          <w:rFonts w:eastAsia="Times New Roman"/>
          <w:b/>
          <w:sz w:val="24"/>
          <w:szCs w:val="24"/>
        </w:rPr>
      </w:pPr>
      <w:bookmarkStart w:id="4" w:name="a31_04"/>
      <w:bookmarkEnd w:id="4"/>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14:paraId="1FB11644"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defendant, </w:t>
      </w:r>
      <w:r w:rsidRPr="0039769C">
        <w:rPr>
          <w:rFonts w:eastAsia="Times New Roman"/>
          <w:i/>
          <w:sz w:val="24"/>
          <w:szCs w:val="24"/>
        </w:rPr>
        <w:t>(name)</w:t>
      </w:r>
      <w:r w:rsidRPr="0039769C">
        <w:rPr>
          <w:rFonts w:eastAsia="Times New Roman"/>
          <w:b/>
          <w:sz w:val="24"/>
          <w:szCs w:val="24"/>
        </w:rPr>
        <w:t>, on (his) (her) claim for breach of an employment contract, you must find that all of the following have been proved by a preponderance of the evidence:</w:t>
      </w:r>
    </w:p>
    <w:p w14:paraId="67AFEA58"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14:paraId="62BE224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14:paraId="33362F1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14:paraId="40B8BC9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(he) (she) was discharged by the defendant;</w:t>
      </w:r>
    </w:p>
    <w:p w14:paraId="0A282B7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(his) (her) employment, and, with that understanding, the plaintiff (began) (continued) (his) (her) employment with the defendant;</w:t>
      </w:r>
    </w:p>
    <w:p w14:paraId="42189E65"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14:paraId="45814F9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7. Until discharged, the plaintiff (substantially) performed (his) (her) part of the contract</w:t>
      </w:r>
      <w:r w:rsidR="008E3290">
        <w:rPr>
          <w:rFonts w:eastAsia="Times New Roman"/>
          <w:b/>
          <w:sz w:val="24"/>
          <w:szCs w:val="24"/>
        </w:rPr>
        <w:t xml:space="preserve"> </w:t>
      </w:r>
      <w:r w:rsidRPr="0039769C">
        <w:rPr>
          <w:rFonts w:eastAsia="Times New Roman"/>
          <w:b/>
          <w:sz w:val="24"/>
          <w:szCs w:val="24"/>
        </w:rPr>
        <w:t>(or the plaintiff had some justification for nonperformance).</w:t>
      </w:r>
    </w:p>
    <w:p w14:paraId="0CD68DCD"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14:paraId="1E0AAB52"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14:paraId="1A5B24F6"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5A59F60"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14:paraId="2DDFED95" w14:textId="77777777" w:rsidR="00B473E5" w:rsidRDefault="00B473E5" w:rsidP="00B473E5">
      <w:pPr>
        <w:jc w:val="center"/>
        <w:rPr>
          <w:rFonts w:eastAsia="Times New Roman"/>
          <w:sz w:val="24"/>
          <w:szCs w:val="24"/>
        </w:rPr>
      </w:pPr>
    </w:p>
    <w:p w14:paraId="02AA407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58775504"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14:paraId="7505611B"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A23FAA">
        <w:rPr>
          <w:rFonts w:eastAsia="Times New Roman"/>
          <w:i/>
          <w:sz w:val="24"/>
          <w:szCs w:val="24"/>
        </w:rPr>
        <w:t>See</w:t>
      </w:r>
      <w:r w:rsidRPr="0039769C">
        <w:rPr>
          <w:rFonts w:eastAsia="Times New Roman"/>
          <w:sz w:val="24"/>
          <w:szCs w:val="24"/>
        </w:rPr>
        <w:t xml:space="preserve"> Chapter 30</w:t>
      </w:r>
      <w:r w:rsidR="008E3290">
        <w:rPr>
          <w:rFonts w:eastAsia="Times New Roman"/>
          <w:sz w:val="24"/>
          <w:szCs w:val="24"/>
        </w:rPr>
        <w:t xml:space="preserve"> (</w:t>
      </w:r>
      <w:r w:rsidRPr="0039769C">
        <w:rPr>
          <w:rFonts w:eastAsia="Times New Roman"/>
          <w:sz w:val="24"/>
          <w:szCs w:val="24"/>
        </w:rPr>
        <w:t xml:space="preserve">instructions </w:t>
      </w:r>
      <w:r w:rsidR="008E3290">
        <w:rPr>
          <w:rFonts w:eastAsia="Times New Roman"/>
          <w:sz w:val="24"/>
          <w:szCs w:val="24"/>
        </w:rPr>
        <w:t>and</w:t>
      </w:r>
      <w:r w:rsidRPr="0039769C">
        <w:rPr>
          <w:rFonts w:eastAsia="Times New Roman"/>
          <w:sz w:val="24"/>
          <w:szCs w:val="24"/>
        </w:rPr>
        <w:t xml:space="preserve"> affirmative defenses to breach of contract claim</w:t>
      </w:r>
      <w:r w:rsidR="008E3290">
        <w:rPr>
          <w:rFonts w:eastAsia="Times New Roman"/>
          <w:sz w:val="24"/>
          <w:szCs w:val="24"/>
        </w:rPr>
        <w:t>s)</w:t>
      </w:r>
      <w:r w:rsidRPr="0039769C">
        <w:rPr>
          <w:rFonts w:eastAsia="Times New Roman"/>
          <w:sz w:val="24"/>
          <w:szCs w:val="24"/>
        </w:rPr>
        <w:t xml:space="preserve">. To instruct as to what constitutes an “employment relationship,” Instruction </w:t>
      </w:r>
      <w:r w:rsidR="008E3290">
        <w:rPr>
          <w:rFonts w:eastAsia="Times New Roman"/>
          <w:sz w:val="24"/>
          <w:szCs w:val="24"/>
        </w:rPr>
        <w:t>8:4</w:t>
      </w:r>
      <w:r w:rsidRPr="0039769C">
        <w:rPr>
          <w:rFonts w:eastAsia="Times New Roman"/>
          <w:sz w:val="24"/>
          <w:szCs w:val="24"/>
        </w:rPr>
        <w:t xml:space="preserve">, appropriately modified, may be used. Where the plaintiff asserts justification for nonperformance, additional instructions may be necessary. </w:t>
      </w:r>
      <w:r w:rsidRPr="00A23FAA">
        <w:rPr>
          <w:rFonts w:eastAsia="Times New Roman"/>
          <w:i/>
          <w:sz w:val="24"/>
          <w:szCs w:val="24"/>
        </w:rPr>
        <w:t>See</w:t>
      </w:r>
      <w:r w:rsidR="00A23FAA">
        <w:rPr>
          <w:rFonts w:eastAsia="Times New Roman"/>
          <w:i/>
          <w:sz w:val="24"/>
          <w:szCs w:val="24"/>
        </w:rPr>
        <w:t xml:space="preserve">, </w:t>
      </w:r>
      <w:r w:rsidRPr="00A23FAA">
        <w:rPr>
          <w:rFonts w:eastAsia="Times New Roman"/>
          <w:i/>
          <w:sz w:val="24"/>
          <w:szCs w:val="24"/>
        </w:rPr>
        <w:t>e.g.</w:t>
      </w:r>
      <w:r w:rsidRPr="0039769C">
        <w:rPr>
          <w:rFonts w:eastAsia="Times New Roman"/>
          <w:sz w:val="24"/>
          <w:szCs w:val="24"/>
        </w:rPr>
        <w:t>, Instruction 3</w:t>
      </w:r>
      <w:r w:rsidR="007339DB">
        <w:rPr>
          <w:rFonts w:eastAsia="Times New Roman"/>
          <w:sz w:val="24"/>
          <w:szCs w:val="24"/>
        </w:rPr>
        <w:t>0:12</w:t>
      </w:r>
      <w:r w:rsidRPr="0039769C">
        <w:rPr>
          <w:rFonts w:eastAsia="Times New Roman"/>
          <w:sz w:val="24"/>
          <w:szCs w:val="24"/>
        </w:rPr>
        <w:t>.</w:t>
      </w:r>
    </w:p>
    <w:p w14:paraId="6A6B33CE"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p>
    <w:p w14:paraId="2DAF4E5D"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w:t>
      </w:r>
      <w:r w:rsidR="000E3C22">
        <w:rPr>
          <w:rFonts w:eastAsia="Times New Roman"/>
          <w:b/>
          <w:sz w:val="24"/>
          <w:szCs w:val="24"/>
        </w:rPr>
        <w:t>’</w:t>
      </w:r>
      <w:r w:rsidRPr="0039769C">
        <w:rPr>
          <w:rFonts w:eastAsia="Times New Roman"/>
          <w:b/>
          <w:sz w:val="24"/>
          <w:szCs w:val="24"/>
        </w:rPr>
        <w:t>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Seeley v. Bd</w:t>
      </w:r>
      <w:r w:rsidR="000E3C22">
        <w:rPr>
          <w:rFonts w:eastAsia="Times New Roman"/>
          <w:b/>
          <w:sz w:val="24"/>
          <w:szCs w:val="24"/>
        </w:rPr>
        <w:t>.</w:t>
      </w:r>
      <w:r w:rsidRPr="0039769C">
        <w:rPr>
          <w:rFonts w:eastAsia="Times New Roman"/>
          <w:b/>
          <w:sz w:val="24"/>
          <w:szCs w:val="24"/>
        </w:rPr>
        <w:t xml:space="preserve"> of Cty</w:t>
      </w:r>
      <w:r w:rsidR="000E3C22">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xml:space="preserve">, 791 P.2d 696 (Colo. 1990) (sheriff prohibited by statute from adopting manual restricting his statutory authority to discharge deputy sheriff);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000E3C22">
        <w:rPr>
          <w:rFonts w:eastAsia="Times New Roman"/>
          <w:sz w:val="24"/>
          <w:szCs w:val="24"/>
        </w:rPr>
        <w:t xml:space="preserve"> </w:t>
      </w:r>
      <w:r w:rsidRPr="0039769C">
        <w:rPr>
          <w:rFonts w:eastAsia="Times New Roman"/>
          <w:sz w:val="24"/>
          <w:szCs w:val="24"/>
        </w:rPr>
        <w:t>1989)</w:t>
      </w:r>
      <w:r w:rsidR="000E3C22">
        <w:rPr>
          <w:rFonts w:eastAsia="Times New Roman"/>
          <w:sz w:val="24"/>
          <w:szCs w:val="24"/>
        </w:rPr>
        <w:t>;</w:t>
      </w:r>
      <w:r w:rsidRPr="0039769C">
        <w:rPr>
          <w:rFonts w:eastAsia="Times New Roman"/>
          <w:sz w:val="24"/>
          <w:szCs w:val="24"/>
        </w:rPr>
        <w:t xml:space="preserve"> </w:t>
      </w:r>
      <w:r w:rsidR="000E3C22">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Kuta</w:t>
      </w:r>
      <w:r w:rsidR="000E3C22">
        <w:rPr>
          <w:rFonts w:eastAsia="Times New Roman"/>
          <w:b/>
          <w:sz w:val="24"/>
          <w:szCs w:val="24"/>
        </w:rPr>
        <w:t xml:space="preserve"> v. Joint Dist. No. 50(J)</w:t>
      </w:r>
      <w:r w:rsidRPr="0039769C">
        <w:rPr>
          <w:rFonts w:eastAsia="Times New Roman"/>
          <w:sz w:val="24"/>
          <w:szCs w:val="24"/>
        </w:rPr>
        <w:t>, 799 P.2d 379</w:t>
      </w:r>
      <w:r w:rsidR="000E3C22">
        <w:rPr>
          <w:rFonts w:eastAsia="Times New Roman"/>
          <w:sz w:val="24"/>
          <w:szCs w:val="24"/>
        </w:rPr>
        <w:t xml:space="preserve"> (Colo. 1990)</w:t>
      </w:r>
      <w:r w:rsidRPr="0039769C">
        <w:rPr>
          <w:rFonts w:eastAsia="Times New Roman"/>
          <w:sz w:val="24"/>
          <w:szCs w:val="24"/>
        </w:rPr>
        <w:t xml:space="preserve">;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(where city charter provided that probationary employees were terminable at will, probationary firefighters remained terminable at will regardless of any express or implied statements to the contrary by city officials).</w:t>
      </w:r>
    </w:p>
    <w:p w14:paraId="395E082C"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14:paraId="676C5746"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425D09B9"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21736A" w:rsidRPr="0039769C">
        <w:rPr>
          <w:rFonts w:eastAsia="Times New Roman"/>
          <w:b/>
          <w:sz w:val="24"/>
          <w:szCs w:val="24"/>
        </w:rPr>
        <w:t>Crawford Rehab</w:t>
      </w:r>
      <w:r w:rsidR="0021736A">
        <w:rPr>
          <w:rFonts w:eastAsia="Times New Roman"/>
          <w:b/>
          <w:sz w:val="24"/>
          <w:szCs w:val="24"/>
        </w:rPr>
        <w:t>ilitation</w:t>
      </w:r>
      <w:r w:rsidR="0021736A" w:rsidRPr="0039769C">
        <w:rPr>
          <w:rFonts w:eastAsia="Times New Roman"/>
          <w:b/>
          <w:sz w:val="24"/>
          <w:szCs w:val="24"/>
        </w:rPr>
        <w:t xml:space="preserve"> Serv</w:t>
      </w:r>
      <w:r w:rsidR="0021736A">
        <w:rPr>
          <w:rFonts w:eastAsia="Times New Roman"/>
          <w:b/>
          <w:sz w:val="24"/>
          <w:szCs w:val="24"/>
        </w:rPr>
        <w:t>ice</w:t>
      </w:r>
      <w:r w:rsidR="0021736A" w:rsidRPr="0039769C">
        <w:rPr>
          <w:rFonts w:eastAsia="Times New Roman"/>
          <w:b/>
          <w:sz w:val="24"/>
          <w:szCs w:val="24"/>
        </w:rPr>
        <w:t>s, Inc. v. Weissman</w:t>
      </w:r>
      <w:r w:rsidR="0021736A" w:rsidRPr="0039769C">
        <w:rPr>
          <w:rFonts w:eastAsia="Times New Roman"/>
          <w:sz w:val="24"/>
          <w:szCs w:val="24"/>
        </w:rPr>
        <w:t>, 938 P.2d 540 (Colo. 1997)</w:t>
      </w:r>
      <w:r w:rsidR="0021736A">
        <w:rPr>
          <w:rFonts w:eastAsia="Times New Roman"/>
          <w:sz w:val="24"/>
          <w:szCs w:val="24"/>
        </w:rPr>
        <w:t xml:space="preserve">;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0021736A" w:rsidRPr="0039769C">
        <w:rPr>
          <w:rFonts w:eastAsia="Times New Roman"/>
          <w:b/>
          <w:sz w:val="24"/>
          <w:szCs w:val="24"/>
        </w:rPr>
        <w:t>Churchey v. Adolph Coors Co.</w:t>
      </w:r>
      <w:r w:rsidR="0021736A" w:rsidRPr="0039769C">
        <w:rPr>
          <w:rFonts w:eastAsia="Times New Roman"/>
          <w:sz w:val="24"/>
          <w:szCs w:val="24"/>
        </w:rPr>
        <w:t>, 759 P.2d 1336 (Colo. 1988)</w:t>
      </w:r>
      <w:r w:rsidR="0021736A">
        <w:rPr>
          <w:rFonts w:eastAsia="Times New Roman"/>
          <w:sz w:val="24"/>
          <w:szCs w:val="24"/>
        </w:rPr>
        <w:t xml:space="preserve">; </w:t>
      </w:r>
      <w:r w:rsidR="0021736A" w:rsidRPr="0021736A">
        <w:rPr>
          <w:rFonts w:eastAsia="Times New Roman"/>
          <w:sz w:val="24"/>
          <w:szCs w:val="24"/>
        </w:rPr>
        <w:t xml:space="preserve">and </w:t>
      </w:r>
      <w:r w:rsidRPr="0039769C">
        <w:rPr>
          <w:rFonts w:eastAsia="Times New Roman"/>
          <w:b/>
          <w:sz w:val="24"/>
          <w:szCs w:val="24"/>
        </w:rPr>
        <w:t>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w:t>
      </w:r>
      <w:r w:rsidR="008E3290">
        <w:rPr>
          <w:rFonts w:eastAsia="Times New Roman"/>
          <w:sz w:val="24"/>
          <w:szCs w:val="24"/>
        </w:rPr>
        <w:t xml:space="preserve">at </w:t>
      </w:r>
      <w:r w:rsidRPr="0039769C">
        <w:rPr>
          <w:rFonts w:eastAsia="Times New Roman"/>
          <w:sz w:val="24"/>
          <w:szCs w:val="24"/>
        </w:rPr>
        <w:t>7</w:t>
      </w:r>
      <w:r w:rsidR="008E3290">
        <w:rPr>
          <w:rFonts w:eastAsia="Times New Roman"/>
          <w:sz w:val="24"/>
          <w:szCs w:val="24"/>
        </w:rPr>
        <w:t>11-12</w:t>
      </w:r>
      <w:r w:rsidRPr="0039769C">
        <w:rPr>
          <w:rFonts w:eastAsia="Times New Roman"/>
          <w:sz w:val="24"/>
          <w:szCs w:val="24"/>
        </w:rPr>
        <w:t>.</w:t>
      </w:r>
    </w:p>
    <w:p w14:paraId="064ACA4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Keenan</w:t>
      </w:r>
      <w:r w:rsidRPr="0039769C">
        <w:rPr>
          <w:rFonts w:eastAsia="Times New Roman"/>
          <w:sz w:val="24"/>
          <w:szCs w:val="24"/>
        </w:rPr>
        <w:t xml:space="preserve">, </w:t>
      </w:r>
      <w:r w:rsidR="008E3290">
        <w:rPr>
          <w:rFonts w:eastAsia="Times New Roman"/>
          <w:sz w:val="24"/>
          <w:szCs w:val="24"/>
        </w:rPr>
        <w:t>731 P.2d at 711-12</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that offer. </w:t>
      </w:r>
      <w:r w:rsidRPr="0039769C">
        <w:rPr>
          <w:rFonts w:eastAsia="Times New Roman"/>
          <w:i/>
          <w:sz w:val="24"/>
          <w:szCs w:val="24"/>
        </w:rPr>
        <w:lastRenderedPageBreak/>
        <w:t xml:space="preserve">See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 xml:space="preserve">at </w:t>
      </w:r>
      <w:r w:rsidRPr="0039769C">
        <w:rPr>
          <w:rFonts w:eastAsia="Times New Roman"/>
          <w:sz w:val="24"/>
          <w:szCs w:val="24"/>
        </w:rPr>
        <w:t>13</w:t>
      </w:r>
      <w:r w:rsidR="0021736A">
        <w:rPr>
          <w:rFonts w:eastAsia="Times New Roman"/>
          <w:sz w:val="24"/>
          <w:szCs w:val="24"/>
        </w:rPr>
        <w:t>48</w:t>
      </w:r>
      <w:r w:rsidRPr="0039769C">
        <w:rPr>
          <w:rFonts w:eastAsia="Times New Roman"/>
          <w:sz w:val="24"/>
          <w:szCs w:val="24"/>
        </w:rPr>
        <w:t xml:space="preserve">. Further, for such an offer to be effective, it must be communicated to the employee.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00627CAD">
        <w:rPr>
          <w:rFonts w:eastAsia="Times New Roman"/>
          <w:sz w:val="24"/>
          <w:szCs w:val="24"/>
        </w:rPr>
        <w:t>;</w:t>
      </w:r>
      <w:r w:rsidRPr="0039769C">
        <w:rPr>
          <w:rFonts w:eastAsia="Times New Roman"/>
          <w:sz w:val="24"/>
          <w:szCs w:val="24"/>
        </w:rPr>
        <w:t xml:space="preserve"> </w:t>
      </w:r>
      <w:r w:rsidR="00627CAD">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Watson v. Pub</w:t>
      </w:r>
      <w:r w:rsidR="00627CAD">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207 P.3d 860 (</w:t>
      </w:r>
      <w:r w:rsidR="0067408D">
        <w:rPr>
          <w:rFonts w:eastAsia="Times New Roman"/>
          <w:sz w:val="24"/>
          <w:szCs w:val="24"/>
        </w:rPr>
        <w:t>Colo. App.</w:t>
      </w:r>
      <w:r w:rsidRPr="0039769C">
        <w:rPr>
          <w:rFonts w:eastAsia="Times New Roman"/>
          <w:sz w:val="24"/>
          <w:szCs w:val="24"/>
        </w:rPr>
        <w:t xml:space="preserve"> 2008) (most advertisements are mere notices and solicitations for offers and create no power of acceptance in the recipient).</w:t>
      </w:r>
    </w:p>
    <w:p w14:paraId="7E3E2DD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at</w:t>
      </w:r>
      <w:r w:rsidRPr="0039769C">
        <w:rPr>
          <w:rFonts w:eastAsia="Times New Roman"/>
          <w:sz w:val="24"/>
          <w:szCs w:val="24"/>
        </w:rPr>
        <w:t xml:space="preserve"> 1348-49, the court, in reference to a breach of contract theory of recovery, quoted the following language from </w:t>
      </w:r>
      <w:r w:rsidRPr="0039769C">
        <w:rPr>
          <w:rFonts w:eastAsia="Times New Roman"/>
          <w:b/>
          <w:sz w:val="24"/>
          <w:szCs w:val="24"/>
        </w:rPr>
        <w:t>Toussaint v. Blue Cross &amp; Blue Shield</w:t>
      </w:r>
      <w:r w:rsidR="00A23FAA">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292 N.W.2d 880, 892 (</w:t>
      </w:r>
      <w:r w:rsidR="0021736A">
        <w:rPr>
          <w:rFonts w:eastAsia="Times New Roman"/>
          <w:sz w:val="24"/>
          <w:szCs w:val="24"/>
        </w:rPr>
        <w:t xml:space="preserve">Mich. </w:t>
      </w:r>
      <w:r w:rsidRPr="0039769C">
        <w:rPr>
          <w:rFonts w:eastAsia="Times New Roman"/>
          <w:sz w:val="24"/>
          <w:szCs w:val="24"/>
        </w:rPr>
        <w:t>1980):</w:t>
      </w:r>
    </w:p>
    <w:p w14:paraId="3270EE6A"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purport to be fair, and are applied consistently and uniformly to each employee. The employer has then created a situation “instinct with an obligation”.</w:t>
      </w:r>
    </w:p>
    <w:p w14:paraId="31772E9A"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00627CAD">
        <w:rPr>
          <w:rFonts w:eastAsia="Times New Roman"/>
          <w:sz w:val="24"/>
          <w:szCs w:val="24"/>
        </w:rPr>
        <w:t xml:space="preserve">and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00627CAD">
        <w:rPr>
          <w:rFonts w:eastAsia="Times New Roman"/>
          <w:sz w:val="24"/>
          <w:szCs w:val="24"/>
        </w:rPr>
        <w:t xml:space="preserve"> </w:t>
      </w:r>
      <w:r w:rsidRPr="0039769C">
        <w:rPr>
          <w:rFonts w:eastAsia="Times New Roman"/>
          <w:sz w:val="24"/>
          <w:szCs w:val="24"/>
        </w:rPr>
        <w:t xml:space="preserve">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w:t>
      </w:r>
      <w:r w:rsidR="00AC4377">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944 P.2d 616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1997) (discussing whether oral and written statements of employer were sufficiently definite to constitute legally enforceable promise or commitment).</w:t>
      </w:r>
    </w:p>
    <w:p w14:paraId="4443987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w:t>
      </w:r>
      <w:r w:rsidR="00627CAD">
        <w:rPr>
          <w:rFonts w:eastAsia="Times New Roman"/>
          <w:sz w:val="24"/>
          <w:szCs w:val="24"/>
        </w:rPr>
        <w:t xml:space="preserve">at </w:t>
      </w:r>
      <w:r w:rsidRPr="0039769C">
        <w:rPr>
          <w:rFonts w:eastAsia="Times New Roman"/>
          <w:sz w:val="24"/>
          <w:szCs w:val="24"/>
        </w:rPr>
        <w:t>82</w:t>
      </w:r>
      <w:r w:rsidR="00627CAD">
        <w:rPr>
          <w:rFonts w:eastAsia="Times New Roman"/>
          <w:sz w:val="24"/>
          <w:szCs w:val="24"/>
        </w:rPr>
        <w:t>7</w:t>
      </w:r>
      <w:r w:rsidRPr="0039769C">
        <w:rPr>
          <w:rFonts w:eastAsia="Times New Roman"/>
          <w:sz w:val="24"/>
          <w:szCs w:val="24"/>
        </w:rPr>
        <w:t xml:space="preserve">;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xml:space="preserve">, 765 P.2d </w:t>
      </w:r>
      <w:r w:rsidR="00627CAD">
        <w:rPr>
          <w:rFonts w:eastAsia="Times New Roman"/>
          <w:sz w:val="24"/>
          <w:szCs w:val="24"/>
        </w:rPr>
        <w:t xml:space="preserve">at </w:t>
      </w:r>
      <w:r w:rsidRPr="0039769C">
        <w:rPr>
          <w:rFonts w:eastAsia="Times New Roman"/>
          <w:sz w:val="24"/>
          <w:szCs w:val="24"/>
        </w:rPr>
        <w:t>6</w:t>
      </w:r>
      <w:r w:rsidR="00627CAD">
        <w:rPr>
          <w:rFonts w:eastAsia="Times New Roman"/>
          <w:sz w:val="24"/>
          <w:szCs w:val="24"/>
        </w:rPr>
        <w:t>23</w:t>
      </w:r>
      <w:r w:rsidRPr="0039769C">
        <w:rPr>
          <w:rFonts w:eastAsia="Times New Roman"/>
          <w:sz w:val="24"/>
          <w:szCs w:val="24"/>
        </w:rPr>
        <w:t>.</w:t>
      </w:r>
    </w:p>
    <w:p w14:paraId="703D1B3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Pr="0039769C">
        <w:rPr>
          <w:rFonts w:eastAsia="Times New Roman"/>
          <w:sz w:val="24"/>
          <w:szCs w:val="24"/>
        </w:rPr>
        <w:t xml:space="preserve"> (where employees were merely fulfilling preexisting contractual obligations by continuing their employment, such continued employment did not constitute acceptance of offer or necessary consideration to modify contract).</w:t>
      </w:r>
    </w:p>
    <w:p w14:paraId="734A1533" w14:textId="7F490C1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 Consequently, an employee is not entitled to rely on termination procedures in a handbook when the termination procedures are changed by the employer before the employee is discharged, provided that the employer has given the affected employee reasonable notice of the change. </w:t>
      </w:r>
      <w:r w:rsidRPr="0039769C">
        <w:rPr>
          <w:rFonts w:eastAsia="Times New Roman"/>
          <w:i/>
          <w:sz w:val="24"/>
          <w:szCs w:val="24"/>
        </w:rPr>
        <w:t>Id</w:t>
      </w:r>
      <w:r w:rsidRPr="00A23FAA">
        <w:rPr>
          <w:rFonts w:eastAsia="Times New Roman"/>
          <w:i/>
          <w:sz w:val="24"/>
          <w:szCs w:val="24"/>
        </w:rPr>
        <w:t>.</w:t>
      </w:r>
      <w:r w:rsidRPr="0039769C">
        <w:rPr>
          <w:rFonts w:eastAsia="Times New Roman"/>
          <w:sz w:val="24"/>
          <w:szCs w:val="24"/>
        </w:rPr>
        <w:t xml:space="preserve"> </w:t>
      </w:r>
      <w:r w:rsidR="00634E76">
        <w:rPr>
          <w:rFonts w:eastAsia="Times New Roman"/>
          <w:sz w:val="24"/>
          <w:szCs w:val="24"/>
        </w:rPr>
        <w:t xml:space="preserve">at 461. </w:t>
      </w:r>
      <w:r w:rsidRPr="0039769C">
        <w:rPr>
          <w:rFonts w:eastAsia="Times New Roman"/>
          <w:sz w:val="24"/>
          <w:szCs w:val="24"/>
        </w:rPr>
        <w:t xml:space="preserve">Further, if the employer has clearly and conspicuously disclaimed any intent to be contractually bound by the termination </w:t>
      </w:r>
      <w:r w:rsidRPr="0039769C">
        <w:rPr>
          <w:rFonts w:eastAsia="Times New Roman"/>
          <w:sz w:val="24"/>
          <w:szCs w:val="24"/>
        </w:rPr>
        <w:lastRenderedPageBreak/>
        <w:t xml:space="preserve">procedures of an employee handbook, the existence of a contract may be negated as a matter of law. </w:t>
      </w:r>
      <w:r w:rsidRPr="0039769C">
        <w:rPr>
          <w:rFonts w:eastAsia="Times New Roman"/>
          <w:i/>
          <w:sz w:val="24"/>
          <w:szCs w:val="24"/>
        </w:rPr>
        <w:t>Id</w:t>
      </w:r>
      <w:r w:rsidRPr="002A2CB9">
        <w:rPr>
          <w:rFonts w:eastAsia="Times New Roman"/>
          <w:i/>
          <w:sz w:val="24"/>
          <w:szCs w:val="24"/>
        </w:rPr>
        <w:t>.</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(where 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00634E76">
        <w:rPr>
          <w:rFonts w:eastAsia="Times New Roman"/>
          <w:sz w:val="24"/>
          <w:szCs w:val="24"/>
        </w:rPr>
        <w:t xml:space="preserve"> </w:t>
      </w:r>
      <w:r w:rsidRPr="0039769C">
        <w:rPr>
          <w:rFonts w:eastAsia="Times New Roman"/>
          <w:sz w:val="24"/>
          <w:szCs w:val="24"/>
        </w:rPr>
        <w:t xml:space="preserve">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w:t>
      </w:r>
      <w:r w:rsidR="00634E76">
        <w:rPr>
          <w:rFonts w:eastAsia="Times New Roman"/>
          <w:sz w:val="24"/>
          <w:szCs w:val="24"/>
        </w:rPr>
        <w:t xml:space="preserve"> </w:t>
      </w:r>
      <w:r w:rsidR="00634E76" w:rsidRPr="0039769C">
        <w:rPr>
          <w:rFonts w:eastAsia="Times New Roman"/>
          <w:sz w:val="24"/>
          <w:szCs w:val="24"/>
        </w:rPr>
        <w:t>(employee failed to establish implied contract where manual contained express disclaimer)</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9</w:t>
      </w:r>
      <w:r w:rsidRPr="0039769C">
        <w:rPr>
          <w:rFonts w:eastAsia="Times New Roman"/>
          <w:sz w:val="24"/>
          <w:szCs w:val="24"/>
        </w:rPr>
        <w:t xml:space="preserve"> (clear and conspicuous disclaimers in handbook precluded existence of implied contract).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w:t>
      </w:r>
      <w:r w:rsidR="001C6D6F">
        <w:rPr>
          <w:rFonts w:eastAsia="Times New Roman"/>
          <w:sz w:val="24"/>
          <w:szCs w:val="24"/>
        </w:rPr>
        <w:t xml:space="preserve"> </w:t>
      </w:r>
      <w:r w:rsidR="001C6D6F" w:rsidRPr="0039769C">
        <w:rPr>
          <w:rFonts w:eastAsia="Times New Roman"/>
          <w:sz w:val="24"/>
          <w:szCs w:val="24"/>
        </w:rPr>
        <w:t>(although employee manual contained conspicuous disclaimer that provisions in manual were not intended to create binding contractual obligations, evidence was sufficient to sustain jury determination that employer, by words or conduct, had modified at-will employment and breached employment contract by discharging employee)</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943 P.2d 431 (Colo. 1997).</w:t>
      </w:r>
    </w:p>
    <w:p w14:paraId="7C1C280E" w14:textId="1D4DB208"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t>
      </w:r>
      <w:r w:rsidR="00B508D4">
        <w:rPr>
          <w:rFonts w:eastAsia="Times New Roman"/>
          <w:sz w:val="24"/>
          <w:szCs w:val="24"/>
        </w:rPr>
        <w:t>that</w:t>
      </w:r>
      <w:r w:rsidR="00B508D4" w:rsidRPr="0039769C">
        <w:rPr>
          <w:rFonts w:eastAsia="Times New Roman"/>
          <w:sz w:val="24"/>
          <w:szCs w:val="24"/>
        </w:rPr>
        <w:t xml:space="preserve"> </w:t>
      </w:r>
      <w:r w:rsidRPr="0039769C">
        <w:rPr>
          <w:rFonts w:eastAsia="Times New Roman"/>
          <w:sz w:val="24"/>
          <w:szCs w:val="24"/>
        </w:rPr>
        <w:t xml:space="preserve">are inconsistent with a disclaimer and raise factual issues for the jury to determine regarding whether the employer was contractually bound by such provisions, thus precluding the entry of summary judgment for the employer.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employment contract </w:t>
      </w:r>
      <w:r w:rsidR="00B508D4">
        <w:rPr>
          <w:rFonts w:eastAsia="Times New Roman"/>
          <w:sz w:val="24"/>
          <w:szCs w:val="24"/>
        </w:rPr>
        <w:t xml:space="preserve">existed </w:t>
      </w:r>
      <w:r w:rsidRPr="0039769C">
        <w:rPr>
          <w:rFonts w:eastAsia="Times New Roman"/>
          <w:sz w:val="24"/>
          <w:szCs w:val="24"/>
        </w:rPr>
        <w:t>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xml:space="preserve">, 765 P.2d </w:t>
      </w:r>
      <w:r w:rsidR="00AC4377">
        <w:rPr>
          <w:rFonts w:eastAsia="Times New Roman"/>
          <w:sz w:val="24"/>
          <w:szCs w:val="24"/>
        </w:rPr>
        <w:t xml:space="preserve">at </w:t>
      </w:r>
      <w:r w:rsidRPr="0039769C">
        <w:rPr>
          <w:rFonts w:eastAsia="Times New Roman"/>
          <w:sz w:val="24"/>
          <w:szCs w:val="24"/>
        </w:rPr>
        <w:t>6</w:t>
      </w:r>
      <w:r w:rsidR="00AC4377">
        <w:rPr>
          <w:rFonts w:eastAsia="Times New Roman"/>
          <w:sz w:val="24"/>
          <w:szCs w:val="24"/>
        </w:rPr>
        <w:t>23</w:t>
      </w:r>
      <w:r w:rsidRPr="0039769C">
        <w:rPr>
          <w:rFonts w:eastAsia="Times New Roman"/>
          <w:sz w:val="24"/>
          <w:szCs w:val="24"/>
        </w:rPr>
        <w:t>.</w:t>
      </w:r>
    </w:p>
    <w:p w14:paraId="5F399BE4" w14:textId="2EDD8170"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at</w:t>
      </w:r>
      <w:r w:rsidRPr="0039769C">
        <w:rPr>
          <w:rFonts w:eastAsia="Times New Roman"/>
          <w:sz w:val="24"/>
          <w:szCs w:val="24"/>
        </w:rPr>
        <w:t xml:space="preserve"> 712</w:t>
      </w:r>
      <w:r w:rsidR="000E3C22">
        <w:rPr>
          <w:rFonts w:eastAsia="Times New Roman"/>
          <w:sz w:val="24"/>
          <w:szCs w:val="24"/>
        </w:rPr>
        <w:t>,</w:t>
      </w:r>
      <w:r w:rsidRPr="0039769C">
        <w:rPr>
          <w:rFonts w:eastAsia="Times New Roman"/>
          <w:sz w:val="24"/>
          <w:szCs w:val="24"/>
        </w:rPr>
        <w:t xml:space="preserve"> the employee can show that:</w:t>
      </w:r>
    </w:p>
    <w:p w14:paraId="401E6EF1"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[T]he employer should reasonably have expected the employee to consider the employee manual as a commitment from the employer to follow the termination procedures, that the employee reasonably relied on the termination procedures to his detriment, and that injustice can be avoided only by enforcement of the termination procedures.</w:t>
      </w:r>
    </w:p>
    <w:p w14:paraId="6A92E9B7" w14:textId="77777777" w:rsidR="0039769C" w:rsidRPr="0039769C" w:rsidRDefault="0039769C" w:rsidP="0039769C">
      <w:pPr>
        <w:spacing w:after="240"/>
        <w:rPr>
          <w:rFonts w:eastAsia="Times New Roman"/>
          <w:sz w:val="24"/>
          <w:szCs w:val="24"/>
        </w:rPr>
      </w:pPr>
      <w:r w:rsidRPr="00A66FF0">
        <w:rPr>
          <w:rFonts w:eastAsia="Times New Roman"/>
          <w:i/>
          <w:sz w:val="24"/>
          <w:szCs w:val="24"/>
        </w:rPr>
        <w:t>See also</w:t>
      </w:r>
      <w:r w:rsidRPr="0039769C">
        <w:rPr>
          <w:rFonts w:eastAsia="Times New Roman"/>
          <w:sz w:val="24"/>
          <w:szCs w:val="24"/>
        </w:rPr>
        <w:t xml:space="preserve"> Source and Authority to Instruction 30:7</w:t>
      </w:r>
      <w:r w:rsidR="00B508D4">
        <w:rPr>
          <w:rFonts w:eastAsia="Times New Roman"/>
          <w:sz w:val="24"/>
          <w:szCs w:val="24"/>
        </w:rPr>
        <w:t xml:space="preserve"> (contract formation)</w:t>
      </w:r>
      <w:r w:rsidRPr="0039769C">
        <w:rPr>
          <w:rFonts w:eastAsia="Times New Roman"/>
          <w:sz w:val="24"/>
          <w:szCs w:val="24"/>
        </w:rPr>
        <w:t>.</w:t>
      </w:r>
    </w:p>
    <w:p w14:paraId="211D0D57" w14:textId="1A9CDB9B"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w:t>
      </w:r>
      <w:r w:rsidR="00E73995">
        <w:rPr>
          <w:rFonts w:eastAsia="Times New Roman"/>
          <w:sz w:val="24"/>
          <w:szCs w:val="24"/>
        </w:rPr>
        <w:t>Because</w:t>
      </w:r>
      <w:r w:rsidR="00E73995" w:rsidRPr="0039769C">
        <w:rPr>
          <w:rFonts w:eastAsia="Times New Roman"/>
          <w:sz w:val="24"/>
          <w:szCs w:val="24"/>
        </w:rPr>
        <w:t xml:space="preserve"> </w:t>
      </w:r>
      <w:r w:rsidRPr="0039769C">
        <w:rPr>
          <w:rFonts w:eastAsia="Times New Roman"/>
          <w:sz w:val="24"/>
          <w:szCs w:val="24"/>
        </w:rPr>
        <w:t xml:space="preserve">promissory estoppel is an equitable claim under C.R.C.P. 38(a), there is no right to a jury trial with respect to such claim. </w:t>
      </w:r>
      <w:r w:rsidRPr="0039769C">
        <w:rPr>
          <w:rFonts w:eastAsia="Times New Roman"/>
          <w:b/>
          <w:sz w:val="24"/>
          <w:szCs w:val="24"/>
        </w:rPr>
        <w:t>Snow Basin, Ltd. v. Boettcher &amp; Co.</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w:t>
      </w:r>
      <w:r w:rsidR="00634E76">
        <w:rPr>
          <w:rFonts w:eastAsia="Times New Roman"/>
          <w:sz w:val="24"/>
          <w:szCs w:val="24"/>
        </w:rPr>
        <w:t xml:space="preserve">at </w:t>
      </w:r>
      <w:r w:rsidRPr="0039769C">
        <w:rPr>
          <w:rFonts w:eastAsia="Times New Roman"/>
          <w:sz w:val="24"/>
          <w:szCs w:val="24"/>
        </w:rPr>
        <w:t>4</w:t>
      </w:r>
      <w:r w:rsidR="00634E76">
        <w:rPr>
          <w:rFonts w:eastAsia="Times New Roman"/>
          <w:sz w:val="24"/>
          <w:szCs w:val="24"/>
        </w:rPr>
        <w:t>35</w:t>
      </w:r>
      <w:r w:rsidRPr="0039769C">
        <w:rPr>
          <w:rFonts w:eastAsia="Times New Roman"/>
          <w:sz w:val="24"/>
          <w:szCs w:val="24"/>
        </w:rPr>
        <w:t xml:space="preserve"> (employee’s promissory estoppel </w:t>
      </w:r>
      <w:r w:rsidRPr="0039769C">
        <w:rPr>
          <w:rFonts w:eastAsia="Times New Roman"/>
          <w:sz w:val="24"/>
          <w:szCs w:val="24"/>
        </w:rPr>
        <w:lastRenderedPageBreak/>
        <w:t xml:space="preserve">claim was properly resolved by the court and not submitted to the jury);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w:t>
      </w:r>
      <w:r w:rsidR="001811AB">
        <w:rPr>
          <w:rFonts w:eastAsia="Times New Roman"/>
          <w:sz w:val="24"/>
          <w:szCs w:val="24"/>
        </w:rPr>
        <w:t xml:space="preserve"> </w:t>
      </w:r>
      <w:r w:rsidR="001811AB" w:rsidRPr="0039769C">
        <w:rPr>
          <w:rFonts w:eastAsia="Times New Roman"/>
          <w:sz w:val="24"/>
          <w:szCs w:val="24"/>
        </w:rPr>
        <w:t>(employee’s claim of promissory estoppel could not be predicated on representations of employer that did not affect material terms of contract for at-will employment)</w:t>
      </w:r>
      <w:r w:rsidRPr="0039769C">
        <w:rPr>
          <w:rFonts w:eastAsia="Times New Roman"/>
          <w:sz w:val="24"/>
          <w:szCs w:val="24"/>
        </w:rPr>
        <w:t xml:space="preserve">, </w:t>
      </w:r>
      <w:r w:rsidRPr="0039769C">
        <w:rPr>
          <w:rFonts w:eastAsia="Times New Roman"/>
          <w:i/>
          <w:sz w:val="24"/>
          <w:szCs w:val="24"/>
        </w:rPr>
        <w:t>rev’d on other grounds</w:t>
      </w:r>
      <w:r w:rsidRPr="0039769C">
        <w:rPr>
          <w:rFonts w:eastAsia="Times New Roman"/>
          <w:sz w:val="24"/>
          <w:szCs w:val="24"/>
        </w:rPr>
        <w:t xml:space="preserve">, 931 P.2d 1184 (Colo. 1997);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8</w:t>
      </w:r>
      <w:r w:rsidRPr="0039769C">
        <w:rPr>
          <w:rFonts w:eastAsia="Times New Roman"/>
          <w:sz w:val="24"/>
          <w:szCs w:val="24"/>
        </w:rPr>
        <w:t xml:space="preserve"> (employer’s statement must be specific and definite to form basis for a promissory estoppel claim).</w:t>
      </w:r>
    </w:p>
    <w:p w14:paraId="72957FBF" w14:textId="73435B50" w:rsidR="0039769C" w:rsidRPr="0039769C" w:rsidRDefault="0039769C" w:rsidP="0039769C">
      <w:pPr>
        <w:spacing w:after="240"/>
        <w:ind w:firstLine="720"/>
        <w:rPr>
          <w:rFonts w:eastAsia="Times New Roman"/>
          <w:sz w:val="24"/>
          <w:szCs w:val="24"/>
        </w:rPr>
      </w:pPr>
      <w:r w:rsidRPr="0039769C">
        <w:rPr>
          <w:rFonts w:eastAsia="Times New Roman"/>
          <w:sz w:val="24"/>
          <w:szCs w:val="24"/>
        </w:rPr>
        <w:t>11. Where an employee discovers a misrepresentation on an employment application or résumé after the employee has been terminated for other reasons, such “after</w:t>
      </w:r>
      <w:r w:rsidR="008C35E5">
        <w:rPr>
          <w:rFonts w:eastAsia="Times New Roman"/>
          <w:sz w:val="24"/>
          <w:szCs w:val="24"/>
        </w:rPr>
        <w:t>-</w:t>
      </w:r>
      <w:r w:rsidRPr="0039769C">
        <w:rPr>
          <w:rFonts w:eastAsia="Times New Roman"/>
          <w:sz w:val="24"/>
          <w:szCs w:val="24"/>
        </w:rPr>
        <w:t xml:space="preserve">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39769C">
        <w:rPr>
          <w:rFonts w:eastAsia="Times New Roman"/>
          <w:b/>
          <w:sz w:val="24"/>
          <w:szCs w:val="24"/>
        </w:rPr>
        <w:t>Crawford Rehab. Servs.,</w:t>
      </w:r>
      <w:r w:rsidR="008C35E5" w:rsidRPr="0039769C" w:rsidDel="008C35E5">
        <w:rPr>
          <w:rFonts w:eastAsia="Times New Roman"/>
          <w:b/>
          <w:sz w:val="24"/>
          <w:szCs w:val="24"/>
        </w:rPr>
        <w:t xml:space="preserve"> </w:t>
      </w:r>
      <w:r w:rsidRPr="0039769C">
        <w:rPr>
          <w:rFonts w:eastAsia="Times New Roman"/>
          <w:sz w:val="24"/>
          <w:szCs w:val="24"/>
        </w:rPr>
        <w:t xml:space="preserve">, 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9;</w:t>
      </w:r>
      <w:r w:rsidRPr="0039769C">
        <w:rPr>
          <w:rFonts w:eastAsia="Times New Roman"/>
          <w:sz w:val="24"/>
          <w:szCs w:val="24"/>
        </w:rPr>
        <w:t xml:space="preserve"> </w:t>
      </w:r>
      <w:r w:rsidR="008C35E5"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 31:11.</w:t>
      </w:r>
    </w:p>
    <w:p w14:paraId="6C52A49E" w14:textId="5441D1BF"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w:t>
      </w:r>
      <w:r w:rsidR="00E73995">
        <w:rPr>
          <w:rFonts w:eastAsia="Times New Roman"/>
          <w:sz w:val="24"/>
          <w:szCs w:val="24"/>
        </w:rPr>
        <w:t>;</w:t>
      </w:r>
      <w:r w:rsidRPr="0039769C">
        <w:rPr>
          <w:rFonts w:eastAsia="Times New Roman"/>
          <w:i/>
          <w:sz w:val="24"/>
          <w:szCs w:val="24"/>
        </w:rPr>
        <w:t xml:space="preserve">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2002) (grievance procedures contained in college’s policy manual did not create implied contract with instructor whose employment was at-will where policy manual expressly stated that grievance procedures did not apply to temporary employees).</w:t>
      </w:r>
    </w:p>
    <w:p w14:paraId="39822055" w14:textId="571BB3F1"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255 P.3d 1058</w:t>
      </w:r>
      <w:r w:rsidR="00E73995">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501F3C1D" w14:textId="77777777" w:rsidR="0039769C" w:rsidRDefault="0039769C">
      <w:pPr>
        <w:rPr>
          <w:rFonts w:eastAsia="Times New Roman"/>
          <w:bCs/>
          <w:sz w:val="24"/>
          <w:szCs w:val="24"/>
        </w:rPr>
      </w:pPr>
      <w:r>
        <w:rPr>
          <w:rFonts w:eastAsia="Times New Roman"/>
          <w:bCs/>
          <w:sz w:val="24"/>
          <w:szCs w:val="24"/>
        </w:rPr>
        <w:br w:type="page"/>
      </w:r>
    </w:p>
    <w:p w14:paraId="5951F934" w14:textId="77777777" w:rsidR="0039769C" w:rsidRPr="009E3DA4" w:rsidRDefault="0039769C" w:rsidP="0039769C">
      <w:pPr>
        <w:spacing w:after="240"/>
        <w:ind w:left="720" w:hanging="720"/>
        <w:rPr>
          <w:rFonts w:eastAsia="Times New Roman"/>
          <w:b/>
          <w:sz w:val="24"/>
          <w:szCs w:val="24"/>
        </w:rPr>
      </w:pPr>
      <w:bookmarkStart w:id="5" w:name="a31_05"/>
      <w:bookmarkEnd w:id="5"/>
      <w:r w:rsidRPr="0039769C">
        <w:rPr>
          <w:rFonts w:eastAsia="Times New Roman"/>
          <w:b/>
          <w:sz w:val="24"/>
          <w:szCs w:val="24"/>
        </w:rPr>
        <w:lastRenderedPageBreak/>
        <w:t xml:space="preserve">31:5 </w:t>
      </w:r>
      <w:r w:rsidRPr="0039769C">
        <w:rPr>
          <w:rFonts w:eastAsia="Times New Roman"/>
          <w:b/>
          <w:sz w:val="24"/>
          <w:szCs w:val="24"/>
        </w:rPr>
        <w:tab/>
        <w:t>AT-WILL EMPLOYMENT — DEFINED</w:t>
      </w:r>
    </w:p>
    <w:p w14:paraId="38D2237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14:paraId="70A79BCA" w14:textId="77777777" w:rsidR="0039769C" w:rsidRDefault="0039769C" w:rsidP="0039769C">
      <w:pPr>
        <w:jc w:val="center"/>
        <w:rPr>
          <w:rFonts w:eastAsia="Times New Roman"/>
          <w:sz w:val="24"/>
          <w:szCs w:val="24"/>
        </w:rPr>
      </w:pPr>
    </w:p>
    <w:p w14:paraId="6910957B" w14:textId="77777777"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14:paraId="3C438EB0"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14:paraId="06C5CB36"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2. This instruction should not be given if plaintiff is asserting a tort rather than a contract claim for wrongful discharge. If plaintiff is asserting both contract and tort claims for wrongful discharge and this instruction is given, the jury should be advised that the existence of an at-will employment relationship does not preclude the plaintiff from recovering in tort.</w:t>
      </w:r>
    </w:p>
    <w:p w14:paraId="6D117EDA" w14:textId="77777777"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14:paraId="533C5FCA" w14:textId="3B135A4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8C35E5" w:rsidRPr="0039769C">
        <w:rPr>
          <w:rFonts w:eastAsia="Times New Roman"/>
          <w:b/>
          <w:sz w:val="24"/>
          <w:szCs w:val="24"/>
        </w:rPr>
        <w:t>Crawford Rehab</w:t>
      </w:r>
      <w:r w:rsidR="008C35E5">
        <w:rPr>
          <w:rFonts w:eastAsia="Times New Roman"/>
          <w:b/>
          <w:sz w:val="24"/>
          <w:szCs w:val="24"/>
        </w:rPr>
        <w:t>ilitation</w:t>
      </w:r>
      <w:r w:rsidR="008C35E5" w:rsidRPr="0039769C">
        <w:rPr>
          <w:rFonts w:eastAsia="Times New Roman"/>
          <w:b/>
          <w:sz w:val="24"/>
          <w:szCs w:val="24"/>
        </w:rPr>
        <w:t xml:space="preserve"> Serv</w:t>
      </w:r>
      <w:r w:rsidR="008C35E5">
        <w:rPr>
          <w:rFonts w:eastAsia="Times New Roman"/>
          <w:b/>
          <w:sz w:val="24"/>
          <w:szCs w:val="24"/>
        </w:rPr>
        <w:t>ice</w:t>
      </w:r>
      <w:r w:rsidR="008C35E5" w:rsidRPr="0039769C">
        <w:rPr>
          <w:rFonts w:eastAsia="Times New Roman"/>
          <w:b/>
          <w:sz w:val="24"/>
          <w:szCs w:val="24"/>
        </w:rPr>
        <w:t>s, Inc. v. Weissman</w:t>
      </w:r>
      <w:r w:rsidR="008C35E5" w:rsidRPr="0039769C">
        <w:rPr>
          <w:rFonts w:eastAsia="Times New Roman"/>
          <w:sz w:val="24"/>
          <w:szCs w:val="24"/>
        </w:rPr>
        <w:t>, 938 P.2d 540 (Colo. 1997)</w:t>
      </w:r>
      <w:r w:rsidR="008C35E5">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759 P.2d 1336 (Colo. 1988);.</w:t>
      </w:r>
    </w:p>
    <w:p w14:paraId="4E33A61E" w14:textId="5A450CA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r w:rsidRPr="0039769C">
        <w:rPr>
          <w:rFonts w:eastAsia="Times New Roman"/>
          <w:b/>
          <w:sz w:val="24"/>
          <w:szCs w:val="24"/>
        </w:rPr>
        <w:t>Crawford Rehab. Servs.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6</w:t>
      </w:r>
      <w:r w:rsidRPr="0039769C">
        <w:rPr>
          <w:rFonts w:eastAsia="Times New Roman"/>
          <w:sz w:val="24"/>
          <w:szCs w:val="24"/>
        </w:rPr>
        <w:t xml:space="preserve">;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w:t>
      </w:r>
      <w:r w:rsidR="00627CAD">
        <w:rPr>
          <w:rFonts w:eastAsia="Times New Roman"/>
          <w:sz w:val="24"/>
          <w:szCs w:val="24"/>
        </w:rPr>
        <w:t xml:space="preserve">at </w:t>
      </w:r>
      <w:r w:rsidRPr="0039769C">
        <w:rPr>
          <w:rFonts w:eastAsia="Times New Roman"/>
          <w:sz w:val="24"/>
          <w:szCs w:val="24"/>
        </w:rPr>
        <w:t>13</w:t>
      </w:r>
      <w:r w:rsidR="00627CAD">
        <w:rPr>
          <w:rFonts w:eastAsia="Times New Roman"/>
          <w:sz w:val="24"/>
          <w:szCs w:val="24"/>
        </w:rPr>
        <w:t>48</w:t>
      </w:r>
      <w:r w:rsidRPr="0039769C">
        <w:rPr>
          <w:rFonts w:eastAsia="Times New Roman"/>
          <w:sz w:val="24"/>
          <w:szCs w:val="24"/>
        </w:rPr>
        <w:t xml:space="preserve">;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 xml:space="preserve">at </w:t>
      </w:r>
      <w:r w:rsidRPr="0039769C">
        <w:rPr>
          <w:rFonts w:eastAsia="Times New Roman"/>
          <w:sz w:val="24"/>
          <w:szCs w:val="24"/>
        </w:rPr>
        <w:t>7</w:t>
      </w:r>
      <w:r w:rsidR="000E3C22">
        <w:rPr>
          <w:rFonts w:eastAsia="Times New Roman"/>
          <w:sz w:val="24"/>
          <w:szCs w:val="24"/>
        </w:rPr>
        <w:t>11</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 xml:space="preserve">2002); </w:t>
      </w:r>
      <w:r w:rsidRPr="0039769C">
        <w:rPr>
          <w:rFonts w:eastAsia="Times New Roman"/>
          <w:b/>
          <w:sz w:val="24"/>
          <w:szCs w:val="24"/>
        </w:rPr>
        <w:t>Herrera v. San Luis C</w:t>
      </w:r>
      <w:r w:rsidR="007D024F">
        <w:rPr>
          <w:rFonts w:eastAsia="Times New Roman"/>
          <w:b/>
          <w:sz w:val="24"/>
          <w:szCs w:val="24"/>
        </w:rPr>
        <w:t>ent</w:t>
      </w:r>
      <w:r w:rsidRPr="0039769C">
        <w:rPr>
          <w:rFonts w:eastAsia="Times New Roman"/>
          <w:b/>
          <w:sz w:val="24"/>
          <w:szCs w:val="24"/>
        </w:rPr>
        <w:t>.</w:t>
      </w:r>
      <w:r w:rsidR="007D024F">
        <w:rPr>
          <w:rFonts w:eastAsia="Times New Roman"/>
          <w:b/>
          <w:sz w:val="24"/>
          <w:szCs w:val="24"/>
        </w:rPr>
        <w:t xml:space="preserve"> </w:t>
      </w:r>
      <w:r w:rsidRPr="0039769C">
        <w:rPr>
          <w:rFonts w:eastAsia="Times New Roman"/>
          <w:b/>
          <w:sz w:val="24"/>
          <w:szCs w:val="24"/>
        </w:rPr>
        <w:t>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Cronk v. Interm</w:t>
      </w:r>
      <w:r w:rsidR="00AC4377">
        <w:rPr>
          <w:rFonts w:eastAsia="Times New Roman"/>
          <w:b/>
          <w:sz w:val="24"/>
          <w:szCs w:val="24"/>
        </w:rPr>
        <w:t>oun</w:t>
      </w:r>
      <w:r w:rsidRPr="0039769C">
        <w:rPr>
          <w:rFonts w:eastAsia="Times New Roman"/>
          <w:b/>
          <w:sz w:val="24"/>
          <w:szCs w:val="24"/>
        </w:rPr>
        <w:t>t</w:t>
      </w:r>
      <w:r w:rsidR="00AC4377">
        <w:rPr>
          <w:rFonts w:eastAsia="Times New Roman"/>
          <w:b/>
          <w:sz w:val="24"/>
          <w:szCs w:val="24"/>
        </w:rPr>
        <w:t>ai</w:t>
      </w:r>
      <w:r w:rsidRPr="0039769C">
        <w:rPr>
          <w:rFonts w:eastAsia="Times New Roman"/>
          <w:b/>
          <w:sz w:val="24"/>
          <w:szCs w:val="24"/>
        </w:rPr>
        <w:t>n Rural Elec. Ass’n</w:t>
      </w:r>
      <w:r w:rsidRPr="0039769C">
        <w:rPr>
          <w:rFonts w:eastAsia="Times New Roman"/>
          <w:sz w:val="24"/>
          <w:szCs w:val="24"/>
        </w:rPr>
        <w:t>, 765 P.2d 619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 xml:space="preserve">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004C1468">
        <w:rPr>
          <w:rFonts w:eastAsia="Times New Roman"/>
          <w:sz w:val="24"/>
          <w:szCs w:val="24"/>
        </w:rPr>
        <w:t xml:space="preserve"> </w:t>
      </w:r>
      <w:r w:rsidRPr="0039769C">
        <w:rPr>
          <w:rFonts w:eastAsia="Times New Roman"/>
          <w:sz w:val="24"/>
          <w:szCs w:val="24"/>
        </w:rPr>
        <w:t xml:space="preserve">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w:t>
      </w:r>
      <w:r w:rsidR="0005426E">
        <w:rPr>
          <w:rFonts w:eastAsia="Times New Roman"/>
          <w:b/>
          <w:sz w:val="24"/>
          <w:szCs w:val="24"/>
        </w:rPr>
        <w:t>iation</w:t>
      </w:r>
      <w:r w:rsidRPr="0039769C">
        <w:rPr>
          <w:rFonts w:eastAsia="Times New Roman"/>
          <w:b/>
          <w:sz w:val="24"/>
          <w:szCs w:val="24"/>
        </w:rPr>
        <w:t xml:space="preserve">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only where there is an express or implied contract limiting or restricting the employer’s right to terminate the relationship. </w:t>
      </w:r>
      <w:r w:rsidRPr="0039769C">
        <w:rPr>
          <w:rFonts w:eastAsia="Times New Roman"/>
          <w:b/>
          <w:sz w:val="24"/>
          <w:szCs w:val="24"/>
        </w:rPr>
        <w:t>Hoff</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758 P.2d </w:t>
      </w:r>
      <w:r w:rsidR="007D024F">
        <w:rPr>
          <w:rFonts w:eastAsia="Times New Roman"/>
          <w:sz w:val="24"/>
          <w:szCs w:val="24"/>
        </w:rPr>
        <w:t xml:space="preserve">at </w:t>
      </w:r>
      <w:r w:rsidRPr="0039769C">
        <w:rPr>
          <w:rFonts w:eastAsia="Times New Roman"/>
          <w:sz w:val="24"/>
          <w:szCs w:val="24"/>
        </w:rPr>
        <w:t>67</w:t>
      </w:r>
      <w:r w:rsidR="007D024F">
        <w:rPr>
          <w:rFonts w:eastAsia="Times New Roman"/>
          <w:sz w:val="24"/>
          <w:szCs w:val="24"/>
        </w:rPr>
        <w:t>8</w:t>
      </w:r>
      <w:r w:rsidRPr="0039769C">
        <w:rPr>
          <w:rFonts w:eastAsia="Times New Roman"/>
          <w:sz w:val="24"/>
          <w:szCs w:val="24"/>
        </w:rPr>
        <w:t>.</w:t>
      </w:r>
    </w:p>
    <w:p w14:paraId="2E78AFA8" w14:textId="49D22ACA" w:rsidR="0039769C" w:rsidRPr="0039769C" w:rsidRDefault="0039769C" w:rsidP="0039769C">
      <w:pPr>
        <w:spacing w:after="240"/>
        <w:ind w:firstLine="720"/>
        <w:rPr>
          <w:rFonts w:eastAsia="Times New Roman"/>
          <w:sz w:val="24"/>
          <w:szCs w:val="24"/>
        </w:rPr>
      </w:pPr>
      <w:r w:rsidRPr="0039769C">
        <w:rPr>
          <w:rFonts w:eastAsia="Times New Roman"/>
          <w:sz w:val="24"/>
          <w:szCs w:val="24"/>
        </w:rPr>
        <w:lastRenderedPageBreak/>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w:t>
      </w:r>
      <w:r w:rsidR="007D024F">
        <w:rPr>
          <w:rFonts w:eastAsia="Times New Roman"/>
          <w:sz w:val="24"/>
          <w:szCs w:val="24"/>
        </w:rPr>
        <w:t>;</w:t>
      </w:r>
      <w:r w:rsidRPr="0039769C">
        <w:rPr>
          <w:rFonts w:eastAsia="Times New Roman"/>
          <w:sz w:val="24"/>
          <w:szCs w:val="24"/>
        </w:rPr>
        <w:t xml:space="preserve"> </w:t>
      </w:r>
      <w:r w:rsidR="007D024F"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Instructions 31:3, 31:4, 31:12,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148 P.3d </w:t>
      </w:r>
      <w:r w:rsidR="00BB309E">
        <w:rPr>
          <w:rFonts w:eastAsia="Times New Roman"/>
          <w:sz w:val="24"/>
          <w:szCs w:val="24"/>
        </w:rPr>
        <w:t xml:space="preserve">at </w:t>
      </w:r>
      <w:r w:rsidRPr="0039769C">
        <w:rPr>
          <w:rFonts w:eastAsia="Times New Roman"/>
          <w:sz w:val="24"/>
          <w:szCs w:val="24"/>
        </w:rPr>
        <w:t>24</w:t>
      </w:r>
      <w:r w:rsidR="00BB309E">
        <w:rPr>
          <w:rFonts w:eastAsia="Times New Roman"/>
          <w:sz w:val="24"/>
          <w:szCs w:val="24"/>
        </w:rPr>
        <w:t>3</w:t>
      </w:r>
      <w:r w:rsidRPr="0039769C">
        <w:rPr>
          <w:rFonts w:eastAsia="Times New Roman"/>
          <w:sz w:val="24"/>
          <w:szCs w:val="24"/>
        </w:rPr>
        <w:t>.</w:t>
      </w:r>
    </w:p>
    <w:p w14:paraId="66F782F1" w14:textId="02553C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3-4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001C6D6F">
        <w:rPr>
          <w:rFonts w:eastAsia="Times New Roman"/>
          <w:sz w:val="24"/>
          <w:szCs w:val="24"/>
        </w:rPr>
        <w:t>;</w:t>
      </w:r>
      <w:r w:rsidRPr="0039769C">
        <w:rPr>
          <w:rFonts w:eastAsia="Times New Roman"/>
          <w:sz w:val="24"/>
          <w:szCs w:val="24"/>
        </w:rPr>
        <w:t xml:space="preserve"> </w:t>
      </w:r>
      <w:r w:rsidR="001C6D6F">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w:t>
      </w:r>
      <w:r w:rsidR="001C6D6F">
        <w:rPr>
          <w:rFonts w:eastAsia="Times New Roman"/>
          <w:sz w:val="24"/>
          <w:szCs w:val="24"/>
        </w:rPr>
        <w:t xml:space="preserve">at </w:t>
      </w:r>
      <w:r w:rsidRPr="0039769C">
        <w:rPr>
          <w:rFonts w:eastAsia="Times New Roman"/>
          <w:sz w:val="24"/>
          <w:szCs w:val="24"/>
        </w:rPr>
        <w:t>5</w:t>
      </w:r>
      <w:r w:rsidR="001C6D6F">
        <w:rPr>
          <w:rFonts w:eastAsia="Times New Roman"/>
          <w:sz w:val="24"/>
          <w:szCs w:val="24"/>
        </w:rPr>
        <w:t>4</w:t>
      </w:r>
      <w:r w:rsidRPr="0039769C">
        <w:rPr>
          <w:rFonts w:eastAsia="Times New Roman"/>
          <w:sz w:val="24"/>
          <w:szCs w:val="24"/>
        </w:rPr>
        <w:t xml:space="preserve">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w:t>
      </w:r>
      <w:r w:rsidR="004C1468">
        <w:rPr>
          <w:rFonts w:eastAsia="Times New Roman"/>
          <w:sz w:val="24"/>
          <w:szCs w:val="24"/>
        </w:rPr>
        <w:t xml:space="preserve">at </w:t>
      </w:r>
      <w:r w:rsidRPr="0039769C">
        <w:rPr>
          <w:rFonts w:eastAsia="Times New Roman"/>
          <w:sz w:val="24"/>
          <w:szCs w:val="24"/>
        </w:rPr>
        <w:t>13</w:t>
      </w:r>
      <w:r w:rsidR="004C1468">
        <w:rPr>
          <w:rFonts w:eastAsia="Times New Roman"/>
          <w:sz w:val="24"/>
          <w:szCs w:val="24"/>
        </w:rPr>
        <w:t>83</w:t>
      </w:r>
      <w:r w:rsidRPr="0039769C">
        <w:rPr>
          <w:rFonts w:eastAsia="Times New Roman"/>
          <w:sz w:val="24"/>
          <w:szCs w:val="24"/>
        </w:rPr>
        <w:t xml:space="preserve">,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w:t>
      </w:r>
      <w:r w:rsidR="00A62F9D">
        <w:rPr>
          <w:rFonts w:eastAsia="Times New Roman"/>
          <w:sz w:val="24"/>
          <w:szCs w:val="24"/>
        </w:rPr>
        <w:t xml:space="preserve">at </w:t>
      </w:r>
      <w:r w:rsidRPr="0039769C">
        <w:rPr>
          <w:rFonts w:eastAsia="Times New Roman"/>
          <w:sz w:val="24"/>
          <w:szCs w:val="24"/>
        </w:rPr>
        <w:t>118</w:t>
      </w:r>
      <w:r w:rsidR="00A62F9D">
        <w:rPr>
          <w:rFonts w:eastAsia="Times New Roman"/>
          <w:sz w:val="24"/>
          <w:szCs w:val="24"/>
        </w:rPr>
        <w:t>6</w:t>
      </w:r>
      <w:r w:rsidRPr="0039769C">
        <w:rPr>
          <w:rFonts w:eastAsia="Times New Roman"/>
          <w:sz w:val="24"/>
          <w:szCs w:val="24"/>
        </w:rPr>
        <w:t>.</w:t>
      </w:r>
    </w:p>
    <w:p w14:paraId="40673942" w14:textId="19F3458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Pr="0039769C">
        <w:rPr>
          <w:rFonts w:eastAsia="Times New Roman"/>
          <w:sz w:val="24"/>
          <w:szCs w:val="24"/>
        </w:rPr>
        <w:t xml:space="preserve"> </w:t>
      </w:r>
      <w:r w:rsidR="0005426E">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14:paraId="530C6D6B" w14:textId="23E913F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the court declined to recognize an exception to the at-will employment doctrine where the employer allegedly used fraud or deception to justify terminating an at-will employee. The court concluded that since all of the employee’s claimed damages arose from the termination of his employment, his fraud claims were barred by the employment at-will doctrine.</w:t>
      </w:r>
    </w:p>
    <w:p w14:paraId="1ECE96E9" w14:textId="237652E5"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255 P.3d 1058</w:t>
      </w:r>
      <w:r w:rsidR="007D024F">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768037D7" w14:textId="77777777" w:rsidR="0039769C" w:rsidRDefault="0039769C">
      <w:pPr>
        <w:rPr>
          <w:rFonts w:eastAsia="Times New Roman"/>
          <w:bCs/>
          <w:sz w:val="24"/>
          <w:szCs w:val="24"/>
        </w:rPr>
      </w:pPr>
      <w:r>
        <w:rPr>
          <w:rFonts w:eastAsia="Times New Roman"/>
          <w:bCs/>
          <w:sz w:val="24"/>
          <w:szCs w:val="24"/>
        </w:rPr>
        <w:br w:type="page"/>
      </w:r>
    </w:p>
    <w:p w14:paraId="2FEB3316" w14:textId="77777777" w:rsidR="0039769C" w:rsidRPr="009E3DA4" w:rsidRDefault="003916C4" w:rsidP="0039769C">
      <w:pPr>
        <w:spacing w:after="240"/>
        <w:ind w:left="720" w:hanging="720"/>
        <w:rPr>
          <w:rFonts w:eastAsia="Times New Roman"/>
          <w:b/>
          <w:sz w:val="24"/>
          <w:szCs w:val="24"/>
        </w:rPr>
      </w:pPr>
      <w:bookmarkStart w:id="6" w:name="a31_06"/>
      <w:bookmarkEnd w:id="6"/>
      <w:r w:rsidRPr="003916C4">
        <w:rPr>
          <w:rFonts w:eastAsia="Times New Roman"/>
          <w:b/>
          <w:sz w:val="24"/>
          <w:szCs w:val="24"/>
        </w:rPr>
        <w:lastRenderedPageBreak/>
        <w:t xml:space="preserve">31:6 </w:t>
      </w:r>
      <w:r w:rsidRPr="003916C4">
        <w:rPr>
          <w:rFonts w:eastAsia="Times New Roman"/>
          <w:b/>
          <w:sz w:val="24"/>
          <w:szCs w:val="24"/>
        </w:rPr>
        <w:tab/>
        <w:t>GOOD OR JUST CAUSE — DEFINED</w:t>
      </w:r>
    </w:p>
    <w:p w14:paraId="6D138FC2" w14:textId="77777777" w:rsidR="003916C4" w:rsidRPr="003916C4" w:rsidRDefault="003916C4" w:rsidP="003916C4">
      <w:pPr>
        <w:spacing w:after="240"/>
        <w:ind w:firstLine="720"/>
        <w:rPr>
          <w:rFonts w:eastAsia="Times New Roman"/>
          <w:b/>
          <w:sz w:val="24"/>
          <w:szCs w:val="24"/>
        </w:rPr>
      </w:pPr>
      <w:r w:rsidRPr="003916C4">
        <w:rPr>
          <w:rFonts w:eastAsia="Times New Roman"/>
          <w:b/>
          <w:sz w:val="24"/>
          <w:szCs w:val="24"/>
        </w:rPr>
        <w:t>No instruction provided.</w:t>
      </w:r>
    </w:p>
    <w:p w14:paraId="227EEB3B" w14:textId="77777777" w:rsidR="0039769C" w:rsidRDefault="0039769C" w:rsidP="0039769C">
      <w:pPr>
        <w:jc w:val="center"/>
        <w:rPr>
          <w:rFonts w:eastAsia="Times New Roman"/>
          <w:sz w:val="24"/>
          <w:szCs w:val="24"/>
        </w:rPr>
      </w:pPr>
    </w:p>
    <w:p w14:paraId="7A1303AE" w14:textId="0D56E6A6"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w:t>
      </w:r>
    </w:p>
    <w:p w14:paraId="468134D4"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14:paraId="65D4845A"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14:paraId="24E65AA5"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14:paraId="34303FA3"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14:paraId="3A0625EF"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14:paraId="18EA13E0"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14:paraId="670927E1"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14:paraId="267A00D6" w14:textId="462A6D26" w:rsidR="00A80748" w:rsidRPr="00A80748" w:rsidRDefault="00FD2557"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In </w:t>
      </w:r>
      <w:r w:rsidR="00A80748" w:rsidRPr="00A80748">
        <w:rPr>
          <w:rFonts w:eastAsia="Times New Roman"/>
          <w:b/>
          <w:sz w:val="24"/>
          <w:szCs w:val="24"/>
        </w:rPr>
        <w:t>Adams v. Frontier Airlines Federal Credit Union</w:t>
      </w:r>
      <w:r w:rsidR="00A80748" w:rsidRPr="00A80748">
        <w:rPr>
          <w:rFonts w:eastAsia="Times New Roman"/>
          <w:sz w:val="24"/>
          <w:szCs w:val="24"/>
        </w:rPr>
        <w:t>, 691 P.2d 352 (</w:t>
      </w:r>
      <w:r w:rsidR="0067408D">
        <w:rPr>
          <w:rFonts w:eastAsia="Times New Roman"/>
          <w:sz w:val="24"/>
          <w:szCs w:val="24"/>
        </w:rPr>
        <w:t>Colo. App.</w:t>
      </w:r>
      <w:r w:rsidR="00A80748"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14:paraId="317ECC1D" w14:textId="21E7D5AC" w:rsidR="00A80748" w:rsidRPr="00A80748" w:rsidRDefault="00FD2557"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xml:space="preserve">. In </w:t>
      </w:r>
      <w:r w:rsidR="00A80748" w:rsidRPr="00A80748">
        <w:rPr>
          <w:rFonts w:eastAsia="Times New Roman"/>
          <w:b/>
          <w:sz w:val="24"/>
          <w:szCs w:val="24"/>
        </w:rPr>
        <w:t>Fredrickson v. Denver Public School District No. 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819 P.2d 1068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1991), the court construed the “good and just cause” provision of the statute setting forth the grounds for dismissal of a public school teacher with tenure, now </w:t>
      </w:r>
      <w:r>
        <w:rPr>
          <w:rFonts w:eastAsia="Times New Roman"/>
          <w:sz w:val="24"/>
          <w:szCs w:val="24"/>
        </w:rPr>
        <w:t>section</w:t>
      </w:r>
      <w:r w:rsidR="00A80748" w:rsidRPr="00A80748">
        <w:rPr>
          <w:rFonts w:eastAsia="Times New Roman"/>
          <w:sz w:val="24"/>
          <w:szCs w:val="24"/>
        </w:rPr>
        <w:t xml:space="preserve"> 22-63-301, C.R.S., as requiring conduct that adversely impacts a teacher’s fitness to perform his or her job duties or that materially and substantially affects his or her job performance. </w:t>
      </w:r>
      <w:r w:rsidRPr="00FD2557">
        <w:rPr>
          <w:rFonts w:eastAsia="Times New Roman"/>
          <w:i/>
          <w:sz w:val="24"/>
          <w:szCs w:val="24"/>
        </w:rPr>
        <w:t>See also</w:t>
      </w:r>
      <w:r w:rsidR="00A80748" w:rsidRPr="00A80748">
        <w:rPr>
          <w:rFonts w:eastAsia="Times New Roman"/>
          <w:sz w:val="24"/>
          <w:szCs w:val="24"/>
        </w:rPr>
        <w:t xml:space="preserve"> </w:t>
      </w:r>
      <w:r w:rsidR="00A80748" w:rsidRPr="00A80748">
        <w:rPr>
          <w:rFonts w:eastAsia="Times New Roman"/>
          <w:b/>
          <w:sz w:val="24"/>
          <w:szCs w:val="24"/>
        </w:rPr>
        <w:t>Bd</w:t>
      </w:r>
      <w:r>
        <w:rPr>
          <w:rFonts w:eastAsia="Times New Roman"/>
          <w:b/>
          <w:sz w:val="24"/>
          <w:szCs w:val="24"/>
        </w:rPr>
        <w:t>.</w:t>
      </w:r>
      <w:r w:rsidR="00A80748" w:rsidRPr="00A80748">
        <w:rPr>
          <w:rFonts w:eastAsia="Times New Roman"/>
          <w:b/>
          <w:sz w:val="24"/>
          <w:szCs w:val="24"/>
        </w:rPr>
        <w:t xml:space="preserve"> of Educ. v. Flaming</w:t>
      </w:r>
      <w:r w:rsidR="00A80748" w:rsidRPr="00A80748">
        <w:rPr>
          <w:rFonts w:eastAsia="Times New Roman"/>
          <w:sz w:val="24"/>
          <w:szCs w:val="24"/>
        </w:rPr>
        <w:t>, 938 P.2d 151 (Colo. 1997)</w:t>
      </w:r>
      <w:r>
        <w:rPr>
          <w:rFonts w:eastAsia="Times New Roman"/>
          <w:sz w:val="24"/>
          <w:szCs w:val="24"/>
        </w:rPr>
        <w:t>;</w:t>
      </w:r>
      <w:r w:rsidR="00A80748" w:rsidRPr="00A80748">
        <w:rPr>
          <w:rFonts w:eastAsia="Times New Roman"/>
          <w:sz w:val="24"/>
          <w:szCs w:val="24"/>
        </w:rPr>
        <w:t xml:space="preserve"> </w:t>
      </w:r>
      <w:r w:rsidR="00A80748" w:rsidRPr="00A80748">
        <w:rPr>
          <w:rFonts w:eastAsia="Times New Roman"/>
          <w:b/>
          <w:sz w:val="24"/>
          <w:szCs w:val="24"/>
        </w:rPr>
        <w:t>Snyder v. Jefferson Cty</w:t>
      </w:r>
      <w:r>
        <w:rPr>
          <w:rFonts w:eastAsia="Times New Roman"/>
          <w:b/>
          <w:sz w:val="24"/>
          <w:szCs w:val="24"/>
        </w:rPr>
        <w:t>.</w:t>
      </w:r>
      <w:r w:rsidR="00A80748" w:rsidRPr="00A80748">
        <w:rPr>
          <w:rFonts w:eastAsia="Times New Roman"/>
          <w:b/>
          <w:sz w:val="24"/>
          <w:szCs w:val="24"/>
        </w:rPr>
        <w:t xml:space="preserve"> Sch. Dist. R-1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 xml:space="preserve">842 P.2d 624 (Colo. 1992); </w:t>
      </w:r>
      <w:r w:rsidR="00A80748" w:rsidRPr="00A80748">
        <w:rPr>
          <w:rFonts w:eastAsia="Times New Roman"/>
          <w:b/>
          <w:sz w:val="24"/>
          <w:szCs w:val="24"/>
        </w:rPr>
        <w:t>Sch</w:t>
      </w:r>
      <w:r>
        <w:rPr>
          <w:rFonts w:eastAsia="Times New Roman"/>
          <w:b/>
          <w:sz w:val="24"/>
          <w:szCs w:val="24"/>
        </w:rPr>
        <w:t>.</w:t>
      </w:r>
      <w:r w:rsidR="00A80748" w:rsidRPr="00A80748">
        <w:rPr>
          <w:rFonts w:eastAsia="Times New Roman"/>
          <w:b/>
          <w:sz w:val="24"/>
          <w:szCs w:val="24"/>
        </w:rPr>
        <w:t xml:space="preserve"> Dist. No. 1 v. Cornish</w:t>
      </w:r>
      <w:r w:rsidR="00A80748" w:rsidRPr="00A80748">
        <w:rPr>
          <w:rFonts w:eastAsia="Times New Roman"/>
          <w:sz w:val="24"/>
          <w:szCs w:val="24"/>
        </w:rPr>
        <w:t>, 58 P.3d 1091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2002) (allowing teaching </w:t>
      </w:r>
      <w:r w:rsidR="00A80748" w:rsidRPr="00A80748">
        <w:rPr>
          <w:rFonts w:eastAsia="Times New Roman"/>
          <w:sz w:val="24"/>
          <w:szCs w:val="24"/>
        </w:rPr>
        <w:lastRenderedPageBreak/>
        <w:t xml:space="preserve">certificate to lapse and not informing school officials of such lapse constituted “other good and just cause” for terminating teacher’s employment); </w:t>
      </w:r>
      <w:r w:rsidR="00A80748" w:rsidRPr="00A80748">
        <w:rPr>
          <w:rFonts w:eastAsia="Times New Roman"/>
          <w:b/>
          <w:sz w:val="24"/>
          <w:szCs w:val="24"/>
        </w:rPr>
        <w:t>Kerin v. Bd</w:t>
      </w:r>
      <w:r>
        <w:rPr>
          <w:rFonts w:eastAsia="Times New Roman"/>
          <w:b/>
          <w:sz w:val="24"/>
          <w:szCs w:val="24"/>
        </w:rPr>
        <w:t>.</w:t>
      </w:r>
      <w:r w:rsidR="00A80748" w:rsidRPr="00A80748">
        <w:rPr>
          <w:rFonts w:eastAsia="Times New Roman"/>
          <w:b/>
          <w:sz w:val="24"/>
          <w:szCs w:val="24"/>
        </w:rPr>
        <w:t xml:space="preserve"> of Educ.</w:t>
      </w:r>
      <w:r w:rsidR="00A80748" w:rsidRPr="00A80748">
        <w:rPr>
          <w:rFonts w:eastAsia="Times New Roman"/>
          <w:sz w:val="24"/>
          <w:szCs w:val="24"/>
        </w:rPr>
        <w:t>, 860 P.2d 574 (</w:t>
      </w:r>
      <w:r w:rsidR="0067408D">
        <w:rPr>
          <w:rFonts w:eastAsia="Times New Roman"/>
          <w:sz w:val="24"/>
          <w:szCs w:val="24"/>
        </w:rPr>
        <w:t>Colo. App.</w:t>
      </w:r>
      <w:r w:rsidRPr="00A80748" w:rsidDel="00FD2557">
        <w:rPr>
          <w:rFonts w:eastAsia="Times New Roman"/>
          <w:sz w:val="24"/>
          <w:szCs w:val="24"/>
        </w:rPr>
        <w:t xml:space="preserve"> </w:t>
      </w:r>
      <w:r w:rsidR="00A80748" w:rsidRPr="00A80748">
        <w:rPr>
          <w:rFonts w:eastAsia="Times New Roman"/>
          <w:sz w:val="24"/>
          <w:szCs w:val="24"/>
        </w:rPr>
        <w:t>1993).</w:t>
      </w:r>
    </w:p>
    <w:p w14:paraId="68693B1E" w14:textId="0473E0A8" w:rsidR="00A80748" w:rsidRPr="00A80748" w:rsidRDefault="00FD2557" w:rsidP="00A80748">
      <w:pPr>
        <w:spacing w:after="240"/>
        <w:ind w:firstLine="720"/>
        <w:rPr>
          <w:rFonts w:eastAsia="Times New Roman"/>
          <w:sz w:val="24"/>
          <w:szCs w:val="24"/>
        </w:rPr>
      </w:pPr>
      <w:r>
        <w:rPr>
          <w:rFonts w:eastAsia="Times New Roman"/>
          <w:sz w:val="24"/>
          <w:szCs w:val="24"/>
        </w:rPr>
        <w:t>5</w:t>
      </w:r>
      <w:r w:rsidR="00A80748" w:rsidRPr="00A80748">
        <w:rPr>
          <w:rFonts w:eastAsia="Times New Roman"/>
          <w:sz w:val="24"/>
          <w:szCs w:val="24"/>
        </w:rPr>
        <w:t xml:space="preserve">. In </w:t>
      </w:r>
      <w:r w:rsidR="00A80748" w:rsidRPr="00A80748">
        <w:rPr>
          <w:rFonts w:eastAsia="Times New Roman"/>
          <w:b/>
          <w:sz w:val="24"/>
          <w:szCs w:val="24"/>
        </w:rPr>
        <w:t>Barham v. University of Northern Colorado</w:t>
      </w:r>
      <w:r w:rsidR="00A80748" w:rsidRPr="00A80748">
        <w:rPr>
          <w:rFonts w:eastAsia="Times New Roman"/>
          <w:sz w:val="24"/>
          <w:szCs w:val="24"/>
        </w:rPr>
        <w:t>, 964 P.2d 545 (</w:t>
      </w:r>
      <w:r w:rsidR="0067408D">
        <w:rPr>
          <w:rFonts w:eastAsia="Times New Roman"/>
          <w:sz w:val="24"/>
          <w:szCs w:val="24"/>
        </w:rPr>
        <w:t>Colo. App.</w:t>
      </w:r>
      <w:r w:rsidR="00A80748" w:rsidRPr="00A80748">
        <w:rPr>
          <w:rFonts w:eastAsia="Times New Roman"/>
          <w:sz w:val="24"/>
          <w:szCs w:val="24"/>
        </w:rPr>
        <w:t xml:space="preserve"> 1997),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14:paraId="280DCBC9" w14:textId="77777777" w:rsidR="00A80748" w:rsidRDefault="00A80748">
      <w:pPr>
        <w:rPr>
          <w:rFonts w:eastAsia="Times New Roman"/>
          <w:bCs/>
          <w:sz w:val="24"/>
          <w:szCs w:val="24"/>
        </w:rPr>
      </w:pPr>
      <w:r>
        <w:rPr>
          <w:rFonts w:eastAsia="Times New Roman"/>
          <w:bCs/>
          <w:sz w:val="24"/>
          <w:szCs w:val="24"/>
        </w:rPr>
        <w:br w:type="page"/>
      </w:r>
    </w:p>
    <w:p w14:paraId="344FA859" w14:textId="77777777" w:rsidR="00A80748" w:rsidRPr="009E3DA4" w:rsidRDefault="00A80748" w:rsidP="00A80748">
      <w:pPr>
        <w:spacing w:after="240"/>
        <w:ind w:left="720" w:hanging="720"/>
        <w:rPr>
          <w:rFonts w:eastAsia="Times New Roman"/>
          <w:b/>
          <w:sz w:val="24"/>
          <w:szCs w:val="24"/>
        </w:rPr>
      </w:pPr>
      <w:bookmarkStart w:id="7" w:name="a31_07"/>
      <w:bookmarkEnd w:id="7"/>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14:paraId="6EFA3F5D"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on (his) (her) claim for breach of an employment contract, then you must award (him) (her) actual or nominal damages.</w:t>
      </w:r>
    </w:p>
    <w:p w14:paraId="115DB53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14:paraId="52FED91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14:paraId="15DA87A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14:paraId="7B9375D2" w14:textId="6C7E51E3"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a. </w:t>
      </w:r>
      <w:r w:rsidR="00AE1119">
        <w:rPr>
          <w:rFonts w:eastAsia="Times New Roman"/>
          <w:b/>
          <w:sz w:val="24"/>
          <w:szCs w:val="24"/>
        </w:rPr>
        <w:t>L</w:t>
      </w:r>
      <w:r w:rsidRPr="00A80748">
        <w:rPr>
          <w:rFonts w:eastAsia="Times New Roman"/>
          <w:b/>
          <w:sz w:val="24"/>
          <w:szCs w:val="24"/>
        </w:rPr>
        <w:t>ess any expenses arising from the contract which (he) (she) did not have to pay because the contract was ended; and</w:t>
      </w:r>
    </w:p>
    <w:p w14:paraId="631BFD29" w14:textId="45186EE5"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b. </w:t>
      </w:r>
      <w:r w:rsidR="00AE1119">
        <w:rPr>
          <w:rFonts w:eastAsia="Times New Roman"/>
          <w:b/>
          <w:sz w:val="24"/>
          <w:szCs w:val="24"/>
        </w:rPr>
        <w:t>L</w:t>
      </w:r>
      <w:r w:rsidRPr="00A80748">
        <w:rPr>
          <w:rFonts w:eastAsia="Times New Roman"/>
          <w:b/>
          <w:sz w:val="24"/>
          <w:szCs w:val="24"/>
        </w:rPr>
        <w:t>ess any amount (he) (she) earned from any replacement employment; and</w:t>
      </w:r>
    </w:p>
    <w:p w14:paraId="43CC021C" w14:textId="556323BA"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c. </w:t>
      </w:r>
      <w:r w:rsidR="00AE1119">
        <w:rPr>
          <w:rFonts w:eastAsia="Times New Roman"/>
          <w:b/>
          <w:sz w:val="24"/>
          <w:szCs w:val="24"/>
        </w:rPr>
        <w:t>L</w:t>
      </w:r>
      <w:r w:rsidRPr="00A80748">
        <w:rPr>
          <w:rFonts w:eastAsia="Times New Roman"/>
          <w:b/>
          <w:sz w:val="24"/>
          <w:szCs w:val="24"/>
        </w:rPr>
        <w:t>ess any amount (he) (she) reasonably could have earned from any replacement employment.</w:t>
      </w:r>
    </w:p>
    <w:p w14:paraId="0479BB7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14:paraId="4D18E4FF"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in favor of the plaintiff, but do not find any actual damages, you shall nonetheless award (him) (her) nominal damages in the sum of one dollar.</w:t>
      </w:r>
    </w:p>
    <w:p w14:paraId="4F15E9A5" w14:textId="77777777" w:rsidR="00A80748" w:rsidRDefault="00A80748" w:rsidP="00A80748">
      <w:pPr>
        <w:jc w:val="center"/>
        <w:rPr>
          <w:rFonts w:eastAsia="Times New Roman"/>
          <w:sz w:val="24"/>
          <w:szCs w:val="24"/>
        </w:rPr>
      </w:pPr>
    </w:p>
    <w:p w14:paraId="16B14512"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9B38D1F"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68399FF9" w14:textId="0C2AC78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w:t>
      </w:r>
      <w:r w:rsidR="00AE1119">
        <w:rPr>
          <w:rFonts w:eastAsia="Times New Roman"/>
          <w:sz w:val="24"/>
          <w:szCs w:val="24"/>
        </w:rPr>
        <w:t>for example</w:t>
      </w:r>
      <w:r w:rsidRPr="00A80748">
        <w:rPr>
          <w:rFonts w:eastAsia="Times New Roman"/>
          <w:sz w:val="24"/>
          <w:szCs w:val="24"/>
        </w:rPr>
        <w:t>, liquidated damages</w:t>
      </w:r>
      <w:r w:rsidR="00AE1119">
        <w:rPr>
          <w:rFonts w:eastAsia="Times New Roman"/>
          <w:sz w:val="24"/>
          <w:szCs w:val="24"/>
        </w:rPr>
        <w:t xml:space="preserve"> or</w:t>
      </w:r>
      <w:r w:rsidRPr="00A80748">
        <w:rPr>
          <w:rFonts w:eastAsia="Times New Roman"/>
          <w:sz w:val="24"/>
          <w:szCs w:val="24"/>
        </w:rPr>
        <w:t xml:space="preserve"> the amount due on a promissory note, the instruction should not state the amount of damages </w:t>
      </w:r>
      <w:r w:rsidR="00AE1119">
        <w:rPr>
          <w:rFonts w:eastAsia="Times New Roman"/>
          <w:sz w:val="24"/>
          <w:szCs w:val="24"/>
        </w:rPr>
        <w:t>sought</w:t>
      </w:r>
      <w:r w:rsidRPr="00A80748">
        <w:rPr>
          <w:rFonts w:eastAsia="Times New Roman"/>
          <w:sz w:val="24"/>
          <w:szCs w:val="24"/>
        </w:rPr>
        <w:t xml:space="preserve">.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519 P.2d 1216 (1974).</w:t>
      </w:r>
    </w:p>
    <w:p w14:paraId="05BAF8C4"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14:paraId="70E61A7E"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If there is sufficient evidence that the plaintiff may not have reasonably mitigated his or her damages by seeking other employment, paragraph 1c of this instruction should be given </w:t>
      </w:r>
      <w:r w:rsidRPr="00A80748">
        <w:rPr>
          <w:rFonts w:eastAsia="Times New Roman"/>
          <w:sz w:val="24"/>
          <w:szCs w:val="24"/>
        </w:rPr>
        <w:lastRenderedPageBreak/>
        <w:t xml:space="preserve">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14:paraId="469342D1" w14:textId="3E03441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w:t>
      </w:r>
      <w:r w:rsidR="00AE1119">
        <w:rPr>
          <w:rFonts w:eastAsia="Times New Roman"/>
          <w:b/>
          <w:sz w:val="24"/>
          <w:szCs w:val="24"/>
        </w:rPr>
        <w:t>.</w:t>
      </w:r>
      <w:r w:rsidRPr="00A80748">
        <w:rPr>
          <w:rFonts w:eastAsia="Times New Roman"/>
          <w:b/>
          <w:sz w:val="24"/>
          <w:szCs w:val="24"/>
        </w:rPr>
        <w:t xml:space="preserve">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r w:rsidR="00AE1119">
        <w:rPr>
          <w:rFonts w:eastAsia="Times New Roman"/>
          <w:sz w:val="24"/>
          <w:szCs w:val="24"/>
        </w:rPr>
        <w:t>;</w:t>
      </w:r>
      <w:r w:rsidRPr="00A80748">
        <w:rPr>
          <w:rFonts w:eastAsia="Times New Roman"/>
          <w:sz w:val="24"/>
          <w:szCs w:val="24"/>
        </w:rPr>
        <w:t xml:space="preserve"> </w:t>
      </w:r>
      <w:r w:rsidR="00AE1119">
        <w:rPr>
          <w:rFonts w:eastAsia="Times New Roman"/>
          <w:i/>
          <w:sz w:val="24"/>
          <w:szCs w:val="24"/>
        </w:rPr>
        <w:t>s</w:t>
      </w:r>
      <w:r w:rsidRPr="00A80748">
        <w:rPr>
          <w:rFonts w:eastAsia="Times New Roman"/>
          <w:i/>
          <w:sz w:val="24"/>
          <w:szCs w:val="24"/>
        </w:rPr>
        <w:t>ee also</w:t>
      </w:r>
      <w:r w:rsidRPr="00A80748">
        <w:rPr>
          <w:rFonts w:eastAsia="Times New Roman"/>
          <w:sz w:val="24"/>
          <w:szCs w:val="24"/>
        </w:rPr>
        <w:t xml:space="preserve"> Instruction 31:8 (</w:t>
      </w:r>
      <w:r w:rsidR="00AE1119">
        <w:rPr>
          <w:rFonts w:eastAsia="Times New Roman"/>
          <w:sz w:val="24"/>
          <w:szCs w:val="24"/>
        </w:rPr>
        <w:t>m</w:t>
      </w:r>
      <w:r w:rsidRPr="00A80748">
        <w:rPr>
          <w:rFonts w:eastAsia="Times New Roman"/>
          <w:sz w:val="24"/>
          <w:szCs w:val="24"/>
        </w:rPr>
        <w:t xml:space="preserve">itigation of </w:t>
      </w:r>
      <w:r w:rsidR="00AE1119">
        <w:rPr>
          <w:rFonts w:eastAsia="Times New Roman"/>
          <w:sz w:val="24"/>
          <w:szCs w:val="24"/>
        </w:rPr>
        <w:t>d</w:t>
      </w:r>
      <w:r w:rsidRPr="00A80748">
        <w:rPr>
          <w:rFonts w:eastAsia="Times New Roman"/>
          <w:sz w:val="24"/>
          <w:szCs w:val="24"/>
        </w:rPr>
        <w:t xml:space="preserve">amages for </w:t>
      </w:r>
      <w:r w:rsidR="00AE1119">
        <w:rPr>
          <w:rFonts w:eastAsia="Times New Roman"/>
          <w:sz w:val="24"/>
          <w:szCs w:val="24"/>
        </w:rPr>
        <w:t>w</w:t>
      </w:r>
      <w:r w:rsidRPr="00A80748">
        <w:rPr>
          <w:rFonts w:eastAsia="Times New Roman"/>
          <w:sz w:val="24"/>
          <w:szCs w:val="24"/>
        </w:rPr>
        <w:t xml:space="preserve">rongful </w:t>
      </w:r>
      <w:r w:rsidR="00AE1119">
        <w:rPr>
          <w:rFonts w:eastAsia="Times New Roman"/>
          <w:sz w:val="24"/>
          <w:szCs w:val="24"/>
        </w:rPr>
        <w:t>d</w:t>
      </w:r>
      <w:r w:rsidRPr="00A80748">
        <w:rPr>
          <w:rFonts w:eastAsia="Times New Roman"/>
          <w:sz w:val="24"/>
          <w:szCs w:val="24"/>
        </w:rPr>
        <w:t>ischarge).</w:t>
      </w:r>
    </w:p>
    <w:p w14:paraId="1A772D43"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For authorities on the measure of damages in breach of contract cases in general, see </w:t>
      </w:r>
      <w:r w:rsidR="00AE1119">
        <w:rPr>
          <w:rFonts w:eastAsia="Times New Roman"/>
          <w:sz w:val="24"/>
          <w:szCs w:val="24"/>
        </w:rPr>
        <w:t xml:space="preserve">the </w:t>
      </w:r>
      <w:r w:rsidRPr="00A80748">
        <w:rPr>
          <w:rFonts w:eastAsia="Times New Roman"/>
          <w:sz w:val="24"/>
          <w:szCs w:val="24"/>
        </w:rPr>
        <w:t>Source and Authority to Instruction 30:37.</w:t>
      </w:r>
    </w:p>
    <w:p w14:paraId="691014F1"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290044D5" w14:textId="714B9A6D"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w:t>
      </w:r>
      <w:r w:rsidR="000A55E6">
        <w:rPr>
          <w:rFonts w:eastAsia="Times New Roman"/>
          <w:sz w:val="24"/>
          <w:szCs w:val="24"/>
        </w:rPr>
        <w:t xml:space="preserve">and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i/>
          <w:sz w:val="24"/>
          <w:szCs w:val="24"/>
        </w:rPr>
        <w:t>See also</w:t>
      </w:r>
      <w:r w:rsidRPr="00A80748">
        <w:rPr>
          <w:rFonts w:eastAsia="Times New Roman"/>
          <w:sz w:val="24"/>
          <w:szCs w:val="24"/>
        </w:rPr>
        <w:t xml:space="preserve"> </w:t>
      </w:r>
      <w:r w:rsidR="00DC7EF3" w:rsidRPr="00A80748">
        <w:rPr>
          <w:rFonts w:eastAsia="Times New Roman"/>
          <w:b/>
          <w:sz w:val="24"/>
          <w:szCs w:val="24"/>
        </w:rPr>
        <w:t>Tech</w:t>
      </w:r>
      <w:r w:rsidR="00DC7EF3">
        <w:rPr>
          <w:rFonts w:eastAsia="Times New Roman"/>
          <w:b/>
          <w:sz w:val="24"/>
          <w:szCs w:val="24"/>
        </w:rPr>
        <w:t>.</w:t>
      </w:r>
      <w:r w:rsidR="00DC7EF3" w:rsidRPr="00A80748">
        <w:rPr>
          <w:rFonts w:eastAsia="Times New Roman"/>
          <w:b/>
          <w:sz w:val="24"/>
          <w:szCs w:val="24"/>
        </w:rPr>
        <w:t xml:space="preserve"> Comput</w:t>
      </w:r>
      <w:r w:rsidR="00DC7EF3">
        <w:rPr>
          <w:rFonts w:eastAsia="Times New Roman"/>
          <w:b/>
          <w:sz w:val="24"/>
          <w:szCs w:val="24"/>
        </w:rPr>
        <w:t>.</w:t>
      </w:r>
      <w:r w:rsidR="00DC7EF3" w:rsidRPr="00A80748">
        <w:rPr>
          <w:rFonts w:eastAsia="Times New Roman"/>
          <w:b/>
          <w:sz w:val="24"/>
          <w:szCs w:val="24"/>
        </w:rPr>
        <w:t xml:space="preserve"> Servs., Inc. v. Buckley</w:t>
      </w:r>
      <w:r w:rsidR="00DC7EF3" w:rsidRPr="00A80748">
        <w:rPr>
          <w:rFonts w:eastAsia="Times New Roman"/>
          <w:sz w:val="24"/>
          <w:szCs w:val="24"/>
        </w:rPr>
        <w:t>,</w:t>
      </w:r>
      <w:r w:rsidR="00DC7EF3" w:rsidRPr="00A80748">
        <w:rPr>
          <w:rFonts w:eastAsia="Times New Roman"/>
          <w:b/>
          <w:sz w:val="24"/>
          <w:szCs w:val="24"/>
        </w:rPr>
        <w:t xml:space="preserve"> </w:t>
      </w:r>
      <w:r w:rsidR="00DC7EF3" w:rsidRPr="00A80748">
        <w:rPr>
          <w:rFonts w:eastAsia="Times New Roman"/>
          <w:sz w:val="24"/>
          <w:szCs w:val="24"/>
        </w:rPr>
        <w:t>844 P.2d 1249 (</w:t>
      </w:r>
      <w:r w:rsidR="00DC7EF3">
        <w:rPr>
          <w:rFonts w:eastAsia="Times New Roman"/>
          <w:sz w:val="24"/>
          <w:szCs w:val="24"/>
        </w:rPr>
        <w:t>Colo. App.</w:t>
      </w:r>
      <w:r w:rsidR="00DC7EF3" w:rsidRPr="00A80748">
        <w:rPr>
          <w:rFonts w:eastAsia="Times New Roman"/>
          <w:sz w:val="24"/>
          <w:szCs w:val="24"/>
        </w:rPr>
        <w:t xml:space="preserve"> 1992) (damages reduced by amount of salary received from other employment)</w:t>
      </w:r>
      <w:r w:rsidR="00DC7EF3">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00FD2557">
        <w:rPr>
          <w:rFonts w:eastAsia="Times New Roman"/>
          <w:sz w:val="24"/>
          <w:szCs w:val="24"/>
        </w:rPr>
        <w:t xml:space="preserve"> </w:t>
      </w:r>
      <w:r w:rsidRPr="00A80748">
        <w:rPr>
          <w:rFonts w:eastAsia="Times New Roman"/>
          <w:sz w:val="24"/>
          <w:szCs w:val="24"/>
        </w:rPr>
        <w:t>1984) (plaintiff entitled to recover value of benefits employment contract provided including employer’s pension contributions, life, health and dental insurance, and use of car);</w:t>
      </w:r>
      <w:r w:rsidR="00AE1119" w:rsidRPr="00AE1119">
        <w:rPr>
          <w:rFonts w:eastAsia="Times New Roman"/>
          <w:smallCaps/>
          <w:sz w:val="24"/>
          <w:szCs w:val="24"/>
        </w:rPr>
        <w:t xml:space="preserve"> </w:t>
      </w:r>
      <w:r w:rsidR="00AE1119" w:rsidRPr="00A80748">
        <w:rPr>
          <w:rFonts w:eastAsia="Times New Roman"/>
          <w:smallCaps/>
          <w:sz w:val="24"/>
          <w:szCs w:val="24"/>
        </w:rPr>
        <w:t>C. McCormick, Damages</w:t>
      </w:r>
      <w:r w:rsidR="00AE1119" w:rsidRPr="00A80748">
        <w:rPr>
          <w:rFonts w:eastAsia="Times New Roman"/>
          <w:sz w:val="24"/>
          <w:szCs w:val="24"/>
        </w:rPr>
        <w:t xml:space="preserve"> §§ 158-62 (1935)</w:t>
      </w:r>
      <w:r w:rsidRPr="00A80748">
        <w:rPr>
          <w:rFonts w:eastAsia="Times New Roman"/>
          <w:sz w:val="24"/>
          <w:szCs w:val="24"/>
        </w:rPr>
        <w:t>.</w:t>
      </w:r>
    </w:p>
    <w:p w14:paraId="0A5D6CB5" w14:textId="0D41EEA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For additional damages that an employee may be entitled to recover upon termination as a civil penalty for an employer’s refusal, without a good faith legal justification, to pay compensation promptly when due, see </w:t>
      </w:r>
      <w:r w:rsidR="00AE1119">
        <w:rPr>
          <w:rFonts w:eastAsia="Times New Roman"/>
          <w:sz w:val="24"/>
          <w:szCs w:val="24"/>
        </w:rPr>
        <w:t>section</w:t>
      </w:r>
      <w:r w:rsidRPr="00A80748">
        <w:rPr>
          <w:rFonts w:eastAsia="Times New Roman"/>
          <w:sz w:val="24"/>
          <w:szCs w:val="24"/>
        </w:rPr>
        <w:t xml:space="preserve"> 8-4-109, C.R.S.</w:t>
      </w:r>
      <w:r w:rsidR="00AE1119">
        <w:rPr>
          <w:rFonts w:eastAsia="Times New Roman"/>
          <w:sz w:val="24"/>
          <w:szCs w:val="24"/>
        </w:rPr>
        <w:t xml:space="preserve"> (</w:t>
      </w:r>
      <w:r w:rsidRPr="00A80748">
        <w:rPr>
          <w:rFonts w:eastAsia="Times New Roman"/>
          <w:sz w:val="24"/>
          <w:szCs w:val="24"/>
        </w:rPr>
        <w:t>formerly § 8-4-104, C.R.S.</w:t>
      </w:r>
      <w:r w:rsidR="00AE1119">
        <w:rPr>
          <w:rFonts w:eastAsia="Times New Roman"/>
          <w:sz w:val="24"/>
          <w:szCs w:val="24"/>
        </w:rPr>
        <w:t>)</w:t>
      </w:r>
      <w:r w:rsidRPr="00A80748">
        <w:rPr>
          <w:rFonts w:eastAsia="Times New Roman"/>
          <w:sz w:val="24"/>
          <w:szCs w:val="24"/>
        </w:rPr>
        <w:t xml:space="preserve">; </w:t>
      </w:r>
      <w:r w:rsidRPr="00A80748">
        <w:rPr>
          <w:rFonts w:eastAsia="Times New Roman"/>
          <w:b/>
          <w:sz w:val="24"/>
          <w:szCs w:val="24"/>
        </w:rPr>
        <w:t>Jet Courier Services, Inc. v. Mulei</w:t>
      </w:r>
      <w:r w:rsidRPr="00A80748">
        <w:rPr>
          <w:rFonts w:eastAsia="Times New Roman"/>
          <w:sz w:val="24"/>
          <w:szCs w:val="24"/>
        </w:rPr>
        <w:t xml:space="preserve">, 771 P.2d 486, 500-01 (Colo. 1989) (discussing the statute); </w:t>
      </w:r>
      <w:r w:rsidRPr="00A80748">
        <w:rPr>
          <w:rFonts w:eastAsia="Times New Roman"/>
          <w:b/>
          <w:sz w:val="24"/>
          <w:szCs w:val="24"/>
        </w:rPr>
        <w:t>Porter v. Castle Rock Ford Lincoln Mercury, Inc.</w:t>
      </w:r>
      <w:r w:rsidRPr="00A80748">
        <w:rPr>
          <w:rFonts w:eastAsia="Times New Roman"/>
          <w:sz w:val="24"/>
          <w:szCs w:val="24"/>
        </w:rPr>
        <w:t>, 895 P.2d 1146 (</w:t>
      </w:r>
      <w:r w:rsidR="0067408D">
        <w:rPr>
          <w:rFonts w:eastAsia="Times New Roman"/>
          <w:sz w:val="24"/>
          <w:szCs w:val="24"/>
        </w:rPr>
        <w:t>Colo. App.</w:t>
      </w:r>
      <w:r w:rsidRPr="00A80748">
        <w:rPr>
          <w:rFonts w:eastAsia="Times New Roman"/>
          <w:sz w:val="24"/>
          <w:szCs w:val="24"/>
        </w:rPr>
        <w:t xml:space="preserve"> 1995); </w:t>
      </w:r>
      <w:r w:rsidR="000A55E6">
        <w:rPr>
          <w:rFonts w:eastAsia="Times New Roman"/>
          <w:sz w:val="24"/>
          <w:szCs w:val="24"/>
        </w:rPr>
        <w:t xml:space="preserve">and </w:t>
      </w:r>
      <w:r w:rsidRPr="00A80748">
        <w:rPr>
          <w:rFonts w:eastAsia="Times New Roman"/>
          <w:b/>
          <w:sz w:val="24"/>
          <w:szCs w:val="24"/>
        </w:rPr>
        <w:t>Technical Computer Services</w:t>
      </w:r>
      <w:r w:rsidRPr="00A80748">
        <w:rPr>
          <w:rFonts w:eastAsia="Times New Roman"/>
          <w:sz w:val="24"/>
          <w:szCs w:val="24"/>
        </w:rPr>
        <w:t xml:space="preserve">, 844 P.2d </w:t>
      </w:r>
      <w:r w:rsidR="000A55E6">
        <w:rPr>
          <w:rFonts w:eastAsia="Times New Roman"/>
          <w:sz w:val="24"/>
          <w:szCs w:val="24"/>
        </w:rPr>
        <w:t xml:space="preserve">at </w:t>
      </w:r>
      <w:r w:rsidRPr="00A80748">
        <w:rPr>
          <w:rFonts w:eastAsia="Times New Roman"/>
          <w:sz w:val="24"/>
          <w:szCs w:val="24"/>
        </w:rPr>
        <w:t>12</w:t>
      </w:r>
      <w:r w:rsidR="000A55E6">
        <w:rPr>
          <w:rFonts w:eastAsia="Times New Roman"/>
          <w:sz w:val="24"/>
          <w:szCs w:val="24"/>
        </w:rPr>
        <w:t>53</w:t>
      </w:r>
      <w:r w:rsidRPr="00A80748">
        <w:rPr>
          <w:rFonts w:eastAsia="Times New Roman"/>
          <w:sz w:val="24"/>
          <w:szCs w:val="24"/>
        </w:rPr>
        <w:t xml:space="preserve">.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Carruthers v. Carrier Access Corp.</w:t>
      </w:r>
      <w:r w:rsidRPr="00A80748">
        <w:rPr>
          <w:rFonts w:eastAsia="Times New Roman"/>
          <w:sz w:val="24"/>
          <w:szCs w:val="24"/>
        </w:rPr>
        <w:t>, 251 P.3d 1199 (</w:t>
      </w:r>
      <w:r w:rsidR="0067408D">
        <w:rPr>
          <w:rFonts w:eastAsia="Times New Roman"/>
          <w:sz w:val="24"/>
          <w:szCs w:val="24"/>
        </w:rPr>
        <w:t>Colo. App.</w:t>
      </w:r>
      <w:r w:rsidRPr="00A80748">
        <w:rPr>
          <w:rFonts w:eastAsia="Times New Roman"/>
          <w:sz w:val="24"/>
          <w:szCs w:val="24"/>
        </w:rPr>
        <w:t xml:space="preserve"> 2010) (prevailing employees and employers may recover attorney fees and costs under the wage statute unless the wage claim is for less than $7,500, in which case only employers may recover such costs if the court finds that the employee’s wage claim is frivolous); </w:t>
      </w:r>
      <w:r w:rsidRPr="00A80748">
        <w:rPr>
          <w:rFonts w:eastAsia="Times New Roman"/>
          <w:b/>
          <w:sz w:val="24"/>
          <w:szCs w:val="24"/>
        </w:rPr>
        <w:t>Lee v. Great Empire Broad., Inc.</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794 P.2d 1032 (</w:t>
      </w:r>
      <w:r w:rsidR="0067408D">
        <w:rPr>
          <w:rFonts w:eastAsia="Times New Roman"/>
          <w:sz w:val="24"/>
          <w:szCs w:val="24"/>
        </w:rPr>
        <w:t>Colo. App.</w:t>
      </w:r>
      <w:r w:rsidRPr="00A80748">
        <w:rPr>
          <w:rFonts w:eastAsia="Times New Roman"/>
          <w:sz w:val="24"/>
          <w:szCs w:val="24"/>
        </w:rPr>
        <w:t xml:space="preserve"> 1989) (wage statute applies only to wages earned and unpaid at the time of employee’s discharge).</w:t>
      </w:r>
    </w:p>
    <w:p w14:paraId="3D20209D"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14:paraId="148FFE1B" w14:textId="38B714A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Under the collateral source rule, damages awarded for breach of an employment contract cannot be reduced by the amount of unemployment benefits received by the discharged employee. </w:t>
      </w:r>
      <w:r w:rsidRPr="00A80748">
        <w:rPr>
          <w:rFonts w:eastAsia="Times New Roman"/>
          <w:b/>
          <w:sz w:val="24"/>
          <w:szCs w:val="24"/>
        </w:rPr>
        <w:t>Tech</w:t>
      </w:r>
      <w:r w:rsidR="000A55E6">
        <w:rPr>
          <w:rFonts w:eastAsia="Times New Roman"/>
          <w:b/>
          <w:sz w:val="24"/>
          <w:szCs w:val="24"/>
        </w:rPr>
        <w:t>.</w:t>
      </w:r>
      <w:r w:rsidRPr="00A80748">
        <w:rPr>
          <w:rFonts w:eastAsia="Times New Roman"/>
          <w:b/>
          <w:sz w:val="24"/>
          <w:szCs w:val="24"/>
        </w:rPr>
        <w:t xml:space="preserve"> Comput</w:t>
      </w:r>
      <w:r w:rsidR="000A55E6">
        <w:rPr>
          <w:rFonts w:eastAsia="Times New Roman"/>
          <w:b/>
          <w:sz w:val="24"/>
          <w:szCs w:val="24"/>
        </w:rPr>
        <w:t>.</w:t>
      </w:r>
      <w:r w:rsidRPr="00A80748">
        <w:rPr>
          <w:rFonts w:eastAsia="Times New Roman"/>
          <w:b/>
          <w:sz w:val="24"/>
          <w:szCs w:val="24"/>
        </w:rPr>
        <w:t xml:space="preserve"> Servs.</w:t>
      </w:r>
      <w:r w:rsidRPr="00A80748">
        <w:rPr>
          <w:rFonts w:eastAsia="Times New Roman"/>
          <w:sz w:val="24"/>
          <w:szCs w:val="24"/>
        </w:rPr>
        <w:t xml:space="preserve">, 844 P.2d </w:t>
      </w:r>
      <w:r w:rsidR="000A55E6">
        <w:rPr>
          <w:rFonts w:eastAsia="Times New Roman"/>
          <w:sz w:val="24"/>
          <w:szCs w:val="24"/>
        </w:rPr>
        <w:t xml:space="preserve">at </w:t>
      </w:r>
      <w:r w:rsidRPr="00A80748">
        <w:rPr>
          <w:rFonts w:eastAsia="Times New Roman"/>
          <w:sz w:val="24"/>
          <w:szCs w:val="24"/>
        </w:rPr>
        <w:t>12</w:t>
      </w:r>
      <w:r w:rsidR="000A55E6">
        <w:rPr>
          <w:rFonts w:eastAsia="Times New Roman"/>
          <w:sz w:val="24"/>
          <w:szCs w:val="24"/>
        </w:rPr>
        <w:t>5</w:t>
      </w:r>
      <w:r w:rsidRPr="00A80748">
        <w:rPr>
          <w:rFonts w:eastAsia="Times New Roman"/>
          <w:sz w:val="24"/>
          <w:szCs w:val="24"/>
        </w:rPr>
        <w:t>4</w:t>
      </w:r>
      <w:r w:rsidR="000A55E6">
        <w:rPr>
          <w:rFonts w:eastAsia="Times New Roman"/>
          <w:sz w:val="24"/>
          <w:szCs w:val="24"/>
        </w:rPr>
        <w:t>-55</w:t>
      </w:r>
      <w:r w:rsidRPr="00A80748">
        <w:rPr>
          <w:rFonts w:eastAsia="Times New Roman"/>
          <w:sz w:val="24"/>
          <w:szCs w:val="24"/>
        </w:rPr>
        <w:t>.</w:t>
      </w:r>
    </w:p>
    <w:p w14:paraId="731407D4" w14:textId="5D6EC040" w:rsidR="00A80748" w:rsidRPr="00A80748" w:rsidRDefault="00A80748" w:rsidP="00A80748">
      <w:pPr>
        <w:spacing w:after="240"/>
        <w:ind w:firstLine="720"/>
        <w:rPr>
          <w:rFonts w:eastAsia="Times New Roman"/>
          <w:sz w:val="24"/>
          <w:szCs w:val="24"/>
        </w:rPr>
      </w:pPr>
      <w:r w:rsidRPr="00A80748">
        <w:rPr>
          <w:rFonts w:eastAsia="Times New Roman"/>
          <w:sz w:val="24"/>
          <w:szCs w:val="24"/>
        </w:rPr>
        <w:lastRenderedPageBreak/>
        <w:t>5. If an employee is discharged in violation of the procedural provisions of a personnel manual or handbook</w:t>
      </w:r>
      <w:r w:rsidR="005869F1">
        <w:rPr>
          <w:rFonts w:eastAsia="Times New Roman"/>
          <w:sz w:val="24"/>
          <w:szCs w:val="24"/>
        </w:rPr>
        <w:t>,</w:t>
      </w:r>
      <w:r w:rsidRPr="00A80748">
        <w:rPr>
          <w:rFonts w:eastAsia="Times New Roman"/>
          <w:sz w:val="24"/>
          <w:szCs w:val="24"/>
        </w:rPr>
        <w:t xml:space="preserve"> </w:t>
      </w:r>
      <w:r w:rsidRPr="00B23B3E">
        <w:rPr>
          <w:rFonts w:eastAsia="Times New Roman"/>
          <w:i/>
          <w:sz w:val="24"/>
          <w:szCs w:val="24"/>
        </w:rPr>
        <w:t>see</w:t>
      </w:r>
      <w:r w:rsidRPr="00A80748">
        <w:rPr>
          <w:rFonts w:eastAsia="Times New Roman"/>
          <w:sz w:val="24"/>
          <w:szCs w:val="24"/>
        </w:rPr>
        <w:t xml:space="preserve"> Instruction 31:4, but the employer establishes “good or just cause” for the discharge, an award of nominal damages may be appropriate. </w:t>
      </w:r>
      <w:r w:rsidRPr="00A80748">
        <w:rPr>
          <w:rFonts w:eastAsia="Times New Roman"/>
          <w:i/>
          <w:sz w:val="24"/>
          <w:szCs w:val="24"/>
        </w:rPr>
        <w:t xml:space="preserve">See </w:t>
      </w:r>
      <w:r w:rsidRPr="00A80748">
        <w:rPr>
          <w:rFonts w:eastAsia="Times New Roman"/>
          <w:b/>
          <w:sz w:val="24"/>
          <w:szCs w:val="24"/>
        </w:rPr>
        <w:t>Rogers v. Bd</w:t>
      </w:r>
      <w:r w:rsidR="005869F1">
        <w:rPr>
          <w:rFonts w:eastAsia="Times New Roman"/>
          <w:b/>
          <w:sz w:val="24"/>
          <w:szCs w:val="24"/>
        </w:rPr>
        <w:t>.</w:t>
      </w:r>
      <w:r w:rsidRPr="00A80748">
        <w:rPr>
          <w:rFonts w:eastAsia="Times New Roman"/>
          <w:b/>
          <w:sz w:val="24"/>
          <w:szCs w:val="24"/>
        </w:rPr>
        <w:t xml:space="preserve"> of Trs</w:t>
      </w:r>
      <w:r w:rsidR="005869F1">
        <w:rPr>
          <w:rFonts w:eastAsia="Times New Roman"/>
          <w:b/>
          <w:sz w:val="24"/>
          <w:szCs w:val="24"/>
        </w:rPr>
        <w:t>.</w:t>
      </w:r>
      <w:r w:rsidRPr="00A80748">
        <w:rPr>
          <w:rFonts w:eastAsia="Times New Roman"/>
          <w:sz w:val="24"/>
          <w:szCs w:val="24"/>
        </w:rPr>
        <w:t>, 859 P.2d 284 (</w:t>
      </w:r>
      <w:r w:rsidR="0067408D">
        <w:rPr>
          <w:rFonts w:eastAsia="Times New Roman"/>
          <w:sz w:val="24"/>
          <w:szCs w:val="24"/>
        </w:rPr>
        <w:t>Colo. App.</w:t>
      </w:r>
      <w:r w:rsidR="005869F1">
        <w:rPr>
          <w:rFonts w:eastAsia="Times New Roman"/>
          <w:sz w:val="24"/>
          <w:szCs w:val="24"/>
        </w:rPr>
        <w:t xml:space="preserve"> </w:t>
      </w:r>
      <w:r w:rsidRPr="00A80748">
        <w:rPr>
          <w:rFonts w:eastAsia="Times New Roman"/>
          <w:sz w:val="24"/>
          <w:szCs w:val="24"/>
        </w:rPr>
        <w:t>1993).</w:t>
      </w:r>
    </w:p>
    <w:p w14:paraId="627D4ECB" w14:textId="77777777" w:rsidR="00A80748" w:rsidRDefault="00A80748">
      <w:pPr>
        <w:rPr>
          <w:rFonts w:eastAsia="Times New Roman"/>
          <w:bCs/>
          <w:sz w:val="24"/>
          <w:szCs w:val="24"/>
        </w:rPr>
      </w:pPr>
      <w:r>
        <w:rPr>
          <w:rFonts w:eastAsia="Times New Roman"/>
          <w:bCs/>
          <w:sz w:val="24"/>
          <w:szCs w:val="24"/>
        </w:rPr>
        <w:br w:type="page"/>
      </w:r>
    </w:p>
    <w:p w14:paraId="7C44A878" w14:textId="77777777" w:rsidR="00A80748" w:rsidRPr="009E3DA4" w:rsidRDefault="00A80748" w:rsidP="00A80748">
      <w:pPr>
        <w:spacing w:after="240"/>
        <w:ind w:left="720" w:hanging="720"/>
        <w:rPr>
          <w:rFonts w:eastAsia="Times New Roman"/>
          <w:b/>
          <w:sz w:val="24"/>
          <w:szCs w:val="24"/>
        </w:rPr>
      </w:pPr>
      <w:bookmarkStart w:id="8" w:name="a31_08"/>
      <w:bookmarkEnd w:id="8"/>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
    <w:p w14:paraId="710004E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14:paraId="28C998F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did not take reasonable steps to reduce or minimize (his) (her) damages.</w:t>
      </w:r>
    </w:p>
    <w:p w14:paraId="58FF1839" w14:textId="6F9DD812"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4D511547" w14:textId="1C99FB9E"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The plaintiff failed to seek other employment that was substantially similar to the position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held with the defendant, and</w:t>
      </w:r>
    </w:p>
    <w:p w14:paraId="3AAA2514" w14:textId="207A8C95"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Seeking other similar employment would have been reasonable under all of the circumstances, then you must reduce the amount of any actual damages suffered by the plaintiff by the amount of any earnings and benefits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reasonably have expected to earn from that other employment during any period during which you find that the plaintiff suffered damages, as Instruction No. </w:t>
      </w:r>
      <w:r w:rsidR="003C6854" w:rsidRPr="003C6854">
        <w:rPr>
          <w:rFonts w:eastAsia="Times New Roman"/>
          <w:i/>
          <w:sz w:val="24"/>
          <w:szCs w:val="24"/>
        </w:rPr>
        <w:t xml:space="preserve">[insert </w:t>
      </w:r>
      <w:r w:rsidR="003C6854">
        <w:rPr>
          <w:rFonts w:eastAsia="Times New Roman"/>
          <w:i/>
          <w:sz w:val="24"/>
          <w:szCs w:val="24"/>
        </w:rPr>
        <w:t xml:space="preserve">instruction </w:t>
      </w:r>
      <w:r w:rsidR="003C6854" w:rsidRPr="003C6854">
        <w:rPr>
          <w:rFonts w:eastAsia="Times New Roman"/>
          <w:i/>
          <w:sz w:val="24"/>
          <w:szCs w:val="24"/>
        </w:rPr>
        <w:t>number that corresponds to Instruction 31:7</w:t>
      </w:r>
      <w:r w:rsidR="0032229B">
        <w:rPr>
          <w:rFonts w:eastAsia="Times New Roman"/>
          <w:i/>
          <w:sz w:val="24"/>
          <w:szCs w:val="24"/>
        </w:rPr>
        <w:t xml:space="preserve"> or 31:15</w:t>
      </w:r>
      <w:r w:rsidR="003C6854" w:rsidRPr="003C6854">
        <w:rPr>
          <w:rFonts w:eastAsia="Times New Roman"/>
          <w:i/>
          <w:sz w:val="24"/>
          <w:szCs w:val="24"/>
        </w:rPr>
        <w:t>]</w:t>
      </w:r>
      <w:r w:rsidRPr="00A80748">
        <w:rPr>
          <w:rFonts w:eastAsia="Times New Roman"/>
          <w:b/>
          <w:sz w:val="24"/>
          <w:szCs w:val="24"/>
        </w:rPr>
        <w:t xml:space="preserve"> instructs you to do.</w:t>
      </w:r>
      <w:r w:rsidR="003C6854">
        <w:rPr>
          <w:rFonts w:eastAsia="Times New Roman"/>
          <w:b/>
          <w:sz w:val="24"/>
          <w:szCs w:val="24"/>
        </w:rPr>
        <w:t>)</w:t>
      </w:r>
    </w:p>
    <w:p w14:paraId="2C5D3367" w14:textId="186FF91D"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0E89C6AB" w14:textId="22D0AA89"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After the plaintiff was discharged, the defendant offered to re-employ the plaintiff </w:t>
      </w:r>
      <w:r w:rsidR="003C6854">
        <w:rPr>
          <w:rFonts w:eastAsia="Times New Roman"/>
          <w:b/>
          <w:sz w:val="24"/>
          <w:szCs w:val="24"/>
        </w:rPr>
        <w:t>[</w:t>
      </w:r>
      <w:r w:rsidRPr="00A80748">
        <w:rPr>
          <w:rFonts w:eastAsia="Times New Roman"/>
          <w:b/>
          <w:sz w:val="24"/>
          <w:szCs w:val="24"/>
        </w:rPr>
        <w:t xml:space="preserve">in the same position from which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was discharged</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 xml:space="preserve">in another position with substantially the same compensation, benefits and responsibilities as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before the discharge</w:t>
      </w:r>
      <w:r w:rsidR="003C6854">
        <w:rPr>
          <w:rFonts w:eastAsia="Times New Roman"/>
          <w:b/>
          <w:sz w:val="24"/>
          <w:szCs w:val="24"/>
        </w:rPr>
        <w:t>]</w:t>
      </w:r>
      <w:r w:rsidRPr="00A80748">
        <w:rPr>
          <w:rFonts w:eastAsia="Times New Roman"/>
          <w:b/>
          <w:sz w:val="24"/>
          <w:szCs w:val="24"/>
        </w:rPr>
        <w:t>, and</w:t>
      </w:r>
    </w:p>
    <w:p w14:paraId="56975633" w14:textId="46B8AD34"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That offer was made without requiring the plaintiff to waive any right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have and was not dependent upon some other improper requirement, and</w:t>
      </w:r>
    </w:p>
    <w:p w14:paraId="06D2D8B1" w14:textId="746709C0"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3. The plaintiff failed to accept that offer, then you may not award to the plaintiff any amount for earnings or benefits for any period after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failed to accept the defendant’s offer of re-employment unless you also find that the plaintiff has proved that there were special circumstances that reasonably justified the failure to accept that offer of re-employment.</w:t>
      </w:r>
      <w:r w:rsidR="003C6854">
        <w:rPr>
          <w:rFonts w:eastAsia="Times New Roman"/>
          <w:b/>
          <w:sz w:val="24"/>
          <w:szCs w:val="24"/>
        </w:rPr>
        <w:t>)</w:t>
      </w:r>
    </w:p>
    <w:p w14:paraId="61CFC2EF" w14:textId="77777777" w:rsidR="00A80748" w:rsidRDefault="00A80748" w:rsidP="00A80748">
      <w:pPr>
        <w:jc w:val="center"/>
        <w:rPr>
          <w:rFonts w:eastAsia="Times New Roman"/>
          <w:sz w:val="24"/>
          <w:szCs w:val="24"/>
        </w:rPr>
      </w:pPr>
    </w:p>
    <w:p w14:paraId="7A76335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39CC615"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5067EB12" w14:textId="6970CF4F"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5:2.</w:t>
      </w:r>
    </w:p>
    <w:p w14:paraId="3DB1EA68"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lastRenderedPageBreak/>
        <w:t>Source and Authority</w:t>
      </w:r>
    </w:p>
    <w:p w14:paraId="6D7A5B97"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14:paraId="0A189875" w14:textId="0F52CFA9" w:rsidR="00A80748" w:rsidRPr="00A80748" w:rsidRDefault="00A80748" w:rsidP="00A80748">
      <w:pPr>
        <w:spacing w:after="240"/>
        <w:ind w:firstLine="720"/>
        <w:rPr>
          <w:rFonts w:eastAsia="Times New Roman"/>
          <w:sz w:val="24"/>
          <w:szCs w:val="24"/>
        </w:rPr>
      </w:pPr>
      <w:r w:rsidRPr="00A80748">
        <w:rPr>
          <w:rFonts w:eastAsia="Times New Roman"/>
          <w:sz w:val="24"/>
          <w:szCs w:val="24"/>
        </w:rPr>
        <w:t>2. The defense of mitigation of damages can be asserted as an affirmative defense to either a tort claim for wrongful discharge in violation of public policy</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31:12 and 31:13</w:t>
      </w:r>
      <w:r w:rsidR="00D73939">
        <w:rPr>
          <w:rFonts w:eastAsia="Times New Roman"/>
          <w:sz w:val="24"/>
          <w:szCs w:val="24"/>
        </w:rPr>
        <w:t>,</w:t>
      </w:r>
      <w:r w:rsidRPr="00A80748">
        <w:rPr>
          <w:rFonts w:eastAsia="Times New Roman"/>
          <w:sz w:val="24"/>
          <w:szCs w:val="24"/>
        </w:rPr>
        <w:t xml:space="preserve"> or a claim for a discharge in violation of an express or implied contract</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But “the defense of failure to mitigate damages will not be presented to the jury unless the trial court determines there is sufficient evidence to support it.” </w:t>
      </w:r>
      <w:r w:rsidRPr="00A80748">
        <w:rPr>
          <w:rFonts w:eastAsia="Times New Roman"/>
          <w:b/>
          <w:sz w:val="24"/>
          <w:szCs w:val="24"/>
        </w:rPr>
        <w:t>Fair</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943 P.2d </w:t>
      </w:r>
      <w:r w:rsidR="00D73939">
        <w:rPr>
          <w:rFonts w:eastAsia="Times New Roman"/>
          <w:sz w:val="24"/>
          <w:szCs w:val="24"/>
        </w:rPr>
        <w:t xml:space="preserve">at </w:t>
      </w:r>
      <w:r w:rsidRPr="00A80748">
        <w:rPr>
          <w:rFonts w:eastAsia="Times New Roman"/>
          <w:sz w:val="24"/>
          <w:szCs w:val="24"/>
        </w:rPr>
        <w:t>437</w:t>
      </w:r>
      <w:r w:rsidR="008558FB">
        <w:rPr>
          <w:rFonts w:eastAsia="Times New Roman"/>
          <w:sz w:val="24"/>
          <w:szCs w:val="24"/>
        </w:rPr>
        <w:t>;</w:t>
      </w:r>
      <w:r w:rsidRPr="00A80748">
        <w:rPr>
          <w:rFonts w:eastAsia="Times New Roman"/>
          <w:sz w:val="24"/>
          <w:szCs w:val="24"/>
        </w:rPr>
        <w:t xml:space="preserve"> </w:t>
      </w:r>
      <w:r w:rsidR="008558FB">
        <w:rPr>
          <w:rFonts w:eastAsia="Times New Roman"/>
          <w:i/>
          <w:sz w:val="24"/>
          <w:szCs w:val="24"/>
        </w:rPr>
        <w:t>s</w:t>
      </w:r>
      <w:r w:rsidRPr="00A80748">
        <w:rPr>
          <w:rFonts w:eastAsia="Times New Roman"/>
          <w:i/>
          <w:sz w:val="24"/>
          <w:szCs w:val="24"/>
        </w:rPr>
        <w:t>ee also</w:t>
      </w:r>
      <w:r w:rsidRPr="00A80748">
        <w:rPr>
          <w:rFonts w:eastAsia="Times New Roman"/>
          <w:b/>
          <w:sz w:val="24"/>
          <w:szCs w:val="24"/>
        </w:rPr>
        <w:t xml:space="preserve"> Bonidy v. Vail Valley Ctr. </w:t>
      </w:r>
      <w:r w:rsidR="008558FB">
        <w:rPr>
          <w:rFonts w:eastAsia="Times New Roman"/>
          <w:b/>
          <w:sz w:val="24"/>
          <w:szCs w:val="24"/>
        </w:rPr>
        <w:t>f</w:t>
      </w:r>
      <w:r w:rsidRPr="00A80748">
        <w:rPr>
          <w:rFonts w:eastAsia="Times New Roman"/>
          <w:b/>
          <w:sz w:val="24"/>
          <w:szCs w:val="24"/>
        </w:rPr>
        <w:t>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14:paraId="6C9D89DB" w14:textId="485806A6"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943 P.2d </w:t>
      </w:r>
      <w:r w:rsidR="00AC227F">
        <w:rPr>
          <w:rFonts w:eastAsia="Times New Roman"/>
          <w:sz w:val="24"/>
          <w:szCs w:val="24"/>
        </w:rPr>
        <w:t xml:space="preserve">at </w:t>
      </w:r>
      <w:r w:rsidRPr="00A80748">
        <w:rPr>
          <w:rFonts w:eastAsia="Times New Roman"/>
          <w:sz w:val="24"/>
          <w:szCs w:val="24"/>
        </w:rPr>
        <w:t>43</w:t>
      </w:r>
      <w:r w:rsidR="00AC227F">
        <w:rPr>
          <w:rFonts w:eastAsia="Times New Roman"/>
          <w:sz w:val="24"/>
          <w:szCs w:val="24"/>
        </w:rPr>
        <w:t>8</w:t>
      </w:r>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2d 721 (1982) (discharge in violation of Title VII).</w:t>
      </w:r>
    </w:p>
    <w:p w14:paraId="72BE9017" w14:textId="55D26A19" w:rsidR="00A80748" w:rsidRPr="00A80748" w:rsidRDefault="00A80748" w:rsidP="00A80748">
      <w:pPr>
        <w:spacing w:after="240"/>
        <w:ind w:firstLine="720"/>
        <w:rPr>
          <w:rFonts w:eastAsia="Times New Roman"/>
          <w:sz w:val="24"/>
          <w:szCs w:val="24"/>
        </w:rPr>
      </w:pPr>
      <w:r w:rsidRPr="00A80748">
        <w:rPr>
          <w:rFonts w:eastAsia="Times New Roman"/>
          <w:sz w:val="24"/>
          <w:szCs w:val="24"/>
        </w:rPr>
        <w:t>4. “</w:t>
      </w:r>
      <w:r w:rsidR="0032229B">
        <w:rPr>
          <w:rFonts w:eastAsia="Times New Roman"/>
          <w:sz w:val="24"/>
          <w:szCs w:val="24"/>
        </w:rPr>
        <w:t>S</w:t>
      </w:r>
      <w:r w:rsidRPr="00A80748">
        <w:rPr>
          <w:rFonts w:eastAsia="Times New Roman"/>
          <w:sz w:val="24"/>
          <w:szCs w:val="24"/>
        </w:rPr>
        <w:t>pecial circumstances” that would justify an employee</w:t>
      </w:r>
      <w:r w:rsidR="0032229B">
        <w:rPr>
          <w:rFonts w:eastAsia="Times New Roman"/>
          <w:sz w:val="24"/>
          <w:szCs w:val="24"/>
        </w:rPr>
        <w:t>’s</w:t>
      </w:r>
      <w:r w:rsidRPr="00A80748">
        <w:rPr>
          <w:rFonts w:eastAsia="Times New Roman"/>
          <w:sz w:val="24"/>
          <w:szCs w:val="24"/>
        </w:rPr>
        <w:t xml:space="preserve"> rejecti</w:t>
      </w:r>
      <w:r w:rsidR="0032229B">
        <w:rPr>
          <w:rFonts w:eastAsia="Times New Roman"/>
          <w:sz w:val="24"/>
          <w:szCs w:val="24"/>
        </w:rPr>
        <w:t>o</w:t>
      </w:r>
      <w:r w:rsidRPr="00A80748">
        <w:rPr>
          <w:rFonts w:eastAsia="Times New Roman"/>
          <w:sz w:val="24"/>
          <w:szCs w:val="24"/>
        </w:rPr>
        <w:t xml:space="preserve">n </w:t>
      </w:r>
      <w:r w:rsidR="0032229B">
        <w:rPr>
          <w:rFonts w:eastAsia="Times New Roman"/>
          <w:sz w:val="24"/>
          <w:szCs w:val="24"/>
        </w:rPr>
        <w:t xml:space="preserve">of </w:t>
      </w:r>
      <w:r w:rsidRPr="00A80748">
        <w:rPr>
          <w:rFonts w:eastAsia="Times New Roman"/>
          <w:sz w:val="24"/>
          <w:szCs w:val="24"/>
        </w:rPr>
        <w:t>an unconditional offer of reinstatement</w:t>
      </w:r>
      <w:r w:rsidR="0032229B">
        <w:rPr>
          <w:rFonts w:eastAsia="Times New Roman"/>
          <w:sz w:val="24"/>
          <w:szCs w:val="24"/>
        </w:rPr>
        <w:t xml:space="preserve"> have not been defined</w:t>
      </w:r>
      <w:r w:rsidRPr="00A80748">
        <w:rPr>
          <w:rFonts w:eastAsia="Times New Roman"/>
          <w:sz w:val="24"/>
          <w:szCs w:val="24"/>
        </w:rPr>
        <w:t xml:space="preserve">. However, if the employee asserts that the offer was rejected </w:t>
      </w:r>
      <w:r w:rsidR="00F16422">
        <w:rPr>
          <w:rFonts w:eastAsia="Times New Roman"/>
          <w:sz w:val="24"/>
          <w:szCs w:val="24"/>
        </w:rPr>
        <w:t xml:space="preserve">as </w:t>
      </w:r>
      <w:r w:rsidRPr="00A80748">
        <w:rPr>
          <w:rFonts w:eastAsia="Times New Roman"/>
          <w:sz w:val="24"/>
          <w:szCs w:val="24"/>
        </w:rPr>
        <w:t xml:space="preserve">not bona fide or </w:t>
      </w:r>
      <w:r w:rsidR="00F16422">
        <w:rPr>
          <w:rFonts w:eastAsia="Times New Roman"/>
          <w:sz w:val="24"/>
          <w:szCs w:val="24"/>
        </w:rPr>
        <w:t>because</w:t>
      </w:r>
      <w:r w:rsidRPr="00A80748">
        <w:rPr>
          <w:rFonts w:eastAsia="Times New Roman"/>
          <w:sz w:val="24"/>
          <w:szCs w:val="24"/>
        </w:rPr>
        <w:t xml:space="preserve">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943 P.2d </w:t>
      </w:r>
      <w:r w:rsidR="00DE6F63">
        <w:rPr>
          <w:rFonts w:eastAsia="Times New Roman"/>
          <w:sz w:val="24"/>
          <w:szCs w:val="24"/>
        </w:rPr>
        <w:t xml:space="preserve">at </w:t>
      </w:r>
      <w:r w:rsidRPr="00A80748">
        <w:rPr>
          <w:rFonts w:eastAsia="Times New Roman"/>
          <w:sz w:val="24"/>
          <w:szCs w:val="24"/>
        </w:rPr>
        <w:t>43</w:t>
      </w:r>
      <w:r w:rsidR="00DE6F63">
        <w:rPr>
          <w:rFonts w:eastAsia="Times New Roman"/>
          <w:sz w:val="24"/>
          <w:szCs w:val="24"/>
        </w:rPr>
        <w:t>9-41</w:t>
      </w:r>
      <w:r w:rsidRPr="00A80748">
        <w:rPr>
          <w:rFonts w:eastAsia="Times New Roman"/>
          <w:sz w:val="24"/>
          <w:szCs w:val="24"/>
        </w:rPr>
        <w:t>.</w:t>
      </w:r>
    </w:p>
    <w:p w14:paraId="13AAB42D" w14:textId="043D2D3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w:t>
      </w:r>
      <w:r w:rsidR="00F16422">
        <w:rPr>
          <w:rFonts w:eastAsia="Times New Roman"/>
          <w:sz w:val="24"/>
          <w:szCs w:val="24"/>
        </w:rPr>
        <w:t>wrongfully</w:t>
      </w:r>
      <w:r w:rsidR="00F16422" w:rsidRPr="00A80748">
        <w:rPr>
          <w:rFonts w:eastAsia="Times New Roman"/>
          <w:sz w:val="24"/>
          <w:szCs w:val="24"/>
        </w:rPr>
        <w:t xml:space="preserve"> </w:t>
      </w:r>
      <w:r w:rsidRPr="00A80748">
        <w:rPr>
          <w:rFonts w:eastAsia="Times New Roman"/>
          <w:sz w:val="24"/>
          <w:szCs w:val="24"/>
        </w:rPr>
        <w:t xml:space="preserve">terminated </w:t>
      </w:r>
      <w:r w:rsidR="00F16422">
        <w:rPr>
          <w:rFonts w:eastAsia="Times New Roman"/>
          <w:sz w:val="24"/>
          <w:szCs w:val="24"/>
        </w:rPr>
        <w:t xml:space="preserve">teacher </w:t>
      </w:r>
      <w:r w:rsidRPr="00A80748">
        <w:rPr>
          <w:rFonts w:eastAsia="Times New Roman"/>
          <w:sz w:val="24"/>
          <w:szCs w:val="24"/>
        </w:rPr>
        <w:t xml:space="preserve">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14:paraId="16CED288" w14:textId="77777777" w:rsidR="00A80748" w:rsidRDefault="00A80748">
      <w:pPr>
        <w:rPr>
          <w:rFonts w:eastAsia="Times New Roman"/>
          <w:bCs/>
          <w:sz w:val="24"/>
          <w:szCs w:val="24"/>
        </w:rPr>
      </w:pPr>
      <w:r>
        <w:rPr>
          <w:rFonts w:eastAsia="Times New Roman"/>
          <w:bCs/>
          <w:sz w:val="24"/>
          <w:szCs w:val="24"/>
        </w:rPr>
        <w:br w:type="page"/>
      </w:r>
    </w:p>
    <w:p w14:paraId="176F5704" w14:textId="77777777" w:rsidR="00A80748" w:rsidRPr="009E3DA4" w:rsidRDefault="00A80748" w:rsidP="00A80748">
      <w:pPr>
        <w:spacing w:after="240"/>
        <w:ind w:left="720" w:hanging="720"/>
        <w:rPr>
          <w:rFonts w:eastAsia="Times New Roman"/>
          <w:b/>
          <w:sz w:val="24"/>
          <w:szCs w:val="24"/>
        </w:rPr>
      </w:pPr>
      <w:bookmarkStart w:id="9" w:name="a31_09"/>
      <w:bookmarkEnd w:id="9"/>
      <w:r w:rsidRPr="00A80748">
        <w:rPr>
          <w:rFonts w:eastAsia="Times New Roman"/>
          <w:b/>
          <w:sz w:val="24"/>
          <w:szCs w:val="24"/>
        </w:rPr>
        <w:lastRenderedPageBreak/>
        <w:t xml:space="preserve">31:9 </w:t>
      </w:r>
      <w:r w:rsidRPr="00A80748">
        <w:rPr>
          <w:rFonts w:eastAsia="Times New Roman"/>
          <w:b/>
          <w:sz w:val="24"/>
          <w:szCs w:val="24"/>
        </w:rPr>
        <w:tab/>
        <w:t>CONSTRUCTIVE DISCHARGE — DEFINED</w:t>
      </w:r>
    </w:p>
    <w:p w14:paraId="256A035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A constructive discharge occurs when an employer deliberately </w:t>
      </w:r>
      <w:r w:rsidR="007339DB">
        <w:rPr>
          <w:rFonts w:eastAsia="Times New Roman"/>
          <w:b/>
          <w:sz w:val="24"/>
          <w:szCs w:val="24"/>
        </w:rPr>
        <w:t>(</w:t>
      </w:r>
      <w:r w:rsidRPr="00A80748">
        <w:rPr>
          <w:rFonts w:eastAsia="Times New Roman"/>
          <w:b/>
          <w:sz w:val="24"/>
          <w:szCs w:val="24"/>
        </w:rPr>
        <w:t>makes</w:t>
      </w:r>
      <w:r w:rsidR="001E108E" w:rsidRPr="001E108E">
        <w:rPr>
          <w:rFonts w:eastAsia="Times New Roman"/>
          <w:b/>
          <w:sz w:val="24"/>
          <w:szCs w:val="24"/>
        </w:rPr>
        <w:t xml:space="preserve"> </w:t>
      </w:r>
      <w:r w:rsidR="001E108E" w:rsidRPr="00A80748">
        <w:rPr>
          <w:rFonts w:eastAsia="Times New Roman"/>
          <w:b/>
          <w:sz w:val="24"/>
          <w:szCs w:val="24"/>
        </w:rPr>
        <w:t>an employee’s working conditions</w:t>
      </w:r>
      <w:r w:rsidR="007339DB">
        <w:rPr>
          <w:rFonts w:eastAsia="Times New Roman"/>
          <w:b/>
          <w:sz w:val="24"/>
          <w:szCs w:val="24"/>
        </w:rPr>
        <w:t>)</w:t>
      </w:r>
      <w:r w:rsidRPr="00A80748">
        <w:rPr>
          <w:rFonts w:eastAsia="Times New Roman"/>
          <w:b/>
          <w:sz w:val="24"/>
          <w:szCs w:val="24"/>
        </w:rPr>
        <w:t xml:space="preserve"> </w:t>
      </w:r>
      <w:r w:rsidR="001E108E">
        <w:rPr>
          <w:rFonts w:eastAsia="Times New Roman"/>
          <w:b/>
          <w:sz w:val="24"/>
          <w:szCs w:val="24"/>
        </w:rPr>
        <w:t>(</w:t>
      </w:r>
      <w:r w:rsidRPr="00A80748">
        <w:rPr>
          <w:rFonts w:eastAsia="Times New Roman"/>
          <w:b/>
          <w:sz w:val="24"/>
          <w:szCs w:val="24"/>
        </w:rPr>
        <w:t>or</w:t>
      </w:r>
      <w:r w:rsidR="001E108E">
        <w:rPr>
          <w:rFonts w:eastAsia="Times New Roman"/>
          <w:b/>
          <w:sz w:val="24"/>
          <w:szCs w:val="24"/>
        </w:rPr>
        <w:t>)</w:t>
      </w:r>
      <w:r w:rsidRPr="00A80748">
        <w:rPr>
          <w:rFonts w:eastAsia="Times New Roman"/>
          <w:b/>
          <w:sz w:val="24"/>
          <w:szCs w:val="24"/>
        </w:rPr>
        <w:t xml:space="preserve"> </w:t>
      </w:r>
      <w:r w:rsidR="007339DB">
        <w:rPr>
          <w:rFonts w:eastAsia="Times New Roman"/>
          <w:b/>
          <w:sz w:val="24"/>
          <w:szCs w:val="24"/>
        </w:rPr>
        <w:t>(</w:t>
      </w:r>
      <w:r w:rsidRPr="00A80748">
        <w:rPr>
          <w:rFonts w:eastAsia="Times New Roman"/>
          <w:b/>
          <w:sz w:val="24"/>
          <w:szCs w:val="24"/>
        </w:rPr>
        <w:t>allows an employee’s working conditions to become</w:t>
      </w:r>
      <w:r w:rsidR="001E108E">
        <w:rPr>
          <w:rFonts w:eastAsia="Times New Roman"/>
          <w:b/>
          <w:sz w:val="24"/>
          <w:szCs w:val="24"/>
        </w:rPr>
        <w:t>)</w:t>
      </w:r>
      <w:r w:rsidRPr="00A80748">
        <w:rPr>
          <w:rFonts w:eastAsia="Times New Roman"/>
          <w:b/>
          <w:sz w:val="24"/>
          <w:szCs w:val="24"/>
        </w:rPr>
        <w:t xml:space="preserv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14:paraId="6F0F77CC" w14:textId="77777777" w:rsidR="00A80748" w:rsidRDefault="00A80748" w:rsidP="00A80748">
      <w:pPr>
        <w:jc w:val="center"/>
        <w:rPr>
          <w:rFonts w:eastAsia="Times New Roman"/>
          <w:sz w:val="24"/>
          <w:szCs w:val="24"/>
        </w:rPr>
      </w:pPr>
    </w:p>
    <w:p w14:paraId="3F73C0B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56B55D89"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14:paraId="06D232EE" w14:textId="27B382B0" w:rsidR="00A80748" w:rsidRPr="00A80748" w:rsidRDefault="00A80748" w:rsidP="00A80748">
      <w:pPr>
        <w:spacing w:after="240"/>
        <w:ind w:firstLine="720"/>
        <w:rPr>
          <w:rFonts w:eastAsia="Times New Roman"/>
          <w:sz w:val="24"/>
          <w:szCs w:val="24"/>
        </w:rPr>
      </w:pPr>
      <w:r w:rsidRPr="00A80748">
        <w:rPr>
          <w:rFonts w:eastAsia="Times New Roman"/>
          <w:sz w:val="24"/>
          <w:szCs w:val="24"/>
        </w:rPr>
        <w:t>2. Where a constructive discharge claim is based on a violation of the Age Discrimination in Employment Act, 29 U.S.C. §§ 62</w:t>
      </w:r>
      <w:r w:rsidR="00B508D4">
        <w:rPr>
          <w:rFonts w:eastAsia="Times New Roman"/>
          <w:sz w:val="24"/>
          <w:szCs w:val="24"/>
        </w:rPr>
        <w:t>1 to -</w:t>
      </w:r>
      <w:r w:rsidRPr="00A80748">
        <w:rPr>
          <w:rFonts w:eastAsia="Times New Roman"/>
          <w:sz w:val="24"/>
          <w:szCs w:val="24"/>
        </w:rPr>
        <w:t>3</w:t>
      </w:r>
      <w:r w:rsidR="0085074A">
        <w:rPr>
          <w:rFonts w:eastAsia="Times New Roman"/>
          <w:sz w:val="24"/>
          <w:szCs w:val="24"/>
        </w:rPr>
        <w:t>4 (2018</w:t>
      </w:r>
      <w:r w:rsidR="00B508D4">
        <w:rPr>
          <w:rFonts w:eastAsia="Times New Roman"/>
          <w:sz w:val="24"/>
          <w:szCs w:val="24"/>
        </w:rPr>
        <w:t>)</w:t>
      </w:r>
      <w:r w:rsidRPr="00A80748">
        <w:rPr>
          <w:rFonts w:eastAsia="Times New Roman"/>
          <w:sz w:val="24"/>
          <w:szCs w:val="24"/>
        </w:rPr>
        <w:t xml:space="preserve">, rather than on state law, the state courts must apply the federal law of constructive discharge developed under that statute. </w:t>
      </w:r>
      <w:r w:rsidRPr="00A80748">
        <w:rPr>
          <w:rFonts w:eastAsia="Times New Roman"/>
          <w:b/>
          <w:sz w:val="24"/>
          <w:szCs w:val="24"/>
        </w:rPr>
        <w:t>Evenson v. Colo</w:t>
      </w:r>
      <w:r w:rsidR="00B508D4">
        <w:rPr>
          <w:rFonts w:eastAsia="Times New Roman"/>
          <w:b/>
          <w:sz w:val="24"/>
          <w:szCs w:val="24"/>
        </w:rPr>
        <w:t>.</w:t>
      </w:r>
      <w:r w:rsidRPr="00A80748">
        <w:rPr>
          <w:rFonts w:eastAsia="Times New Roman"/>
          <w:b/>
          <w:sz w:val="24"/>
          <w:szCs w:val="24"/>
        </w:rPr>
        <w:t xml:space="preserve"> Farm Bureau Mut.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w:t>
      </w:r>
    </w:p>
    <w:p w14:paraId="48F885FD"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0139173A" w14:textId="29F93872"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805 P.2d 1085 (Colo. 1991)</w:t>
      </w:r>
      <w:r w:rsidR="00FF531F">
        <w:rPr>
          <w:rFonts w:eastAsia="Times New Roman"/>
          <w:sz w:val="24"/>
          <w:szCs w:val="24"/>
        </w:rPr>
        <w:t xml:space="preserve">, </w:t>
      </w:r>
      <w:r w:rsidR="00FF531F" w:rsidRPr="00FF531F">
        <w:rPr>
          <w:rFonts w:eastAsia="Times New Roman"/>
          <w:i/>
          <w:sz w:val="24"/>
          <w:szCs w:val="24"/>
        </w:rPr>
        <w:t>overruled in part on other grounds by</w:t>
      </w:r>
      <w:r w:rsidR="00FF531F">
        <w:rPr>
          <w:rFonts w:eastAsia="Times New Roman"/>
          <w:sz w:val="24"/>
          <w:szCs w:val="24"/>
        </w:rPr>
        <w:t xml:space="preserve"> </w:t>
      </w:r>
      <w:r w:rsidR="00FF531F" w:rsidRPr="00FF531F">
        <w:rPr>
          <w:rFonts w:eastAsia="Times New Roman"/>
          <w:b/>
          <w:sz w:val="24"/>
          <w:szCs w:val="24"/>
        </w:rPr>
        <w:t>Cmty. Hosp. v. Fail</w:t>
      </w:r>
      <w:r w:rsidR="00FF531F">
        <w:rPr>
          <w:rFonts w:eastAsia="Times New Roman"/>
          <w:sz w:val="24"/>
          <w:szCs w:val="24"/>
        </w:rPr>
        <w:t>, 969 P.2d 667 (Colo. 1998)</w:t>
      </w:r>
      <w:r w:rsidRPr="00A80748">
        <w:rPr>
          <w:rFonts w:eastAsia="Times New Roman"/>
          <w:sz w:val="24"/>
          <w:szCs w:val="24"/>
        </w:rPr>
        <w:t xml:space="preserve">; </w:t>
      </w:r>
      <w:r w:rsidRPr="00A80748">
        <w:rPr>
          <w:rFonts w:eastAsia="Times New Roman"/>
          <w:b/>
          <w:sz w:val="24"/>
          <w:szCs w:val="24"/>
        </w:rPr>
        <w:t>Wilson v. Board of County Comm</w:t>
      </w:r>
      <w:r w:rsidR="00FF531F">
        <w:rPr>
          <w:rFonts w:eastAsia="Times New Roman"/>
          <w:b/>
          <w:sz w:val="24"/>
          <w:szCs w:val="24"/>
        </w:rPr>
        <w:t>issione</w:t>
      </w:r>
      <w:r w:rsidRPr="00A80748">
        <w:rPr>
          <w:rFonts w:eastAsia="Times New Roman"/>
          <w:b/>
          <w:sz w:val="24"/>
          <w:szCs w:val="24"/>
        </w:rPr>
        <w:t>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 xml:space="preserve">Koinis v. </w:t>
      </w:r>
      <w:r w:rsidR="00FF531F">
        <w:rPr>
          <w:rFonts w:eastAsia="Times New Roman"/>
          <w:b/>
          <w:sz w:val="24"/>
          <w:szCs w:val="24"/>
        </w:rPr>
        <w:t>Colorado</w:t>
      </w:r>
      <w:r w:rsidR="00FF531F" w:rsidRPr="00A80748">
        <w:rPr>
          <w:rFonts w:eastAsia="Times New Roman"/>
          <w:b/>
          <w:sz w:val="24"/>
          <w:szCs w:val="24"/>
        </w:rPr>
        <w:t xml:space="preserve"> </w:t>
      </w:r>
      <w:r w:rsidRPr="00A80748">
        <w:rPr>
          <w:rFonts w:eastAsia="Times New Roman"/>
          <w:b/>
          <w:sz w:val="24"/>
          <w:szCs w:val="24"/>
        </w:rPr>
        <w:t>Dep</w:t>
      </w:r>
      <w:r w:rsidR="00FF531F">
        <w:rPr>
          <w:rFonts w:eastAsia="Times New Roman"/>
          <w:b/>
          <w:sz w:val="24"/>
          <w:szCs w:val="24"/>
        </w:rPr>
        <w:t>ar</w:t>
      </w:r>
      <w:r w:rsidRPr="00A80748">
        <w:rPr>
          <w:rFonts w:eastAsia="Times New Roman"/>
          <w:b/>
          <w:sz w:val="24"/>
          <w:szCs w:val="24"/>
        </w:rPr>
        <w:t>t</w:t>
      </w:r>
      <w:r w:rsidR="00FF531F">
        <w:rPr>
          <w:rFonts w:eastAsia="Times New Roman"/>
          <w:b/>
          <w:sz w:val="24"/>
          <w:szCs w:val="24"/>
        </w:rPr>
        <w:t>ment</w:t>
      </w:r>
      <w:r w:rsidRPr="00A80748">
        <w:rPr>
          <w:rFonts w:eastAsia="Times New Roman"/>
          <w:b/>
          <w:sz w:val="24"/>
          <w:szCs w:val="24"/>
        </w:rPr>
        <w:t xml:space="preserve"> of Pub</w:t>
      </w:r>
      <w:r w:rsidR="00FF531F">
        <w:rPr>
          <w:rFonts w:eastAsia="Times New Roman"/>
          <w:b/>
          <w:sz w:val="24"/>
          <w:szCs w:val="24"/>
        </w:rPr>
        <w:t>lic</w:t>
      </w:r>
      <w:r w:rsidRPr="00A80748">
        <w:rPr>
          <w:rFonts w:eastAsia="Times New Roman"/>
          <w:b/>
          <w:sz w:val="24"/>
          <w:szCs w:val="24"/>
        </w:rPr>
        <w:t xml:space="preserve">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(request for resignation, in and of itself, will not support claim of constructive discharge); </w:t>
      </w:r>
      <w:r w:rsidRPr="00A80748">
        <w:rPr>
          <w:rFonts w:eastAsia="Times New Roman"/>
          <w:b/>
          <w:sz w:val="24"/>
          <w:szCs w:val="24"/>
        </w:rPr>
        <w:t>Krauss v. Catholic Health Initiatives M</w:t>
      </w:r>
      <w:r w:rsidR="00FF531F">
        <w:rPr>
          <w:rFonts w:eastAsia="Times New Roman"/>
          <w:b/>
          <w:sz w:val="24"/>
          <w:szCs w:val="24"/>
        </w:rPr>
        <w:t>oun</w:t>
      </w:r>
      <w:r w:rsidRPr="00A80748">
        <w:rPr>
          <w:rFonts w:eastAsia="Times New Roman"/>
          <w:b/>
          <w:sz w:val="24"/>
          <w:szCs w:val="24"/>
        </w:rPr>
        <w:t>t</w:t>
      </w:r>
      <w:r w:rsidR="00FF531F">
        <w:rPr>
          <w:rFonts w:eastAsia="Times New Roman"/>
          <w:b/>
          <w:sz w:val="24"/>
          <w:szCs w:val="24"/>
        </w:rPr>
        <w:t>ai</w:t>
      </w:r>
      <w:r w:rsidRPr="00A80748">
        <w:rPr>
          <w:rFonts w:eastAsia="Times New Roman"/>
          <w:b/>
          <w:sz w:val="24"/>
          <w:szCs w:val="24"/>
        </w:rPr>
        <w: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and </w:t>
      </w:r>
      <w:r w:rsidRPr="00A80748">
        <w:rPr>
          <w:rFonts w:eastAsia="Times New Roman"/>
          <w:b/>
          <w:sz w:val="24"/>
          <w:szCs w:val="24"/>
        </w:rPr>
        <w:t>Christie v. San Miguel County Sch</w:t>
      </w:r>
      <w:r w:rsidR="0046147F">
        <w:rPr>
          <w:rFonts w:eastAsia="Times New Roman"/>
          <w:b/>
          <w:sz w:val="24"/>
          <w:szCs w:val="24"/>
        </w:rPr>
        <w:t>ool</w:t>
      </w:r>
      <w:r w:rsidRPr="00A80748">
        <w:rPr>
          <w:rFonts w:eastAsia="Times New Roman"/>
          <w:b/>
          <w:sz w:val="24"/>
          <w:szCs w:val="24"/>
        </w:rPr>
        <w:t xml:space="preserve"> Dist</w:t>
      </w:r>
      <w:r w:rsidR="0046147F">
        <w:rPr>
          <w:rFonts w:eastAsia="Times New Roman"/>
          <w:b/>
          <w:sz w:val="24"/>
          <w:szCs w:val="24"/>
        </w:rPr>
        <w:t>rict</w:t>
      </w:r>
      <w:r w:rsidRPr="00A80748">
        <w:rPr>
          <w:rFonts w:eastAsia="Times New Roman"/>
          <w:b/>
          <w:sz w:val="24"/>
          <w:szCs w:val="24"/>
        </w:rPr>
        <w:t xml:space="preserve"> R-2(J)</w:t>
      </w:r>
      <w:r w:rsidRPr="00A80748">
        <w:rPr>
          <w:rFonts w:eastAsia="Times New Roman"/>
          <w:sz w:val="24"/>
          <w:szCs w:val="24"/>
        </w:rPr>
        <w:t>, 759 P.2d 779 (</w:t>
      </w:r>
      <w:r w:rsidR="0067408D">
        <w:rPr>
          <w:rFonts w:eastAsia="Times New Roman"/>
          <w:sz w:val="24"/>
          <w:szCs w:val="24"/>
        </w:rPr>
        <w:t>Colo. App.</w:t>
      </w:r>
      <w:r w:rsidR="0046147F">
        <w:rPr>
          <w:rFonts w:eastAsia="Times New Roman"/>
          <w:sz w:val="24"/>
          <w:szCs w:val="24"/>
        </w:rPr>
        <w:t xml:space="preserve"> </w:t>
      </w:r>
      <w:r w:rsidRPr="00A80748">
        <w:rPr>
          <w:rFonts w:eastAsia="Times New Roman"/>
          <w:sz w:val="24"/>
          <w:szCs w:val="24"/>
        </w:rPr>
        <w:t>1988).</w:t>
      </w:r>
    </w:p>
    <w:p w14:paraId="063CB728" w14:textId="77777777" w:rsidR="00A80748" w:rsidRDefault="00A80748">
      <w:pPr>
        <w:rPr>
          <w:rFonts w:eastAsia="Times New Roman"/>
          <w:bCs/>
          <w:sz w:val="24"/>
          <w:szCs w:val="24"/>
        </w:rPr>
      </w:pPr>
      <w:r>
        <w:rPr>
          <w:rFonts w:eastAsia="Times New Roman"/>
          <w:bCs/>
          <w:sz w:val="24"/>
          <w:szCs w:val="24"/>
        </w:rPr>
        <w:br w:type="page"/>
      </w:r>
    </w:p>
    <w:p w14:paraId="624B3E04" w14:textId="77777777" w:rsidR="00A80748" w:rsidRPr="009E3DA4" w:rsidRDefault="009A10F1" w:rsidP="00A80748">
      <w:pPr>
        <w:spacing w:after="240"/>
        <w:ind w:left="720" w:hanging="720"/>
        <w:rPr>
          <w:rFonts w:eastAsia="Times New Roman"/>
          <w:b/>
          <w:sz w:val="24"/>
          <w:szCs w:val="24"/>
        </w:rPr>
      </w:pPr>
      <w:bookmarkStart w:id="10" w:name="a31_10"/>
      <w:bookmarkEnd w:id="10"/>
      <w:r w:rsidRPr="009A10F1">
        <w:rPr>
          <w:rFonts w:eastAsia="Times New Roman"/>
          <w:b/>
          <w:sz w:val="24"/>
          <w:szCs w:val="24"/>
        </w:rPr>
        <w:lastRenderedPageBreak/>
        <w:t xml:space="preserve">31:10 </w:t>
      </w:r>
      <w:r w:rsidRPr="009A10F1">
        <w:rPr>
          <w:rFonts w:eastAsia="Times New Roman"/>
          <w:b/>
          <w:sz w:val="24"/>
          <w:szCs w:val="24"/>
        </w:rPr>
        <w:tab/>
        <w:t>CONSTRUCTIVE (IMPLIED) DISCHARGE</w:t>
      </w:r>
    </w:p>
    <w:p w14:paraId="7B97058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Even if the plaintiff resigned from (his) (her) employment, if you find that the words spoken or actions taken by the defendant would have led a reasonable person in the plaintiff’s position to believe, and did lead the plaintiff to believe, that (he) (she) had been or was going to be discharged by the defendant, then the plaintiff was, in fact, discharged by the defendant.</w:t>
      </w:r>
    </w:p>
    <w:p w14:paraId="6BBC50CD" w14:textId="77777777" w:rsidR="00A80748" w:rsidRDefault="00A80748" w:rsidP="00A80748">
      <w:pPr>
        <w:jc w:val="center"/>
        <w:rPr>
          <w:rFonts w:eastAsia="Times New Roman"/>
          <w:sz w:val="24"/>
          <w:szCs w:val="24"/>
        </w:rPr>
      </w:pPr>
    </w:p>
    <w:p w14:paraId="3274C860"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4537E71D"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See </w:t>
      </w:r>
      <w:r w:rsidR="0046147F">
        <w:rPr>
          <w:rFonts w:eastAsia="Times New Roman"/>
          <w:sz w:val="24"/>
          <w:szCs w:val="24"/>
        </w:rPr>
        <w:t xml:space="preserve">the </w:t>
      </w:r>
      <w:r w:rsidRPr="009A10F1">
        <w:rPr>
          <w:rFonts w:eastAsia="Times New Roman"/>
          <w:sz w:val="24"/>
          <w:szCs w:val="24"/>
        </w:rPr>
        <w:t>Notes on Use to Instruction 31:9.</w:t>
      </w:r>
    </w:p>
    <w:p w14:paraId="0CAA0E0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14:paraId="72E8780E"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5B52B1A9"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14:paraId="0E7694E9" w14:textId="77777777" w:rsidR="009A10F1" w:rsidRDefault="009A10F1">
      <w:pPr>
        <w:rPr>
          <w:rFonts w:eastAsia="Times New Roman"/>
          <w:sz w:val="24"/>
          <w:szCs w:val="24"/>
        </w:rPr>
      </w:pPr>
      <w:r>
        <w:rPr>
          <w:rFonts w:eastAsia="Times New Roman"/>
          <w:sz w:val="24"/>
          <w:szCs w:val="24"/>
        </w:rPr>
        <w:br w:type="page"/>
      </w:r>
    </w:p>
    <w:p w14:paraId="763B736D" w14:textId="77777777" w:rsidR="009A10F1" w:rsidRPr="009E3DA4" w:rsidRDefault="009A10F1" w:rsidP="009A10F1">
      <w:pPr>
        <w:spacing w:after="240"/>
        <w:ind w:left="720" w:hanging="720"/>
        <w:rPr>
          <w:rFonts w:eastAsia="Times New Roman"/>
          <w:b/>
          <w:sz w:val="24"/>
          <w:szCs w:val="24"/>
        </w:rPr>
      </w:pPr>
      <w:bookmarkStart w:id="11" w:name="a31_11"/>
      <w:bookmarkEnd w:id="11"/>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14:paraId="61C8130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14:paraId="5390070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14:paraId="576A9CE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14:paraId="3012A32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14:paraId="56093F4B" w14:textId="77777777" w:rsidR="009A10F1" w:rsidRDefault="009A10F1" w:rsidP="009A10F1">
      <w:pPr>
        <w:jc w:val="center"/>
        <w:rPr>
          <w:rFonts w:eastAsia="Times New Roman"/>
          <w:sz w:val="24"/>
          <w:szCs w:val="24"/>
        </w:rPr>
      </w:pPr>
    </w:p>
    <w:p w14:paraId="3BCE0852"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6A221717" w14:textId="58F7368B" w:rsidR="00002D95" w:rsidRPr="009A10F1" w:rsidRDefault="009A10F1" w:rsidP="00002D95">
      <w:pPr>
        <w:spacing w:after="240"/>
        <w:ind w:firstLine="720"/>
        <w:rPr>
          <w:rFonts w:eastAsia="Times New Roman"/>
          <w:sz w:val="24"/>
          <w:szCs w:val="24"/>
        </w:rPr>
      </w:pPr>
      <w:r w:rsidRPr="009A10F1">
        <w:rPr>
          <w:rFonts w:eastAsia="Times New Roman"/>
          <w:sz w:val="24"/>
          <w:szCs w:val="24"/>
        </w:rPr>
        <w:t>Use whichever parenthesized and bracketed words and phrases are appropriate. In paragraph 1, insert specific description of the conduct described.</w:t>
      </w:r>
    </w:p>
    <w:p w14:paraId="38DCBD60"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0759D48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14:paraId="1C3C2CC5" w14:textId="30B6600C"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w:t>
      </w:r>
      <w:r w:rsidR="00632CF1">
        <w:rPr>
          <w:rFonts w:eastAsia="Times New Roman"/>
          <w:sz w:val="24"/>
          <w:szCs w:val="24"/>
        </w:rPr>
        <w:t>the record establishes that there is no genuine issue as to any material fact</w:t>
      </w:r>
      <w:r w:rsidRPr="009A10F1">
        <w:rPr>
          <w:rFonts w:eastAsia="Times New Roman"/>
          <w:sz w:val="24"/>
          <w:szCs w:val="24"/>
        </w:rPr>
        <w:t xml:space="preserve">,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w:t>
      </w:r>
      <w:r w:rsidR="00632CF1">
        <w:rPr>
          <w:rFonts w:eastAsia="Times New Roman"/>
          <w:sz w:val="24"/>
          <w:szCs w:val="24"/>
        </w:rPr>
        <w:t>50</w:t>
      </w:r>
      <w:r w:rsidRPr="009A10F1">
        <w:rPr>
          <w:rFonts w:eastAsia="Times New Roman"/>
          <w:sz w:val="24"/>
          <w:szCs w:val="24"/>
        </w:rPr>
        <w:t>.</w:t>
      </w:r>
    </w:p>
    <w:p w14:paraId="4B8E4B98" w14:textId="4D412CD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r w:rsidR="00632CF1" w:rsidRPr="00632CF1">
        <w:rPr>
          <w:rFonts w:eastAsia="Times New Roman"/>
          <w:i/>
          <w:sz w:val="24"/>
          <w:szCs w:val="24"/>
        </w:rPr>
        <w:t>Id.</w:t>
      </w:r>
      <w:r w:rsidR="00632CF1">
        <w:rPr>
          <w:rFonts w:eastAsia="Times New Roman"/>
          <w:sz w:val="24"/>
          <w:szCs w:val="24"/>
        </w:rPr>
        <w:t xml:space="preserve"> at 549</w:t>
      </w:r>
      <w:r w:rsidRPr="009A10F1">
        <w:rPr>
          <w:rFonts w:eastAsia="Times New Roman"/>
          <w:sz w:val="24"/>
          <w:szCs w:val="24"/>
        </w:rPr>
        <w:t xml:space="preserve">. However, </w:t>
      </w:r>
      <w:r w:rsidR="00632CF1">
        <w:rPr>
          <w:rFonts w:eastAsia="Times New Roman"/>
          <w:sz w:val="24"/>
          <w:szCs w:val="24"/>
        </w:rPr>
        <w:t>because</w:t>
      </w:r>
      <w:r w:rsidRPr="009A10F1">
        <w:rPr>
          <w:rFonts w:eastAsia="Times New Roman"/>
          <w:sz w:val="24"/>
          <w:szCs w:val="24"/>
        </w:rPr>
        <w:t xml:space="preserv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w:t>
      </w:r>
    </w:p>
    <w:p w14:paraId="2CF6F1BE" w14:textId="69D1638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supreme court’s decision expressly did not reach that issue.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54</w:t>
      </w:r>
      <w:r w:rsidR="00632CF1">
        <w:rPr>
          <w:rFonts w:eastAsia="Times New Roman"/>
          <w:sz w:val="24"/>
          <w:szCs w:val="24"/>
        </w:rPr>
        <w:t>8</w:t>
      </w:r>
      <w:r w:rsidRPr="009A10F1">
        <w:rPr>
          <w:rFonts w:eastAsia="Times New Roman"/>
          <w:sz w:val="24"/>
          <w:szCs w:val="24"/>
        </w:rPr>
        <w:t>.</w:t>
      </w:r>
    </w:p>
    <w:p w14:paraId="24DAA1EC" w14:textId="77777777" w:rsidR="00D775DE" w:rsidRDefault="009A10F1">
      <w:pPr>
        <w:rPr>
          <w:rFonts w:eastAsia="Times New Roman"/>
          <w:sz w:val="24"/>
          <w:szCs w:val="24"/>
        </w:rPr>
      </w:pPr>
      <w:r w:rsidRPr="009A10F1">
        <w:rPr>
          <w:rFonts w:eastAsia="Times New Roman"/>
          <w:sz w:val="24"/>
          <w:szCs w:val="24"/>
        </w:rPr>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w:t>
      </w:r>
      <w:r w:rsidRPr="009A10F1">
        <w:rPr>
          <w:rFonts w:eastAsia="Times New Roman"/>
          <w:sz w:val="24"/>
          <w:szCs w:val="24"/>
        </w:rPr>
        <w:lastRenderedPageBreak/>
        <w:t xml:space="preserve">of action. </w:t>
      </w:r>
      <w:r w:rsidRPr="009A10F1">
        <w:rPr>
          <w:rFonts w:eastAsia="Times New Roman"/>
          <w:b/>
          <w:sz w:val="24"/>
          <w:szCs w:val="24"/>
        </w:rPr>
        <w:t>Crawford Rehab. Servs.,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14:paraId="063029DA" w14:textId="4379706B" w:rsidR="009A10F1" w:rsidRDefault="009A10F1">
      <w:pPr>
        <w:rPr>
          <w:rFonts w:eastAsia="Times New Roman"/>
          <w:sz w:val="24"/>
          <w:szCs w:val="24"/>
        </w:rPr>
      </w:pPr>
      <w:r>
        <w:rPr>
          <w:rFonts w:eastAsia="Times New Roman"/>
          <w:sz w:val="24"/>
          <w:szCs w:val="24"/>
        </w:rPr>
        <w:br w:type="page"/>
      </w:r>
    </w:p>
    <w:p w14:paraId="00C243C0" w14:textId="77777777"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14:paraId="37ADCF07" w14:textId="77777777" w:rsidR="009A10F1" w:rsidRPr="009E3DA4" w:rsidRDefault="009A10F1" w:rsidP="009A10F1">
      <w:pPr>
        <w:spacing w:after="240"/>
        <w:ind w:left="720" w:hanging="720"/>
        <w:rPr>
          <w:rFonts w:eastAsia="Times New Roman"/>
          <w:b/>
          <w:sz w:val="24"/>
          <w:szCs w:val="24"/>
        </w:rPr>
      </w:pPr>
      <w:bookmarkStart w:id="12" w:name="a31_12"/>
      <w:bookmarkEnd w:id="12"/>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14:paraId="21EC14D1"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in violation of public policy, you must find that all of the following have been proved by a preponderance of the evidence:</w:t>
      </w:r>
    </w:p>
    <w:p w14:paraId="78E749A0"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14:paraId="5C0065B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14:paraId="164A777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14:paraId="41D6F31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14:paraId="6E389CC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0CE3A64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146EFB4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0AB054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F61B88" w14:textId="77777777" w:rsidR="009A10F1" w:rsidRDefault="009A10F1" w:rsidP="009A10F1">
      <w:pPr>
        <w:jc w:val="center"/>
        <w:rPr>
          <w:rFonts w:eastAsia="Times New Roman"/>
          <w:sz w:val="24"/>
          <w:szCs w:val="24"/>
        </w:rPr>
      </w:pPr>
    </w:p>
    <w:p w14:paraId="6B8B06B9"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14:paraId="4F8DD61A" w14:textId="2B181731"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 xml:space="preserve">Bonidy v. Vail Valley Ctr. </w:t>
      </w:r>
      <w:r w:rsidR="008558FB">
        <w:rPr>
          <w:rFonts w:eastAsia="Times New Roman"/>
          <w:b/>
          <w:sz w:val="24"/>
          <w:szCs w:val="24"/>
        </w:rPr>
        <w:t>f</w:t>
      </w:r>
      <w:r w:rsidRPr="009A10F1">
        <w:rPr>
          <w:rFonts w:eastAsia="Times New Roman"/>
          <w:b/>
          <w:sz w:val="24"/>
          <w:szCs w:val="24"/>
        </w:rPr>
        <w:t>or Aesthetic Dentistry, P.C.</w:t>
      </w:r>
      <w:r w:rsidRPr="009A10F1">
        <w:rPr>
          <w:rFonts w:eastAsia="Times New Roman"/>
          <w:sz w:val="24"/>
          <w:szCs w:val="24"/>
        </w:rPr>
        <w:t>, 186 P.3d 80 (</w:t>
      </w:r>
      <w:r w:rsidR="0067408D">
        <w:rPr>
          <w:rFonts w:eastAsia="Times New Roman"/>
          <w:sz w:val="24"/>
          <w:szCs w:val="24"/>
        </w:rPr>
        <w:t>Colo. App.</w:t>
      </w:r>
      <w:r w:rsidR="00077162">
        <w:rPr>
          <w:rFonts w:eastAsia="Times New Roman"/>
          <w:sz w:val="24"/>
          <w:szCs w:val="24"/>
        </w:rPr>
        <w:t xml:space="preserve"> </w:t>
      </w:r>
      <w:r w:rsidRPr="009A10F1">
        <w:rPr>
          <w:rFonts w:eastAsia="Times New Roman"/>
          <w:sz w:val="24"/>
          <w:szCs w:val="24"/>
        </w:rPr>
        <w:t>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14:paraId="0F5B76B2" w14:textId="79EDACE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The trial court must determine initially as a matter of law whether the public policy involved is sufficiently specific and serious to support this claim. </w:t>
      </w:r>
      <w:r w:rsidR="006C72EA" w:rsidRPr="006C72EA">
        <w:rPr>
          <w:rFonts w:eastAsia="Times New Roman"/>
          <w:i/>
          <w:sz w:val="24"/>
          <w:szCs w:val="24"/>
        </w:rPr>
        <w:t>S</w:t>
      </w:r>
      <w:r w:rsidR="00077162" w:rsidRPr="00EC3AB4">
        <w:rPr>
          <w:rFonts w:eastAsia="Times New Roman"/>
          <w:i/>
          <w:sz w:val="24"/>
          <w:szCs w:val="24"/>
        </w:rPr>
        <w:t>ee</w:t>
      </w:r>
      <w:r w:rsidR="00077162">
        <w:rPr>
          <w:rFonts w:eastAsia="Times New Roman"/>
          <w:sz w:val="24"/>
          <w:szCs w:val="24"/>
        </w:rPr>
        <w:t xml:space="preserve"> </w:t>
      </w:r>
      <w:r w:rsidR="00077162" w:rsidRPr="009A10F1">
        <w:rPr>
          <w:rFonts w:eastAsia="Times New Roman"/>
          <w:b/>
          <w:sz w:val="24"/>
          <w:szCs w:val="24"/>
        </w:rPr>
        <w:t>Mariani</w:t>
      </w:r>
      <w:r w:rsidR="00077162" w:rsidRPr="009A10F1">
        <w:rPr>
          <w:rFonts w:eastAsia="Times New Roman"/>
          <w:sz w:val="24"/>
          <w:szCs w:val="24"/>
        </w:rPr>
        <w:t xml:space="preserve">, 916 P.2d </w:t>
      </w:r>
      <w:r w:rsidR="00077162">
        <w:rPr>
          <w:rFonts w:eastAsia="Times New Roman"/>
          <w:sz w:val="24"/>
          <w:szCs w:val="24"/>
        </w:rPr>
        <w:t xml:space="preserve">at </w:t>
      </w:r>
      <w:r w:rsidR="00077162" w:rsidRPr="009A10F1">
        <w:rPr>
          <w:rFonts w:eastAsia="Times New Roman"/>
          <w:sz w:val="24"/>
          <w:szCs w:val="24"/>
        </w:rPr>
        <w:t>5</w:t>
      </w:r>
      <w:r w:rsidR="00077162">
        <w:rPr>
          <w:rFonts w:eastAsia="Times New Roman"/>
          <w:sz w:val="24"/>
          <w:szCs w:val="24"/>
        </w:rPr>
        <w:t xml:space="preserve">26; </w:t>
      </w:r>
      <w:r w:rsidRPr="009A10F1">
        <w:rPr>
          <w:rFonts w:eastAsia="Times New Roman"/>
          <w:b/>
          <w:sz w:val="24"/>
          <w:szCs w:val="24"/>
        </w:rPr>
        <w:t>Martin Marietta</w:t>
      </w:r>
      <w:r w:rsidRPr="009A10F1">
        <w:rPr>
          <w:rFonts w:eastAsia="Times New Roman"/>
          <w:sz w:val="24"/>
          <w:szCs w:val="24"/>
        </w:rPr>
        <w:t xml:space="preserve">, 823 P.2d </w:t>
      </w:r>
      <w:r w:rsidR="00EC3AB4">
        <w:rPr>
          <w:rFonts w:eastAsia="Times New Roman"/>
          <w:sz w:val="24"/>
          <w:szCs w:val="24"/>
        </w:rPr>
        <w:t xml:space="preserve">at </w:t>
      </w:r>
      <w:r w:rsidRPr="009A10F1">
        <w:rPr>
          <w:rFonts w:eastAsia="Times New Roman"/>
          <w:sz w:val="24"/>
          <w:szCs w:val="24"/>
        </w:rPr>
        <w:t>1</w:t>
      </w:r>
      <w:r w:rsidR="00EC3AB4">
        <w:rPr>
          <w:rFonts w:eastAsia="Times New Roman"/>
          <w:sz w:val="24"/>
          <w:szCs w:val="24"/>
        </w:rPr>
        <w:t>11</w:t>
      </w:r>
      <w:r w:rsidRPr="009A10F1">
        <w:rPr>
          <w:rFonts w:eastAsia="Times New Roman"/>
          <w:sz w:val="24"/>
          <w:szCs w:val="24"/>
        </w:rPr>
        <w:t xml:space="preserve">. </w:t>
      </w:r>
    </w:p>
    <w:p w14:paraId="42E53692" w14:textId="6292054D" w:rsidR="009A10F1" w:rsidRDefault="009A10F1" w:rsidP="009A10F1">
      <w:pPr>
        <w:spacing w:after="240"/>
        <w:ind w:firstLine="720"/>
        <w:rPr>
          <w:rFonts w:eastAsia="Times New Roman"/>
          <w:sz w:val="24"/>
          <w:szCs w:val="24"/>
        </w:rPr>
      </w:pPr>
      <w:r w:rsidRPr="009A10F1">
        <w:rPr>
          <w:rFonts w:eastAsia="Times New Roman"/>
          <w:sz w:val="24"/>
          <w:szCs w:val="24"/>
        </w:rPr>
        <w:t xml:space="preserve">3. The language of Paragraphs 2 and 3 may need to be modified to reflect the source of the public policy supporting the claim, depending on the facts in the case. </w:t>
      </w:r>
      <w:r w:rsidR="00EC3AB4" w:rsidRPr="009A10F1">
        <w:rPr>
          <w:rFonts w:eastAsia="Times New Roman"/>
          <w:b/>
          <w:sz w:val="24"/>
          <w:szCs w:val="24"/>
        </w:rPr>
        <w:t>Martin Marietta</w:t>
      </w:r>
      <w:r w:rsidR="00EC3AB4" w:rsidRPr="009A10F1">
        <w:rPr>
          <w:rFonts w:eastAsia="Times New Roman"/>
          <w:sz w:val="24"/>
          <w:szCs w:val="24"/>
        </w:rPr>
        <w:t xml:space="preserve"> identified the sources of public policy as public duties, important job-related rights, and statutes related to public health, safety, or welfare. </w:t>
      </w:r>
      <w:r w:rsidRPr="009A10F1">
        <w:rPr>
          <w:rFonts w:eastAsia="Times New Roman"/>
          <w:sz w:val="24"/>
          <w:szCs w:val="24"/>
        </w:rPr>
        <w:t xml:space="preserve">Cases decided prior to </w:t>
      </w:r>
      <w:r w:rsidRPr="009A10F1">
        <w:rPr>
          <w:rFonts w:eastAsia="Times New Roman"/>
          <w:b/>
          <w:sz w:val="24"/>
          <w:szCs w:val="24"/>
        </w:rPr>
        <w:t xml:space="preserve">Martin Marietta </w:t>
      </w:r>
      <w:r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816D14">
        <w:rPr>
          <w:rFonts w:eastAsia="Times New Roman"/>
          <w:sz w:val="24"/>
          <w:szCs w:val="24"/>
        </w:rPr>
        <w:t xml:space="preserve"> </w:t>
      </w:r>
      <w:r w:rsidRPr="009A10F1">
        <w:rPr>
          <w:rFonts w:eastAsia="Times New Roman"/>
          <w:sz w:val="24"/>
          <w:szCs w:val="24"/>
        </w:rPr>
        <w:t xml:space="preserve">1989); </w:t>
      </w:r>
      <w:r w:rsidRPr="009A10F1">
        <w:rPr>
          <w:rFonts w:eastAsia="Times New Roman"/>
          <w:b/>
          <w:sz w:val="24"/>
          <w:szCs w:val="24"/>
        </w:rPr>
        <w:t>Cronk v. Interm</w:t>
      </w:r>
      <w:r w:rsidR="00AC4377">
        <w:rPr>
          <w:rFonts w:eastAsia="Times New Roman"/>
          <w:b/>
          <w:sz w:val="24"/>
          <w:szCs w:val="24"/>
        </w:rPr>
        <w:t>oun</w:t>
      </w:r>
      <w:r w:rsidRPr="009A10F1">
        <w:rPr>
          <w:rFonts w:eastAsia="Times New Roman"/>
          <w:b/>
          <w:sz w:val="24"/>
          <w:szCs w:val="24"/>
        </w:rPr>
        <w:t>t</w:t>
      </w:r>
      <w:r w:rsidR="00AC4377">
        <w:rPr>
          <w:rFonts w:eastAsia="Times New Roman"/>
          <w:b/>
          <w:sz w:val="24"/>
          <w:szCs w:val="24"/>
        </w:rPr>
        <w:t>ai</w:t>
      </w:r>
      <w:r w:rsidRPr="009A10F1">
        <w:rPr>
          <w:rFonts w:eastAsia="Times New Roman"/>
          <w:b/>
          <w:sz w:val="24"/>
          <w:szCs w:val="24"/>
        </w:rPr>
        <w:t>n Rural Elec. Ass’n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765 P.2d 619 (</w:t>
      </w:r>
      <w:r w:rsidR="0067408D">
        <w:rPr>
          <w:rFonts w:eastAsia="Times New Roman"/>
          <w:sz w:val="24"/>
          <w:szCs w:val="24"/>
        </w:rPr>
        <w:t>Colo. App.</w:t>
      </w:r>
      <w:r w:rsidR="00AC4377">
        <w:rPr>
          <w:rFonts w:eastAsia="Times New Roman"/>
          <w:sz w:val="24"/>
          <w:szCs w:val="24"/>
        </w:rPr>
        <w:t xml:space="preserve"> </w:t>
      </w:r>
      <w:r w:rsidRPr="009A10F1">
        <w:rPr>
          <w:rFonts w:eastAsia="Times New Roman"/>
          <w:sz w:val="24"/>
          <w:szCs w:val="24"/>
        </w:rPr>
        <w:t xml:space="preserve">1988); </w:t>
      </w:r>
      <w:r w:rsidRPr="009A10F1">
        <w:rPr>
          <w:rFonts w:eastAsia="Times New Roman"/>
          <w:b/>
          <w:sz w:val="24"/>
          <w:szCs w:val="24"/>
        </w:rPr>
        <w:t>Farmer v. Central Bancorp., Inc.</w:t>
      </w:r>
      <w:r w:rsidRPr="009A10F1">
        <w:rPr>
          <w:rFonts w:eastAsia="Times New Roman"/>
          <w:sz w:val="24"/>
          <w:szCs w:val="24"/>
        </w:rPr>
        <w:t>, 761 P.2d 220 (</w:t>
      </w:r>
      <w:r w:rsidR="0067408D">
        <w:rPr>
          <w:rFonts w:eastAsia="Times New Roman"/>
          <w:sz w:val="24"/>
          <w:szCs w:val="24"/>
        </w:rPr>
        <w:t>Colo. App.</w:t>
      </w:r>
      <w:r w:rsidR="00816D14">
        <w:rPr>
          <w:rFonts w:eastAsia="Times New Roman"/>
          <w:sz w:val="24"/>
          <w:szCs w:val="24"/>
        </w:rPr>
        <w:t xml:space="preserve"> </w:t>
      </w:r>
      <w:r w:rsidRPr="009A10F1">
        <w:rPr>
          <w:rFonts w:eastAsia="Times New Roman"/>
          <w:sz w:val="24"/>
          <w:szCs w:val="24"/>
        </w:rPr>
        <w:t xml:space="preserve">1988); </w:t>
      </w:r>
      <w:r w:rsidRPr="009A10F1">
        <w:rPr>
          <w:rFonts w:eastAsia="Times New Roman"/>
          <w:b/>
          <w:sz w:val="24"/>
          <w:szCs w:val="24"/>
        </w:rPr>
        <w:t>Pittman v. Larson Distrib. Co.</w:t>
      </w:r>
      <w:r w:rsidRPr="009A10F1">
        <w:rPr>
          <w:rFonts w:eastAsia="Times New Roman"/>
          <w:sz w:val="24"/>
          <w:szCs w:val="24"/>
        </w:rPr>
        <w:t>, 724 P.2d 1379 (</w:t>
      </w:r>
      <w:r w:rsidR="0067408D">
        <w:rPr>
          <w:rFonts w:eastAsia="Times New Roman"/>
          <w:sz w:val="24"/>
          <w:szCs w:val="24"/>
        </w:rPr>
        <w:t>Colo. App.</w:t>
      </w:r>
      <w:r w:rsidRPr="009A10F1">
        <w:rPr>
          <w:rFonts w:eastAsia="Times New Roman"/>
          <w:sz w:val="24"/>
          <w:szCs w:val="24"/>
        </w:rPr>
        <w:t xml:space="preserve"> 1986); </w:t>
      </w:r>
      <w:r w:rsidRPr="009A10F1">
        <w:rPr>
          <w:rFonts w:eastAsia="Times New Roman"/>
          <w:b/>
          <w:sz w:val="24"/>
          <w:szCs w:val="24"/>
        </w:rPr>
        <w:t>Corbin v. Sinclair Mktg.,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684 P.2d 265 (</w:t>
      </w:r>
      <w:r w:rsidR="0067408D">
        <w:rPr>
          <w:rFonts w:eastAsia="Times New Roman"/>
          <w:sz w:val="24"/>
          <w:szCs w:val="24"/>
        </w:rPr>
        <w:t>Colo. App.</w:t>
      </w:r>
      <w:r w:rsidRPr="009A10F1">
        <w:rPr>
          <w:rFonts w:eastAsia="Times New Roman"/>
          <w:sz w:val="24"/>
          <w:szCs w:val="24"/>
        </w:rPr>
        <w:t xml:space="preserve"> 1984); </w:t>
      </w:r>
      <w:r w:rsidRPr="009A10F1">
        <w:rPr>
          <w:rFonts w:eastAsia="Times New Roman"/>
          <w:b/>
          <w:sz w:val="24"/>
          <w:szCs w:val="24"/>
        </w:rPr>
        <w:t>Lampe v. Presbyterian Med.</w:t>
      </w:r>
      <w:r w:rsidRPr="009A10F1">
        <w:rPr>
          <w:rFonts w:eastAsia="Times New Roman"/>
          <w:sz w:val="24"/>
          <w:szCs w:val="24"/>
        </w:rPr>
        <w:t xml:space="preserve"> </w:t>
      </w:r>
      <w:r w:rsidRPr="009A10F1">
        <w:rPr>
          <w:rFonts w:eastAsia="Times New Roman"/>
          <w:b/>
          <w:sz w:val="24"/>
          <w:szCs w:val="24"/>
        </w:rPr>
        <w:t>Ctr.</w:t>
      </w:r>
      <w:r w:rsidRPr="009A10F1">
        <w:rPr>
          <w:rFonts w:eastAsia="Times New Roman"/>
          <w:sz w:val="24"/>
          <w:szCs w:val="24"/>
        </w:rPr>
        <w:t xml:space="preserve">, 41 </w:t>
      </w:r>
      <w:r w:rsidR="0067408D">
        <w:rPr>
          <w:rFonts w:eastAsia="Times New Roman"/>
          <w:sz w:val="24"/>
          <w:szCs w:val="24"/>
        </w:rPr>
        <w:t>Colo. App.</w:t>
      </w:r>
      <w:r w:rsidRPr="009A10F1">
        <w:rPr>
          <w:rFonts w:eastAsia="Times New Roman"/>
          <w:sz w:val="24"/>
          <w:szCs w:val="24"/>
        </w:rPr>
        <w:t xml:space="preserve"> 465, 590 P.2d 513 (1978). More recently, constitutional provisions, municipal ordinances, administrative regulations, professional rules, and accepted public policy have been held to support a claim for wrongful discharge, but only if the public policy involves a matter of serious public concern.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Crawford Rehab. Servs., Inc. v. Weissman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938 P.2d 540 (Colo. 1997) (administrative regulation providing that employees are entitled to ten minute rest period for each four hour work period does not constitute public-policy mandate sufficient to support tort claim for wrongful discharge); </w:t>
      </w:r>
      <w:r w:rsidRPr="009A10F1">
        <w:rPr>
          <w:rFonts w:eastAsia="Times New Roman"/>
          <w:b/>
          <w:sz w:val="24"/>
          <w:szCs w:val="24"/>
        </w:rPr>
        <w:t>Mariani</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916 P.2d </w:t>
      </w:r>
      <w:r w:rsidR="001C6D6F">
        <w:rPr>
          <w:rFonts w:eastAsia="Times New Roman"/>
          <w:sz w:val="24"/>
          <w:szCs w:val="24"/>
        </w:rPr>
        <w:t xml:space="preserve">at </w:t>
      </w:r>
      <w:r w:rsidRPr="009A10F1">
        <w:rPr>
          <w:rFonts w:eastAsia="Times New Roman"/>
          <w:sz w:val="24"/>
          <w:szCs w:val="24"/>
        </w:rPr>
        <w:t>5</w:t>
      </w:r>
      <w:r w:rsidR="001C6D6F">
        <w:rPr>
          <w:rFonts w:eastAsia="Times New Roman"/>
          <w:sz w:val="24"/>
          <w:szCs w:val="24"/>
        </w:rPr>
        <w:t>26</w:t>
      </w:r>
      <w:r w:rsidRPr="009A10F1">
        <w:rPr>
          <w:rFonts w:eastAsia="Times New Roman"/>
          <w:sz w:val="24"/>
          <w:szCs w:val="24"/>
        </w:rPr>
        <w:t xml:space="preserve"> (rules of professional conduct for accountants promulgated by state board of accountancy have sufficient public purpose to constitute public policy for purposes of wrongful discharge claim); </w:t>
      </w:r>
      <w:r w:rsidRPr="009A10F1">
        <w:rPr>
          <w:rFonts w:eastAsia="Times New Roman"/>
          <w:b/>
          <w:sz w:val="24"/>
          <w:szCs w:val="24"/>
        </w:rPr>
        <w:t>Kearl</w:t>
      </w:r>
      <w:r w:rsidRPr="009A10F1">
        <w:rPr>
          <w:rFonts w:eastAsia="Times New Roman"/>
          <w:sz w:val="24"/>
          <w:szCs w:val="24"/>
        </w:rPr>
        <w:t xml:space="preserve"> </w:t>
      </w:r>
      <w:r w:rsidRPr="009A10F1">
        <w:rPr>
          <w:rFonts w:eastAsia="Times New Roman"/>
          <w:b/>
          <w:sz w:val="24"/>
          <w:szCs w:val="24"/>
        </w:rPr>
        <w:t>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(preventing or opposing fraud on the government is a widely accepted public policy for purpose of wrongful discharge claim); </w:t>
      </w:r>
      <w:r w:rsidRPr="009A10F1">
        <w:rPr>
          <w:rFonts w:eastAsia="Times New Roman"/>
          <w:b/>
          <w:sz w:val="24"/>
          <w:szCs w:val="24"/>
        </w:rPr>
        <w:t>Bonidy</w:t>
      </w:r>
      <w:r w:rsidRPr="009A10F1">
        <w:rPr>
          <w:rFonts w:eastAsia="Times New Roman"/>
          <w:sz w:val="24"/>
          <w:szCs w:val="24"/>
        </w:rPr>
        <w:t xml:space="preserve">, 186 P.3d </w:t>
      </w:r>
      <w:r w:rsidR="00077162">
        <w:rPr>
          <w:rFonts w:eastAsia="Times New Roman"/>
          <w:sz w:val="24"/>
          <w:szCs w:val="24"/>
        </w:rPr>
        <w:t xml:space="preserve">at </w:t>
      </w:r>
      <w:r w:rsidRPr="009A10F1">
        <w:rPr>
          <w:rFonts w:eastAsia="Times New Roman"/>
          <w:sz w:val="24"/>
          <w:szCs w:val="24"/>
        </w:rPr>
        <w:t>8</w:t>
      </w:r>
      <w:r w:rsidR="00077162">
        <w:rPr>
          <w:rFonts w:eastAsia="Times New Roman"/>
          <w:sz w:val="24"/>
          <w:szCs w:val="24"/>
        </w:rPr>
        <w:t>4-85</w:t>
      </w:r>
      <w:r w:rsidRPr="009A10F1">
        <w:rPr>
          <w:rFonts w:eastAsia="Times New Roman"/>
          <w:sz w:val="24"/>
          <w:szCs w:val="24"/>
        </w:rPr>
        <w:t xml:space="preserve"> (wage orders of Colorado Division of Labor mandating breaks from work implicated public safety where employee’s job duties included sterilizing instruments, taking x-rays, and other medical procedures); </w:t>
      </w:r>
      <w:r w:rsidRPr="009A10F1">
        <w:rPr>
          <w:rFonts w:eastAsia="Times New Roman"/>
          <w:b/>
          <w:sz w:val="24"/>
          <w:szCs w:val="24"/>
        </w:rPr>
        <w:t>Jaynes v. Centura Health Corp.</w:t>
      </w:r>
      <w:r w:rsidRPr="009A10F1">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Pr="009A10F1">
        <w:rPr>
          <w:rFonts w:eastAsia="Times New Roman"/>
          <w:b/>
          <w:sz w:val="24"/>
          <w:szCs w:val="24"/>
        </w:rPr>
        <w:t>Slaughter v. John Elway Dodge Southwest/AutoNation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107 P.3d 1165 (</w:t>
      </w:r>
      <w:r w:rsidR="0067408D">
        <w:rPr>
          <w:rFonts w:eastAsia="Times New Roman"/>
          <w:sz w:val="24"/>
          <w:szCs w:val="24"/>
        </w:rPr>
        <w:t>Colo. App.</w:t>
      </w:r>
      <w:r w:rsidRPr="009A10F1">
        <w:rPr>
          <w:rFonts w:eastAsia="Times New Roman"/>
          <w:sz w:val="24"/>
          <w:szCs w:val="24"/>
        </w:rPr>
        <w:t xml:space="preserve"> 2005) (private employee who was allegedly terminated from her employment for refusing to take drug test did not state cause of action for wrongful termination based on violation of public policy);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w:t>
      </w:r>
      <w:r w:rsidRPr="009A10F1">
        <w:rPr>
          <w:rFonts w:eastAsia="Times New Roman"/>
          <w:sz w:val="24"/>
          <w:szCs w:val="24"/>
        </w:rPr>
        <w:lastRenderedPageBreak/>
        <w:t xml:space="preserve">(retaliatory discharge of employee for obtaining jury verdict under Federal Employer’s Liability Act stated claim for wrongful discharge in violation of public policy); </w:t>
      </w:r>
      <w:r w:rsidRPr="009A10F1">
        <w:rPr>
          <w:rFonts w:eastAsia="Times New Roman"/>
          <w:b/>
          <w:sz w:val="24"/>
          <w:szCs w:val="24"/>
        </w:rPr>
        <w:t>Flores v. Am</w:t>
      </w:r>
      <w:r w:rsidR="006C72EA">
        <w:rPr>
          <w:rFonts w:eastAsia="Times New Roman"/>
          <w:b/>
          <w:sz w:val="24"/>
          <w:szCs w:val="24"/>
        </w:rPr>
        <w:t>.</w:t>
      </w:r>
      <w:r w:rsidRPr="009A10F1">
        <w:rPr>
          <w:rFonts w:eastAsia="Times New Roman"/>
          <w:b/>
          <w:sz w:val="24"/>
          <w:szCs w:val="24"/>
        </w:rPr>
        <w:t xml:space="preserve"> Pharm. Servs., Inc.</w:t>
      </w:r>
      <w:r w:rsidRPr="009A10F1">
        <w:rPr>
          <w:rFonts w:eastAsia="Times New Roman"/>
          <w:sz w:val="24"/>
          <w:szCs w:val="24"/>
        </w:rPr>
        <w:t>, 994 P.2d 455 (</w:t>
      </w:r>
      <w:r w:rsidR="0067408D">
        <w:rPr>
          <w:rFonts w:eastAsia="Times New Roman"/>
          <w:sz w:val="24"/>
          <w:szCs w:val="24"/>
        </w:rPr>
        <w:t>Colo. App.</w:t>
      </w:r>
      <w:r w:rsidRPr="009A10F1">
        <w:rPr>
          <w:rFonts w:eastAsia="Times New Roman"/>
          <w:sz w:val="24"/>
          <w:szCs w:val="24"/>
        </w:rPr>
        <w:t xml:space="preserve"> 1999) (evidence that employee was discharged for reporting insurance fraud of co-employee was sufficient to support claim for wrongful discharge in violation of public policy where state statute declared need to aggressively confront problem of insurance fraud); </w:t>
      </w:r>
      <w:r w:rsidRPr="009A10F1">
        <w:rPr>
          <w:rFonts w:eastAsia="Times New Roman"/>
          <w:b/>
          <w:sz w:val="24"/>
          <w:szCs w:val="24"/>
        </w:rPr>
        <w:t>Hoyt v. Target Stores</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981 P.2d 188 (</w:t>
      </w:r>
      <w:r w:rsidR="0067408D">
        <w:rPr>
          <w:rFonts w:eastAsia="Times New Roman"/>
          <w:sz w:val="24"/>
          <w:szCs w:val="24"/>
        </w:rPr>
        <w:t>Colo. App.</w:t>
      </w:r>
      <w:r w:rsidRPr="009A10F1">
        <w:rPr>
          <w:rFonts w:eastAsia="Times New Roman"/>
          <w:sz w:val="24"/>
          <w:szCs w:val="24"/>
        </w:rPr>
        <w:t xml:space="preserve"> 1998) (evidence that employee was discharged for exercising job-related right to be paid for travel time </w:t>
      </w:r>
      <w:r w:rsidR="00362653">
        <w:rPr>
          <w:rFonts w:eastAsia="Times New Roman"/>
          <w:sz w:val="24"/>
          <w:szCs w:val="24"/>
        </w:rPr>
        <w:t xml:space="preserve">between </w:t>
      </w:r>
      <w:r w:rsidRPr="009A10F1">
        <w:rPr>
          <w:rFonts w:eastAsia="Times New Roman"/>
          <w:sz w:val="24"/>
          <w:szCs w:val="24"/>
        </w:rPr>
        <w:t>store</w:t>
      </w:r>
      <w:r w:rsidR="00362653">
        <w:rPr>
          <w:rFonts w:eastAsia="Times New Roman"/>
          <w:sz w:val="24"/>
          <w:szCs w:val="24"/>
        </w:rPr>
        <w:t>s</w:t>
      </w:r>
      <w:r w:rsidRPr="009A10F1">
        <w:rPr>
          <w:rFonts w:eastAsia="Times New Roman"/>
          <w:sz w:val="24"/>
          <w:szCs w:val="24"/>
        </w:rPr>
        <w:t xml:space="preserve"> violat</w:t>
      </w:r>
      <w:r w:rsidR="00362653">
        <w:rPr>
          <w:rFonts w:eastAsia="Times New Roman"/>
          <w:sz w:val="24"/>
          <w:szCs w:val="24"/>
        </w:rPr>
        <w:t>ed</w:t>
      </w:r>
      <w:r w:rsidRPr="009A10F1">
        <w:rPr>
          <w:rFonts w:eastAsia="Times New Roman"/>
          <w:sz w:val="24"/>
          <w:szCs w:val="24"/>
        </w:rPr>
        <w:t xml:space="preserve"> Colorado Wage Claim Act </w:t>
      </w:r>
      <w:r w:rsidR="00362653">
        <w:rPr>
          <w:rFonts w:eastAsia="Times New Roman"/>
          <w:sz w:val="24"/>
          <w:szCs w:val="24"/>
        </w:rPr>
        <w:t xml:space="preserve">and </w:t>
      </w:r>
      <w:r w:rsidRPr="009A10F1">
        <w:rPr>
          <w:rFonts w:eastAsia="Times New Roman"/>
          <w:sz w:val="24"/>
          <w:szCs w:val="24"/>
        </w:rPr>
        <w:t xml:space="preserve">supported claim for wrongful discharge in violation of public policy); </w:t>
      </w:r>
      <w:r w:rsidRPr="009A10F1">
        <w:rPr>
          <w:rFonts w:eastAsia="Times New Roman"/>
          <w:b/>
          <w:sz w:val="24"/>
          <w:szCs w:val="24"/>
        </w:rPr>
        <w:t>Webster v. Konczak Corp.</w:t>
      </w:r>
      <w:r w:rsidRPr="009A10F1">
        <w:rPr>
          <w:rFonts w:eastAsia="Times New Roman"/>
          <w:sz w:val="24"/>
          <w:szCs w:val="24"/>
        </w:rPr>
        <w:t>, 976 P.2d 317 (</w:t>
      </w:r>
      <w:r w:rsidR="0067408D">
        <w:rPr>
          <w:rFonts w:eastAsia="Times New Roman"/>
          <w:sz w:val="24"/>
          <w:szCs w:val="24"/>
        </w:rPr>
        <w:t>Colo. App.</w:t>
      </w:r>
      <w:r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w:t>
      </w:r>
      <w:r w:rsidR="00E73995">
        <w:rPr>
          <w:rFonts w:eastAsia="Times New Roman"/>
          <w:sz w:val="24"/>
          <w:szCs w:val="24"/>
        </w:rPr>
        <w:t>;</w:t>
      </w:r>
      <w:r w:rsidRPr="009A10F1">
        <w:rPr>
          <w:rFonts w:eastAsia="Times New Roman"/>
          <w:sz w:val="24"/>
          <w:szCs w:val="24"/>
        </w:rPr>
        <w:t xml:space="preserve"> </w:t>
      </w:r>
      <w:r w:rsidR="00E73995">
        <w:rPr>
          <w:rFonts w:eastAsia="Times New Roman"/>
          <w:i/>
          <w:sz w:val="24"/>
          <w:szCs w:val="24"/>
        </w:rPr>
        <w:t>s</w:t>
      </w:r>
      <w:r w:rsidRPr="009A10F1">
        <w:rPr>
          <w:rFonts w:eastAsia="Times New Roman"/>
          <w:i/>
          <w:sz w:val="24"/>
          <w:szCs w:val="24"/>
        </w:rPr>
        <w:t>ee also</w:t>
      </w:r>
      <w:r w:rsidRPr="009A10F1">
        <w:rPr>
          <w:rFonts w:eastAsia="Times New Roman"/>
          <w:sz w:val="24"/>
          <w:szCs w:val="24"/>
        </w:rPr>
        <w:t xml:space="preserve"> </w:t>
      </w:r>
      <w:r w:rsidRPr="009A10F1">
        <w:rPr>
          <w:rFonts w:eastAsia="Times New Roman"/>
          <w:b/>
          <w:sz w:val="24"/>
          <w:szCs w:val="24"/>
        </w:rPr>
        <w:t>Coors Brewing Co. v. Floyd</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978 P.2d 663 (Colo. 1999) (discussing application of public-policy exception to at-will employment doctrine). </w:t>
      </w:r>
    </w:p>
    <w:p w14:paraId="6E6B69CF" w14:textId="24ACE01C" w:rsidR="00C82209" w:rsidRPr="009A10F1" w:rsidRDefault="00C82209" w:rsidP="009A10F1">
      <w:pPr>
        <w:spacing w:after="240"/>
        <w:ind w:firstLine="720"/>
        <w:rPr>
          <w:rFonts w:eastAsia="Times New Roman"/>
          <w:sz w:val="24"/>
          <w:szCs w:val="24"/>
        </w:rPr>
      </w:pPr>
      <w:r>
        <w:rPr>
          <w:rFonts w:eastAsia="Times New Roman"/>
          <w:sz w:val="24"/>
          <w:szCs w:val="24"/>
        </w:rPr>
        <w:t>4</w:t>
      </w:r>
      <w:r w:rsidRPr="009A10F1">
        <w:rPr>
          <w:rFonts w:eastAsia="Times New Roman"/>
          <w:sz w:val="24"/>
          <w:szCs w:val="24"/>
        </w:rPr>
        <w:t>. In some circumstances, Instruction 31:14 should be used with this instruction to permit the jury to determine whether the propositions set forth in paragraphs 2 and 3 of this instruction have been established by a preponderance of the evidence.</w:t>
      </w:r>
    </w:p>
    <w:p w14:paraId="29C7242F"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57C3EDD3" w14:textId="3A90276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w:t>
      </w:r>
      <w:r w:rsidR="00634E76">
        <w:rPr>
          <w:rFonts w:eastAsia="Times New Roman"/>
          <w:sz w:val="24"/>
          <w:szCs w:val="24"/>
        </w:rPr>
        <w:t xml:space="preserve">This instruction is supported by </w:t>
      </w:r>
      <w:r w:rsidRPr="009A10F1">
        <w:rPr>
          <w:rFonts w:eastAsia="Times New Roman"/>
          <w:b/>
          <w:sz w:val="24"/>
          <w:szCs w:val="24"/>
        </w:rPr>
        <w:t>Mariani</w:t>
      </w:r>
      <w:r w:rsidRPr="009A10F1">
        <w:rPr>
          <w:rFonts w:eastAsia="Times New Roman"/>
          <w:sz w:val="24"/>
          <w:szCs w:val="24"/>
        </w:rPr>
        <w:t xml:space="preserve">, 916 P.2d </w:t>
      </w:r>
      <w:r w:rsidR="001C6D6F">
        <w:rPr>
          <w:rFonts w:eastAsia="Times New Roman"/>
          <w:sz w:val="24"/>
          <w:szCs w:val="24"/>
        </w:rPr>
        <w:t xml:space="preserve">at </w:t>
      </w:r>
      <w:r w:rsidRPr="009A10F1">
        <w:rPr>
          <w:rFonts w:eastAsia="Times New Roman"/>
          <w:sz w:val="24"/>
          <w:szCs w:val="24"/>
        </w:rPr>
        <w:t>5</w:t>
      </w:r>
      <w:r w:rsidR="001C6D6F">
        <w:rPr>
          <w:rFonts w:eastAsia="Times New Roman"/>
          <w:sz w:val="24"/>
          <w:szCs w:val="24"/>
        </w:rPr>
        <w:t>27</w:t>
      </w:r>
      <w:r w:rsidRPr="009A10F1">
        <w:rPr>
          <w:rFonts w:eastAsia="Times New Roman"/>
          <w:sz w:val="24"/>
          <w:szCs w:val="24"/>
        </w:rPr>
        <w:t xml:space="preserve">; </w:t>
      </w:r>
      <w:r w:rsidRPr="009A10F1">
        <w:rPr>
          <w:rFonts w:eastAsia="Times New Roman"/>
          <w:b/>
          <w:sz w:val="24"/>
          <w:szCs w:val="24"/>
        </w:rPr>
        <w:t>Martin Marietta</w:t>
      </w:r>
      <w:r w:rsidRPr="009A10F1">
        <w:rPr>
          <w:rFonts w:eastAsia="Times New Roman"/>
          <w:sz w:val="24"/>
          <w:szCs w:val="24"/>
        </w:rPr>
        <w:t xml:space="preserve">, 823 P.2d </w:t>
      </w:r>
      <w:r w:rsidR="001C6D6F">
        <w:rPr>
          <w:rFonts w:eastAsia="Times New Roman"/>
          <w:sz w:val="24"/>
          <w:szCs w:val="24"/>
        </w:rPr>
        <w:t xml:space="preserve">at </w:t>
      </w:r>
      <w:r w:rsidRPr="009A10F1">
        <w:rPr>
          <w:rFonts w:eastAsia="Times New Roman"/>
          <w:sz w:val="24"/>
          <w:szCs w:val="24"/>
        </w:rPr>
        <w:t>10</w:t>
      </w:r>
      <w:r w:rsidR="001C6D6F">
        <w:rPr>
          <w:rFonts w:eastAsia="Times New Roman"/>
          <w:sz w:val="24"/>
          <w:szCs w:val="24"/>
        </w:rPr>
        <w:t>9</w:t>
      </w:r>
      <w:r w:rsidRPr="009A10F1">
        <w:rPr>
          <w:rFonts w:eastAsia="Times New Roman"/>
          <w:sz w:val="24"/>
          <w:szCs w:val="24"/>
        </w:rPr>
        <w:t xml:space="preserve">; </w:t>
      </w:r>
      <w:r w:rsidR="00634E76">
        <w:rPr>
          <w:rFonts w:eastAsia="Times New Roman"/>
          <w:sz w:val="24"/>
          <w:szCs w:val="24"/>
        </w:rPr>
        <w:t xml:space="preserve">and </w:t>
      </w:r>
      <w:r w:rsidRPr="009A10F1">
        <w:rPr>
          <w:rFonts w:eastAsia="Times New Roman"/>
          <w:b/>
          <w:sz w:val="24"/>
          <w:szCs w:val="24"/>
        </w:rPr>
        <w:t>Middlemist v. BDO Seidman, LLP</w:t>
      </w:r>
      <w:r w:rsidRPr="009A10F1">
        <w:rPr>
          <w:rFonts w:eastAsia="Times New Roman"/>
          <w:sz w:val="24"/>
          <w:szCs w:val="24"/>
        </w:rPr>
        <w:t>, 958 P.2d 486 (</w:t>
      </w:r>
      <w:r w:rsidR="0067408D">
        <w:rPr>
          <w:rFonts w:eastAsia="Times New Roman"/>
          <w:sz w:val="24"/>
          <w:szCs w:val="24"/>
        </w:rPr>
        <w:t>Colo. App.</w:t>
      </w:r>
      <w:r w:rsidRPr="009A10F1">
        <w:rPr>
          <w:rFonts w:eastAsia="Times New Roman"/>
          <w:sz w:val="24"/>
          <w:szCs w:val="24"/>
        </w:rPr>
        <w:t xml:space="preserve"> 1997).</w:t>
      </w:r>
    </w:p>
    <w:p w14:paraId="12878DD3" w14:textId="32CC1F4F"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An employee’s refusal to perform an illegal act is not limited to verbal expressions of refusal but can consist of inaction as well. </w:t>
      </w:r>
      <w:r w:rsidR="00C82209">
        <w:rPr>
          <w:rFonts w:eastAsia="Times New Roman"/>
          <w:b/>
          <w:sz w:val="24"/>
          <w:szCs w:val="24"/>
        </w:rPr>
        <w:t>Mariani</w:t>
      </w:r>
      <w:r w:rsidRPr="009A10F1">
        <w:rPr>
          <w:rFonts w:eastAsia="Times New Roman"/>
          <w:sz w:val="24"/>
          <w:szCs w:val="24"/>
        </w:rPr>
        <w:t xml:space="preserve">, 916 P.2d </w:t>
      </w:r>
      <w:r w:rsidR="00C82209">
        <w:rPr>
          <w:rFonts w:eastAsia="Times New Roman"/>
          <w:sz w:val="24"/>
          <w:szCs w:val="24"/>
        </w:rPr>
        <w:t xml:space="preserve">at </w:t>
      </w:r>
      <w:r w:rsidRPr="009A10F1">
        <w:rPr>
          <w:rFonts w:eastAsia="Times New Roman"/>
          <w:sz w:val="24"/>
          <w:szCs w:val="24"/>
        </w:rPr>
        <w:t>5</w:t>
      </w:r>
      <w:r w:rsidR="00C82209">
        <w:rPr>
          <w:rFonts w:eastAsia="Times New Roman"/>
          <w:sz w:val="24"/>
          <w:szCs w:val="24"/>
        </w:rPr>
        <w:t>27-28</w:t>
      </w:r>
      <w:r w:rsidRPr="009A10F1">
        <w:rPr>
          <w:rFonts w:eastAsia="Times New Roman"/>
          <w:sz w:val="24"/>
          <w:szCs w:val="24"/>
        </w:rPr>
        <w:t xml:space="preserve">; </w:t>
      </w:r>
      <w:r w:rsidRPr="009A10F1">
        <w:rPr>
          <w:rFonts w:eastAsia="Times New Roman"/>
          <w:b/>
          <w:sz w:val="24"/>
          <w:szCs w:val="24"/>
        </w:rPr>
        <w:t>Bonidy v. Vail Valley Ctr. for Aesthetic Dentistry, P.C.</w:t>
      </w:r>
      <w:r w:rsidRPr="009A10F1">
        <w:rPr>
          <w:rFonts w:eastAsia="Times New Roman"/>
          <w:sz w:val="24"/>
          <w:szCs w:val="24"/>
        </w:rPr>
        <w:t>, 232 P.3d 277 (</w:t>
      </w:r>
      <w:r w:rsidR="0067408D">
        <w:rPr>
          <w:rFonts w:eastAsia="Times New Roman"/>
          <w:sz w:val="24"/>
          <w:szCs w:val="24"/>
        </w:rPr>
        <w:t>Colo. App.</w:t>
      </w:r>
      <w:r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14:paraId="60378A29" w14:textId="655B1626" w:rsidR="009A10F1" w:rsidRPr="009A10F1" w:rsidRDefault="00C82209" w:rsidP="009A10F1">
      <w:pPr>
        <w:spacing w:after="240"/>
        <w:ind w:firstLine="720"/>
        <w:rPr>
          <w:rFonts w:eastAsia="Times New Roman"/>
          <w:sz w:val="24"/>
          <w:szCs w:val="24"/>
        </w:rPr>
      </w:pPr>
      <w:r>
        <w:rPr>
          <w:rFonts w:eastAsia="Times New Roman"/>
          <w:sz w:val="24"/>
          <w:szCs w:val="24"/>
        </w:rPr>
        <w:t>3</w:t>
      </w:r>
      <w:r w:rsidR="009A10F1" w:rsidRPr="009A10F1">
        <w:rPr>
          <w:rFonts w:eastAsia="Times New Roman"/>
          <w:sz w:val="24"/>
          <w:szCs w:val="24"/>
        </w:rPr>
        <w:t xml:space="preserve">. When a statute creates a duty that did not exist at common law and provides a remedy for a breach of that duty, the statute’s remedy is exclusive and precludes an action for wrongful discharge in tort based upon a common-law theory. </w:t>
      </w:r>
      <w:r w:rsidR="009A10F1" w:rsidRPr="009A10F1">
        <w:rPr>
          <w:rFonts w:eastAsia="Times New Roman"/>
          <w:b/>
          <w:sz w:val="24"/>
          <w:szCs w:val="24"/>
        </w:rPr>
        <w:t>Farmers Grp</w:t>
      </w:r>
      <w:r>
        <w:rPr>
          <w:rFonts w:eastAsia="Times New Roman"/>
          <w:b/>
          <w:sz w:val="24"/>
          <w:szCs w:val="24"/>
        </w:rPr>
        <w:t>.</w:t>
      </w:r>
      <w:r w:rsidR="009A10F1" w:rsidRPr="009A10F1">
        <w:rPr>
          <w:rFonts w:eastAsia="Times New Roman"/>
          <w:b/>
          <w:sz w:val="24"/>
          <w:szCs w:val="24"/>
        </w:rPr>
        <w:t>, Inc. v. Williams</w:t>
      </w:r>
      <w:r w:rsidR="009A10F1" w:rsidRPr="009A10F1">
        <w:rPr>
          <w:rFonts w:eastAsia="Times New Roman"/>
          <w:sz w:val="24"/>
          <w:szCs w:val="24"/>
        </w:rPr>
        <w:t xml:space="preserve">, 805 P.2d 419 (Colo. 1991); </w:t>
      </w:r>
      <w:r w:rsidR="009A10F1" w:rsidRPr="009A10F1">
        <w:rPr>
          <w:rFonts w:eastAsia="Times New Roman"/>
          <w:b/>
          <w:sz w:val="24"/>
          <w:szCs w:val="24"/>
        </w:rPr>
        <w:t>Krauss v. Catholic Health Initiatives Mtn. Region</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66 P.3d 195 (</w:t>
      </w:r>
      <w:r w:rsidR="0067408D">
        <w:rPr>
          <w:rFonts w:eastAsia="Times New Roman"/>
          <w:sz w:val="24"/>
          <w:szCs w:val="24"/>
        </w:rPr>
        <w:t>Colo. App.</w:t>
      </w:r>
      <w:r w:rsidR="009A10F1" w:rsidRPr="009A10F1">
        <w:rPr>
          <w:rFonts w:eastAsia="Times New Roman"/>
          <w:sz w:val="24"/>
          <w:szCs w:val="24"/>
        </w:rPr>
        <w:t xml:space="preserve"> 2003) (alleged violation of Family Medical Leave Act of 1993, 29 U.S.C. §§ 2601</w:t>
      </w:r>
      <w:r>
        <w:rPr>
          <w:rFonts w:eastAsia="Times New Roman"/>
          <w:sz w:val="24"/>
          <w:szCs w:val="24"/>
        </w:rPr>
        <w:t xml:space="preserve"> to </w:t>
      </w:r>
      <w:r w:rsidR="009A10F1" w:rsidRPr="009A10F1">
        <w:rPr>
          <w:rFonts w:eastAsia="Times New Roman"/>
          <w:sz w:val="24"/>
          <w:szCs w:val="24"/>
        </w:rPr>
        <w:t>-654)</w:t>
      </w:r>
      <w:r w:rsidR="0085074A">
        <w:rPr>
          <w:rFonts w:eastAsia="Times New Roman"/>
          <w:sz w:val="24"/>
          <w:szCs w:val="24"/>
        </w:rPr>
        <w:t xml:space="preserve"> (2018)</w:t>
      </w:r>
      <w:r w:rsidR="009A10F1" w:rsidRPr="009A10F1">
        <w:rPr>
          <w:rFonts w:eastAsia="Times New Roman"/>
          <w:sz w:val="24"/>
          <w:szCs w:val="24"/>
        </w:rPr>
        <w:t xml:space="preserve">; </w:t>
      </w:r>
      <w:r w:rsidR="009A10F1" w:rsidRPr="009A10F1">
        <w:rPr>
          <w:rFonts w:eastAsia="Times New Roman"/>
          <w:b/>
          <w:sz w:val="24"/>
          <w:szCs w:val="24"/>
        </w:rPr>
        <w:t>Gamble v. Levitz Furniture Co.</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759 P.2d 761 (</w:t>
      </w:r>
      <w:r w:rsidR="0067408D">
        <w:rPr>
          <w:rFonts w:eastAsia="Times New Roman"/>
          <w:sz w:val="24"/>
          <w:szCs w:val="24"/>
        </w:rPr>
        <w:t>Colo. App.</w:t>
      </w:r>
      <w:r w:rsidR="009A10F1" w:rsidRPr="009A10F1">
        <w:rPr>
          <w:rFonts w:eastAsia="Times New Roman"/>
          <w:sz w:val="24"/>
          <w:szCs w:val="24"/>
        </w:rPr>
        <w:t xml:space="preserve"> 1988); </w:t>
      </w:r>
      <w:r w:rsidR="009A10F1" w:rsidRPr="009A10F1">
        <w:rPr>
          <w:rFonts w:eastAsia="Times New Roman"/>
          <w:b/>
          <w:sz w:val="24"/>
          <w:szCs w:val="24"/>
        </w:rPr>
        <w:t>Corbin v. Sinclair Mktg., Inc.</w:t>
      </w:r>
      <w:r w:rsidR="009A10F1" w:rsidRPr="009A10F1">
        <w:rPr>
          <w:rFonts w:eastAsia="Times New Roman"/>
          <w:sz w:val="24"/>
          <w:szCs w:val="24"/>
        </w:rPr>
        <w:t>, 684 P.2d 265 (</w:t>
      </w:r>
      <w:r w:rsidR="0067408D">
        <w:rPr>
          <w:rFonts w:eastAsia="Times New Roman"/>
          <w:sz w:val="24"/>
          <w:szCs w:val="24"/>
        </w:rPr>
        <w:t>Colo. App.</w:t>
      </w:r>
      <w:r w:rsidR="009A10F1" w:rsidRPr="009A10F1">
        <w:rPr>
          <w:rFonts w:eastAsia="Times New Roman"/>
          <w:sz w:val="24"/>
          <w:szCs w:val="24"/>
        </w:rPr>
        <w:t xml:space="preserve"> 1984). </w:t>
      </w:r>
    </w:p>
    <w:p w14:paraId="4DBC2920" w14:textId="7E1102D6" w:rsidR="009A10F1" w:rsidRPr="009A10F1" w:rsidRDefault="00C82209" w:rsidP="009A10F1">
      <w:pPr>
        <w:spacing w:after="240"/>
        <w:ind w:firstLine="720"/>
        <w:rPr>
          <w:rFonts w:eastAsia="Times New Roman"/>
          <w:sz w:val="24"/>
          <w:szCs w:val="24"/>
        </w:rPr>
      </w:pPr>
      <w:r>
        <w:rPr>
          <w:rFonts w:eastAsia="Times New Roman"/>
          <w:sz w:val="24"/>
          <w:szCs w:val="24"/>
        </w:rPr>
        <w:t>4</w:t>
      </w:r>
      <w:r w:rsidR="009A10F1" w:rsidRPr="009A10F1">
        <w:rPr>
          <w:rFonts w:eastAsia="Times New Roman"/>
          <w:sz w:val="24"/>
          <w:szCs w:val="24"/>
        </w:rPr>
        <w:t xml:space="preserve">.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r w:rsidR="009A10F1" w:rsidRPr="009A10F1">
        <w:rPr>
          <w:rFonts w:eastAsia="Times New Roman"/>
          <w:b/>
          <w:sz w:val="24"/>
          <w:szCs w:val="24"/>
        </w:rPr>
        <w:t>Weissman v. Crawford Rehab. Servs., Inc.</w:t>
      </w:r>
      <w:r w:rsidR="009A10F1" w:rsidRPr="009A10F1">
        <w:rPr>
          <w:rFonts w:eastAsia="Times New Roman"/>
          <w:sz w:val="24"/>
          <w:szCs w:val="24"/>
        </w:rPr>
        <w:t>, 914 P.2d 380 (</w:t>
      </w:r>
      <w:r w:rsidR="0067408D">
        <w:rPr>
          <w:rFonts w:eastAsia="Times New Roman"/>
          <w:sz w:val="24"/>
          <w:szCs w:val="24"/>
        </w:rPr>
        <w:t>Colo. App.</w:t>
      </w:r>
      <w:r w:rsidR="009A10F1" w:rsidRPr="009A10F1">
        <w:rPr>
          <w:rFonts w:eastAsia="Times New Roman"/>
          <w:sz w:val="24"/>
          <w:szCs w:val="24"/>
        </w:rPr>
        <w:t xml:space="preserve"> 1995)</w:t>
      </w:r>
      <w:r w:rsidR="002F7399">
        <w:rPr>
          <w:rFonts w:eastAsia="Times New Roman"/>
          <w:sz w:val="24"/>
          <w:szCs w:val="24"/>
        </w:rPr>
        <w:t xml:space="preserve"> </w:t>
      </w:r>
      <w:r w:rsidR="002F7399" w:rsidRPr="009A10F1">
        <w:rPr>
          <w:rFonts w:eastAsia="Times New Roman"/>
          <w:sz w:val="24"/>
          <w:szCs w:val="24"/>
        </w:rPr>
        <w:t xml:space="preserve">(adopting after-acquired evidence rule enunciated by the United States Supreme Court in </w:t>
      </w:r>
      <w:r w:rsidR="002F7399" w:rsidRPr="009A10F1">
        <w:rPr>
          <w:rFonts w:eastAsia="Times New Roman"/>
          <w:b/>
          <w:sz w:val="24"/>
          <w:szCs w:val="24"/>
        </w:rPr>
        <w:t>McKennon v. Nashville Banner Publ</w:t>
      </w:r>
      <w:r w:rsidR="002F7399">
        <w:rPr>
          <w:rFonts w:eastAsia="Times New Roman"/>
          <w:b/>
          <w:sz w:val="24"/>
          <w:szCs w:val="24"/>
        </w:rPr>
        <w:t>ishin</w:t>
      </w:r>
      <w:r w:rsidR="002F7399" w:rsidRPr="009A10F1">
        <w:rPr>
          <w:rFonts w:eastAsia="Times New Roman"/>
          <w:b/>
          <w:sz w:val="24"/>
          <w:szCs w:val="24"/>
        </w:rPr>
        <w:t>g Co.</w:t>
      </w:r>
      <w:r w:rsidR="002F7399" w:rsidRPr="009A10F1">
        <w:rPr>
          <w:rFonts w:eastAsia="Times New Roman"/>
          <w:sz w:val="24"/>
          <w:szCs w:val="24"/>
        </w:rPr>
        <w:t>, 513 U.S. 352 (1995))</w:t>
      </w:r>
      <w:r w:rsidR="009A10F1" w:rsidRPr="009A10F1">
        <w:rPr>
          <w:rFonts w:eastAsia="Times New Roman"/>
          <w:sz w:val="24"/>
          <w:szCs w:val="24"/>
        </w:rPr>
        <w:t xml:space="preserve">, </w:t>
      </w:r>
      <w:r w:rsidR="009A10F1" w:rsidRPr="009A10F1">
        <w:rPr>
          <w:rFonts w:eastAsia="Times New Roman"/>
          <w:i/>
          <w:sz w:val="24"/>
          <w:szCs w:val="24"/>
        </w:rPr>
        <w:t>rev’d on other grounds</w:t>
      </w:r>
      <w:r w:rsidR="009A10F1" w:rsidRPr="009A10F1">
        <w:rPr>
          <w:rFonts w:eastAsia="Times New Roman"/>
          <w:sz w:val="24"/>
          <w:szCs w:val="24"/>
        </w:rPr>
        <w:t xml:space="preserve">, 938 P.2d 540 (Colo. 1997); </w:t>
      </w:r>
      <w:r w:rsidR="009A10F1" w:rsidRPr="00D775DE">
        <w:rPr>
          <w:rFonts w:eastAsia="Times New Roman"/>
          <w:i/>
          <w:sz w:val="24"/>
          <w:szCs w:val="24"/>
        </w:rPr>
        <w:t>see</w:t>
      </w:r>
      <w:r w:rsidR="009A10F1" w:rsidRPr="009A10F1">
        <w:rPr>
          <w:rFonts w:eastAsia="Times New Roman"/>
          <w:sz w:val="24"/>
          <w:szCs w:val="24"/>
        </w:rPr>
        <w:t xml:space="preserve"> Instruction 31:16.</w:t>
      </w:r>
    </w:p>
    <w:p w14:paraId="46828F7C" w14:textId="77777777" w:rsidR="009A10F1" w:rsidRDefault="009A10F1">
      <w:pPr>
        <w:rPr>
          <w:rFonts w:eastAsia="Times New Roman"/>
          <w:sz w:val="24"/>
          <w:szCs w:val="24"/>
        </w:rPr>
      </w:pPr>
      <w:r>
        <w:rPr>
          <w:rFonts w:eastAsia="Times New Roman"/>
          <w:sz w:val="24"/>
          <w:szCs w:val="24"/>
        </w:rPr>
        <w:br w:type="page"/>
      </w:r>
    </w:p>
    <w:p w14:paraId="19C7603D" w14:textId="7AD3304F" w:rsidR="009A10F1" w:rsidRPr="009E3DA4" w:rsidRDefault="009A10F1" w:rsidP="009A10F1">
      <w:pPr>
        <w:spacing w:after="240"/>
        <w:ind w:left="720" w:hanging="720"/>
        <w:rPr>
          <w:rFonts w:eastAsia="Times New Roman"/>
          <w:b/>
          <w:sz w:val="24"/>
          <w:szCs w:val="24"/>
        </w:rPr>
      </w:pPr>
      <w:bookmarkStart w:id="13" w:name="a31_13"/>
      <w:bookmarkEnd w:id="13"/>
      <w:r w:rsidRPr="009A10F1">
        <w:rPr>
          <w:rFonts w:eastAsia="Times New Roman"/>
          <w:b/>
          <w:sz w:val="24"/>
          <w:szCs w:val="24"/>
        </w:rPr>
        <w:lastRenderedPageBreak/>
        <w:t>31:13</w:t>
      </w:r>
      <w:r w:rsidR="006B6C08">
        <w:rPr>
          <w:rFonts w:eastAsia="Times New Roman"/>
          <w:b/>
          <w:sz w:val="24"/>
          <w:szCs w:val="24"/>
        </w:rPr>
        <w:tab/>
      </w:r>
      <w:r w:rsidRPr="009A10F1">
        <w:rPr>
          <w:rFonts w:eastAsia="Times New Roman"/>
          <w:b/>
          <w:sz w:val="24"/>
          <w:szCs w:val="24"/>
        </w:rPr>
        <w:t>TORT CLAIM FOR WRONGFUL DISCHARGE BASED ON VIOLATIONS OF PUBLIC POLICY ― EMPLOYER’S RETALIATION AGAINST AN EMPLOYEE FOR EXERCISING A RIGHT OR PERFORMING A PUBLIC DUTY — ELEMENTS OF LIABILITY</w:t>
      </w:r>
    </w:p>
    <w:p w14:paraId="10C3D5FC"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based on a violation of public policy, you must find that all of the following have been proved by a preponderance of the evidence:</w:t>
      </w:r>
    </w:p>
    <w:p w14:paraId="43F4E58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(he) (she) (reasonably believed [he][she]) had a right to (follow the [statute] [regulation] [rule]) (perform [his] [her] duty as a citizen) (exercise [his] [her] right or privilege as a worker);</w:t>
      </w:r>
    </w:p>
    <w:p w14:paraId="2515989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was aware or reasonably should have been aware that plaintiff (reasonably believed [he] [she]) had a right to (follow the [statute] [regulation] [rule]) (perform [his] [her] duty as a citizen) (exercise [his] [her] right or privilege as a worker); and</w:t>
      </w:r>
    </w:p>
    <w:p w14:paraId="488B0BE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(constructively) discharged the plaintiff because the plaintiff (followed the [statute] [rule] [regulation]) (performed [his] [her] duty as a citizen) (exercised [his] [her] right or privilege as a worker).</w:t>
      </w:r>
    </w:p>
    <w:p w14:paraId="1954883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5AFA8404"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57A765B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BF61CA2"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B5560F" w14:textId="77777777" w:rsidR="009A10F1" w:rsidRDefault="009A10F1" w:rsidP="009A10F1">
      <w:pPr>
        <w:jc w:val="center"/>
        <w:rPr>
          <w:rFonts w:eastAsia="Times New Roman"/>
          <w:sz w:val="24"/>
          <w:szCs w:val="24"/>
        </w:rPr>
      </w:pPr>
    </w:p>
    <w:p w14:paraId="36B343CF"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163D252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14:paraId="42C82C67" w14:textId="6AB5816F"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w:t>
      </w:r>
      <w:r w:rsidR="002C56C1">
        <w:rPr>
          <w:rFonts w:eastAsia="Times New Roman"/>
          <w:sz w:val="24"/>
          <w:szCs w:val="24"/>
        </w:rPr>
        <w:t>when</w:t>
      </w:r>
      <w:r w:rsidRPr="009A10F1">
        <w:rPr>
          <w:rFonts w:eastAsia="Times New Roman"/>
          <w:sz w:val="24"/>
          <w:szCs w:val="24"/>
        </w:rPr>
        <w:t xml:space="preserve">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2C56C1">
        <w:rPr>
          <w:rFonts w:eastAsia="Times New Roman"/>
          <w:sz w:val="24"/>
          <w:szCs w:val="24"/>
        </w:rPr>
        <w:t xml:space="preserve"> </w:t>
      </w:r>
      <w:r w:rsidRPr="009A10F1">
        <w:rPr>
          <w:rFonts w:eastAsia="Times New Roman"/>
          <w:sz w:val="24"/>
          <w:szCs w:val="24"/>
        </w:rPr>
        <w:t xml:space="preserve">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14:paraId="145C4B5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See also </w:t>
      </w:r>
      <w:r w:rsidR="002C56C1">
        <w:rPr>
          <w:rFonts w:eastAsia="Times New Roman"/>
          <w:sz w:val="24"/>
          <w:szCs w:val="24"/>
        </w:rPr>
        <w:t xml:space="preserve">the </w:t>
      </w:r>
      <w:r w:rsidRPr="009A10F1">
        <w:rPr>
          <w:rFonts w:eastAsia="Times New Roman"/>
          <w:sz w:val="24"/>
          <w:szCs w:val="24"/>
        </w:rPr>
        <w:t>Notes on Use to Instruction 31:12.</w:t>
      </w:r>
    </w:p>
    <w:p w14:paraId="33C29C2D"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4BEE28D6" w14:textId="7D008652"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sidRPr="009A10F1">
        <w:rPr>
          <w:rFonts w:eastAsia="Times New Roman"/>
          <w:sz w:val="24"/>
          <w:szCs w:val="24"/>
        </w:rPr>
        <w:t xml:space="preserve">, 770 P.2d </w:t>
      </w:r>
      <w:r w:rsidR="002C56C1">
        <w:rPr>
          <w:rFonts w:eastAsia="Times New Roman"/>
          <w:sz w:val="24"/>
          <w:szCs w:val="24"/>
        </w:rPr>
        <w:t xml:space="preserve">at </w:t>
      </w:r>
      <w:r w:rsidRPr="009A10F1">
        <w:rPr>
          <w:rFonts w:eastAsia="Times New Roman"/>
          <w:sz w:val="24"/>
          <w:szCs w:val="24"/>
        </w:rPr>
        <w:t>13</w:t>
      </w:r>
      <w:r w:rsidR="00EF4C80">
        <w:rPr>
          <w:rFonts w:eastAsia="Times New Roman"/>
          <w:sz w:val="24"/>
          <w:szCs w:val="24"/>
        </w:rPr>
        <w:t>72-73</w:t>
      </w:r>
      <w:r w:rsidRPr="009A10F1">
        <w:rPr>
          <w:rFonts w:eastAsia="Times New Roman"/>
          <w:sz w:val="24"/>
          <w:szCs w:val="24"/>
        </w:rPr>
        <w:t xml:space="preserve">.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w:t>
      </w:r>
      <w:r w:rsidRPr="009A10F1">
        <w:rPr>
          <w:rFonts w:eastAsia="Times New Roman"/>
          <w:sz w:val="24"/>
          <w:szCs w:val="24"/>
        </w:rPr>
        <w:t xml:space="preserve">, 205 P.3d </w:t>
      </w:r>
      <w:r w:rsidR="006C72EA">
        <w:rPr>
          <w:rFonts w:eastAsia="Times New Roman"/>
          <w:sz w:val="24"/>
          <w:szCs w:val="24"/>
        </w:rPr>
        <w:t>at 500</w:t>
      </w:r>
      <w:r w:rsidRPr="009A10F1">
        <w:rPr>
          <w:rFonts w:eastAsia="Times New Roman"/>
          <w:sz w:val="24"/>
          <w:szCs w:val="24"/>
        </w:rPr>
        <w:t>.</w:t>
      </w:r>
    </w:p>
    <w:p w14:paraId="0AA18651" w14:textId="77777777" w:rsidR="009A10F1" w:rsidRDefault="009A10F1">
      <w:pPr>
        <w:rPr>
          <w:rFonts w:eastAsia="Times New Roman"/>
          <w:sz w:val="24"/>
          <w:szCs w:val="24"/>
        </w:rPr>
      </w:pPr>
      <w:r>
        <w:rPr>
          <w:rFonts w:eastAsia="Times New Roman"/>
          <w:sz w:val="24"/>
          <w:szCs w:val="24"/>
        </w:rPr>
        <w:br w:type="page"/>
      </w:r>
    </w:p>
    <w:p w14:paraId="71AA8C77" w14:textId="77777777" w:rsidR="009A10F1" w:rsidRPr="009E3DA4" w:rsidRDefault="009A10F1" w:rsidP="009A10F1">
      <w:pPr>
        <w:spacing w:after="240"/>
        <w:ind w:left="720" w:hanging="720"/>
        <w:rPr>
          <w:rFonts w:eastAsia="Times New Roman"/>
          <w:b/>
          <w:sz w:val="24"/>
          <w:szCs w:val="24"/>
        </w:rPr>
      </w:pPr>
      <w:bookmarkStart w:id="14" w:name="a31_14"/>
      <w:bookmarkEnd w:id="14"/>
      <w:r w:rsidRPr="009A10F1">
        <w:rPr>
          <w:rFonts w:eastAsia="Times New Roman"/>
          <w:b/>
          <w:sz w:val="24"/>
          <w:szCs w:val="24"/>
        </w:rPr>
        <w:lastRenderedPageBreak/>
        <w:t>31:14</w:t>
      </w:r>
      <w:r w:rsidRPr="009A10F1">
        <w:rPr>
          <w:rFonts w:eastAsia="Times New Roman"/>
          <w:b/>
          <w:sz w:val="24"/>
          <w:szCs w:val="24"/>
        </w:rPr>
        <w:tab/>
        <w:t>ADVISORY INSTRUCTION ON WRONGFUL DISCHARGE IN VIOLATION OF PUBLIC POLICY</w:t>
      </w:r>
    </w:p>
    <w:p w14:paraId="36DBB68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14:paraId="25F63847" w14:textId="77777777" w:rsidR="009A10F1" w:rsidRDefault="009A10F1" w:rsidP="009A10F1">
      <w:pPr>
        <w:jc w:val="center"/>
        <w:rPr>
          <w:rFonts w:eastAsia="Times New Roman"/>
          <w:sz w:val="24"/>
          <w:szCs w:val="24"/>
        </w:rPr>
      </w:pPr>
    </w:p>
    <w:p w14:paraId="71D9D076"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4C1F2272"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14:paraId="617958B0"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14:paraId="074C39A6"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124C4364" w14:textId="182DF572" w:rsidR="009A10F1" w:rsidRPr="009A10F1" w:rsidRDefault="00EF4C80"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Pr>
          <w:rFonts w:eastAsia="Times New Roman"/>
          <w:b/>
          <w:sz w:val="24"/>
          <w:szCs w:val="24"/>
        </w:rPr>
        <w:t xml:space="preserve"> v. Enternmann’s, Inc.</w:t>
      </w:r>
      <w:r w:rsidRPr="009A10F1">
        <w:rPr>
          <w:rFonts w:eastAsia="Times New Roman"/>
          <w:sz w:val="24"/>
          <w:szCs w:val="24"/>
        </w:rPr>
        <w:t xml:space="preserve">, 770 P.2d </w:t>
      </w:r>
      <w:r>
        <w:rPr>
          <w:rFonts w:eastAsia="Times New Roman"/>
          <w:sz w:val="24"/>
          <w:szCs w:val="24"/>
        </w:rPr>
        <w:t>1367 (Colo. App. 1989)</w:t>
      </w:r>
      <w:r w:rsidR="009A10F1" w:rsidRPr="009A10F1">
        <w:rPr>
          <w:rFonts w:eastAsia="Times New Roman"/>
          <w:sz w:val="24"/>
          <w:szCs w:val="24"/>
        </w:rPr>
        <w:t>.</w:t>
      </w:r>
    </w:p>
    <w:p w14:paraId="12C1FBA5" w14:textId="77777777" w:rsidR="00EE11EE" w:rsidRDefault="00EE11EE">
      <w:pPr>
        <w:rPr>
          <w:rFonts w:eastAsia="Times New Roman"/>
          <w:sz w:val="24"/>
          <w:szCs w:val="24"/>
        </w:rPr>
      </w:pPr>
      <w:r>
        <w:rPr>
          <w:rFonts w:eastAsia="Times New Roman"/>
          <w:sz w:val="24"/>
          <w:szCs w:val="24"/>
        </w:rPr>
        <w:br w:type="page"/>
      </w:r>
    </w:p>
    <w:p w14:paraId="36DF91C7" w14:textId="77777777" w:rsidR="00EE11EE" w:rsidRPr="009E3DA4" w:rsidRDefault="00EE11EE" w:rsidP="00EE11EE">
      <w:pPr>
        <w:spacing w:after="240"/>
        <w:ind w:left="720" w:hanging="720"/>
        <w:rPr>
          <w:rFonts w:eastAsia="Times New Roman"/>
          <w:b/>
          <w:sz w:val="24"/>
          <w:szCs w:val="24"/>
        </w:rPr>
      </w:pPr>
      <w:bookmarkStart w:id="15" w:name="a31_15"/>
      <w:bookmarkEnd w:id="15"/>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14:paraId="39E858E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14:paraId="21A79F6A"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14:paraId="369B64E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14:paraId="027A98A9"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14:paraId="343F3B5A" w14:textId="77777777" w:rsidR="00EE11EE" w:rsidRDefault="00EE11EE" w:rsidP="00EE11EE">
      <w:pPr>
        <w:jc w:val="center"/>
        <w:rPr>
          <w:rFonts w:eastAsia="Times New Roman"/>
          <w:sz w:val="24"/>
          <w:szCs w:val="24"/>
        </w:rPr>
      </w:pPr>
    </w:p>
    <w:p w14:paraId="78D4A8C3"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115B331C" w14:textId="362DE16B"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The amount of damages </w:t>
      </w:r>
      <w:r w:rsidR="00AE1119">
        <w:rPr>
          <w:rFonts w:eastAsia="Times New Roman"/>
          <w:sz w:val="24"/>
          <w:szCs w:val="24"/>
        </w:rPr>
        <w:t>sought</w:t>
      </w:r>
      <w:r w:rsidRPr="00EE11EE">
        <w:rPr>
          <w:rFonts w:eastAsia="Times New Roman"/>
          <w:sz w:val="24"/>
          <w:szCs w:val="24"/>
        </w:rPr>
        <w:t xml:space="preserve"> should not be stated in this instruction nor in the statement of the case. </w:t>
      </w:r>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
    <w:p w14:paraId="72C46CCB"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14:paraId="748EADB7"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w:t>
      </w:r>
      <w:r w:rsidR="008558FB">
        <w:rPr>
          <w:rFonts w:eastAsia="Times New Roman"/>
          <w:sz w:val="24"/>
          <w:szCs w:val="24"/>
        </w:rPr>
        <w:t>, 283</w:t>
      </w:r>
      <w:r w:rsidRPr="00EE11EE">
        <w:rPr>
          <w:rFonts w:eastAsia="Times New Roman"/>
          <w:sz w:val="24"/>
          <w:szCs w:val="24"/>
        </w:rPr>
        <w:t xml:space="preserve">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14:paraId="20AB3CFE"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14:paraId="644FAB52" w14:textId="192D98E5"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xml:space="preserve">, 232 P.3d </w:t>
      </w:r>
      <w:r w:rsidR="0032229B">
        <w:rPr>
          <w:rFonts w:eastAsia="Times New Roman"/>
          <w:sz w:val="24"/>
          <w:szCs w:val="24"/>
        </w:rPr>
        <w:t xml:space="preserve">at </w:t>
      </w:r>
      <w:r w:rsidRPr="00EE11EE">
        <w:rPr>
          <w:rFonts w:eastAsia="Times New Roman"/>
          <w:sz w:val="24"/>
          <w:szCs w:val="24"/>
        </w:rPr>
        <w:t>2</w:t>
      </w:r>
      <w:r w:rsidR="0032229B">
        <w:rPr>
          <w:rFonts w:eastAsia="Times New Roman"/>
          <w:sz w:val="24"/>
          <w:szCs w:val="24"/>
        </w:rPr>
        <w:t>84</w:t>
      </w:r>
      <w:r w:rsidRPr="00EE11EE">
        <w:rPr>
          <w:rFonts w:eastAsia="Times New Roman"/>
          <w:sz w:val="24"/>
          <w:szCs w:val="24"/>
        </w:rPr>
        <w:t xml:space="preserve"> (employee’s decision to start her own business did not automatically constitute a failure to mitigate or terminate the accrual of back pay damages).</w:t>
      </w:r>
    </w:p>
    <w:p w14:paraId="5F6C5AD4"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AE56263" w14:textId="743932F6" w:rsidR="00EE11EE" w:rsidRPr="00EE11EE" w:rsidRDefault="005667BF" w:rsidP="00EE11EE">
      <w:pPr>
        <w:spacing w:after="240"/>
        <w:ind w:firstLine="720"/>
        <w:rPr>
          <w:rFonts w:eastAsia="Times New Roman"/>
          <w:sz w:val="24"/>
          <w:szCs w:val="24"/>
        </w:rPr>
      </w:pPr>
      <w:r>
        <w:rPr>
          <w:rFonts w:eastAsia="Times New Roman"/>
          <w:sz w:val="24"/>
          <w:szCs w:val="24"/>
        </w:rPr>
        <w:t xml:space="preserve">This instruction is supported by </w:t>
      </w:r>
      <w:r w:rsidRPr="005667BF">
        <w:rPr>
          <w:rFonts w:eastAsia="Times New Roman"/>
          <w:b/>
          <w:sz w:val="24"/>
          <w:szCs w:val="24"/>
        </w:rPr>
        <w:t>Genova v. Longs Peak Emergency Physicians, P.C.</w:t>
      </w:r>
      <w:r>
        <w:rPr>
          <w:rFonts w:eastAsia="Times New Roman"/>
          <w:sz w:val="24"/>
          <w:szCs w:val="24"/>
        </w:rPr>
        <w:t xml:space="preserve">, 72 P.3d 454 (Colo. App. 2003). </w:t>
      </w:r>
      <w:r w:rsidR="00EE11EE" w:rsidRPr="00EE11EE">
        <w:rPr>
          <w:rFonts w:eastAsia="Times New Roman"/>
          <w:i/>
          <w:sz w:val="24"/>
          <w:szCs w:val="24"/>
        </w:rPr>
        <w:t>See generally</w:t>
      </w:r>
      <w:r w:rsidR="00EE11EE" w:rsidRPr="00EE11EE">
        <w:rPr>
          <w:rFonts w:eastAsia="Times New Roman"/>
          <w:sz w:val="24"/>
          <w:szCs w:val="24"/>
        </w:rPr>
        <w:t xml:space="preserve"> </w:t>
      </w:r>
      <w:r w:rsidR="00492E8E">
        <w:rPr>
          <w:rFonts w:eastAsia="Times New Roman"/>
          <w:sz w:val="24"/>
          <w:szCs w:val="24"/>
        </w:rPr>
        <w:t xml:space="preserve">Francis M. Doughterty, Annotation, </w:t>
      </w:r>
      <w:r w:rsidR="00EE11EE" w:rsidRPr="00D775DE">
        <w:rPr>
          <w:rFonts w:eastAsia="Times New Roman"/>
          <w:i/>
          <w:sz w:val="24"/>
          <w:szCs w:val="24"/>
        </w:rPr>
        <w:t xml:space="preserve">Damages </w:t>
      </w:r>
      <w:r w:rsidR="00492E8E" w:rsidRPr="00D775DE">
        <w:rPr>
          <w:rFonts w:eastAsia="Times New Roman"/>
          <w:i/>
          <w:sz w:val="24"/>
          <w:szCs w:val="24"/>
        </w:rPr>
        <w:t>R</w:t>
      </w:r>
      <w:r w:rsidR="00EE11EE" w:rsidRPr="00D775DE">
        <w:rPr>
          <w:rFonts w:eastAsia="Times New Roman"/>
          <w:i/>
          <w:sz w:val="24"/>
          <w:szCs w:val="24"/>
        </w:rPr>
        <w:t xml:space="preserve">ecoverable for </w:t>
      </w:r>
      <w:r w:rsidR="00492E8E" w:rsidRPr="00D775DE">
        <w:rPr>
          <w:rFonts w:eastAsia="Times New Roman"/>
          <w:i/>
          <w:sz w:val="24"/>
          <w:szCs w:val="24"/>
        </w:rPr>
        <w:t>W</w:t>
      </w:r>
      <w:r w:rsidR="00EE11EE" w:rsidRPr="00D775DE">
        <w:rPr>
          <w:rFonts w:eastAsia="Times New Roman"/>
          <w:i/>
          <w:sz w:val="24"/>
          <w:szCs w:val="24"/>
        </w:rPr>
        <w:t xml:space="preserve">rongful </w:t>
      </w:r>
      <w:r w:rsidR="00492E8E" w:rsidRPr="00D775DE">
        <w:rPr>
          <w:rFonts w:eastAsia="Times New Roman"/>
          <w:i/>
          <w:sz w:val="24"/>
          <w:szCs w:val="24"/>
        </w:rPr>
        <w:t>D</w:t>
      </w:r>
      <w:r w:rsidR="00EE11EE" w:rsidRPr="00D775DE">
        <w:rPr>
          <w:rFonts w:eastAsia="Times New Roman"/>
          <w:i/>
          <w:sz w:val="24"/>
          <w:szCs w:val="24"/>
        </w:rPr>
        <w:t xml:space="preserve">ischarge of </w:t>
      </w:r>
      <w:r w:rsidR="00492E8E" w:rsidRPr="00D775DE">
        <w:rPr>
          <w:rFonts w:eastAsia="Times New Roman"/>
          <w:i/>
          <w:sz w:val="24"/>
          <w:szCs w:val="24"/>
        </w:rPr>
        <w:t>A</w:t>
      </w:r>
      <w:r w:rsidR="00EE11EE" w:rsidRPr="00D775DE">
        <w:rPr>
          <w:rFonts w:eastAsia="Times New Roman"/>
          <w:i/>
          <w:sz w:val="24"/>
          <w:szCs w:val="24"/>
        </w:rPr>
        <w:t>t-</w:t>
      </w:r>
      <w:r w:rsidR="00492E8E" w:rsidRPr="00D775DE">
        <w:rPr>
          <w:rFonts w:eastAsia="Times New Roman"/>
          <w:i/>
          <w:sz w:val="24"/>
          <w:szCs w:val="24"/>
        </w:rPr>
        <w:t>W</w:t>
      </w:r>
      <w:r w:rsidR="00EE11EE" w:rsidRPr="00D775DE">
        <w:rPr>
          <w:rFonts w:eastAsia="Times New Roman"/>
          <w:i/>
          <w:sz w:val="24"/>
          <w:szCs w:val="24"/>
        </w:rPr>
        <w:t xml:space="preserve">ill </w:t>
      </w:r>
      <w:r w:rsidR="00492E8E" w:rsidRPr="00D775DE">
        <w:rPr>
          <w:rFonts w:eastAsia="Times New Roman"/>
          <w:i/>
          <w:sz w:val="24"/>
          <w:szCs w:val="24"/>
        </w:rPr>
        <w:t>E</w:t>
      </w:r>
      <w:r w:rsidR="00EE11EE" w:rsidRPr="00D775DE">
        <w:rPr>
          <w:rFonts w:eastAsia="Times New Roman"/>
          <w:i/>
          <w:sz w:val="24"/>
          <w:szCs w:val="24"/>
        </w:rPr>
        <w:t>mployee</w:t>
      </w:r>
      <w:r w:rsidR="00EE11EE" w:rsidRPr="00EE11EE">
        <w:rPr>
          <w:rFonts w:eastAsia="Times New Roman"/>
          <w:sz w:val="24"/>
          <w:szCs w:val="24"/>
        </w:rPr>
        <w:t>, 44 A</w:t>
      </w:r>
      <w:r w:rsidR="00492E8E">
        <w:rPr>
          <w:rFonts w:eastAsia="Times New Roman"/>
          <w:sz w:val="24"/>
          <w:szCs w:val="24"/>
        </w:rPr>
        <w:t>.</w:t>
      </w:r>
      <w:r w:rsidR="00EE11EE" w:rsidRPr="00EE11EE">
        <w:rPr>
          <w:rFonts w:eastAsia="Times New Roman"/>
          <w:sz w:val="24"/>
          <w:szCs w:val="24"/>
        </w:rPr>
        <w:t>L</w:t>
      </w:r>
      <w:r w:rsidR="00492E8E">
        <w:rPr>
          <w:rFonts w:eastAsia="Times New Roman"/>
          <w:sz w:val="24"/>
          <w:szCs w:val="24"/>
        </w:rPr>
        <w:t>.</w:t>
      </w:r>
      <w:r w:rsidR="00EE11EE" w:rsidRPr="00EE11EE">
        <w:rPr>
          <w:rFonts w:eastAsia="Times New Roman"/>
          <w:sz w:val="24"/>
          <w:szCs w:val="24"/>
        </w:rPr>
        <w:t>R</w:t>
      </w:r>
      <w:r w:rsidR="00492E8E">
        <w:rPr>
          <w:rFonts w:eastAsia="Times New Roman"/>
          <w:sz w:val="24"/>
          <w:szCs w:val="24"/>
        </w:rPr>
        <w:t>.</w:t>
      </w:r>
      <w:r w:rsidR="00EE11EE" w:rsidRPr="00EE11EE">
        <w:rPr>
          <w:rFonts w:eastAsia="Times New Roman"/>
          <w:sz w:val="24"/>
          <w:szCs w:val="24"/>
        </w:rPr>
        <w:t>4th 1131</w:t>
      </w:r>
      <w:r w:rsidR="00492E8E">
        <w:rPr>
          <w:rFonts w:eastAsia="Times New Roman"/>
          <w:sz w:val="24"/>
          <w:szCs w:val="24"/>
        </w:rPr>
        <w:t xml:space="preserve"> (1986)</w:t>
      </w:r>
      <w:r w:rsidR="00EE11EE" w:rsidRPr="00EE11EE">
        <w:rPr>
          <w:rFonts w:eastAsia="Times New Roman"/>
          <w:sz w:val="24"/>
          <w:szCs w:val="24"/>
        </w:rPr>
        <w:t>.</w:t>
      </w:r>
    </w:p>
    <w:p w14:paraId="2CFC54F8" w14:textId="77777777" w:rsidR="00EE11EE" w:rsidRDefault="00EE11EE">
      <w:pPr>
        <w:rPr>
          <w:rFonts w:eastAsia="Times New Roman"/>
          <w:sz w:val="24"/>
          <w:szCs w:val="24"/>
        </w:rPr>
      </w:pPr>
      <w:r>
        <w:rPr>
          <w:rFonts w:eastAsia="Times New Roman"/>
          <w:sz w:val="24"/>
          <w:szCs w:val="24"/>
        </w:rPr>
        <w:br w:type="page"/>
      </w:r>
    </w:p>
    <w:p w14:paraId="6754823C" w14:textId="77777777" w:rsidR="00EE11EE" w:rsidRPr="009E3DA4" w:rsidRDefault="00EE11EE" w:rsidP="00EE11EE">
      <w:pPr>
        <w:spacing w:after="240"/>
        <w:ind w:left="720" w:hanging="720"/>
        <w:rPr>
          <w:rFonts w:eastAsia="Times New Roman"/>
          <w:b/>
          <w:sz w:val="24"/>
          <w:szCs w:val="24"/>
        </w:rPr>
      </w:pPr>
      <w:bookmarkStart w:id="16" w:name="a31_16"/>
      <w:bookmarkEnd w:id="16"/>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14:paraId="30153753"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has proved (his) (her)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14:paraId="38F84AD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14:paraId="285BCBDC"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14:paraId="64A881C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14:paraId="2F877461"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14:paraId="7A8872D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14:paraId="5FAABEDB" w14:textId="77777777" w:rsidR="00EE11EE" w:rsidRDefault="00EE11EE" w:rsidP="00EE11EE">
      <w:pPr>
        <w:jc w:val="center"/>
        <w:rPr>
          <w:rFonts w:eastAsia="Times New Roman"/>
          <w:sz w:val="24"/>
          <w:szCs w:val="24"/>
        </w:rPr>
      </w:pPr>
    </w:p>
    <w:p w14:paraId="3468B119"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2F5EE83F"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14:paraId="67007C65"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Crawford Rehab. Servs., Inc. v. Weissman</w:t>
      </w:r>
      <w:r w:rsidRPr="00EE11EE">
        <w:rPr>
          <w:rFonts w:eastAsia="Times New Roman"/>
          <w:sz w:val="24"/>
          <w:szCs w:val="24"/>
        </w:rPr>
        <w:t>, 938 P.2d 540 (Colo. 1997).</w:t>
      </w:r>
    </w:p>
    <w:p w14:paraId="18B121C9"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E69CF7E" w14:textId="57C65C91"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(1995).</w:t>
      </w:r>
    </w:p>
    <w:p w14:paraId="1C4A0CD0" w14:textId="00BAC414"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6</w:t>
      </w:r>
      <w:r w:rsidRPr="00EE11EE">
        <w:rPr>
          <w:rFonts w:eastAsia="Times New Roman"/>
          <w:sz w:val="24"/>
          <w:szCs w:val="24"/>
        </w:rPr>
        <w:t xml:space="preserve">, extended the doctrine of after-acquired evidence of misconduct to misconduct that may have occurred after the </w:t>
      </w:r>
      <w:r w:rsidRPr="00EE11EE">
        <w:rPr>
          <w:rFonts w:eastAsia="Times New Roman"/>
          <w:sz w:val="24"/>
          <w:szCs w:val="24"/>
        </w:rPr>
        <w:lastRenderedPageBreak/>
        <w:t>commencement of the employment relationship. The supreme court’s decision expressly did not reach that issue.</w:t>
      </w:r>
      <w:r w:rsidRPr="00EE11EE">
        <w:rPr>
          <w:rFonts w:eastAsia="Times New Roman"/>
          <w:b/>
          <w:sz w:val="24"/>
          <w:szCs w:val="24"/>
        </w:rPr>
        <w:t xml:space="preserve"> 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54</w:t>
      </w:r>
      <w:r w:rsidR="002F7399">
        <w:rPr>
          <w:rFonts w:eastAsia="Times New Roman"/>
          <w:sz w:val="24"/>
          <w:szCs w:val="24"/>
        </w:rPr>
        <w:t>8</w:t>
      </w:r>
      <w:r w:rsidRPr="00EE11EE">
        <w:rPr>
          <w:rFonts w:eastAsia="Times New Roman"/>
          <w:sz w:val="24"/>
          <w:szCs w:val="24"/>
        </w:rPr>
        <w:t>.</w:t>
      </w:r>
    </w:p>
    <w:p w14:paraId="5FDA3A96" w14:textId="5A7BAA97"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5</w:t>
      </w:r>
      <w:r w:rsidRPr="00EE11EE">
        <w:rPr>
          <w:rFonts w:eastAsia="Times New Roman"/>
          <w:sz w:val="24"/>
          <w:szCs w:val="24"/>
        </w:rPr>
        <w:t xml:space="preserve">, also extended the doctrine to claims of public-policy discharge, applying the United States Supreme Court’s decision in </w:t>
      </w:r>
      <w:r w:rsidRPr="00EE11EE">
        <w:rPr>
          <w:rFonts w:eastAsia="Times New Roman"/>
          <w:b/>
          <w:sz w:val="24"/>
          <w:szCs w:val="24"/>
        </w:rPr>
        <w:t>McKennon</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 xml:space="preserve">513 U.S. </w:t>
      </w:r>
      <w:r w:rsidR="002E4D77">
        <w:rPr>
          <w:rFonts w:eastAsia="Times New Roman"/>
          <w:sz w:val="24"/>
          <w:szCs w:val="24"/>
        </w:rPr>
        <w:t>at 362-63</w:t>
      </w:r>
      <w:r w:rsidRPr="00EE11EE">
        <w:rPr>
          <w:rFonts w:eastAsia="Times New Roman"/>
          <w:sz w:val="24"/>
          <w:szCs w:val="24"/>
        </w:rPr>
        <w:t xml:space="preserve">, and allowing after-acquired evidence to limit the type of relief available, although it cannot be relied upon to bar a public-policy discharge claim. The supreme court’s decision reversed and remanded the public-policy discharge claim for failure to state a claim and, therefore, did not reach the issue. </w:t>
      </w:r>
      <w:r w:rsidRPr="00EE11EE">
        <w:rPr>
          <w:rFonts w:eastAsia="Times New Roman"/>
          <w:b/>
          <w:sz w:val="24"/>
          <w:szCs w:val="24"/>
        </w:rPr>
        <w:t>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w:t>
      </w:r>
      <w:r w:rsidR="002F7399">
        <w:rPr>
          <w:rFonts w:eastAsia="Times New Roman"/>
          <w:sz w:val="24"/>
          <w:szCs w:val="24"/>
        </w:rPr>
        <w:t>53</w:t>
      </w:r>
      <w:r w:rsidRPr="00EE11EE">
        <w:rPr>
          <w:rFonts w:eastAsia="Times New Roman"/>
          <w:sz w:val="24"/>
          <w:szCs w:val="24"/>
        </w:rPr>
        <w:t>.</w:t>
      </w:r>
    </w:p>
    <w:sectPr w:rsidR="00A76271" w:rsidRPr="009A10F1"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18C7E" w14:textId="77777777" w:rsidR="00C765B0" w:rsidRDefault="00C765B0" w:rsidP="0054263B">
      <w:r>
        <w:separator/>
      </w:r>
    </w:p>
    <w:p w14:paraId="1D37BEA7" w14:textId="77777777" w:rsidR="00C765B0" w:rsidRDefault="00C765B0"/>
  </w:endnote>
  <w:endnote w:type="continuationSeparator" w:id="0">
    <w:p w14:paraId="6DDA012D" w14:textId="77777777" w:rsidR="00C765B0" w:rsidRDefault="00C765B0" w:rsidP="0054263B">
      <w:r>
        <w:continuationSeparator/>
      </w:r>
    </w:p>
    <w:p w14:paraId="5F6C134E" w14:textId="77777777" w:rsidR="00C765B0" w:rsidRDefault="00C76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4752B5C1" w14:textId="77777777" w:rsidR="00A66FF0" w:rsidRDefault="00A66FF0">
        <w:pPr>
          <w:pStyle w:val="Footer"/>
          <w:jc w:val="center"/>
        </w:pPr>
        <w:r>
          <w:fldChar w:fldCharType="begin"/>
        </w:r>
        <w:r>
          <w:instrText xml:space="preserve"> PAGE   \* MERGEFORMAT </w:instrText>
        </w:r>
        <w:r>
          <w:fldChar w:fldCharType="separate"/>
        </w:r>
        <w:r w:rsidR="007A1F87">
          <w:rPr>
            <w:noProof/>
          </w:rPr>
          <w:t>33</w:t>
        </w:r>
        <w:r>
          <w:rPr>
            <w:noProof/>
          </w:rPr>
          <w:fldChar w:fldCharType="end"/>
        </w:r>
      </w:p>
    </w:sdtContent>
  </w:sdt>
  <w:p w14:paraId="4B13751E" w14:textId="77777777" w:rsidR="00A66FF0" w:rsidRDefault="00A66FF0">
    <w:pPr>
      <w:pStyle w:val="Footer"/>
    </w:pPr>
  </w:p>
  <w:p w14:paraId="4480EF18" w14:textId="77777777" w:rsidR="00A66FF0" w:rsidRDefault="00A66F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A9873" w14:textId="77777777" w:rsidR="00C765B0" w:rsidRDefault="00C765B0" w:rsidP="0054263B">
      <w:r>
        <w:separator/>
      </w:r>
    </w:p>
    <w:p w14:paraId="66374E24" w14:textId="77777777" w:rsidR="00C765B0" w:rsidRDefault="00C765B0"/>
  </w:footnote>
  <w:footnote w:type="continuationSeparator" w:id="0">
    <w:p w14:paraId="6E5D0929" w14:textId="77777777" w:rsidR="00C765B0" w:rsidRDefault="00C765B0" w:rsidP="0054263B">
      <w:r>
        <w:continuationSeparator/>
      </w:r>
    </w:p>
    <w:p w14:paraId="0235611C" w14:textId="77777777" w:rsidR="00C765B0" w:rsidRDefault="00C765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D95"/>
    <w:rsid w:val="0000321C"/>
    <w:rsid w:val="00004B85"/>
    <w:rsid w:val="000155C7"/>
    <w:rsid w:val="00020CF1"/>
    <w:rsid w:val="000344D8"/>
    <w:rsid w:val="00037111"/>
    <w:rsid w:val="000403DD"/>
    <w:rsid w:val="0005426E"/>
    <w:rsid w:val="0005697A"/>
    <w:rsid w:val="0006367C"/>
    <w:rsid w:val="00074558"/>
    <w:rsid w:val="00074E3E"/>
    <w:rsid w:val="00077162"/>
    <w:rsid w:val="000824C8"/>
    <w:rsid w:val="00085495"/>
    <w:rsid w:val="000921F1"/>
    <w:rsid w:val="00092312"/>
    <w:rsid w:val="0009462F"/>
    <w:rsid w:val="000962C8"/>
    <w:rsid w:val="000A040F"/>
    <w:rsid w:val="000A55E6"/>
    <w:rsid w:val="000B1B7A"/>
    <w:rsid w:val="000C204E"/>
    <w:rsid w:val="000C503A"/>
    <w:rsid w:val="000C6F97"/>
    <w:rsid w:val="000D4856"/>
    <w:rsid w:val="000E3C22"/>
    <w:rsid w:val="000F205C"/>
    <w:rsid w:val="001117D9"/>
    <w:rsid w:val="00112C8E"/>
    <w:rsid w:val="00112FF9"/>
    <w:rsid w:val="001231C9"/>
    <w:rsid w:val="00125209"/>
    <w:rsid w:val="0012670C"/>
    <w:rsid w:val="00126B7A"/>
    <w:rsid w:val="00135E1A"/>
    <w:rsid w:val="00144917"/>
    <w:rsid w:val="001608FF"/>
    <w:rsid w:val="001671A9"/>
    <w:rsid w:val="00172259"/>
    <w:rsid w:val="00172674"/>
    <w:rsid w:val="00172700"/>
    <w:rsid w:val="00173795"/>
    <w:rsid w:val="00174BB5"/>
    <w:rsid w:val="00180579"/>
    <w:rsid w:val="001811AB"/>
    <w:rsid w:val="0018388B"/>
    <w:rsid w:val="00184ADB"/>
    <w:rsid w:val="001903CB"/>
    <w:rsid w:val="00190BD9"/>
    <w:rsid w:val="001913B1"/>
    <w:rsid w:val="00191498"/>
    <w:rsid w:val="00191C86"/>
    <w:rsid w:val="001A2648"/>
    <w:rsid w:val="001C6D6F"/>
    <w:rsid w:val="001E0F3B"/>
    <w:rsid w:val="001E108E"/>
    <w:rsid w:val="001E29A7"/>
    <w:rsid w:val="001F0193"/>
    <w:rsid w:val="00200BA5"/>
    <w:rsid w:val="00202B81"/>
    <w:rsid w:val="00205E29"/>
    <w:rsid w:val="002065D8"/>
    <w:rsid w:val="0021368F"/>
    <w:rsid w:val="0021730E"/>
    <w:rsid w:val="0021736A"/>
    <w:rsid w:val="00217435"/>
    <w:rsid w:val="0022134E"/>
    <w:rsid w:val="00223286"/>
    <w:rsid w:val="00227D3A"/>
    <w:rsid w:val="002350AB"/>
    <w:rsid w:val="0024062B"/>
    <w:rsid w:val="0024597C"/>
    <w:rsid w:val="002547C3"/>
    <w:rsid w:val="00256462"/>
    <w:rsid w:val="002654B4"/>
    <w:rsid w:val="002655FC"/>
    <w:rsid w:val="0026610A"/>
    <w:rsid w:val="00267805"/>
    <w:rsid w:val="00273777"/>
    <w:rsid w:val="00290935"/>
    <w:rsid w:val="00293F7E"/>
    <w:rsid w:val="002A23B0"/>
    <w:rsid w:val="002A2CB9"/>
    <w:rsid w:val="002A6EC7"/>
    <w:rsid w:val="002B5FCF"/>
    <w:rsid w:val="002C56C1"/>
    <w:rsid w:val="002D0987"/>
    <w:rsid w:val="002D163D"/>
    <w:rsid w:val="002E0970"/>
    <w:rsid w:val="002E1D1B"/>
    <w:rsid w:val="002E4D77"/>
    <w:rsid w:val="002E562A"/>
    <w:rsid w:val="002F0E75"/>
    <w:rsid w:val="002F48D6"/>
    <w:rsid w:val="002F7399"/>
    <w:rsid w:val="00304398"/>
    <w:rsid w:val="00316D33"/>
    <w:rsid w:val="00317364"/>
    <w:rsid w:val="00320613"/>
    <w:rsid w:val="0032229B"/>
    <w:rsid w:val="0032367C"/>
    <w:rsid w:val="003247EA"/>
    <w:rsid w:val="003259EE"/>
    <w:rsid w:val="00333886"/>
    <w:rsid w:val="00335934"/>
    <w:rsid w:val="00336CE4"/>
    <w:rsid w:val="00345533"/>
    <w:rsid w:val="00352111"/>
    <w:rsid w:val="00352433"/>
    <w:rsid w:val="00352696"/>
    <w:rsid w:val="00353044"/>
    <w:rsid w:val="003613FE"/>
    <w:rsid w:val="00362653"/>
    <w:rsid w:val="00382177"/>
    <w:rsid w:val="003837B6"/>
    <w:rsid w:val="003916C4"/>
    <w:rsid w:val="003937B8"/>
    <w:rsid w:val="0039769C"/>
    <w:rsid w:val="003A2F1C"/>
    <w:rsid w:val="003A5A75"/>
    <w:rsid w:val="003B47A9"/>
    <w:rsid w:val="003C6854"/>
    <w:rsid w:val="003D027F"/>
    <w:rsid w:val="003D1B54"/>
    <w:rsid w:val="003D370E"/>
    <w:rsid w:val="003E472A"/>
    <w:rsid w:val="003E58A0"/>
    <w:rsid w:val="003E5B38"/>
    <w:rsid w:val="003E773D"/>
    <w:rsid w:val="003F108C"/>
    <w:rsid w:val="003F4A7F"/>
    <w:rsid w:val="003F6E89"/>
    <w:rsid w:val="00427199"/>
    <w:rsid w:val="00434371"/>
    <w:rsid w:val="004425AA"/>
    <w:rsid w:val="00456038"/>
    <w:rsid w:val="00456B2B"/>
    <w:rsid w:val="0046147F"/>
    <w:rsid w:val="0046563F"/>
    <w:rsid w:val="00467B80"/>
    <w:rsid w:val="0047120C"/>
    <w:rsid w:val="00471618"/>
    <w:rsid w:val="00473B65"/>
    <w:rsid w:val="00474B1B"/>
    <w:rsid w:val="0048541F"/>
    <w:rsid w:val="00492E8E"/>
    <w:rsid w:val="0049313F"/>
    <w:rsid w:val="004A1210"/>
    <w:rsid w:val="004A32E6"/>
    <w:rsid w:val="004B753E"/>
    <w:rsid w:val="004C1468"/>
    <w:rsid w:val="004C62F9"/>
    <w:rsid w:val="004C723A"/>
    <w:rsid w:val="004D2C99"/>
    <w:rsid w:val="004E0408"/>
    <w:rsid w:val="004E7EF1"/>
    <w:rsid w:val="004F003D"/>
    <w:rsid w:val="004F474C"/>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667BF"/>
    <w:rsid w:val="0057771F"/>
    <w:rsid w:val="005869F1"/>
    <w:rsid w:val="005A22A6"/>
    <w:rsid w:val="005B27FE"/>
    <w:rsid w:val="005B3A78"/>
    <w:rsid w:val="005C56C9"/>
    <w:rsid w:val="005C5CCB"/>
    <w:rsid w:val="005D1AD3"/>
    <w:rsid w:val="005D1F16"/>
    <w:rsid w:val="005D3156"/>
    <w:rsid w:val="005E712D"/>
    <w:rsid w:val="005F1017"/>
    <w:rsid w:val="005F19FD"/>
    <w:rsid w:val="005F5A94"/>
    <w:rsid w:val="00604F03"/>
    <w:rsid w:val="006053F6"/>
    <w:rsid w:val="00606B30"/>
    <w:rsid w:val="006272FE"/>
    <w:rsid w:val="00627CAD"/>
    <w:rsid w:val="00631BFF"/>
    <w:rsid w:val="00632CF1"/>
    <w:rsid w:val="00634E76"/>
    <w:rsid w:val="006415DA"/>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B6C08"/>
    <w:rsid w:val="006C72EA"/>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39DB"/>
    <w:rsid w:val="007340B5"/>
    <w:rsid w:val="007532AB"/>
    <w:rsid w:val="00766F81"/>
    <w:rsid w:val="00770AB7"/>
    <w:rsid w:val="00770C29"/>
    <w:rsid w:val="00770FFC"/>
    <w:rsid w:val="00787065"/>
    <w:rsid w:val="00792028"/>
    <w:rsid w:val="007A1F87"/>
    <w:rsid w:val="007A3A0E"/>
    <w:rsid w:val="007A551C"/>
    <w:rsid w:val="007A612E"/>
    <w:rsid w:val="007B1633"/>
    <w:rsid w:val="007C36AD"/>
    <w:rsid w:val="007D024F"/>
    <w:rsid w:val="007D168F"/>
    <w:rsid w:val="007D198E"/>
    <w:rsid w:val="007D2BCE"/>
    <w:rsid w:val="007D39CC"/>
    <w:rsid w:val="007E1675"/>
    <w:rsid w:val="007F7129"/>
    <w:rsid w:val="00801691"/>
    <w:rsid w:val="00806282"/>
    <w:rsid w:val="00813A6B"/>
    <w:rsid w:val="00816D14"/>
    <w:rsid w:val="0082168C"/>
    <w:rsid w:val="0083254A"/>
    <w:rsid w:val="0083264A"/>
    <w:rsid w:val="00832DB4"/>
    <w:rsid w:val="0083763B"/>
    <w:rsid w:val="00837F81"/>
    <w:rsid w:val="00845F81"/>
    <w:rsid w:val="0085074A"/>
    <w:rsid w:val="00850A48"/>
    <w:rsid w:val="00853ECF"/>
    <w:rsid w:val="008557E1"/>
    <w:rsid w:val="008558FB"/>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C35E5"/>
    <w:rsid w:val="008D2D56"/>
    <w:rsid w:val="008D41E0"/>
    <w:rsid w:val="008D4A28"/>
    <w:rsid w:val="008D609F"/>
    <w:rsid w:val="008D6B17"/>
    <w:rsid w:val="008D7ECC"/>
    <w:rsid w:val="008E3290"/>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50692"/>
    <w:rsid w:val="00952BBB"/>
    <w:rsid w:val="0095709A"/>
    <w:rsid w:val="009725D8"/>
    <w:rsid w:val="00973884"/>
    <w:rsid w:val="009902F2"/>
    <w:rsid w:val="009931B9"/>
    <w:rsid w:val="009A10F1"/>
    <w:rsid w:val="009A5AA6"/>
    <w:rsid w:val="009B6746"/>
    <w:rsid w:val="009B6CA1"/>
    <w:rsid w:val="009C0C3F"/>
    <w:rsid w:val="009E20C7"/>
    <w:rsid w:val="009E3DA4"/>
    <w:rsid w:val="009F581C"/>
    <w:rsid w:val="00A005E6"/>
    <w:rsid w:val="00A06ED6"/>
    <w:rsid w:val="00A10F3D"/>
    <w:rsid w:val="00A110C7"/>
    <w:rsid w:val="00A13FB2"/>
    <w:rsid w:val="00A20521"/>
    <w:rsid w:val="00A22F5A"/>
    <w:rsid w:val="00A23FAA"/>
    <w:rsid w:val="00A36457"/>
    <w:rsid w:val="00A50F20"/>
    <w:rsid w:val="00A57F9C"/>
    <w:rsid w:val="00A62F9D"/>
    <w:rsid w:val="00A632A0"/>
    <w:rsid w:val="00A63D35"/>
    <w:rsid w:val="00A66FF0"/>
    <w:rsid w:val="00A677E8"/>
    <w:rsid w:val="00A725B4"/>
    <w:rsid w:val="00A73AE6"/>
    <w:rsid w:val="00A73FC9"/>
    <w:rsid w:val="00A76271"/>
    <w:rsid w:val="00A76341"/>
    <w:rsid w:val="00A770D8"/>
    <w:rsid w:val="00A80748"/>
    <w:rsid w:val="00A80C10"/>
    <w:rsid w:val="00A82D0A"/>
    <w:rsid w:val="00A85AAA"/>
    <w:rsid w:val="00A92C18"/>
    <w:rsid w:val="00AB2019"/>
    <w:rsid w:val="00AB477F"/>
    <w:rsid w:val="00AB71A7"/>
    <w:rsid w:val="00AC227F"/>
    <w:rsid w:val="00AC4377"/>
    <w:rsid w:val="00AC646C"/>
    <w:rsid w:val="00AC78F7"/>
    <w:rsid w:val="00AD4B56"/>
    <w:rsid w:val="00AE1119"/>
    <w:rsid w:val="00AE1C04"/>
    <w:rsid w:val="00AF40E1"/>
    <w:rsid w:val="00AF7D47"/>
    <w:rsid w:val="00B0264D"/>
    <w:rsid w:val="00B23B3E"/>
    <w:rsid w:val="00B338E2"/>
    <w:rsid w:val="00B35185"/>
    <w:rsid w:val="00B37722"/>
    <w:rsid w:val="00B37CC6"/>
    <w:rsid w:val="00B473E5"/>
    <w:rsid w:val="00B508D4"/>
    <w:rsid w:val="00B538B9"/>
    <w:rsid w:val="00B567C1"/>
    <w:rsid w:val="00B579DF"/>
    <w:rsid w:val="00B6275E"/>
    <w:rsid w:val="00B660F1"/>
    <w:rsid w:val="00B70D68"/>
    <w:rsid w:val="00B719C2"/>
    <w:rsid w:val="00B72D6B"/>
    <w:rsid w:val="00B80FD1"/>
    <w:rsid w:val="00B937E4"/>
    <w:rsid w:val="00B96786"/>
    <w:rsid w:val="00B97801"/>
    <w:rsid w:val="00BA2389"/>
    <w:rsid w:val="00BA27A8"/>
    <w:rsid w:val="00BA510E"/>
    <w:rsid w:val="00BB309E"/>
    <w:rsid w:val="00BB344E"/>
    <w:rsid w:val="00BC29F9"/>
    <w:rsid w:val="00BC49BF"/>
    <w:rsid w:val="00BC60AE"/>
    <w:rsid w:val="00BC65EF"/>
    <w:rsid w:val="00BD272D"/>
    <w:rsid w:val="00BD5C96"/>
    <w:rsid w:val="00BE2B09"/>
    <w:rsid w:val="00BE654D"/>
    <w:rsid w:val="00BE6634"/>
    <w:rsid w:val="00BF5DF3"/>
    <w:rsid w:val="00C018F8"/>
    <w:rsid w:val="00C21D93"/>
    <w:rsid w:val="00C225C9"/>
    <w:rsid w:val="00C26751"/>
    <w:rsid w:val="00C30DFC"/>
    <w:rsid w:val="00C40968"/>
    <w:rsid w:val="00C473A2"/>
    <w:rsid w:val="00C60E95"/>
    <w:rsid w:val="00C610EC"/>
    <w:rsid w:val="00C63547"/>
    <w:rsid w:val="00C641B0"/>
    <w:rsid w:val="00C70560"/>
    <w:rsid w:val="00C724B6"/>
    <w:rsid w:val="00C737F3"/>
    <w:rsid w:val="00C765B0"/>
    <w:rsid w:val="00C82209"/>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E59EA"/>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73939"/>
    <w:rsid w:val="00D775DE"/>
    <w:rsid w:val="00D8125F"/>
    <w:rsid w:val="00D90E67"/>
    <w:rsid w:val="00D93394"/>
    <w:rsid w:val="00DA1796"/>
    <w:rsid w:val="00DA2814"/>
    <w:rsid w:val="00DB2C90"/>
    <w:rsid w:val="00DB3EFD"/>
    <w:rsid w:val="00DC0393"/>
    <w:rsid w:val="00DC63A9"/>
    <w:rsid w:val="00DC66A6"/>
    <w:rsid w:val="00DC7533"/>
    <w:rsid w:val="00DC7EF3"/>
    <w:rsid w:val="00DD5492"/>
    <w:rsid w:val="00DE2930"/>
    <w:rsid w:val="00DE6F63"/>
    <w:rsid w:val="00DF2CB7"/>
    <w:rsid w:val="00DF3BF1"/>
    <w:rsid w:val="00DF7595"/>
    <w:rsid w:val="00E007F8"/>
    <w:rsid w:val="00E058BA"/>
    <w:rsid w:val="00E111AA"/>
    <w:rsid w:val="00E14F99"/>
    <w:rsid w:val="00E172C8"/>
    <w:rsid w:val="00E21120"/>
    <w:rsid w:val="00E24B1B"/>
    <w:rsid w:val="00E24E10"/>
    <w:rsid w:val="00E2724A"/>
    <w:rsid w:val="00E30D4B"/>
    <w:rsid w:val="00E32C6D"/>
    <w:rsid w:val="00E372EA"/>
    <w:rsid w:val="00E43BF9"/>
    <w:rsid w:val="00E50187"/>
    <w:rsid w:val="00E55147"/>
    <w:rsid w:val="00E551EB"/>
    <w:rsid w:val="00E67638"/>
    <w:rsid w:val="00E70C9B"/>
    <w:rsid w:val="00E72FF1"/>
    <w:rsid w:val="00E73995"/>
    <w:rsid w:val="00E7526A"/>
    <w:rsid w:val="00E82266"/>
    <w:rsid w:val="00E87248"/>
    <w:rsid w:val="00E87C31"/>
    <w:rsid w:val="00E87FFB"/>
    <w:rsid w:val="00E93068"/>
    <w:rsid w:val="00E970B9"/>
    <w:rsid w:val="00EA3B32"/>
    <w:rsid w:val="00EB113C"/>
    <w:rsid w:val="00EB5133"/>
    <w:rsid w:val="00EC1388"/>
    <w:rsid w:val="00EC16F4"/>
    <w:rsid w:val="00EC17E3"/>
    <w:rsid w:val="00EC3919"/>
    <w:rsid w:val="00EC3AB4"/>
    <w:rsid w:val="00EC7C98"/>
    <w:rsid w:val="00ED5E52"/>
    <w:rsid w:val="00ED7176"/>
    <w:rsid w:val="00ED75EA"/>
    <w:rsid w:val="00EE11EE"/>
    <w:rsid w:val="00EE2977"/>
    <w:rsid w:val="00EF4043"/>
    <w:rsid w:val="00EF4C80"/>
    <w:rsid w:val="00EF5096"/>
    <w:rsid w:val="00F022D4"/>
    <w:rsid w:val="00F062A4"/>
    <w:rsid w:val="00F16422"/>
    <w:rsid w:val="00F32AA4"/>
    <w:rsid w:val="00F573CF"/>
    <w:rsid w:val="00F57A28"/>
    <w:rsid w:val="00F57A2B"/>
    <w:rsid w:val="00F658E5"/>
    <w:rsid w:val="00F755B7"/>
    <w:rsid w:val="00F764F4"/>
    <w:rsid w:val="00F7774D"/>
    <w:rsid w:val="00F86F49"/>
    <w:rsid w:val="00FA333E"/>
    <w:rsid w:val="00FA7B76"/>
    <w:rsid w:val="00FC544C"/>
    <w:rsid w:val="00FD2557"/>
    <w:rsid w:val="00FD2DF4"/>
    <w:rsid w:val="00FD7D4E"/>
    <w:rsid w:val="00FE00D7"/>
    <w:rsid w:val="00FE156B"/>
    <w:rsid w:val="00FE1F3D"/>
    <w:rsid w:val="00FE48F2"/>
    <w:rsid w:val="00FF171F"/>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A241-5AAA-4FCE-BE95-B3B15E76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10615</Words>
  <Characters>60509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2020-12-05T16:11:00Z</dcterms:created>
  <dcterms:modified xsi:type="dcterms:W3CDTF">2020-12-05T16:11:00Z</dcterms:modified>
</cp:coreProperties>
</file>