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9C88" w14:textId="7ACD87C5" w:rsidR="00CA41CC" w:rsidRPr="00914128" w:rsidRDefault="0068336D" w:rsidP="00914128">
      <w:pPr>
        <w:pStyle w:val="Heading1"/>
      </w:pPr>
      <w:bookmarkStart w:id="0" w:name="_GoBack"/>
      <w:bookmarkEnd w:id="0"/>
      <w:r>
        <w:t xml:space="preserve">CHAPTER </w:t>
      </w:r>
      <w:r w:rsidR="00E87FFB">
        <w:t>9</w:t>
      </w:r>
    </w:p>
    <w:p w14:paraId="5981FC13" w14:textId="77777777" w:rsidR="00EC7C98" w:rsidRPr="00914128" w:rsidRDefault="00E87FFB" w:rsidP="00914128">
      <w:pPr>
        <w:pStyle w:val="Heading1"/>
      </w:pPr>
      <w:r>
        <w:t>negligence — general concepts</w:t>
      </w:r>
    </w:p>
    <w:p w14:paraId="6AB0499B" w14:textId="77777777" w:rsidR="00E87FFB" w:rsidRPr="0068336D" w:rsidRDefault="003C7EC7" w:rsidP="00E87FFB">
      <w:pPr>
        <w:pStyle w:val="Heading1"/>
        <w:jc w:val="left"/>
        <w:rPr>
          <w:b w:val="0"/>
          <w:caps w:val="0"/>
        </w:rPr>
      </w:pPr>
      <w:hyperlink w:anchor="IntroNote" w:history="1">
        <w:r w:rsidR="00E87FFB" w:rsidRPr="008A475A">
          <w:rPr>
            <w:rStyle w:val="Hyperlink"/>
            <w:b w:val="0"/>
            <w:caps w:val="0"/>
          </w:rPr>
          <w:t>Introductory Note</w:t>
        </w:r>
      </w:hyperlink>
    </w:p>
    <w:p w14:paraId="08049DF2"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NEGLIGENCE AND DUTY OF CARE</w:t>
      </w:r>
    </w:p>
    <w:p w14:paraId="342C1033" w14:textId="77777777" w:rsidR="00EC7C98" w:rsidRDefault="003C7EC7" w:rsidP="00914128">
      <w:pPr>
        <w:pStyle w:val="ToC"/>
      </w:pPr>
      <w:hyperlink w:anchor="a9_01" w:history="1">
        <w:r w:rsidR="006B26D7" w:rsidRPr="00E67638">
          <w:rPr>
            <w:rStyle w:val="Hyperlink"/>
          </w:rPr>
          <w:t>9:1</w:t>
        </w:r>
      </w:hyperlink>
      <w:r w:rsidR="006B26D7" w:rsidRPr="00E67638">
        <w:t xml:space="preserve"> </w:t>
      </w:r>
      <w:r w:rsidR="006B26D7" w:rsidRPr="00E67638">
        <w:tab/>
        <w:t xml:space="preserve">Elements </w:t>
      </w:r>
      <w:r w:rsidR="006B26D7">
        <w:t>o</w:t>
      </w:r>
      <w:r w:rsidR="006B26D7" w:rsidRPr="00E67638">
        <w:t xml:space="preserve">f Liability — No Negligence </w:t>
      </w:r>
      <w:r w:rsidR="006B26D7">
        <w:t>o</w:t>
      </w:r>
      <w:r w:rsidR="006B26D7" w:rsidRPr="00E67638">
        <w:t xml:space="preserve">f </w:t>
      </w:r>
      <w:r w:rsidR="006B26D7">
        <w:t>t</w:t>
      </w:r>
      <w:r w:rsidR="006B26D7" w:rsidRPr="00E67638">
        <w:t>he Plaintiff</w:t>
      </w:r>
    </w:p>
    <w:p w14:paraId="197652B7" w14:textId="77777777" w:rsidR="00A92C18" w:rsidRDefault="003C7EC7" w:rsidP="00914128">
      <w:pPr>
        <w:pStyle w:val="ToC"/>
      </w:pPr>
      <w:hyperlink w:anchor="a9_02" w:history="1">
        <w:r w:rsidR="006B26D7" w:rsidRPr="00A92C18">
          <w:rPr>
            <w:rStyle w:val="Hyperlink"/>
          </w:rPr>
          <w:t>9:2</w:t>
        </w:r>
      </w:hyperlink>
      <w:r w:rsidR="006B26D7" w:rsidRPr="00A92C18">
        <w:t xml:space="preserve"> </w:t>
      </w:r>
      <w:r w:rsidR="006B26D7" w:rsidRPr="00A92C18">
        <w:tab/>
        <w:t xml:space="preserve">Negligent Infliction </w:t>
      </w:r>
      <w:r w:rsidR="006B26D7">
        <w:t>o</w:t>
      </w:r>
      <w:r w:rsidR="006B26D7" w:rsidRPr="00A92C18">
        <w:t xml:space="preserve">f Emotional Distress — Elements </w:t>
      </w:r>
      <w:r w:rsidR="006B26D7">
        <w:t>o</w:t>
      </w:r>
      <w:r w:rsidR="006B26D7" w:rsidRPr="00A92C18">
        <w:t>f Liability</w:t>
      </w:r>
    </w:p>
    <w:p w14:paraId="6B4FF651" w14:textId="77777777" w:rsidR="009931B9" w:rsidRDefault="003C7EC7" w:rsidP="00914128">
      <w:pPr>
        <w:pStyle w:val="ToC"/>
      </w:pPr>
      <w:hyperlink w:anchor="a9_03" w:history="1">
        <w:r w:rsidR="006B26D7" w:rsidRPr="009931B9">
          <w:rPr>
            <w:rStyle w:val="Hyperlink"/>
          </w:rPr>
          <w:t>9:3</w:t>
        </w:r>
      </w:hyperlink>
      <w:r w:rsidR="006B26D7" w:rsidRPr="009931B9">
        <w:t xml:space="preserve"> </w:t>
      </w:r>
      <w:r w:rsidR="006B26D7" w:rsidRPr="009931B9">
        <w:tab/>
        <w:t xml:space="preserve">Negligent Misrepresentation Causing Physical Harm — Elements </w:t>
      </w:r>
      <w:r w:rsidR="006B26D7">
        <w:t>o</w:t>
      </w:r>
      <w:r w:rsidR="006B26D7" w:rsidRPr="009931B9">
        <w:t>f Liability</w:t>
      </w:r>
    </w:p>
    <w:p w14:paraId="75A97856" w14:textId="77777777" w:rsidR="009931B9" w:rsidRDefault="003C7EC7" w:rsidP="00C1125E">
      <w:pPr>
        <w:pStyle w:val="ToC"/>
      </w:pPr>
      <w:hyperlink w:anchor="a9_04" w:history="1">
        <w:r w:rsidR="006B26D7" w:rsidRPr="009931B9">
          <w:rPr>
            <w:rStyle w:val="Hyperlink"/>
          </w:rPr>
          <w:t>9:4</w:t>
        </w:r>
      </w:hyperlink>
      <w:r w:rsidR="006B26D7" w:rsidRPr="009931B9">
        <w:t xml:space="preserve"> </w:t>
      </w:r>
      <w:r w:rsidR="006B26D7" w:rsidRPr="009931B9">
        <w:tab/>
        <w:t>Negligent Misreprese</w:t>
      </w:r>
      <w:r w:rsidR="006B26D7">
        <w:t>ntation Causing Financial Loss i</w:t>
      </w:r>
      <w:r w:rsidR="006B26D7" w:rsidRPr="009931B9">
        <w:t xml:space="preserve">n </w:t>
      </w:r>
      <w:r w:rsidR="006B26D7">
        <w:t>a</w:t>
      </w:r>
      <w:r w:rsidR="006B26D7" w:rsidRPr="009931B9">
        <w:t xml:space="preserve"> Business Transaction — Elements </w:t>
      </w:r>
      <w:r w:rsidR="006B26D7">
        <w:t>o</w:t>
      </w:r>
      <w:r w:rsidR="006B26D7" w:rsidRPr="009931B9">
        <w:t>f Liability</w:t>
      </w:r>
    </w:p>
    <w:p w14:paraId="017A5F47" w14:textId="77777777" w:rsidR="009931B9" w:rsidRDefault="003C7EC7">
      <w:pPr>
        <w:pStyle w:val="ToC"/>
      </w:pPr>
      <w:hyperlink w:anchor="a9_05" w:history="1">
        <w:r w:rsidR="006B26D7" w:rsidRPr="009931B9">
          <w:rPr>
            <w:rStyle w:val="Hyperlink"/>
          </w:rPr>
          <w:t>9:5</w:t>
        </w:r>
      </w:hyperlink>
      <w:r w:rsidR="006B26D7" w:rsidRPr="009931B9">
        <w:t xml:space="preserve"> </w:t>
      </w:r>
      <w:r w:rsidR="006B26D7" w:rsidRPr="009931B9">
        <w:tab/>
        <w:t xml:space="preserve">Negligent Misrepresentation Causing Financial Loss </w:t>
      </w:r>
      <w:r w:rsidR="006B26D7">
        <w:t>i</w:t>
      </w:r>
      <w:r w:rsidR="006B26D7" w:rsidRPr="009931B9">
        <w:t xml:space="preserve">n </w:t>
      </w:r>
      <w:r w:rsidR="006B26D7">
        <w:t>a</w:t>
      </w:r>
      <w:r w:rsidR="006B26D7" w:rsidRPr="009931B9">
        <w:t xml:space="preserve"> Business Transaction — Unreasonable Reliance — Defined</w:t>
      </w:r>
    </w:p>
    <w:p w14:paraId="4EA5C6C9" w14:textId="77777777" w:rsidR="009931B9" w:rsidRDefault="003C7EC7">
      <w:pPr>
        <w:pStyle w:val="ToC"/>
      </w:pPr>
      <w:hyperlink w:anchor="a9_06" w:history="1">
        <w:r w:rsidR="006B26D7" w:rsidRPr="009931B9">
          <w:rPr>
            <w:rStyle w:val="Hyperlink"/>
          </w:rPr>
          <w:t>9:6</w:t>
        </w:r>
      </w:hyperlink>
      <w:r w:rsidR="006B26D7" w:rsidRPr="009931B9">
        <w:t xml:space="preserve"> </w:t>
      </w:r>
      <w:r w:rsidR="006B26D7" w:rsidRPr="009931B9">
        <w:tab/>
        <w:t>Negligence —</w:t>
      </w:r>
      <w:r w:rsidR="006B26D7">
        <w:t xml:space="preserve"> Defined (Including Assumption o</w:t>
      </w:r>
      <w:r w:rsidR="006B26D7" w:rsidRPr="009931B9">
        <w:t xml:space="preserve">f </w:t>
      </w:r>
      <w:r w:rsidR="006B26D7">
        <w:t>t</w:t>
      </w:r>
      <w:r w:rsidR="006B26D7" w:rsidRPr="009931B9">
        <w:t xml:space="preserve">he Risk </w:t>
      </w:r>
      <w:r w:rsidR="006B26D7">
        <w:t>a</w:t>
      </w:r>
      <w:r w:rsidR="006B26D7" w:rsidRPr="009931B9">
        <w:t>nd Comparative Negligence Cases)</w:t>
      </w:r>
    </w:p>
    <w:p w14:paraId="48C7FC5D" w14:textId="77777777" w:rsidR="009931B9" w:rsidRDefault="003C7EC7">
      <w:pPr>
        <w:pStyle w:val="ToC"/>
      </w:pPr>
      <w:hyperlink w:anchor="a9_07" w:history="1">
        <w:r w:rsidR="006B26D7" w:rsidRPr="009931B9">
          <w:rPr>
            <w:rStyle w:val="Hyperlink"/>
          </w:rPr>
          <w:t>9:7</w:t>
        </w:r>
      </w:hyperlink>
      <w:r w:rsidR="006B26D7" w:rsidRPr="009931B9">
        <w:t xml:space="preserve"> </w:t>
      </w:r>
      <w:r w:rsidR="006B26D7" w:rsidRPr="009931B9">
        <w:tab/>
        <w:t>Negligence — Defined — Inherently Dangerous Activities</w:t>
      </w:r>
    </w:p>
    <w:p w14:paraId="3B295DF1" w14:textId="77777777" w:rsidR="00330AE6" w:rsidRPr="00330AE6" w:rsidRDefault="003C7EC7" w:rsidP="00330AE6">
      <w:pPr>
        <w:pStyle w:val="ToC"/>
      </w:pPr>
      <w:hyperlink w:anchor="a9_07A" w:history="1">
        <w:r w:rsidR="00330AE6" w:rsidRPr="00FD3A25">
          <w:rPr>
            <w:rStyle w:val="Hyperlink"/>
          </w:rPr>
          <w:t>9:7A</w:t>
        </w:r>
      </w:hyperlink>
      <w:r w:rsidR="00330AE6" w:rsidRPr="00330AE6">
        <w:tab/>
        <w:t>Ultrahazardous Activities Resulting in Strict Liability</w:t>
      </w:r>
    </w:p>
    <w:p w14:paraId="3D05BE71" w14:textId="77777777" w:rsidR="009931B9" w:rsidRDefault="003C7EC7" w:rsidP="00914128">
      <w:pPr>
        <w:pStyle w:val="ToC"/>
      </w:pPr>
      <w:hyperlink w:anchor="a9_08" w:history="1">
        <w:r w:rsidR="006B26D7" w:rsidRPr="009931B9">
          <w:rPr>
            <w:rStyle w:val="Hyperlink"/>
          </w:rPr>
          <w:t>9:8</w:t>
        </w:r>
      </w:hyperlink>
      <w:r w:rsidR="006B26D7" w:rsidRPr="009931B9">
        <w:t xml:space="preserve"> </w:t>
      </w:r>
      <w:r w:rsidR="006B26D7" w:rsidRPr="009931B9">
        <w:tab/>
        <w:t>Reasonable Care — Defined</w:t>
      </w:r>
    </w:p>
    <w:p w14:paraId="2067D15D" w14:textId="77777777" w:rsidR="009931B9" w:rsidRDefault="003C7EC7" w:rsidP="00914128">
      <w:pPr>
        <w:pStyle w:val="ToC"/>
      </w:pPr>
      <w:hyperlink w:anchor="a9_09" w:history="1">
        <w:r w:rsidR="006B26D7" w:rsidRPr="009931B9">
          <w:rPr>
            <w:rStyle w:val="Hyperlink"/>
          </w:rPr>
          <w:t>9:9</w:t>
        </w:r>
      </w:hyperlink>
      <w:r w:rsidR="006B26D7" w:rsidRPr="009931B9">
        <w:t xml:space="preserve"> </w:t>
      </w:r>
      <w:r w:rsidR="006B26D7" w:rsidRPr="009931B9">
        <w:tab/>
        <w:t xml:space="preserve">Children — Standard </w:t>
      </w:r>
      <w:r w:rsidR="006B26D7">
        <w:t>o</w:t>
      </w:r>
      <w:r w:rsidR="006B26D7" w:rsidRPr="009931B9">
        <w:t>f Care — Negligence (Including Comparative Negligence Cases)</w:t>
      </w:r>
    </w:p>
    <w:p w14:paraId="49D7AE3B" w14:textId="77777777" w:rsidR="009931B9" w:rsidRDefault="003C7EC7" w:rsidP="00914128">
      <w:pPr>
        <w:pStyle w:val="ToC"/>
      </w:pPr>
      <w:hyperlink w:anchor="a9_10" w:history="1">
        <w:r w:rsidR="006B26D7" w:rsidRPr="009931B9">
          <w:rPr>
            <w:rStyle w:val="Hyperlink"/>
          </w:rPr>
          <w:t>9:10</w:t>
        </w:r>
      </w:hyperlink>
      <w:r w:rsidR="006B26D7" w:rsidRPr="009931B9">
        <w:t xml:space="preserve"> </w:t>
      </w:r>
      <w:r w:rsidR="006B26D7" w:rsidRPr="009931B9">
        <w:tab/>
        <w:t xml:space="preserve">Volunteer — Duty </w:t>
      </w:r>
      <w:r w:rsidR="006B26D7">
        <w:t>o</w:t>
      </w:r>
      <w:r w:rsidR="006B26D7" w:rsidRPr="009931B9">
        <w:t>f Care</w:t>
      </w:r>
    </w:p>
    <w:p w14:paraId="7243F847" w14:textId="77777777" w:rsidR="009931B9" w:rsidRDefault="003C7EC7" w:rsidP="00914128">
      <w:pPr>
        <w:pStyle w:val="ToC"/>
      </w:pPr>
      <w:hyperlink w:anchor="a9_11" w:history="1">
        <w:r w:rsidR="006B26D7" w:rsidRPr="009931B9">
          <w:rPr>
            <w:rStyle w:val="Hyperlink"/>
          </w:rPr>
          <w:t>9:11</w:t>
        </w:r>
      </w:hyperlink>
      <w:r w:rsidR="006B26D7" w:rsidRPr="009931B9">
        <w:t xml:space="preserve"> </w:t>
      </w:r>
      <w:r w:rsidR="006B26D7" w:rsidRPr="009931B9">
        <w:tab/>
        <w:t>Sudden Emergency</w:t>
      </w:r>
    </w:p>
    <w:p w14:paraId="3498BCBF" w14:textId="77777777" w:rsidR="009931B9" w:rsidRDefault="003C7EC7" w:rsidP="00914128">
      <w:pPr>
        <w:pStyle w:val="ToC"/>
      </w:pPr>
      <w:hyperlink w:anchor="a9_12" w:history="1">
        <w:r w:rsidR="006B26D7" w:rsidRPr="009931B9">
          <w:rPr>
            <w:rStyle w:val="Hyperlink"/>
          </w:rPr>
          <w:t>9:12</w:t>
        </w:r>
      </w:hyperlink>
      <w:r w:rsidR="006B26D7" w:rsidRPr="009931B9">
        <w:t xml:space="preserve"> </w:t>
      </w:r>
      <w:r w:rsidR="006B26D7" w:rsidRPr="009931B9">
        <w:tab/>
        <w:t xml:space="preserve">Happening </w:t>
      </w:r>
      <w:r w:rsidR="006B26D7">
        <w:t>o</w:t>
      </w:r>
      <w:r w:rsidR="006B26D7" w:rsidRPr="009931B9">
        <w:t>f Accident Not Presumptive Negligence</w:t>
      </w:r>
    </w:p>
    <w:p w14:paraId="628DB617" w14:textId="77777777" w:rsidR="009931B9" w:rsidRDefault="003C7EC7" w:rsidP="00914128">
      <w:pPr>
        <w:pStyle w:val="ToC"/>
      </w:pPr>
      <w:hyperlink w:anchor="a9_13" w:history="1">
        <w:r w:rsidR="006B26D7" w:rsidRPr="009931B9">
          <w:rPr>
            <w:rStyle w:val="Hyperlink"/>
          </w:rPr>
          <w:t>9:13</w:t>
        </w:r>
      </w:hyperlink>
      <w:r w:rsidR="006B26D7" w:rsidRPr="009931B9">
        <w:t xml:space="preserve"> </w:t>
      </w:r>
      <w:r w:rsidR="006B26D7" w:rsidRPr="009931B9">
        <w:tab/>
        <w:t xml:space="preserve">Looking But Failing </w:t>
      </w:r>
      <w:r w:rsidR="006B26D7">
        <w:t>t</w:t>
      </w:r>
      <w:r w:rsidR="006B26D7" w:rsidRPr="009931B9">
        <w:t xml:space="preserve">o See </w:t>
      </w:r>
      <w:r w:rsidR="006B26D7">
        <w:t>a</w:t>
      </w:r>
      <w:r w:rsidR="006B26D7" w:rsidRPr="009931B9">
        <w:t>s Negligence</w:t>
      </w:r>
    </w:p>
    <w:p w14:paraId="718F6DDD" w14:textId="77777777" w:rsidR="009931B9" w:rsidRDefault="003C7EC7" w:rsidP="00914128">
      <w:pPr>
        <w:pStyle w:val="ToC"/>
      </w:pPr>
      <w:hyperlink w:anchor="a9_14" w:history="1">
        <w:r w:rsidR="006B26D7" w:rsidRPr="009931B9">
          <w:rPr>
            <w:rStyle w:val="Hyperlink"/>
          </w:rPr>
          <w:t>9:14</w:t>
        </w:r>
      </w:hyperlink>
      <w:r w:rsidR="006B26D7" w:rsidRPr="009931B9">
        <w:t xml:space="preserve"> </w:t>
      </w:r>
      <w:r w:rsidR="006B26D7" w:rsidRPr="009931B9">
        <w:tab/>
        <w:t xml:space="preserve">Negligence Per Se — Violation </w:t>
      </w:r>
      <w:r w:rsidR="006B26D7">
        <w:t>o</w:t>
      </w:r>
      <w:r w:rsidR="006B26D7" w:rsidRPr="009931B9">
        <w:t xml:space="preserve">f Statute </w:t>
      </w:r>
      <w:r w:rsidR="006B26D7">
        <w:t>o</w:t>
      </w:r>
      <w:r w:rsidR="006B26D7" w:rsidRPr="009931B9">
        <w:t>r Ordinance</w:t>
      </w:r>
    </w:p>
    <w:p w14:paraId="2676AB80" w14:textId="77777777" w:rsidR="003E472A" w:rsidRDefault="003C7EC7" w:rsidP="00914128">
      <w:pPr>
        <w:pStyle w:val="ToC"/>
      </w:pPr>
      <w:hyperlink w:anchor="a9_15" w:history="1">
        <w:r w:rsidR="006B26D7" w:rsidRPr="003E472A">
          <w:rPr>
            <w:rStyle w:val="Hyperlink"/>
          </w:rPr>
          <w:t>9:15</w:t>
        </w:r>
      </w:hyperlink>
      <w:r w:rsidR="006B26D7" w:rsidRPr="003E472A">
        <w:t xml:space="preserve"> </w:t>
      </w:r>
      <w:r w:rsidR="006B26D7" w:rsidRPr="003E472A">
        <w:tab/>
        <w:t xml:space="preserve">Conduct </w:t>
      </w:r>
      <w:r w:rsidR="006B26D7">
        <w:t>i</w:t>
      </w:r>
      <w:r w:rsidR="006B26D7" w:rsidRPr="003E472A">
        <w:t xml:space="preserve">n Compliance </w:t>
      </w:r>
      <w:r w:rsidR="006B26D7">
        <w:t>w</w:t>
      </w:r>
      <w:r w:rsidR="006B26D7" w:rsidRPr="003E472A">
        <w:t xml:space="preserve">ith Statute </w:t>
      </w:r>
      <w:r w:rsidR="006B26D7">
        <w:t>or Ordinance a</w:t>
      </w:r>
      <w:r w:rsidR="006B26D7" w:rsidRPr="003E472A">
        <w:t xml:space="preserve">nd Justifiable Violation </w:t>
      </w:r>
      <w:r w:rsidR="006B26D7">
        <w:t>o</w:t>
      </w:r>
      <w:r w:rsidR="006B26D7" w:rsidRPr="003E472A">
        <w:t>f Statute</w:t>
      </w:r>
    </w:p>
    <w:p w14:paraId="319E1CDA" w14:textId="77777777" w:rsidR="003E472A" w:rsidRDefault="003C7EC7" w:rsidP="00914128">
      <w:pPr>
        <w:pStyle w:val="ToC"/>
      </w:pPr>
      <w:hyperlink w:anchor="a9_16" w:history="1">
        <w:r w:rsidR="006B26D7" w:rsidRPr="003E472A">
          <w:rPr>
            <w:rStyle w:val="Hyperlink"/>
          </w:rPr>
          <w:t>9:16</w:t>
        </w:r>
      </w:hyperlink>
      <w:r w:rsidR="006B26D7" w:rsidRPr="003E472A">
        <w:t xml:space="preserve"> </w:t>
      </w:r>
      <w:r w:rsidR="006B26D7" w:rsidRPr="003E472A">
        <w:tab/>
        <w:t xml:space="preserve">Unknowing Violation </w:t>
      </w:r>
      <w:r w:rsidR="006B26D7">
        <w:t>o</w:t>
      </w:r>
      <w:r w:rsidR="006B26D7" w:rsidRPr="003E472A">
        <w:t xml:space="preserve">f Statute </w:t>
      </w:r>
      <w:r w:rsidR="006B26D7">
        <w:t>o</w:t>
      </w:r>
      <w:r w:rsidR="006B26D7" w:rsidRPr="003E472A">
        <w:t>r Ordinance</w:t>
      </w:r>
    </w:p>
    <w:p w14:paraId="19C59863" w14:textId="77777777" w:rsidR="003E472A" w:rsidRDefault="003C7EC7" w:rsidP="00914128">
      <w:pPr>
        <w:pStyle w:val="ToC"/>
      </w:pPr>
      <w:hyperlink w:anchor="a9_17" w:history="1">
        <w:r w:rsidR="006B26D7" w:rsidRPr="003E472A">
          <w:rPr>
            <w:rStyle w:val="Hyperlink"/>
          </w:rPr>
          <w:t>9:17</w:t>
        </w:r>
      </w:hyperlink>
      <w:r w:rsidR="006B26D7" w:rsidRPr="003E472A">
        <w:t xml:space="preserve"> </w:t>
      </w:r>
      <w:r w:rsidR="006B26D7" w:rsidRPr="003E472A">
        <w:tab/>
        <w:t xml:space="preserve">Res Ipsa Loquitur — Permissible Inference Arising </w:t>
      </w:r>
      <w:r w:rsidR="006B26D7">
        <w:t>f</w:t>
      </w:r>
      <w:r w:rsidR="006B26D7" w:rsidRPr="003E472A">
        <w:t xml:space="preserve">rom Rebuttable Presumption </w:t>
      </w:r>
      <w:r w:rsidR="006B26D7">
        <w:t>o</w:t>
      </w:r>
      <w:r w:rsidR="006B26D7" w:rsidRPr="003E472A">
        <w:t>f Negligence</w:t>
      </w:r>
    </w:p>
    <w:p w14:paraId="4C73C27D" w14:textId="77777777" w:rsidR="003E472A" w:rsidRDefault="003E472A" w:rsidP="003E472A">
      <w:pPr>
        <w:pStyle w:val="ToC"/>
      </w:pPr>
    </w:p>
    <w:p w14:paraId="0FF91BEA" w14:textId="77777777" w:rsidR="003E472A" w:rsidRPr="009B6746" w:rsidRDefault="003E472A" w:rsidP="00F658E5">
      <w:pPr>
        <w:pStyle w:val="Heading1"/>
        <w:keepNext/>
        <w:jc w:val="left"/>
        <w:rPr>
          <w:b w:val="0"/>
        </w:rPr>
      </w:pPr>
      <w:r w:rsidRPr="00973884">
        <w:rPr>
          <w:b w:val="0"/>
        </w:rPr>
        <w:t xml:space="preserve">B. </w:t>
      </w:r>
      <w:r w:rsidRPr="003E472A">
        <w:rPr>
          <w:b w:val="0"/>
        </w:rPr>
        <w:t>CAUSATION</w:t>
      </w:r>
    </w:p>
    <w:p w14:paraId="62B0A610" w14:textId="77777777" w:rsidR="003E472A" w:rsidRDefault="003C7EC7" w:rsidP="003E472A">
      <w:pPr>
        <w:pStyle w:val="ToC"/>
      </w:pPr>
      <w:hyperlink w:anchor="SpecialNoteB" w:history="1">
        <w:r w:rsidR="003E472A" w:rsidRPr="008A475A">
          <w:rPr>
            <w:rStyle w:val="Hyperlink"/>
          </w:rPr>
          <w:t>Special Note</w:t>
        </w:r>
      </w:hyperlink>
    </w:p>
    <w:p w14:paraId="2DDFADA6" w14:textId="77777777" w:rsidR="003E472A" w:rsidRDefault="003C7EC7" w:rsidP="003E472A">
      <w:pPr>
        <w:pStyle w:val="ToC"/>
      </w:pPr>
      <w:hyperlink w:anchor="a9_18" w:history="1">
        <w:r w:rsidR="006B26D7" w:rsidRPr="003E472A">
          <w:rPr>
            <w:rStyle w:val="Hyperlink"/>
          </w:rPr>
          <w:t>9:18</w:t>
        </w:r>
      </w:hyperlink>
      <w:r w:rsidR="006B26D7" w:rsidRPr="003E472A">
        <w:t xml:space="preserve"> </w:t>
      </w:r>
      <w:r w:rsidR="006B26D7" w:rsidRPr="003E472A">
        <w:tab/>
        <w:t>Cause When Only One Cause Is Alleged — Defined</w:t>
      </w:r>
    </w:p>
    <w:p w14:paraId="79157A1D" w14:textId="77777777" w:rsidR="003E472A" w:rsidRDefault="003C7EC7" w:rsidP="003E472A">
      <w:pPr>
        <w:pStyle w:val="ToC"/>
      </w:pPr>
      <w:hyperlink w:anchor="a9_19" w:history="1">
        <w:r w:rsidR="006B26D7" w:rsidRPr="003E472A">
          <w:rPr>
            <w:rStyle w:val="Hyperlink"/>
          </w:rPr>
          <w:t>9:19</w:t>
        </w:r>
      </w:hyperlink>
      <w:r w:rsidR="006B26D7" w:rsidRPr="003E472A">
        <w:t xml:space="preserve"> </w:t>
      </w:r>
      <w:r w:rsidR="006B26D7" w:rsidRPr="003E472A">
        <w:tab/>
        <w:t>Concurrent Causes (Excluding Designated Nonparty Fault Cases)</w:t>
      </w:r>
    </w:p>
    <w:p w14:paraId="47FAAF4F" w14:textId="77777777" w:rsidR="003E472A" w:rsidRDefault="003C7EC7" w:rsidP="003E472A">
      <w:pPr>
        <w:pStyle w:val="ToC"/>
      </w:pPr>
      <w:hyperlink w:anchor="a9_20" w:history="1">
        <w:r w:rsidR="006B26D7" w:rsidRPr="003E472A">
          <w:rPr>
            <w:rStyle w:val="Hyperlink"/>
          </w:rPr>
          <w:t>9:20</w:t>
        </w:r>
      </w:hyperlink>
      <w:r w:rsidR="006B26D7" w:rsidRPr="003E472A">
        <w:t xml:space="preserve"> </w:t>
      </w:r>
      <w:r w:rsidR="006B26D7" w:rsidRPr="003E472A">
        <w:tab/>
        <w:t>Cause — Concurrent Causes — Intervening Causes</w:t>
      </w:r>
    </w:p>
    <w:p w14:paraId="77243E71" w14:textId="77777777" w:rsidR="003E472A" w:rsidRDefault="003C7EC7" w:rsidP="003E472A">
      <w:pPr>
        <w:pStyle w:val="ToC"/>
      </w:pPr>
      <w:hyperlink w:anchor="a9_21" w:history="1">
        <w:r w:rsidR="006B26D7" w:rsidRPr="003E472A">
          <w:rPr>
            <w:rStyle w:val="Hyperlink"/>
          </w:rPr>
          <w:t>9:21</w:t>
        </w:r>
      </w:hyperlink>
      <w:r w:rsidR="006B26D7" w:rsidRPr="003E472A">
        <w:t xml:space="preserve"> </w:t>
      </w:r>
      <w:r w:rsidR="006B26D7" w:rsidRPr="003E472A">
        <w:tab/>
        <w:t>Cause — Foreseeability Limitation</w:t>
      </w:r>
    </w:p>
    <w:p w14:paraId="447C5F99" w14:textId="77777777" w:rsidR="00273777" w:rsidRDefault="00273777" w:rsidP="00914128">
      <w:pPr>
        <w:pStyle w:val="ToC"/>
      </w:pPr>
    </w:p>
    <w:p w14:paraId="726C55CF" w14:textId="77777777" w:rsidR="0068336D" w:rsidRPr="009B6746" w:rsidRDefault="008A475A" w:rsidP="00F658E5">
      <w:pPr>
        <w:pStyle w:val="Heading1"/>
        <w:keepNext/>
        <w:jc w:val="left"/>
        <w:rPr>
          <w:b w:val="0"/>
        </w:rPr>
      </w:pPr>
      <w:r>
        <w:rPr>
          <w:b w:val="0"/>
        </w:rPr>
        <w:lastRenderedPageBreak/>
        <w:t>C</w:t>
      </w:r>
      <w:r w:rsidR="00973884" w:rsidRPr="00973884">
        <w:rPr>
          <w:b w:val="0"/>
        </w:rPr>
        <w:t xml:space="preserve">. </w:t>
      </w:r>
      <w:r w:rsidR="003E472A" w:rsidRPr="003E472A">
        <w:rPr>
          <w:b w:val="0"/>
        </w:rPr>
        <w:t>COMPARATIVE NEGLIGENCE AND COMPARATIVE FAULT</w:t>
      </w:r>
    </w:p>
    <w:p w14:paraId="4124CF40" w14:textId="77777777" w:rsidR="003E472A" w:rsidRDefault="003C7EC7" w:rsidP="0068336D">
      <w:pPr>
        <w:pStyle w:val="ToC"/>
      </w:pPr>
      <w:hyperlink w:anchor="SpecialNoteC" w:history="1">
        <w:r w:rsidR="003E472A" w:rsidRPr="008A475A">
          <w:rPr>
            <w:rStyle w:val="Hyperlink"/>
          </w:rPr>
          <w:t>Special Note</w:t>
        </w:r>
      </w:hyperlink>
    </w:p>
    <w:p w14:paraId="3C2F9734" w14:textId="77777777" w:rsidR="003E472A" w:rsidRDefault="003C7EC7" w:rsidP="0068336D">
      <w:pPr>
        <w:pStyle w:val="ToC"/>
      </w:pPr>
      <w:hyperlink w:anchor="a9_22" w:history="1">
        <w:r w:rsidR="00F658E5" w:rsidRPr="003E472A">
          <w:rPr>
            <w:rStyle w:val="Hyperlink"/>
          </w:rPr>
          <w:t>9:22</w:t>
        </w:r>
      </w:hyperlink>
      <w:r w:rsidR="00F658E5" w:rsidRPr="003E472A">
        <w:t xml:space="preserve"> </w:t>
      </w:r>
      <w:r w:rsidR="00F658E5" w:rsidRPr="003E472A">
        <w:tab/>
        <w:t xml:space="preserve">Elements </w:t>
      </w:r>
      <w:r w:rsidR="00F658E5">
        <w:t>o</w:t>
      </w:r>
      <w:r w:rsidR="00F658E5" w:rsidRPr="003E472A">
        <w:t>f Liability — Comparative Negligence</w:t>
      </w:r>
    </w:p>
    <w:p w14:paraId="08C86E46" w14:textId="77777777" w:rsidR="003E472A" w:rsidRDefault="003C7EC7" w:rsidP="0068336D">
      <w:pPr>
        <w:pStyle w:val="ToC"/>
      </w:pPr>
      <w:hyperlink w:anchor="a9_23" w:history="1">
        <w:r w:rsidR="00F658E5" w:rsidRPr="003E472A">
          <w:rPr>
            <w:rStyle w:val="Hyperlink"/>
          </w:rPr>
          <w:t>9:23</w:t>
        </w:r>
      </w:hyperlink>
      <w:r w:rsidR="00F658E5" w:rsidRPr="003E472A">
        <w:t xml:space="preserve"> </w:t>
      </w:r>
      <w:r w:rsidR="00F658E5" w:rsidRPr="003E472A">
        <w:tab/>
        <w:t xml:space="preserve">Affirmative Defense — Comparative Negligence </w:t>
      </w:r>
      <w:r w:rsidR="00F658E5">
        <w:t>o</w:t>
      </w:r>
      <w:r w:rsidR="00F658E5" w:rsidRPr="003E472A">
        <w:t xml:space="preserve">f </w:t>
      </w:r>
      <w:r w:rsidR="00F658E5">
        <w:t>t</w:t>
      </w:r>
      <w:r w:rsidR="00F658E5" w:rsidRPr="003E472A">
        <w:t>he Plaintiff</w:t>
      </w:r>
    </w:p>
    <w:p w14:paraId="0C3B38BE" w14:textId="77777777" w:rsidR="003E472A" w:rsidRDefault="003C7EC7" w:rsidP="0068336D">
      <w:pPr>
        <w:pStyle w:val="ToC"/>
      </w:pPr>
      <w:hyperlink w:anchor="a9_24" w:history="1">
        <w:r w:rsidR="00F658E5" w:rsidRPr="003E472A">
          <w:rPr>
            <w:rStyle w:val="Hyperlink"/>
          </w:rPr>
          <w:t>9:24</w:t>
        </w:r>
      </w:hyperlink>
      <w:r w:rsidR="00F658E5" w:rsidRPr="003E472A">
        <w:t xml:space="preserve"> </w:t>
      </w:r>
      <w:r w:rsidR="00F658E5" w:rsidRPr="003E472A">
        <w:tab/>
        <w:t xml:space="preserve">Affirmative Defense — Negligence </w:t>
      </w:r>
      <w:r w:rsidR="00F658E5">
        <w:t>o</w:t>
      </w:r>
      <w:r w:rsidR="00F658E5" w:rsidRPr="003E472A">
        <w:t xml:space="preserve">r Fault </w:t>
      </w:r>
      <w:r w:rsidR="00F658E5">
        <w:t>o</w:t>
      </w:r>
      <w:r w:rsidR="00F658E5" w:rsidRPr="003E472A">
        <w:t>f Designated Nonparty</w:t>
      </w:r>
    </w:p>
    <w:p w14:paraId="56FC852C" w14:textId="77777777" w:rsidR="003E472A" w:rsidRDefault="003C7EC7" w:rsidP="0068336D">
      <w:pPr>
        <w:pStyle w:val="ToC"/>
      </w:pPr>
      <w:hyperlink w:anchor="a9_25" w:history="1">
        <w:r w:rsidR="00F658E5" w:rsidRPr="003E472A">
          <w:rPr>
            <w:rStyle w:val="Hyperlink"/>
          </w:rPr>
          <w:t>9:25</w:t>
        </w:r>
      </w:hyperlink>
      <w:r w:rsidR="00F658E5" w:rsidRPr="003E472A">
        <w:t xml:space="preserve"> </w:t>
      </w:r>
      <w:r w:rsidR="00F658E5" w:rsidRPr="003E472A">
        <w:tab/>
        <w:t xml:space="preserve">Negligence </w:t>
      </w:r>
      <w:r w:rsidR="00F658E5">
        <w:t>o</w:t>
      </w:r>
      <w:r w:rsidR="00F658E5" w:rsidRPr="003E472A">
        <w:t xml:space="preserve">f Parents Not Imputable </w:t>
      </w:r>
      <w:r w:rsidR="00F658E5">
        <w:t>t</w:t>
      </w:r>
      <w:r w:rsidR="00F658E5" w:rsidRPr="003E472A">
        <w:t>o Children</w:t>
      </w:r>
    </w:p>
    <w:p w14:paraId="308DD302" w14:textId="77777777" w:rsidR="003E472A" w:rsidRDefault="003C7EC7" w:rsidP="0068336D">
      <w:pPr>
        <w:pStyle w:val="ToC"/>
      </w:pPr>
      <w:hyperlink w:anchor="a9_26" w:history="1">
        <w:r w:rsidR="00F658E5" w:rsidRPr="003E472A">
          <w:rPr>
            <w:rStyle w:val="Hyperlink"/>
          </w:rPr>
          <w:t>9:26</w:t>
        </w:r>
      </w:hyperlink>
      <w:r w:rsidR="00F658E5" w:rsidRPr="003E472A">
        <w:t xml:space="preserve"> </w:t>
      </w:r>
      <w:r w:rsidR="00F658E5" w:rsidRPr="003E472A">
        <w:tab/>
        <w:t xml:space="preserve">Comparative Negligence </w:t>
      </w:r>
      <w:r w:rsidR="00F658E5">
        <w:t>o</w:t>
      </w:r>
      <w:r w:rsidR="00F658E5" w:rsidRPr="003E472A">
        <w:t>f Plaintiff — Single Defendant — No Designated Nonparty Involved</w:t>
      </w:r>
    </w:p>
    <w:p w14:paraId="4BE4CE64" w14:textId="77777777" w:rsidR="003E472A" w:rsidRDefault="003C7EC7" w:rsidP="0068336D">
      <w:pPr>
        <w:pStyle w:val="ToC"/>
      </w:pPr>
      <w:hyperlink w:anchor="a9_26A" w:history="1">
        <w:r w:rsidR="00F658E5" w:rsidRPr="00B80FD1">
          <w:rPr>
            <w:rStyle w:val="Hyperlink"/>
          </w:rPr>
          <w:t>9:26</w:t>
        </w:r>
        <w:r w:rsidR="00F658E5">
          <w:rPr>
            <w:rStyle w:val="Hyperlink"/>
          </w:rPr>
          <w:t>A</w:t>
        </w:r>
      </w:hyperlink>
      <w:r w:rsidR="00F658E5" w:rsidRPr="003E472A">
        <w:tab/>
        <w:t>Special</w:t>
      </w:r>
      <w:r w:rsidR="00F658E5">
        <w:t xml:space="preserve"> Verdict Questions — Mechanics f</w:t>
      </w:r>
      <w:r w:rsidR="00F658E5" w:rsidRPr="003E472A">
        <w:t xml:space="preserve">or Submitting — Comparative Negligence </w:t>
      </w:r>
      <w:r w:rsidR="00F658E5">
        <w:t>o</w:t>
      </w:r>
      <w:r w:rsidR="00F658E5" w:rsidRPr="003E472A">
        <w:t xml:space="preserve">f </w:t>
      </w:r>
      <w:r w:rsidR="00F658E5">
        <w:t>t</w:t>
      </w:r>
      <w:r w:rsidR="00F658E5" w:rsidRPr="003E472A">
        <w:t>he Plaintiff — Single Defendant — No Designated Nonparty</w:t>
      </w:r>
    </w:p>
    <w:p w14:paraId="23CEA3ED" w14:textId="77777777" w:rsidR="00B80FD1" w:rsidRDefault="003C7EC7" w:rsidP="0068336D">
      <w:pPr>
        <w:pStyle w:val="ToC"/>
      </w:pPr>
      <w:hyperlink w:anchor="a9_26B" w:history="1">
        <w:r w:rsidR="00F658E5" w:rsidRPr="00B80FD1">
          <w:rPr>
            <w:rStyle w:val="Hyperlink"/>
          </w:rPr>
          <w:t>9:26</w:t>
        </w:r>
        <w:r w:rsidR="00F658E5">
          <w:rPr>
            <w:rStyle w:val="Hyperlink"/>
          </w:rPr>
          <w:t>B</w:t>
        </w:r>
      </w:hyperlink>
      <w:r w:rsidR="00F658E5" w:rsidRPr="00B80FD1">
        <w:tab/>
        <w:t xml:space="preserve">Special Verdict </w:t>
      </w:r>
      <w:r w:rsidR="00F658E5">
        <w:t>Forms — Comparative Negligence of t</w:t>
      </w:r>
      <w:r w:rsidR="00F658E5" w:rsidRPr="00B80FD1">
        <w:t xml:space="preserve">he Plaintiff — No Counterclaim — Single Defendant — No Designated Nonparty — Forms A </w:t>
      </w:r>
      <w:r w:rsidR="00F658E5">
        <w:t>a</w:t>
      </w:r>
      <w:r w:rsidR="00F658E5" w:rsidRPr="00B80FD1">
        <w:t>nd B</w:t>
      </w:r>
    </w:p>
    <w:p w14:paraId="49738D85" w14:textId="77777777" w:rsidR="00B80FD1" w:rsidRDefault="003C7EC7" w:rsidP="0068336D">
      <w:pPr>
        <w:pStyle w:val="ToC"/>
      </w:pPr>
      <w:hyperlink w:anchor="a9_26C" w:history="1">
        <w:r w:rsidR="00F658E5" w:rsidRPr="00B80FD1">
          <w:rPr>
            <w:rStyle w:val="Hyperlink"/>
          </w:rPr>
          <w:t>9:26</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No Counterclaim — Single Defendant — No Designated Nonparty (Alternative </w:t>
      </w:r>
      <w:r w:rsidR="00F658E5">
        <w:t>t</w:t>
      </w:r>
      <w:r w:rsidR="00F658E5" w:rsidRPr="00B80FD1">
        <w:t>o Instruction 9:26</w:t>
      </w:r>
      <w:r w:rsidR="00F658E5">
        <w:t>A</w:t>
      </w:r>
      <w:r w:rsidR="00F658E5" w:rsidRPr="00B80FD1">
        <w:t>)</w:t>
      </w:r>
    </w:p>
    <w:p w14:paraId="7108F9A9" w14:textId="77777777" w:rsidR="00B80FD1" w:rsidRDefault="003C7EC7" w:rsidP="0068336D">
      <w:pPr>
        <w:pStyle w:val="ToC"/>
      </w:pPr>
      <w:hyperlink w:anchor="a9_26D" w:history="1">
        <w:r w:rsidR="00F658E5" w:rsidRPr="00B80FD1">
          <w:rPr>
            <w:rStyle w:val="Hyperlink"/>
          </w:rPr>
          <w:t>9:26</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No Counterclaim — Single Defendant — No Designated Nonparty — Forms A </w:t>
      </w:r>
      <w:r w:rsidR="00F658E5">
        <w:t>a</w:t>
      </w:r>
      <w:r w:rsidR="00F658E5" w:rsidRPr="00B80FD1">
        <w:t xml:space="preserve">nd B (Alternative </w:t>
      </w:r>
      <w:r w:rsidR="00F658E5">
        <w:t>t</w:t>
      </w:r>
      <w:r w:rsidR="00F658E5" w:rsidRPr="00B80FD1">
        <w:t>o Instruction 9:26</w:t>
      </w:r>
      <w:r w:rsidR="00F658E5">
        <w:t>B</w:t>
      </w:r>
      <w:r w:rsidR="00F658E5" w:rsidRPr="00B80FD1">
        <w:t>)</w:t>
      </w:r>
    </w:p>
    <w:p w14:paraId="005EBA24" w14:textId="77777777" w:rsidR="00B80FD1" w:rsidRDefault="003C7EC7" w:rsidP="0068336D">
      <w:pPr>
        <w:pStyle w:val="ToC"/>
      </w:pPr>
      <w:hyperlink w:anchor="a9_27" w:history="1">
        <w:r w:rsidR="00F658E5" w:rsidRPr="00B80FD1">
          <w:rPr>
            <w:rStyle w:val="Hyperlink"/>
          </w:rPr>
          <w:t>9:27</w:t>
        </w:r>
      </w:hyperlink>
      <w:r w:rsidR="00F658E5" w:rsidRPr="00B80FD1">
        <w:t xml:space="preserve"> </w:t>
      </w:r>
      <w:r w:rsidR="00F658E5" w:rsidRPr="00B80FD1">
        <w:tab/>
        <w:t xml:space="preserve">Comparative Negligence </w:t>
      </w:r>
      <w:r w:rsidR="00F658E5">
        <w:t>o</w:t>
      </w:r>
      <w:r w:rsidR="00F658E5" w:rsidRPr="00B80FD1">
        <w:t xml:space="preserve">f </w:t>
      </w:r>
      <w:r w:rsidR="00F658E5">
        <w:t>t</w:t>
      </w:r>
      <w:r w:rsidR="00F658E5" w:rsidRPr="00B80FD1">
        <w:t>he Plaintiff — Multiple Defendants — No Designated Nonparty Involved</w:t>
      </w:r>
    </w:p>
    <w:p w14:paraId="4D17A05D" w14:textId="77777777" w:rsidR="00B80FD1" w:rsidRDefault="003C7EC7" w:rsidP="0068336D">
      <w:pPr>
        <w:pStyle w:val="ToC"/>
      </w:pPr>
      <w:hyperlink w:anchor="a9_27A" w:history="1">
        <w:r w:rsidR="00F658E5" w:rsidRPr="00B80FD1">
          <w:rPr>
            <w:rStyle w:val="Hyperlink"/>
          </w:rPr>
          <w:t>9:27</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he Plaintiff — Multiple Defendants — No Designated Nonparty</w:t>
      </w:r>
    </w:p>
    <w:p w14:paraId="1E6FECDA" w14:textId="77777777" w:rsidR="00B80FD1" w:rsidRDefault="003C7EC7" w:rsidP="0068336D">
      <w:pPr>
        <w:pStyle w:val="ToC"/>
      </w:pPr>
      <w:hyperlink w:anchor="a9_27B" w:history="1">
        <w:r w:rsidR="00F658E5" w:rsidRPr="00B80FD1">
          <w:rPr>
            <w:rStyle w:val="Hyperlink"/>
          </w:rPr>
          <w:t>9:27</w:t>
        </w:r>
        <w:r w:rsidR="00F658E5">
          <w:rPr>
            <w:rStyle w:val="Hyperlink"/>
          </w:rPr>
          <w:t>B</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nd B</w:t>
      </w:r>
    </w:p>
    <w:p w14:paraId="46DE199F" w14:textId="77777777" w:rsidR="00B80FD1" w:rsidRDefault="003C7EC7" w:rsidP="0068336D">
      <w:pPr>
        <w:pStyle w:val="ToC"/>
      </w:pPr>
      <w:hyperlink w:anchor="a9_27C" w:history="1">
        <w:r w:rsidR="00F658E5" w:rsidRPr="00B80FD1">
          <w:rPr>
            <w:rStyle w:val="Hyperlink"/>
          </w:rPr>
          <w:t>9:27</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Multiple Defendants — No Designated Nonparty (Alternative </w:t>
      </w:r>
      <w:r w:rsidR="00F658E5">
        <w:t>to Instruction 9:27A</w:t>
      </w:r>
      <w:r w:rsidR="00F658E5" w:rsidRPr="00B80FD1">
        <w:t>)</w:t>
      </w:r>
    </w:p>
    <w:p w14:paraId="5189CBF7" w14:textId="77777777" w:rsidR="00B80FD1" w:rsidRDefault="003C7EC7" w:rsidP="0068336D">
      <w:pPr>
        <w:pStyle w:val="ToC"/>
      </w:pPr>
      <w:hyperlink w:anchor="a9_27D" w:history="1">
        <w:r w:rsidR="00F658E5" w:rsidRPr="00B80FD1">
          <w:rPr>
            <w:rStyle w:val="Hyperlink"/>
          </w:rPr>
          <w:t>9:27</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 xml:space="preserve">nd B (Alternative </w:t>
      </w:r>
      <w:r w:rsidR="00F658E5">
        <w:t>to Instruction 9:27B</w:t>
      </w:r>
      <w:r w:rsidR="00F658E5" w:rsidRPr="00B80FD1">
        <w:t>)</w:t>
      </w:r>
    </w:p>
    <w:p w14:paraId="2E62AF74" w14:textId="77777777" w:rsidR="00B80FD1" w:rsidRDefault="003C7EC7" w:rsidP="0068336D">
      <w:pPr>
        <w:pStyle w:val="ToC"/>
      </w:pPr>
      <w:hyperlink w:anchor="a9_28" w:history="1">
        <w:r w:rsidR="00F658E5" w:rsidRPr="00B80FD1">
          <w:rPr>
            <w:rStyle w:val="Hyperlink"/>
          </w:rPr>
          <w:t>9:28</w:t>
        </w:r>
      </w:hyperlink>
      <w:r w:rsidR="00F658E5" w:rsidRPr="00B80FD1">
        <w:t xml:space="preserve"> </w:t>
      </w:r>
      <w:r w:rsidR="00F658E5" w:rsidRPr="00B80FD1">
        <w:tab/>
        <w:t xml:space="preserve">Comparative Negligence </w:t>
      </w:r>
      <w:r w:rsidR="00F658E5">
        <w:t>o</w:t>
      </w:r>
      <w:r w:rsidR="00F658E5" w:rsidRPr="00B80FD1">
        <w:t xml:space="preserve">f Plaintiff — Single Defendant </w:t>
      </w:r>
      <w:r w:rsidR="00F658E5">
        <w:t>o</w:t>
      </w:r>
      <w:r w:rsidR="00F658E5" w:rsidRPr="00B80FD1">
        <w:t xml:space="preserve">r Multiple Defendants — Designated Nonparty </w:t>
      </w:r>
      <w:r w:rsidR="00F658E5">
        <w:t>o</w:t>
      </w:r>
      <w:r w:rsidR="00F658E5" w:rsidRPr="00B80FD1">
        <w:t>r Nonparties Involved</w:t>
      </w:r>
    </w:p>
    <w:p w14:paraId="1AF1BE20" w14:textId="77777777" w:rsidR="00B80FD1" w:rsidRDefault="003C7EC7" w:rsidP="0068336D">
      <w:pPr>
        <w:pStyle w:val="ToC"/>
      </w:pPr>
      <w:hyperlink w:anchor="a9_28A" w:history="1">
        <w:r w:rsidR="00F658E5" w:rsidRPr="00B80FD1">
          <w:rPr>
            <w:rStyle w:val="Hyperlink"/>
          </w:rPr>
          <w:t>9:28</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r Nonparties Involved</w:t>
      </w:r>
    </w:p>
    <w:p w14:paraId="471781F4" w14:textId="77777777" w:rsidR="00B80FD1" w:rsidRDefault="003C7EC7" w:rsidP="0068336D">
      <w:pPr>
        <w:pStyle w:val="ToC"/>
      </w:pPr>
      <w:hyperlink w:anchor="a9_28B" w:history="1">
        <w:r w:rsidR="00F658E5" w:rsidRPr="00B80FD1">
          <w:rPr>
            <w:rStyle w:val="Hyperlink"/>
          </w:rPr>
          <w:t>9:28</w:t>
        </w:r>
        <w:r w:rsidR="00F658E5">
          <w:rPr>
            <w:rStyle w:val="Hyperlink"/>
          </w:rPr>
          <w:t>B</w:t>
        </w:r>
      </w:hyperlink>
      <w:r w:rsidR="00F658E5" w:rsidRPr="00B80FD1">
        <w:tab/>
        <w:t xml:space="preserve">Special Verdict Forms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 xml:space="preserve">r Nonparties Involved — Forms A </w:t>
      </w:r>
      <w:r w:rsidR="00F658E5">
        <w:t>a</w:t>
      </w:r>
      <w:r w:rsidR="00F658E5" w:rsidRPr="00B80FD1">
        <w:t>nd B</w:t>
      </w:r>
    </w:p>
    <w:p w14:paraId="6BE14D8C" w14:textId="77777777" w:rsidR="00B80FD1" w:rsidRDefault="003C7EC7" w:rsidP="0068336D">
      <w:pPr>
        <w:pStyle w:val="ToC"/>
      </w:pPr>
      <w:hyperlink w:anchor="a9_28C" w:history="1">
        <w:r w:rsidR="00F658E5" w:rsidRPr="00B80FD1">
          <w:rPr>
            <w:rStyle w:val="Hyperlink"/>
          </w:rPr>
          <w:t>9:28</w:t>
        </w:r>
        <w:r w:rsidR="00F658E5">
          <w:rPr>
            <w:rStyle w:val="Hyperlink"/>
          </w:rPr>
          <w:t>C</w:t>
        </w:r>
      </w:hyperlink>
      <w:r w:rsidR="00F658E5" w:rsidRPr="00B80FD1">
        <w:tab/>
        <w:t xml:space="preserve">Special Verdict Questions ― Mechanics </w:t>
      </w:r>
      <w:r w:rsidR="007D39CC">
        <w:t>f</w:t>
      </w:r>
      <w:r w:rsidR="00F658E5" w:rsidRPr="00B80FD1">
        <w:t xml:space="preserve">or Submitting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 No</w:t>
      </w:r>
      <w:r w:rsidR="007D39CC">
        <w:t>nparties Involved (Alternative to Instruction 9:28A</w:t>
      </w:r>
      <w:r w:rsidR="00F658E5" w:rsidRPr="00B80FD1">
        <w:t>)</w:t>
      </w:r>
    </w:p>
    <w:p w14:paraId="3D68E0E1" w14:textId="77777777" w:rsidR="00B80FD1" w:rsidRDefault="003C7EC7" w:rsidP="0068336D">
      <w:pPr>
        <w:pStyle w:val="ToC"/>
      </w:pPr>
      <w:hyperlink w:anchor="a9_28D" w:history="1">
        <w:r w:rsidR="00F658E5" w:rsidRPr="00B80FD1">
          <w:rPr>
            <w:rStyle w:val="Hyperlink"/>
          </w:rPr>
          <w:t>9:28</w:t>
        </w:r>
        <w:r w:rsidR="007D39CC">
          <w:rPr>
            <w:rStyle w:val="Hyperlink"/>
          </w:rPr>
          <w:t>D</w:t>
        </w:r>
      </w:hyperlink>
      <w:r w:rsidR="00F658E5" w:rsidRPr="00B80FD1">
        <w:tab/>
        <w:t xml:space="preserve">Special Verdict Forms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w:t>
      </w:r>
      <w:r w:rsidR="007D39CC">
        <w:t xml:space="preserve"> Nonparties Involved — Forms A a</w:t>
      </w:r>
      <w:r w:rsidR="00F658E5" w:rsidRPr="00B80FD1">
        <w:t xml:space="preserve">nd B (Alternative </w:t>
      </w:r>
      <w:r w:rsidR="007D39CC">
        <w:t>to Instruction 9:28B</w:t>
      </w:r>
      <w:r w:rsidR="00F658E5" w:rsidRPr="00B80FD1">
        <w:t>)</w:t>
      </w:r>
    </w:p>
    <w:p w14:paraId="7B87FCAA" w14:textId="77777777" w:rsidR="00B80FD1" w:rsidRDefault="003C7EC7" w:rsidP="0068336D">
      <w:pPr>
        <w:pStyle w:val="ToC"/>
      </w:pPr>
      <w:hyperlink w:anchor="a9_29" w:history="1">
        <w:r w:rsidR="00F658E5" w:rsidRPr="00B80FD1">
          <w:rPr>
            <w:rStyle w:val="Hyperlink"/>
          </w:rPr>
          <w:t>9:29</w:t>
        </w:r>
      </w:hyperlink>
      <w:r w:rsidR="00F658E5" w:rsidRPr="00B80FD1">
        <w:t xml:space="preserve"> </w:t>
      </w:r>
      <w:r w:rsidR="00F658E5" w:rsidRPr="00B80FD1">
        <w:tab/>
        <w:t xml:space="preserve">Elements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r More Designa</w:t>
      </w:r>
      <w:r w:rsidR="007D39CC">
        <w:t>ted Nonparties — No Negligence o</w:t>
      </w:r>
      <w:r w:rsidR="00F658E5" w:rsidRPr="00B80FD1">
        <w:t xml:space="preserve">r Fault </w:t>
      </w:r>
      <w:r w:rsidR="007D39CC">
        <w:t>o</w:t>
      </w:r>
      <w:r w:rsidR="00F658E5" w:rsidRPr="00B80FD1">
        <w:t>f Plaintiff</w:t>
      </w:r>
    </w:p>
    <w:p w14:paraId="2AF4F94D" w14:textId="77777777" w:rsidR="00B80FD1" w:rsidRDefault="003C7EC7" w:rsidP="0068336D">
      <w:pPr>
        <w:pStyle w:val="ToC"/>
      </w:pPr>
      <w:hyperlink w:anchor="a9_29A" w:history="1">
        <w:r w:rsidR="00F658E5" w:rsidRPr="00B80FD1">
          <w:rPr>
            <w:rStyle w:val="Hyperlink"/>
          </w:rPr>
          <w:t>9:29</w:t>
        </w:r>
        <w:r w:rsidR="007D39CC">
          <w:rPr>
            <w:rStyle w:val="Hyperlink"/>
          </w:rPr>
          <w:t>A</w:t>
        </w:r>
      </w:hyperlink>
      <w:r w:rsidR="00F658E5" w:rsidRPr="00B80FD1">
        <w:tab/>
        <w:t xml:space="preserve">Special Verdict Questions — Mechanics </w:t>
      </w:r>
      <w:r w:rsidR="007D39CC">
        <w:t>f</w:t>
      </w:r>
      <w:r w:rsidR="00F658E5" w:rsidRPr="00B80FD1">
        <w:t xml:space="preserve">or Submitting — Multiple Defendants </w:t>
      </w:r>
      <w:r w:rsidR="007D39CC">
        <w:t>o</w:t>
      </w:r>
      <w:r w:rsidR="00F658E5" w:rsidRPr="00B80FD1">
        <w:t xml:space="preserve">r One </w:t>
      </w:r>
      <w:r w:rsidR="007D39CC">
        <w:t>or More Defendants 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f Plaintiff</w:t>
      </w:r>
    </w:p>
    <w:p w14:paraId="130CB60C" w14:textId="77777777" w:rsidR="00B80FD1" w:rsidRDefault="003C7EC7" w:rsidP="0068336D">
      <w:pPr>
        <w:pStyle w:val="ToC"/>
      </w:pPr>
      <w:hyperlink w:anchor="a9_29B" w:history="1">
        <w:r w:rsidR="00F658E5" w:rsidRPr="00B80FD1">
          <w:rPr>
            <w:rStyle w:val="Hyperlink"/>
          </w:rPr>
          <w:t>9:29</w:t>
        </w:r>
        <w:r w:rsidR="007D39CC">
          <w:rPr>
            <w:rStyle w:val="Hyperlink"/>
          </w:rPr>
          <w:t>B</w:t>
        </w:r>
      </w:hyperlink>
      <w:r w:rsidR="00F658E5" w:rsidRPr="00B80FD1">
        <w:tab/>
        <w:t xml:space="preserve">Special Verdict Forms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 xml:space="preserve">f Plaintiff — Forms A </w:t>
      </w:r>
      <w:r w:rsidR="007D39CC">
        <w:t>a</w:t>
      </w:r>
      <w:r w:rsidR="00F658E5" w:rsidRPr="00B80FD1">
        <w:t>nd B</w:t>
      </w:r>
    </w:p>
    <w:p w14:paraId="69B0B13D" w14:textId="77777777" w:rsidR="008A475A" w:rsidRDefault="008A475A" w:rsidP="008A475A">
      <w:pPr>
        <w:pStyle w:val="ToC"/>
      </w:pPr>
    </w:p>
    <w:p w14:paraId="3A8C6AEB" w14:textId="77777777" w:rsidR="008A475A" w:rsidRPr="009B6746" w:rsidRDefault="008A475A" w:rsidP="00F658E5">
      <w:pPr>
        <w:pStyle w:val="Heading1"/>
        <w:keepNext/>
        <w:jc w:val="left"/>
        <w:rPr>
          <w:b w:val="0"/>
        </w:rPr>
      </w:pPr>
      <w:r>
        <w:rPr>
          <w:b w:val="0"/>
        </w:rPr>
        <w:t>D</w:t>
      </w:r>
      <w:r w:rsidRPr="00973884">
        <w:rPr>
          <w:b w:val="0"/>
        </w:rPr>
        <w:t xml:space="preserve">. </w:t>
      </w:r>
      <w:r w:rsidRPr="008A475A">
        <w:rPr>
          <w:b w:val="0"/>
        </w:rPr>
        <w:t>WILLFUL AND WANTON NEGLIGENCE</w:t>
      </w:r>
    </w:p>
    <w:p w14:paraId="37EE9994" w14:textId="77777777" w:rsidR="008A475A" w:rsidRDefault="003C7EC7" w:rsidP="008A475A">
      <w:pPr>
        <w:pStyle w:val="ToC"/>
      </w:pPr>
      <w:hyperlink w:anchor="a9_30" w:history="1">
        <w:r w:rsidR="007D39CC" w:rsidRPr="008A475A">
          <w:rPr>
            <w:rStyle w:val="Hyperlink"/>
          </w:rPr>
          <w:t>9:30</w:t>
        </w:r>
      </w:hyperlink>
      <w:r w:rsidR="007D39CC" w:rsidRPr="008A475A">
        <w:t xml:space="preserve"> </w:t>
      </w:r>
      <w:r w:rsidR="007D39CC" w:rsidRPr="008A475A">
        <w:tab/>
        <w:t xml:space="preserve">Willful </w:t>
      </w:r>
      <w:r w:rsidR="007D39CC">
        <w:t>a</w:t>
      </w:r>
      <w:r w:rsidR="007D39CC" w:rsidRPr="008A475A">
        <w:t xml:space="preserve">nd Wanton Conduct </w:t>
      </w:r>
      <w:r w:rsidR="007D39CC">
        <w:t>o</w:t>
      </w:r>
      <w:r w:rsidR="007D39CC" w:rsidRPr="008A475A">
        <w:t xml:space="preserve">r Willful </w:t>
      </w:r>
      <w:r w:rsidR="007D39CC">
        <w:t>a</w:t>
      </w:r>
      <w:r w:rsidR="007D39CC" w:rsidRPr="008A475A">
        <w:t>nd Reckless Disregard — Defined</w:t>
      </w:r>
    </w:p>
    <w:p w14:paraId="5786A54C" w14:textId="77777777" w:rsidR="008A475A" w:rsidRDefault="008A475A" w:rsidP="008A475A">
      <w:pPr>
        <w:pStyle w:val="ToC"/>
      </w:pPr>
    </w:p>
    <w:p w14:paraId="638028FA" w14:textId="77777777" w:rsidR="008A475A" w:rsidRPr="009B6746" w:rsidRDefault="008A475A" w:rsidP="00F658E5">
      <w:pPr>
        <w:pStyle w:val="Heading1"/>
        <w:keepNext/>
        <w:jc w:val="left"/>
        <w:rPr>
          <w:b w:val="0"/>
        </w:rPr>
      </w:pPr>
      <w:r>
        <w:rPr>
          <w:b w:val="0"/>
        </w:rPr>
        <w:t>E</w:t>
      </w:r>
      <w:r w:rsidRPr="00973884">
        <w:rPr>
          <w:b w:val="0"/>
        </w:rPr>
        <w:t xml:space="preserve">. </w:t>
      </w:r>
      <w:r w:rsidRPr="008A475A">
        <w:rPr>
          <w:b w:val="0"/>
        </w:rPr>
        <w:t>SUBJECTS ON WHICH NO SEPARATE INSTRUCTIONS HAVE BEEN PREPARED</w:t>
      </w:r>
    </w:p>
    <w:p w14:paraId="46B0ECE4" w14:textId="77777777" w:rsidR="008A475A" w:rsidRDefault="003C7EC7" w:rsidP="008A475A">
      <w:pPr>
        <w:pStyle w:val="ToC"/>
      </w:pPr>
      <w:hyperlink w:anchor="a9_31" w:history="1">
        <w:r w:rsidR="007D39CC" w:rsidRPr="008A475A">
          <w:rPr>
            <w:rStyle w:val="Hyperlink"/>
          </w:rPr>
          <w:t>9:31</w:t>
        </w:r>
      </w:hyperlink>
      <w:r w:rsidR="007D39CC" w:rsidRPr="008A475A">
        <w:t xml:space="preserve"> </w:t>
      </w:r>
      <w:r w:rsidR="007D39CC" w:rsidRPr="008A475A">
        <w:tab/>
        <w:t>Contributory Negligence, Contribut</w:t>
      </w:r>
      <w:r w:rsidR="007D39CC">
        <w:t>ory Negligence o</w:t>
      </w:r>
      <w:r w:rsidR="007D39CC" w:rsidRPr="008A475A">
        <w:t xml:space="preserve">f (Spouse) (Parent) (Child), </w:t>
      </w:r>
      <w:r w:rsidR="007D39CC">
        <w:t>a</w:t>
      </w:r>
      <w:r w:rsidR="007D39CC" w:rsidRPr="008A475A">
        <w:t xml:space="preserve">nd Assumption </w:t>
      </w:r>
      <w:r w:rsidR="007D39CC">
        <w:t>o</w:t>
      </w:r>
      <w:r w:rsidR="007D39CC" w:rsidRPr="008A475A">
        <w:t>f Risk</w:t>
      </w:r>
    </w:p>
    <w:p w14:paraId="0C7CBA27" w14:textId="77777777" w:rsidR="00B80FD1" w:rsidRDefault="00B80FD1" w:rsidP="00B80FD1">
      <w:pPr>
        <w:pStyle w:val="ToC"/>
      </w:pPr>
    </w:p>
    <w:p w14:paraId="27FE1D0C" w14:textId="77777777" w:rsidR="00B80FD1" w:rsidRPr="009B6746" w:rsidRDefault="008A475A" w:rsidP="00F658E5">
      <w:pPr>
        <w:pStyle w:val="Heading1"/>
        <w:keepNext/>
        <w:jc w:val="left"/>
        <w:rPr>
          <w:b w:val="0"/>
        </w:rPr>
      </w:pPr>
      <w:r>
        <w:rPr>
          <w:b w:val="0"/>
        </w:rPr>
        <w:t>F</w:t>
      </w:r>
      <w:r w:rsidR="00B80FD1" w:rsidRPr="00973884">
        <w:rPr>
          <w:b w:val="0"/>
        </w:rPr>
        <w:t xml:space="preserve">. </w:t>
      </w:r>
      <w:r w:rsidRPr="008A475A">
        <w:rPr>
          <w:b w:val="0"/>
        </w:rPr>
        <w:t>SUBJECTS ON WHICH NO SEPARATE INSTRUCTIONS SHOULD BE GIVEN</w:t>
      </w:r>
    </w:p>
    <w:p w14:paraId="5AAD15A6" w14:textId="77777777" w:rsidR="00B80FD1" w:rsidRDefault="003C7EC7" w:rsidP="00B80FD1">
      <w:pPr>
        <w:pStyle w:val="ToC"/>
      </w:pPr>
      <w:hyperlink w:anchor="a9_32" w:history="1">
        <w:r w:rsidR="007D39CC" w:rsidRPr="008A475A">
          <w:rPr>
            <w:rStyle w:val="Hyperlink"/>
          </w:rPr>
          <w:t>9:32</w:t>
        </w:r>
      </w:hyperlink>
      <w:r w:rsidR="007D39CC" w:rsidRPr="008A475A">
        <w:t xml:space="preserve"> </w:t>
      </w:r>
      <w:r w:rsidR="007D39CC" w:rsidRPr="008A475A">
        <w:tab/>
        <w:t xml:space="preserve">Rescue Doctrine, Unavoidable Accident, </w:t>
      </w:r>
      <w:r w:rsidR="007D39CC">
        <w:t>a</w:t>
      </w:r>
      <w:r w:rsidR="007D39CC" w:rsidRPr="008A475A">
        <w:t>nd Last Clear Chance</w:t>
      </w:r>
    </w:p>
    <w:p w14:paraId="3D24554D" w14:textId="77777777" w:rsidR="00B80FD1" w:rsidRDefault="00B80FD1" w:rsidP="0068336D">
      <w:pPr>
        <w:pStyle w:val="ToC"/>
      </w:pPr>
    </w:p>
    <w:p w14:paraId="35E93634" w14:textId="77777777" w:rsidR="00352111" w:rsidRPr="00352111" w:rsidRDefault="00352111">
      <w:pPr>
        <w:rPr>
          <w:rFonts w:eastAsia="Times New Roman"/>
          <w:sz w:val="24"/>
          <w:szCs w:val="24"/>
        </w:rPr>
      </w:pPr>
      <w:r w:rsidRPr="00352111">
        <w:rPr>
          <w:rFonts w:eastAsia="Times New Roman"/>
          <w:sz w:val="24"/>
          <w:szCs w:val="24"/>
        </w:rPr>
        <w:br w:type="page"/>
      </w:r>
    </w:p>
    <w:p w14:paraId="4ED12A74" w14:textId="77777777" w:rsidR="00E87FFB" w:rsidRPr="0054263B" w:rsidRDefault="00E87FFB" w:rsidP="00E87FFB">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49567B82" w14:textId="77777777" w:rsidR="00E87FFB" w:rsidRPr="00E87FFB" w:rsidRDefault="00E87FFB" w:rsidP="00126B7A">
      <w:pPr>
        <w:keepNext/>
        <w:rPr>
          <w:rFonts w:eastAsia="Times New Roman"/>
          <w:b/>
          <w:sz w:val="24"/>
          <w:szCs w:val="24"/>
          <w:u w:val="single"/>
        </w:rPr>
      </w:pPr>
      <w:r w:rsidRPr="00E87FFB">
        <w:rPr>
          <w:rFonts w:eastAsia="Times New Roman"/>
          <w:b/>
          <w:sz w:val="24"/>
          <w:szCs w:val="24"/>
          <w:u w:val="single"/>
        </w:rPr>
        <w:t>Liability</w:t>
      </w:r>
    </w:p>
    <w:p w14:paraId="15CCFC20"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1. To recover on a negligence claim, the plaintiff must establish the existence of a legal duty on the part of the defendant, a breach of that duty, causation, and damages. </w:t>
      </w:r>
      <w:r w:rsidRPr="00E87FFB">
        <w:rPr>
          <w:rFonts w:eastAsia="Times New Roman"/>
          <w:b/>
          <w:sz w:val="24"/>
          <w:szCs w:val="24"/>
        </w:rPr>
        <w:t>United Blood Servs. v. Quintana</w:t>
      </w:r>
      <w:r w:rsidRPr="00E87FFB">
        <w:rPr>
          <w:rFonts w:eastAsia="Times New Roman"/>
          <w:sz w:val="24"/>
          <w:szCs w:val="24"/>
        </w:rPr>
        <w:t xml:space="preserve">, 827 P.2d 509 (Colo. 1992); </w:t>
      </w:r>
      <w:r w:rsidRPr="00E87FFB">
        <w:rPr>
          <w:rFonts w:eastAsia="Times New Roman"/>
          <w:b/>
          <w:sz w:val="24"/>
          <w:szCs w:val="24"/>
        </w:rPr>
        <w:t>Observatory Corp. v. Daly</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780 P.2d 462 (Colo. 1989); </w:t>
      </w:r>
      <w:r w:rsidRPr="00E87FFB">
        <w:rPr>
          <w:rFonts w:eastAsia="Times New Roman"/>
          <w:b/>
          <w:sz w:val="24"/>
          <w:szCs w:val="24"/>
        </w:rPr>
        <w:t>Perreira v. State</w:t>
      </w:r>
      <w:r w:rsidRPr="00E87FFB">
        <w:rPr>
          <w:rFonts w:eastAsia="Times New Roman"/>
          <w:sz w:val="24"/>
          <w:szCs w:val="24"/>
        </w:rPr>
        <w:t xml:space="preserve">, 768 P.2d 1198 (Colo. 1989); </w:t>
      </w:r>
      <w:r w:rsidRPr="00E87FFB">
        <w:rPr>
          <w:rFonts w:eastAsia="Times New Roman"/>
          <w:b/>
          <w:sz w:val="24"/>
          <w:szCs w:val="24"/>
        </w:rPr>
        <w:t>Leake v. Cain</w:t>
      </w:r>
      <w:r w:rsidRPr="00E87FFB">
        <w:rPr>
          <w:rFonts w:eastAsia="Times New Roman"/>
          <w:sz w:val="24"/>
          <w:szCs w:val="24"/>
        </w:rPr>
        <w:t xml:space="preserve">, 720 P.2d 152 (Colo. 1986). Generally, a legal duty to use due care arises in response to a foreseeable and unreasonable risk of harm to others. </w:t>
      </w:r>
      <w:r w:rsidRPr="00E87FFB">
        <w:rPr>
          <w:rFonts w:eastAsia="Times New Roman"/>
          <w:b/>
          <w:sz w:val="24"/>
          <w:szCs w:val="24"/>
        </w:rPr>
        <w:t>Quintana</w:t>
      </w:r>
      <w:r w:rsidRPr="00E87FFB">
        <w:rPr>
          <w:rFonts w:eastAsia="Times New Roman"/>
          <w:sz w:val="24"/>
          <w:szCs w:val="24"/>
        </w:rPr>
        <w:t xml:space="preserve">, 827 P.2d at 519; </w:t>
      </w:r>
      <w:r w:rsidRPr="00E87FFB">
        <w:rPr>
          <w:rFonts w:eastAsia="Times New Roman"/>
          <w:b/>
          <w:sz w:val="24"/>
          <w:szCs w:val="24"/>
        </w:rPr>
        <w:t>Lyons v. Nasby</w:t>
      </w:r>
      <w:r w:rsidRPr="00E87FFB">
        <w:rPr>
          <w:rFonts w:eastAsia="Times New Roman"/>
          <w:sz w:val="24"/>
          <w:szCs w:val="24"/>
        </w:rPr>
        <w:t>, 770 P.2d 1250 (Colo. 1989).</w:t>
      </w:r>
    </w:p>
    <w:p w14:paraId="73F11F8E" w14:textId="5552B0F5"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2. In determining whether a person has a duty to act or refrain from acting to avoid injury to others, the nature of the inquiry is essentially whether recognizing a duty would comport with fairness under contemporary standards. </w:t>
      </w:r>
      <w:r w:rsidRPr="00E87FFB">
        <w:rPr>
          <w:rFonts w:eastAsia="Times New Roman"/>
          <w:b/>
          <w:sz w:val="24"/>
          <w:szCs w:val="24"/>
        </w:rPr>
        <w:t>Peterson v. Halsted</w:t>
      </w:r>
      <w:r w:rsidRPr="00E87FFB">
        <w:rPr>
          <w:rFonts w:eastAsia="Times New Roman"/>
          <w:sz w:val="24"/>
          <w:szCs w:val="24"/>
        </w:rPr>
        <w:t xml:space="preserve">, 829 P.2d 373 (Colo. 1992). To decide this, the court must consider several factors, including </w:t>
      </w:r>
      <w:r w:rsidR="00F72DDA">
        <w:rPr>
          <w:rFonts w:eastAsia="Times New Roman"/>
          <w:sz w:val="24"/>
          <w:szCs w:val="24"/>
        </w:rPr>
        <w:t xml:space="preserve">the </w:t>
      </w:r>
      <w:r w:rsidR="00F72DDA" w:rsidRPr="001C1A96">
        <w:rPr>
          <w:rFonts w:eastAsia="Times New Roman"/>
          <w:sz w:val="24"/>
          <w:szCs w:val="24"/>
        </w:rPr>
        <w:t>risk involved, the foreseeability and likelihood of injury as weighed against the social utility of the actor</w:t>
      </w:r>
      <w:r w:rsidR="00F72DDA">
        <w:rPr>
          <w:rFonts w:eastAsia="Times New Roman"/>
          <w:sz w:val="24"/>
          <w:szCs w:val="24"/>
        </w:rPr>
        <w:t>’</w:t>
      </w:r>
      <w:r w:rsidR="00F72DDA" w:rsidRPr="001C1A96">
        <w:rPr>
          <w:rFonts w:eastAsia="Times New Roman"/>
          <w:sz w:val="24"/>
          <w:szCs w:val="24"/>
        </w:rPr>
        <w:t>s conduct, the magnitude of the burden of guarding against injury or harm, and the consequences of placing the burden upon the actor.</w:t>
      </w:r>
      <w:r w:rsidR="00F72DDA">
        <w:rPr>
          <w:rFonts w:eastAsia="Times New Roman"/>
          <w:sz w:val="24"/>
          <w:szCs w:val="24"/>
        </w:rPr>
        <w:t xml:space="preserve"> </w:t>
      </w:r>
      <w:r w:rsidR="00F72DDA" w:rsidRPr="00981EFD">
        <w:rPr>
          <w:rFonts w:eastAsia="Times New Roman"/>
          <w:b/>
          <w:bCs/>
          <w:sz w:val="24"/>
          <w:szCs w:val="24"/>
        </w:rPr>
        <w:t>Casebolt v. Cowan</w:t>
      </w:r>
      <w:r w:rsidR="00F72DDA" w:rsidRPr="001C1A96">
        <w:rPr>
          <w:rFonts w:eastAsia="Times New Roman"/>
          <w:sz w:val="24"/>
          <w:szCs w:val="24"/>
        </w:rPr>
        <w:t>, 829 P.2d 352 (Colo. 1992)</w:t>
      </w:r>
      <w:r w:rsidR="00F72DDA">
        <w:rPr>
          <w:rFonts w:eastAsia="Times New Roman"/>
          <w:sz w:val="24"/>
          <w:szCs w:val="24"/>
        </w:rPr>
        <w:t xml:space="preserve">; </w:t>
      </w:r>
      <w:r w:rsidRPr="00E87FFB">
        <w:rPr>
          <w:rFonts w:eastAsia="Times New Roman"/>
          <w:b/>
          <w:sz w:val="24"/>
          <w:szCs w:val="24"/>
        </w:rPr>
        <w:t>Lyons</w:t>
      </w:r>
      <w:r w:rsidRPr="00E87FFB">
        <w:rPr>
          <w:rFonts w:eastAsia="Times New Roman"/>
          <w:sz w:val="24"/>
          <w:szCs w:val="24"/>
        </w:rPr>
        <w:t xml:space="preserve">, 770 P.2d at 1254. Ultimately, whether a duty exists depends on considerations of policy. </w:t>
      </w:r>
      <w:r w:rsidRPr="00E87FFB">
        <w:rPr>
          <w:rFonts w:eastAsia="Times New Roman"/>
          <w:b/>
          <w:sz w:val="24"/>
          <w:szCs w:val="24"/>
        </w:rPr>
        <w:t>Univ. of Denver v. Whitlock</w:t>
      </w:r>
      <w:r w:rsidRPr="00E87FFB">
        <w:rPr>
          <w:rFonts w:eastAsia="Times New Roman"/>
          <w:sz w:val="24"/>
          <w:szCs w:val="24"/>
        </w:rPr>
        <w:t>, 744 P.2d 54 (Colo. 1987). These policy considerations militate more strongly against the imposition of a duty in cases involving an alleged negligent failure to act, i.e.,</w:t>
      </w:r>
      <w:r w:rsidRPr="00E87FFB">
        <w:rPr>
          <w:rFonts w:eastAsia="Times New Roman"/>
          <w:i/>
          <w:sz w:val="24"/>
          <w:szCs w:val="24"/>
        </w:rPr>
        <w:t xml:space="preserve"> </w:t>
      </w:r>
      <w:r w:rsidRPr="00E87FFB">
        <w:rPr>
          <w:rFonts w:eastAsia="Times New Roman"/>
          <w:sz w:val="24"/>
          <w:szCs w:val="24"/>
        </w:rPr>
        <w:t xml:space="preserve">a failure to take affirmative action to protect others from harm. </w:t>
      </w:r>
      <w:r w:rsidRPr="00E87FFB">
        <w:rPr>
          <w:rFonts w:eastAsia="Times New Roman"/>
          <w:i/>
          <w:sz w:val="24"/>
          <w:szCs w:val="24"/>
        </w:rPr>
        <w:t>Id</w:t>
      </w:r>
      <w:r w:rsidRPr="00E87FFB">
        <w:rPr>
          <w:rFonts w:eastAsia="Times New Roman"/>
          <w:sz w:val="24"/>
          <w:szCs w:val="24"/>
        </w:rPr>
        <w:t xml:space="preserve">. at 57. Generally, in nonfeasance, as opposed to misfeasance cases, a duty is recognized only if there is a “special relationship” between the parties or between the plaintiff and a third-party tortfeasor. </w:t>
      </w:r>
      <w:r w:rsidRPr="00E87FFB">
        <w:rPr>
          <w:rFonts w:eastAsia="Times New Roman"/>
          <w:i/>
          <w:sz w:val="24"/>
          <w:szCs w:val="24"/>
        </w:rPr>
        <w:t>Id</w:t>
      </w:r>
      <w:r w:rsidRPr="00E87FFB">
        <w:rPr>
          <w:rFonts w:eastAsia="Times New Roman"/>
          <w:sz w:val="24"/>
          <w:szCs w:val="24"/>
        </w:rPr>
        <w:t xml:space="preserve">. In nonfeasance cases, a duty has been recognized only in limited circumstances involving special relationships such as: (1) common carrier/passenger; (2) innkeeper/guest; (3) employer/employee; (4) landowner/invited guest; (5) parent/child; and (6) hospital/patient. </w:t>
      </w:r>
      <w:r w:rsidRPr="00E87FFB">
        <w:rPr>
          <w:rFonts w:eastAsia="Times New Roman"/>
          <w:i/>
          <w:sz w:val="24"/>
          <w:szCs w:val="24"/>
        </w:rPr>
        <w:t>See</w:t>
      </w:r>
      <w:r w:rsidRPr="00E87FFB">
        <w:rPr>
          <w:rFonts w:eastAsia="Times New Roman"/>
          <w:sz w:val="24"/>
          <w:szCs w:val="24"/>
        </w:rPr>
        <w:t xml:space="preserve"> </w:t>
      </w:r>
      <w:r w:rsidRPr="00E87FFB">
        <w:rPr>
          <w:rFonts w:eastAsia="Times New Roman"/>
          <w:b/>
          <w:sz w:val="24"/>
          <w:szCs w:val="24"/>
        </w:rPr>
        <w:t>N.M. v. Trujillo</w:t>
      </w:r>
      <w:r w:rsidRPr="00E87FFB">
        <w:rPr>
          <w:rFonts w:eastAsia="Times New Roman"/>
          <w:sz w:val="24"/>
          <w:szCs w:val="24"/>
        </w:rPr>
        <w:t xml:space="preserve">, 2017 CO 79, ¶ 27, 397 P.3d 370; </w:t>
      </w:r>
      <w:r w:rsidR="00F72DDA" w:rsidRPr="00981EFD">
        <w:rPr>
          <w:rFonts w:eastAsia="Times New Roman"/>
          <w:b/>
          <w:bCs/>
          <w:sz w:val="24"/>
          <w:szCs w:val="24"/>
        </w:rPr>
        <w:t>Wagner v. Planned Parenthood Fed</w:t>
      </w:r>
      <w:r w:rsidR="00F72DDA">
        <w:rPr>
          <w:rFonts w:eastAsia="Times New Roman"/>
          <w:b/>
          <w:bCs/>
          <w:sz w:val="24"/>
          <w:szCs w:val="24"/>
        </w:rPr>
        <w:t>’</w:t>
      </w:r>
      <w:r w:rsidR="00F72DDA" w:rsidRPr="00981EFD">
        <w:rPr>
          <w:rFonts w:eastAsia="Times New Roman"/>
          <w:b/>
          <w:bCs/>
          <w:sz w:val="24"/>
          <w:szCs w:val="24"/>
        </w:rPr>
        <w:t>n of Am.</w:t>
      </w:r>
      <w:r w:rsidR="00F72DDA" w:rsidRPr="00F72DDA">
        <w:rPr>
          <w:rFonts w:eastAsia="Times New Roman"/>
          <w:b/>
          <w:sz w:val="24"/>
          <w:szCs w:val="24"/>
        </w:rPr>
        <w:t>, Inc.</w:t>
      </w:r>
      <w:r w:rsidR="00F72DDA" w:rsidRPr="00B80CD0">
        <w:rPr>
          <w:rFonts w:eastAsia="Times New Roman"/>
          <w:sz w:val="24"/>
          <w:szCs w:val="24"/>
        </w:rPr>
        <w:t>, 2019 COA 26, ¶ 10</w:t>
      </w:r>
      <w:r w:rsidR="00381584">
        <w:rPr>
          <w:rFonts w:eastAsia="Times New Roman"/>
          <w:sz w:val="24"/>
          <w:szCs w:val="24"/>
        </w:rPr>
        <w:t xml:space="preserve"> (</w:t>
      </w:r>
      <w:r w:rsidR="00381584">
        <w:rPr>
          <w:rFonts w:eastAsia="Times New Roman"/>
          <w:i/>
          <w:iCs/>
          <w:sz w:val="24"/>
          <w:szCs w:val="24"/>
        </w:rPr>
        <w:t xml:space="preserve">cert. granted </w:t>
      </w:r>
      <w:r w:rsidR="00381584">
        <w:rPr>
          <w:rFonts w:eastAsia="Times New Roman"/>
          <w:iCs/>
          <w:sz w:val="24"/>
          <w:szCs w:val="24"/>
        </w:rPr>
        <w:t>Sept. 9, 2019)</w:t>
      </w:r>
      <w:r w:rsidR="00F72DDA">
        <w:rPr>
          <w:rFonts w:eastAsia="Times New Roman"/>
          <w:sz w:val="24"/>
          <w:szCs w:val="24"/>
        </w:rPr>
        <w:t>;</w:t>
      </w:r>
      <w:r w:rsidR="00F72DDA" w:rsidRPr="00E87FFB">
        <w:rPr>
          <w:rFonts w:eastAsia="Times New Roman"/>
          <w:sz w:val="24"/>
          <w:szCs w:val="24"/>
        </w:rPr>
        <w:t xml:space="preserve"> </w:t>
      </w:r>
      <w:r w:rsidR="00F72DDA" w:rsidRPr="00981EFD">
        <w:rPr>
          <w:rFonts w:eastAsia="Times New Roman"/>
          <w:b/>
          <w:bCs/>
          <w:sz w:val="24"/>
          <w:szCs w:val="24"/>
        </w:rPr>
        <w:t>Garcia v. Colo. Cab Co.</w:t>
      </w:r>
      <w:r w:rsidR="00F72DDA" w:rsidRPr="00C3158E">
        <w:rPr>
          <w:rFonts w:eastAsia="Times New Roman"/>
          <w:sz w:val="24"/>
          <w:szCs w:val="24"/>
        </w:rPr>
        <w:t>, 2019 COA 3, ¶ 10</w:t>
      </w:r>
      <w:r w:rsidR="00F72DDA">
        <w:rPr>
          <w:rFonts w:eastAsia="Times New Roman"/>
          <w:sz w:val="24"/>
          <w:szCs w:val="24"/>
        </w:rPr>
        <w:t xml:space="preserve"> (</w:t>
      </w:r>
      <w:r w:rsidR="00F72DDA">
        <w:rPr>
          <w:rFonts w:eastAsia="Times New Roman"/>
          <w:i/>
          <w:iCs/>
          <w:sz w:val="24"/>
          <w:szCs w:val="24"/>
        </w:rPr>
        <w:t>cert. granted on other grounds</w:t>
      </w:r>
      <w:r w:rsidR="00F72DDA" w:rsidRPr="00184F3E">
        <w:rPr>
          <w:rFonts w:eastAsia="Times New Roman"/>
          <w:iCs/>
          <w:sz w:val="24"/>
          <w:szCs w:val="24"/>
        </w:rPr>
        <w:t xml:space="preserve"> </w:t>
      </w:r>
      <w:r w:rsidR="00F72DDA">
        <w:rPr>
          <w:rFonts w:eastAsia="Times New Roman"/>
          <w:iCs/>
          <w:sz w:val="24"/>
          <w:szCs w:val="24"/>
        </w:rPr>
        <w:t>July 1, 2019)</w:t>
      </w:r>
      <w:r w:rsidR="00F72DDA">
        <w:rPr>
          <w:rFonts w:eastAsia="Times New Roman"/>
          <w:sz w:val="24"/>
          <w:szCs w:val="24"/>
        </w:rPr>
        <w:t>;</w:t>
      </w:r>
      <w:r w:rsidR="00184F3E">
        <w:rPr>
          <w:rFonts w:eastAsia="Times New Roman"/>
          <w:sz w:val="24"/>
          <w:szCs w:val="24"/>
        </w:rPr>
        <w:t xml:space="preserve"> </w:t>
      </w:r>
      <w:r w:rsidRPr="00E87FFB">
        <w:rPr>
          <w:rFonts w:eastAsia="Times New Roman"/>
          <w:b/>
          <w:sz w:val="24"/>
          <w:szCs w:val="24"/>
        </w:rPr>
        <w:t>Groh v. Westin Operator, LLC</w:t>
      </w:r>
      <w:r w:rsidRPr="00E87FFB">
        <w:rPr>
          <w:rFonts w:eastAsia="Times New Roman"/>
          <w:sz w:val="24"/>
          <w:szCs w:val="24"/>
        </w:rPr>
        <w:t xml:space="preserve">, 2013 COA 39, ¶ 28, 352 P.3d 472, </w:t>
      </w:r>
      <w:r w:rsidRPr="00E87FFB">
        <w:rPr>
          <w:rFonts w:eastAsia="Times New Roman"/>
          <w:i/>
          <w:sz w:val="24"/>
          <w:szCs w:val="24"/>
        </w:rPr>
        <w:t>aff’d</w:t>
      </w:r>
      <w:r w:rsidRPr="00E87FFB">
        <w:rPr>
          <w:rFonts w:eastAsia="Times New Roman"/>
          <w:sz w:val="24"/>
          <w:szCs w:val="24"/>
        </w:rPr>
        <w:t xml:space="preserve">, 2015 CO 25, 347 P.3d 606; </w:t>
      </w:r>
      <w:r w:rsidRPr="00E87FFB">
        <w:rPr>
          <w:rFonts w:eastAsia="Times New Roman"/>
          <w:b/>
          <w:sz w:val="24"/>
          <w:szCs w:val="24"/>
        </w:rPr>
        <w:t>English v. Griffith</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99 P.3d 90 (Colo. App. 2004); </w:t>
      </w:r>
      <w:r w:rsidRPr="00E87FFB">
        <w:rPr>
          <w:rFonts w:eastAsia="Times New Roman"/>
          <w:b/>
          <w:sz w:val="24"/>
          <w:szCs w:val="24"/>
        </w:rPr>
        <w:t>Lewis v. Emil Clayton Plumbing Co.</w:t>
      </w:r>
      <w:r w:rsidRPr="00E87FFB">
        <w:rPr>
          <w:rFonts w:eastAsia="Times New Roman"/>
          <w:sz w:val="24"/>
          <w:szCs w:val="24"/>
        </w:rPr>
        <w:t xml:space="preserve">, 25 P.3d 1254 (Colo. App. 2000). For a discussion of the differing policy considerations in misfeasance and nonfeasance cases, see </w:t>
      </w:r>
      <w:r w:rsidRPr="00E87FFB">
        <w:rPr>
          <w:rFonts w:eastAsia="Times New Roman"/>
          <w:b/>
          <w:sz w:val="24"/>
          <w:szCs w:val="24"/>
        </w:rPr>
        <w:t>Smit v. Anderson</w:t>
      </w:r>
      <w:r w:rsidRPr="00E87FFB">
        <w:rPr>
          <w:rFonts w:eastAsia="Times New Roman"/>
          <w:sz w:val="24"/>
          <w:szCs w:val="24"/>
        </w:rPr>
        <w:t xml:space="preserve">, 72 P.3d 369 (Colo. App. 2002). </w:t>
      </w:r>
      <w:r w:rsidRPr="00E87FFB">
        <w:rPr>
          <w:rFonts w:eastAsia="Times New Roman"/>
          <w:i/>
          <w:iCs/>
          <w:sz w:val="24"/>
          <w:szCs w:val="24"/>
        </w:rPr>
        <w:t xml:space="preserve">See also </w:t>
      </w:r>
      <w:r w:rsidRPr="00E87FFB">
        <w:rPr>
          <w:rFonts w:eastAsia="Times New Roman"/>
          <w:b/>
          <w:iCs/>
          <w:sz w:val="24"/>
          <w:szCs w:val="24"/>
        </w:rPr>
        <w:t>Groh</w:t>
      </w:r>
      <w:r w:rsidRPr="00E87FFB">
        <w:rPr>
          <w:rFonts w:eastAsia="Times New Roman"/>
          <w:iCs/>
          <w:sz w:val="24"/>
          <w:szCs w:val="24"/>
        </w:rPr>
        <w:t>, 2013 COA 39, ¶¶ 27-30;</w:t>
      </w:r>
      <w:r w:rsidRPr="00E87FFB">
        <w:rPr>
          <w:rFonts w:eastAsia="Times New Roman"/>
          <w:sz w:val="24"/>
          <w:szCs w:val="24"/>
        </w:rPr>
        <w:t xml:space="preserve"> </w:t>
      </w:r>
      <w:r w:rsidRPr="00E87FFB">
        <w:rPr>
          <w:rFonts w:eastAsia="Times New Roman"/>
          <w:b/>
          <w:sz w:val="24"/>
          <w:szCs w:val="24"/>
        </w:rPr>
        <w:t>In re 2010 Denver Cty. Grand Jury</w:t>
      </w:r>
      <w:r w:rsidRPr="00E87FFB">
        <w:rPr>
          <w:rFonts w:eastAsia="Times New Roman"/>
          <w:sz w:val="24"/>
          <w:szCs w:val="24"/>
        </w:rPr>
        <w:t xml:space="preserve">, 2012 COA 45, ¶¶ 25-31, 296 P.3d 168; </w:t>
      </w:r>
      <w:r w:rsidRPr="00E87FFB">
        <w:rPr>
          <w:rFonts w:eastAsia="Times New Roman"/>
          <w:b/>
          <w:bCs/>
          <w:sz w:val="24"/>
          <w:szCs w:val="24"/>
        </w:rPr>
        <w:t>W. Innovations, Inc. v. Sonitrol Corp.</w:t>
      </w:r>
      <w:r w:rsidRPr="00E87FFB">
        <w:rPr>
          <w:rFonts w:eastAsia="Times New Roman"/>
          <w:sz w:val="24"/>
          <w:szCs w:val="24"/>
        </w:rPr>
        <w:t xml:space="preserve">, 187 P.3d 1155 (Colo. App. 2008); </w:t>
      </w:r>
      <w:r w:rsidRPr="00E87FFB">
        <w:rPr>
          <w:rFonts w:eastAsia="Times New Roman"/>
          <w:b/>
          <w:bCs/>
          <w:sz w:val="24"/>
          <w:szCs w:val="24"/>
        </w:rPr>
        <w:t>Montoya v. Connolly’s Towing, Inc.</w:t>
      </w:r>
      <w:r w:rsidRPr="00E87FFB">
        <w:rPr>
          <w:rFonts w:eastAsia="Times New Roman"/>
          <w:sz w:val="24"/>
          <w:szCs w:val="24"/>
        </w:rPr>
        <w:t>, 216 P.3d 98 (Colo. App. 2008).</w:t>
      </w:r>
    </w:p>
    <w:p w14:paraId="045472D1"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3. To prove that a defendant assumed a duty, the plaintiff must establish that: (1) the defendant undertook to render services that were reasonably calculated to prevent the type of harm that befell the plaintiff; and (2) either the defendant’s undertaking increased the plaintiff’s risk or the plaintiff relied on the defendant to perform those services. </w:t>
      </w:r>
      <w:r w:rsidRPr="00E87FFB">
        <w:rPr>
          <w:rFonts w:eastAsia="Times New Roman"/>
          <w:b/>
          <w:sz w:val="24"/>
          <w:szCs w:val="24"/>
        </w:rPr>
        <w:t>P.W. v. Children’s Hosp. Colo.</w:t>
      </w:r>
      <w:r w:rsidRPr="00E87FFB">
        <w:rPr>
          <w:rFonts w:eastAsia="Times New Roman"/>
          <w:sz w:val="24"/>
          <w:szCs w:val="24"/>
        </w:rPr>
        <w:t xml:space="preserve">, 2016 CO 6, ¶ 21, 364 P.3d 891 (applying the assumed duty doctrine to comparative negligence); </w:t>
      </w:r>
      <w:r w:rsidRPr="00E87FFB">
        <w:rPr>
          <w:rFonts w:eastAsia="Times New Roman"/>
          <w:b/>
          <w:sz w:val="24"/>
          <w:szCs w:val="24"/>
        </w:rPr>
        <w:t>Cooper v. United States Ski Ass’n</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32 P.3d 502 (Colo. App. 2000), </w:t>
      </w:r>
      <w:r w:rsidRPr="00E87FFB">
        <w:rPr>
          <w:rFonts w:eastAsia="Times New Roman"/>
          <w:i/>
          <w:sz w:val="24"/>
          <w:szCs w:val="24"/>
        </w:rPr>
        <w:t>rev’d on other ground</w:t>
      </w:r>
      <w:r w:rsidRPr="00E87FFB">
        <w:rPr>
          <w:rFonts w:eastAsia="Times New Roman"/>
          <w:sz w:val="24"/>
          <w:szCs w:val="24"/>
        </w:rPr>
        <w:t xml:space="preserve">s, 48 P.3d 1229 (Colo. 2002). </w:t>
      </w:r>
      <w:r w:rsidRPr="00E87FFB">
        <w:rPr>
          <w:rFonts w:eastAsia="Times New Roman"/>
          <w:i/>
          <w:sz w:val="24"/>
          <w:szCs w:val="24"/>
        </w:rPr>
        <w:t>See also</w:t>
      </w:r>
      <w:r w:rsidRPr="00E87FFB">
        <w:rPr>
          <w:rFonts w:eastAsia="Times New Roman"/>
          <w:sz w:val="24"/>
          <w:szCs w:val="24"/>
        </w:rPr>
        <w:t xml:space="preserve"> Notes on Use to Instruction 9:10 (volunteer — duty of care).</w:t>
      </w:r>
    </w:p>
    <w:p w14:paraId="36C56284" w14:textId="087AA28E" w:rsidR="00E87FFB" w:rsidRPr="00E87FFB" w:rsidRDefault="00E87FFB" w:rsidP="00E87FFB">
      <w:pPr>
        <w:spacing w:after="240"/>
        <w:ind w:firstLine="720"/>
        <w:rPr>
          <w:rFonts w:eastAsia="Times New Roman"/>
          <w:sz w:val="24"/>
          <w:szCs w:val="24"/>
        </w:rPr>
      </w:pPr>
      <w:r w:rsidRPr="00E87FFB">
        <w:rPr>
          <w:rFonts w:eastAsia="Times New Roman"/>
          <w:sz w:val="24"/>
          <w:szCs w:val="24"/>
        </w:rPr>
        <w:lastRenderedPageBreak/>
        <w:t xml:space="preserve">4. The existence and scope of a legal duty are generally questions of law for the court to determine. </w:t>
      </w:r>
      <w:r w:rsidRPr="00E87FFB">
        <w:rPr>
          <w:rFonts w:eastAsia="Times New Roman"/>
          <w:b/>
          <w:sz w:val="24"/>
          <w:szCs w:val="24"/>
        </w:rPr>
        <w:t>Peterson</w:t>
      </w:r>
      <w:r w:rsidRPr="00E87FFB">
        <w:rPr>
          <w:rFonts w:eastAsia="Times New Roman"/>
          <w:sz w:val="24"/>
          <w:szCs w:val="24"/>
        </w:rPr>
        <w:t xml:space="preserve">, 829 P.2d at 379; </w:t>
      </w:r>
      <w:r w:rsidRPr="00E87FFB">
        <w:rPr>
          <w:rFonts w:eastAsia="Times New Roman"/>
          <w:b/>
          <w:sz w:val="24"/>
          <w:szCs w:val="24"/>
        </w:rPr>
        <w:t>Imperial Distrib. Servs., Inc. v. Forrest</w:t>
      </w:r>
      <w:r w:rsidRPr="00E87FFB">
        <w:rPr>
          <w:rFonts w:eastAsia="Times New Roman"/>
          <w:sz w:val="24"/>
          <w:szCs w:val="24"/>
        </w:rPr>
        <w:t xml:space="preserve">, 741 P.2d 1251 (Colo. 1987); </w:t>
      </w:r>
      <w:r w:rsidRPr="00E87FFB">
        <w:rPr>
          <w:rFonts w:eastAsia="Times New Roman"/>
          <w:b/>
          <w:sz w:val="24"/>
          <w:szCs w:val="24"/>
        </w:rPr>
        <w:t>Metro. Gas Repair Serv., Inc. v. Kulik</w:t>
      </w:r>
      <w:r w:rsidRPr="00E87FFB">
        <w:rPr>
          <w:rFonts w:eastAsia="Times New Roman"/>
          <w:sz w:val="24"/>
          <w:szCs w:val="24"/>
        </w:rPr>
        <w:t xml:space="preserve">, 621 P.2d 313 (Colo. 1980). However, there may be rare cases where “the evidence presents a jury question on whether the injured party was a person within the foreseeable zone of danger created by defendant’s negligence and thus was owed a duty by defendant.” </w:t>
      </w:r>
      <w:r w:rsidRPr="00E87FFB">
        <w:rPr>
          <w:rFonts w:eastAsia="Times New Roman"/>
          <w:b/>
          <w:sz w:val="24"/>
          <w:szCs w:val="24"/>
        </w:rPr>
        <w:t>Chutich v. Samuelson</w:t>
      </w:r>
      <w:r w:rsidRPr="00E87FFB">
        <w:rPr>
          <w:rFonts w:eastAsia="Times New Roman"/>
          <w:sz w:val="24"/>
          <w:szCs w:val="24"/>
        </w:rPr>
        <w:t xml:space="preserve">, 33 Colo. App. 195, 201, 518 P.2d 1363, 1367 (1973), </w:t>
      </w:r>
      <w:r w:rsidRPr="00E87FFB">
        <w:rPr>
          <w:rFonts w:eastAsia="Times New Roman"/>
          <w:i/>
          <w:sz w:val="24"/>
          <w:szCs w:val="24"/>
        </w:rPr>
        <w:t>aff’d in part, rev’d in part on other grounds,</w:t>
      </w:r>
      <w:r w:rsidRPr="00E87FFB">
        <w:rPr>
          <w:rFonts w:eastAsia="Times New Roman"/>
          <w:sz w:val="24"/>
          <w:szCs w:val="24"/>
        </w:rPr>
        <w:t xml:space="preserve"> 187 Colo. 155, 529 P.2d 631 (1974). Nevertheless, if the court concludes that injury to a person in plaintiff’s situation was foreseeable as a matter of law, it is reversible error to submit the issue of foreseeability to the jury. </w:t>
      </w:r>
      <w:r w:rsidRPr="00E87FFB">
        <w:rPr>
          <w:rFonts w:eastAsia="Times New Roman"/>
          <w:i/>
          <w:sz w:val="24"/>
          <w:szCs w:val="24"/>
        </w:rPr>
        <w:t>Id.</w:t>
      </w:r>
      <w:r w:rsidRPr="00E87FFB">
        <w:rPr>
          <w:rFonts w:eastAsia="Times New Roman"/>
          <w:sz w:val="24"/>
          <w:szCs w:val="24"/>
        </w:rPr>
        <w:t>;</w:t>
      </w:r>
      <w:r w:rsidRPr="00E87FFB">
        <w:rPr>
          <w:rFonts w:eastAsia="Times New Roman"/>
          <w:i/>
          <w:sz w:val="24"/>
          <w:szCs w:val="24"/>
        </w:rPr>
        <w:t xml:space="preserve"> see also</w:t>
      </w:r>
      <w:r w:rsidRPr="00E87FFB">
        <w:rPr>
          <w:rFonts w:eastAsia="Times New Roman"/>
          <w:sz w:val="24"/>
          <w:szCs w:val="24"/>
        </w:rPr>
        <w:t xml:space="preserve"> </w:t>
      </w:r>
      <w:r w:rsidRPr="00E87FFB">
        <w:rPr>
          <w:rFonts w:eastAsia="Times New Roman"/>
          <w:b/>
          <w:sz w:val="24"/>
          <w:szCs w:val="24"/>
        </w:rPr>
        <w:t>Walcott v. Total Petroleum, Inc.</w:t>
      </w:r>
      <w:r w:rsidRPr="00E87FFB">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E87FFB">
        <w:rPr>
          <w:rFonts w:eastAsia="Times New Roman"/>
          <w:b/>
          <w:sz w:val="24"/>
          <w:szCs w:val="24"/>
        </w:rPr>
        <w:t>Scharrel v. Wal-Mart Stores, Inc.</w:t>
      </w:r>
      <w:r w:rsidRPr="00E87FFB">
        <w:rPr>
          <w:rFonts w:eastAsia="Times New Roman"/>
          <w:sz w:val="24"/>
          <w:szCs w:val="24"/>
        </w:rPr>
        <w:t xml:space="preserve">, 949 P.2d 89 (Colo. App. 1997); </w:t>
      </w:r>
      <w:r w:rsidRPr="00E87FFB">
        <w:rPr>
          <w:rFonts w:eastAsia="Times New Roman"/>
          <w:b/>
          <w:sz w:val="24"/>
          <w:szCs w:val="24"/>
        </w:rPr>
        <w:t>Cooley v. Paraho Dev. Corp.</w:t>
      </w:r>
      <w:r w:rsidRPr="00E87FFB">
        <w:rPr>
          <w:rFonts w:eastAsia="Times New Roman"/>
          <w:sz w:val="24"/>
          <w:szCs w:val="24"/>
        </w:rPr>
        <w:t xml:space="preserve">, 851 P.2d 207 (Colo. App. 1992), </w:t>
      </w:r>
      <w:r w:rsidRPr="00E87FFB">
        <w:rPr>
          <w:rFonts w:eastAsia="Times New Roman"/>
          <w:i/>
          <w:sz w:val="24"/>
          <w:szCs w:val="24"/>
        </w:rPr>
        <w:t>aff’d on other grounds sub nom.</w:t>
      </w:r>
      <w:r w:rsidRPr="00E87FFB">
        <w:rPr>
          <w:rFonts w:eastAsia="Times New Roman"/>
          <w:sz w:val="24"/>
          <w:szCs w:val="24"/>
        </w:rPr>
        <w:t xml:space="preserve"> </w:t>
      </w:r>
      <w:r w:rsidRPr="00E87FFB">
        <w:rPr>
          <w:rFonts w:eastAsia="Times New Roman"/>
          <w:b/>
          <w:sz w:val="24"/>
          <w:szCs w:val="24"/>
        </w:rPr>
        <w:t>Gen. Elec. Co. v. Niemet</w:t>
      </w:r>
      <w:r w:rsidRPr="00E87FFB">
        <w:rPr>
          <w:rFonts w:eastAsia="Times New Roman"/>
          <w:sz w:val="24"/>
          <w:szCs w:val="24"/>
        </w:rPr>
        <w:t xml:space="preserve">, 866 P.2d 1361 (Colo. 1994); </w:t>
      </w:r>
      <w:r w:rsidRPr="00E87FFB">
        <w:rPr>
          <w:rFonts w:eastAsia="Times New Roman"/>
          <w:b/>
          <w:sz w:val="24"/>
          <w:szCs w:val="24"/>
        </w:rPr>
        <w:t>Sewell v. Pub. Serv. Co.</w:t>
      </w:r>
      <w:r w:rsidRPr="00E87FFB">
        <w:rPr>
          <w:rFonts w:eastAsia="Times New Roman"/>
          <w:sz w:val="24"/>
          <w:szCs w:val="24"/>
        </w:rPr>
        <w:t xml:space="preserve">, 832 P.2d 994 (Colo. App. 1991). In those cases where foreseeability is a factual question for the jury to determine, Instruction 9:21 should be used. </w:t>
      </w:r>
      <w:r w:rsidRPr="00E87FFB">
        <w:rPr>
          <w:rFonts w:eastAsia="Times New Roman"/>
          <w:i/>
          <w:sz w:val="24"/>
          <w:szCs w:val="24"/>
        </w:rPr>
        <w:t xml:space="preserve">See generally </w:t>
      </w:r>
      <w:r w:rsidRPr="00E87FFB">
        <w:rPr>
          <w:rFonts w:eastAsia="Times New Roman"/>
          <w:b/>
          <w:sz w:val="24"/>
          <w:szCs w:val="24"/>
        </w:rPr>
        <w:t>P.W.</w:t>
      </w:r>
      <w:r w:rsidRPr="00E87FFB">
        <w:rPr>
          <w:rFonts w:eastAsia="Times New Roman"/>
          <w:sz w:val="24"/>
          <w:szCs w:val="24"/>
        </w:rPr>
        <w:t xml:space="preserve">, 2016 CO 6, ¶ 24 n.7 (negligence cases address foreseeability twice, first as part of a duty inquiry, a legal issue, and second as the “touchstone of proximate cause,” a fact issue). Whether a party has assumed a duty not otherwise imposed by law is a mixed question of law and fact. </w:t>
      </w:r>
      <w:r w:rsidRPr="00E87FFB">
        <w:rPr>
          <w:rFonts w:eastAsia="Times New Roman"/>
          <w:b/>
          <w:sz w:val="24"/>
          <w:szCs w:val="24"/>
        </w:rPr>
        <w:t>Pressey v. Children’s Hosp. Colo</w:t>
      </w:r>
      <w:r w:rsidRPr="00184F3E">
        <w:rPr>
          <w:rFonts w:eastAsia="Times New Roman"/>
          <w:b/>
          <w:sz w:val="24"/>
          <w:szCs w:val="24"/>
        </w:rPr>
        <w:t>.</w:t>
      </w:r>
      <w:r w:rsidR="009865CF">
        <w:rPr>
          <w:rFonts w:eastAsia="Times New Roman"/>
          <w:sz w:val="24"/>
          <w:szCs w:val="24"/>
        </w:rPr>
        <w:t>,</w:t>
      </w:r>
      <w:r w:rsidRPr="00E87FFB">
        <w:rPr>
          <w:rFonts w:eastAsia="Times New Roman"/>
          <w:sz w:val="24"/>
          <w:szCs w:val="24"/>
        </w:rPr>
        <w:t xml:space="preserve"> 2017 COA 28, ¶ 39.</w:t>
      </w:r>
    </w:p>
    <w:p w14:paraId="4D612A55" w14:textId="77777777" w:rsidR="00E87FFB" w:rsidRDefault="00E87FFB" w:rsidP="00E87FFB">
      <w:pPr>
        <w:spacing w:after="240"/>
        <w:ind w:firstLine="720"/>
        <w:rPr>
          <w:rFonts w:eastAsia="Times New Roman"/>
          <w:sz w:val="24"/>
          <w:szCs w:val="24"/>
        </w:rPr>
      </w:pPr>
      <w:r w:rsidRPr="00E87FFB">
        <w:rPr>
          <w:rFonts w:eastAsia="Times New Roman"/>
          <w:sz w:val="24"/>
          <w:szCs w:val="24"/>
        </w:rPr>
        <w:t>5. For additional cases discussing the existence of a legal duty, see the Source and Authority to Instruction 9:1 under the subtopic “Existence and Scope of a Legal Duty.”</w:t>
      </w:r>
    </w:p>
    <w:p w14:paraId="23A1EA8E"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The Economic Loss Rule</w:t>
      </w:r>
    </w:p>
    <w:p w14:paraId="15AFFDBD" w14:textId="291D48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Generally, under Colorado law, in the absence of physical harm to a person or property, breach of a contractual duty does not give rise to a claim for negligence unless the facts supporting the negligence claim are different from the facts supporting the breach of contract claim.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Grynberg v. Agri Tech, Inc.</w:t>
      </w:r>
      <w:r w:rsidRPr="002547C3">
        <w:rPr>
          <w:rFonts w:eastAsia="Times New Roman"/>
          <w:sz w:val="24"/>
          <w:szCs w:val="24"/>
        </w:rPr>
        <w:t xml:space="preserve">, 10 P.3d 1267 (Colo. 2000) (distinguishing between tort and contract claims); </w:t>
      </w:r>
      <w:r w:rsidRPr="002547C3">
        <w:rPr>
          <w:rFonts w:eastAsia="Times New Roman"/>
          <w:b/>
          <w:sz w:val="24"/>
          <w:szCs w:val="24"/>
        </w:rPr>
        <w:t>Town of Alma v. AZCO Constr.,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 P.3d 1256 (Colo. 2000) (under economic loss rule, no tort action for negligence where only damages are for economic loss); </w:t>
      </w:r>
      <w:r w:rsidRPr="002547C3">
        <w:rPr>
          <w:rFonts w:eastAsia="Times New Roman"/>
          <w:b/>
          <w:sz w:val="24"/>
          <w:szCs w:val="24"/>
        </w:rPr>
        <w:t>Miller v. Bank of N.Y. Mellon</w:t>
      </w:r>
      <w:r w:rsidRPr="002547C3">
        <w:rPr>
          <w:rFonts w:eastAsia="Times New Roman"/>
          <w:sz w:val="24"/>
          <w:szCs w:val="24"/>
        </w:rPr>
        <w:t xml:space="preserve">, 2016 COA 95, ¶¶ 17-36, 379 P.3d 342 (borrower’s tort claims against lender were barred by the economic loss rule, and neither (1) a consent judgment to which borrower was not a party nor (2) the lender-borrower relationship gave rise to an independent duty sufficient to avoid application of the rule); </w:t>
      </w:r>
      <w:r w:rsidRPr="002547C3">
        <w:rPr>
          <w:rFonts w:eastAsia="Times New Roman"/>
          <w:b/>
          <w:sz w:val="24"/>
          <w:szCs w:val="24"/>
        </w:rPr>
        <w:t>Engeman Enters., LLC v. Tolin Mech. Sys. Co.</w:t>
      </w:r>
      <w:r w:rsidRPr="002547C3">
        <w:rPr>
          <w:rFonts w:eastAsia="Times New Roman"/>
          <w:sz w:val="24"/>
          <w:szCs w:val="24"/>
        </w:rPr>
        <w:t xml:space="preserve">, 2013 COA 34, ¶ 9, 329 P.3d 364 (economic loss rule bars tort claims where there is no duty independent of contract); </w:t>
      </w:r>
      <w:r w:rsidRPr="002547C3">
        <w:rPr>
          <w:rFonts w:eastAsia="Times New Roman"/>
          <w:b/>
          <w:sz w:val="24"/>
          <w:szCs w:val="24"/>
        </w:rPr>
        <w:t>Stan Clauson Assocs., Inc. v. Coleman Bros. Constr., LLC</w:t>
      </w:r>
      <w:r w:rsidRPr="002547C3">
        <w:rPr>
          <w:rFonts w:eastAsia="Times New Roman"/>
          <w:sz w:val="24"/>
          <w:szCs w:val="24"/>
        </w:rPr>
        <w:t>, 2013 COA 7, ¶ 14, 297 P.3d 1042 (same);</w:t>
      </w:r>
      <w:r w:rsidRPr="002547C3">
        <w:rPr>
          <w:rFonts w:eastAsia="Times New Roman"/>
          <w:b/>
          <w:sz w:val="24"/>
          <w:szCs w:val="24"/>
        </w:rPr>
        <w:t xml:space="preserve"> Casey v. Colo. Higher Educ. Ins. Benefits All. Tr.</w:t>
      </w:r>
      <w:r w:rsidRPr="002547C3">
        <w:rPr>
          <w:rFonts w:eastAsia="Times New Roman"/>
          <w:sz w:val="24"/>
          <w:szCs w:val="24"/>
        </w:rPr>
        <w:t xml:space="preserve">, 2012 COA 134, ¶ 22, 310 P.3d 196 (economic loss rule bars tort claims only as between contracting parties); </w:t>
      </w:r>
      <w:r w:rsidRPr="002547C3">
        <w:rPr>
          <w:rFonts w:eastAsia="Times New Roman"/>
          <w:b/>
          <w:sz w:val="24"/>
          <w:szCs w:val="24"/>
        </w:rPr>
        <w:t>Former TCHR, LLC v. First Hand Mgmt. LLC</w:t>
      </w:r>
      <w:r w:rsidRPr="002547C3">
        <w:rPr>
          <w:rFonts w:eastAsia="Times New Roman"/>
          <w:sz w:val="24"/>
          <w:szCs w:val="24"/>
        </w:rPr>
        <w:t>, 2012 COA 129, ¶ 33, 317 P.3d 1226</w:t>
      </w:r>
      <w:r w:rsidRPr="002547C3" w:rsidDel="009876B7">
        <w:rPr>
          <w:rFonts w:eastAsia="Times New Roman"/>
          <w:sz w:val="24"/>
          <w:szCs w:val="24"/>
        </w:rPr>
        <w:t xml:space="preserve"> </w:t>
      </w:r>
      <w:r w:rsidRPr="002547C3">
        <w:rPr>
          <w:rFonts w:eastAsia="Times New Roman"/>
          <w:sz w:val="24"/>
          <w:szCs w:val="24"/>
        </w:rPr>
        <w:t xml:space="preserve">(fraud and misrepresentation claims were dependent on contract duties and were, thus, barred by economic loss rule); </w:t>
      </w:r>
      <w:r w:rsidRPr="002547C3">
        <w:rPr>
          <w:rFonts w:eastAsia="Times New Roman"/>
          <w:b/>
          <w:sz w:val="24"/>
          <w:szCs w:val="24"/>
        </w:rPr>
        <w:t>Steward Software Co. v. Kopcho</w:t>
      </w:r>
      <w:r w:rsidRPr="002547C3">
        <w:rPr>
          <w:rFonts w:eastAsia="Times New Roman"/>
          <w:sz w:val="24"/>
          <w:szCs w:val="24"/>
        </w:rPr>
        <w:t xml:space="preserve">, 275 P.3d 702 (Colo. App. 2010) (economic loss rule applied equally to torts based on an underlying contract whether written or oral), </w:t>
      </w:r>
      <w:r w:rsidRPr="002547C3">
        <w:rPr>
          <w:rFonts w:eastAsia="Times New Roman"/>
          <w:i/>
          <w:sz w:val="24"/>
          <w:szCs w:val="24"/>
        </w:rPr>
        <w:t>rev’d on other grounds</w:t>
      </w:r>
      <w:r w:rsidRPr="002547C3">
        <w:rPr>
          <w:rFonts w:eastAsia="Times New Roman"/>
          <w:sz w:val="24"/>
          <w:szCs w:val="24"/>
        </w:rPr>
        <w:t xml:space="preserve">, 266 P.3d 1085 (Colo. 2011); </w:t>
      </w:r>
      <w:r w:rsidRPr="002547C3">
        <w:rPr>
          <w:rFonts w:eastAsia="Times New Roman"/>
          <w:b/>
          <w:sz w:val="24"/>
          <w:szCs w:val="24"/>
        </w:rPr>
        <w:t>U.S. Fire Ins. Co. v. Sonitrol Mgmt. Corp.</w:t>
      </w:r>
      <w:r w:rsidRPr="002547C3">
        <w:rPr>
          <w:rFonts w:eastAsia="Times New Roman"/>
          <w:sz w:val="24"/>
          <w:szCs w:val="24"/>
        </w:rPr>
        <w:t xml:space="preserve">, 192 P.3d 543 (Colo. App. 2008) (contract established parties’ duties and economic loss rule precluded tort claim); </w:t>
      </w:r>
      <w:r w:rsidRPr="002547C3">
        <w:rPr>
          <w:rFonts w:eastAsia="Times New Roman"/>
          <w:b/>
          <w:sz w:val="24"/>
          <w:szCs w:val="24"/>
        </w:rPr>
        <w:t>Cissell Mfg. Co. v. Park</w:t>
      </w:r>
      <w:r w:rsidRPr="002547C3">
        <w:rPr>
          <w:rFonts w:eastAsia="Times New Roman"/>
          <w:sz w:val="24"/>
          <w:szCs w:val="24"/>
        </w:rPr>
        <w:t xml:space="preserve">, 36 P.3d 85 (Colo. App. 2001) (same); </w:t>
      </w:r>
      <w:r w:rsidRPr="002547C3">
        <w:rPr>
          <w:rFonts w:eastAsia="Times New Roman"/>
          <w:i/>
          <w:sz w:val="24"/>
          <w:szCs w:val="24"/>
        </w:rPr>
        <w:t xml:space="preserve">see also </w:t>
      </w:r>
      <w:r w:rsidRPr="002547C3">
        <w:rPr>
          <w:rFonts w:eastAsia="Times New Roman"/>
          <w:b/>
          <w:sz w:val="24"/>
          <w:szCs w:val="24"/>
        </w:rPr>
        <w:t>BRW, Inc. v. Dufficy &amp; Sons,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99 P.3d 66 (Colo. 2004) </w:t>
      </w:r>
      <w:r w:rsidRPr="002547C3">
        <w:rPr>
          <w:rFonts w:eastAsia="Times New Roman"/>
          <w:sz w:val="24"/>
          <w:szCs w:val="24"/>
        </w:rPr>
        <w:lastRenderedPageBreak/>
        <w:t xml:space="preserve">(economic loss rule barred negligence claims by subcontractor against project engineer for negligent design and inspection of public works project); </w:t>
      </w:r>
      <w:r w:rsidRPr="002547C3">
        <w:rPr>
          <w:rFonts w:eastAsia="Times New Roman"/>
          <w:b/>
          <w:sz w:val="24"/>
          <w:szCs w:val="24"/>
        </w:rPr>
        <w:t>A Good Time Rental, LLC v. First Am. Title Agency, Inc.</w:t>
      </w:r>
      <w:r w:rsidRPr="002547C3">
        <w:rPr>
          <w:rFonts w:eastAsia="Times New Roman"/>
          <w:sz w:val="24"/>
          <w:szCs w:val="24"/>
        </w:rPr>
        <w:t>, 259 P.3d 534</w:t>
      </w:r>
      <w:r w:rsidRPr="002547C3" w:rsidDel="00865E40">
        <w:rPr>
          <w:rFonts w:eastAsia="Times New Roman"/>
          <w:sz w:val="24"/>
          <w:szCs w:val="24"/>
        </w:rPr>
        <w:t xml:space="preserve"> </w:t>
      </w:r>
      <w:r w:rsidRPr="002547C3">
        <w:rPr>
          <w:rFonts w:eastAsia="Times New Roman"/>
          <w:sz w:val="24"/>
          <w:szCs w:val="24"/>
        </w:rPr>
        <w:t xml:space="preserve">(Colo. App. 2011) (economic loss rule barred claim that closing agent failed to exercise reasonable care in performing contract and claim that closing agent negligently misrepresented that it was performing obligation imposed by closing instructions); </w:t>
      </w:r>
      <w:r w:rsidRPr="002547C3">
        <w:rPr>
          <w:rFonts w:eastAsia="Times New Roman"/>
          <w:b/>
          <w:sz w:val="24"/>
          <w:szCs w:val="24"/>
        </w:rPr>
        <w:t>Parr v. Triple L &amp; J Corp.</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107 P.3d 1104 (Colo. App. 2004) (economic loss rule generally bars only economic damages); </w:t>
      </w:r>
      <w:r w:rsidRPr="002547C3">
        <w:rPr>
          <w:rFonts w:eastAsia="Times New Roman"/>
          <w:b/>
          <w:sz w:val="24"/>
          <w:szCs w:val="24"/>
        </w:rPr>
        <w:t>City of Westminster v. Centric-Jones Constructors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100 P.3d 472 (Colo. App. 2003);</w:t>
      </w:r>
      <w:r w:rsidRPr="002547C3">
        <w:rPr>
          <w:rFonts w:eastAsia="Times New Roman"/>
          <w:i/>
          <w:sz w:val="24"/>
          <w:szCs w:val="24"/>
        </w:rPr>
        <w:t xml:space="preserve"> </w:t>
      </w:r>
      <w:r w:rsidRPr="002547C3">
        <w:rPr>
          <w:rFonts w:eastAsia="Times New Roman"/>
          <w:b/>
          <w:sz w:val="24"/>
          <w:szCs w:val="24"/>
        </w:rPr>
        <w:t>Terrones v. Tapia</w:t>
      </w:r>
      <w:r w:rsidRPr="002547C3">
        <w:rPr>
          <w:rFonts w:eastAsia="Times New Roman"/>
          <w:sz w:val="24"/>
          <w:szCs w:val="24"/>
        </w:rPr>
        <w:t xml:space="preserve">, 967 P.2d 216 (Colo. App. 1998) (no cause of action in tort for negligent breach of contractual duty); </w:t>
      </w:r>
      <w:r w:rsidRPr="002547C3">
        <w:rPr>
          <w:rFonts w:eastAsia="Times New Roman"/>
          <w:b/>
          <w:sz w:val="24"/>
          <w:szCs w:val="24"/>
        </w:rPr>
        <w:t>Chellsen v. Pena</w:t>
      </w:r>
      <w:r w:rsidRPr="002547C3">
        <w:rPr>
          <w:rFonts w:eastAsia="Times New Roman"/>
          <w:sz w:val="24"/>
          <w:szCs w:val="24"/>
        </w:rPr>
        <w:t xml:space="preserve">, 857 P.2d 472 (Colo. App. 1992) (no cause of action in tort for negligent breach of contractual duty resulting in purely economic damages); </w:t>
      </w:r>
      <w:r w:rsidRPr="002547C3">
        <w:rPr>
          <w:rFonts w:eastAsia="Times New Roman"/>
          <w:b/>
          <w:sz w:val="24"/>
          <w:szCs w:val="24"/>
        </w:rPr>
        <w:t>Scott Co. of Cal. v. MK-Ferguson Co.</w:t>
      </w:r>
      <w:r w:rsidRPr="002547C3">
        <w:rPr>
          <w:rFonts w:eastAsia="Times New Roman"/>
          <w:sz w:val="24"/>
          <w:szCs w:val="24"/>
        </w:rPr>
        <w:t xml:space="preserve">, 832 P.2d 1000 (Colo. App. 1991) (same),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Lewis v. Lewis</w:t>
      </w:r>
      <w:r w:rsidRPr="002547C3">
        <w:rPr>
          <w:rFonts w:eastAsia="Times New Roman"/>
          <w:sz w:val="24"/>
          <w:szCs w:val="24"/>
        </w:rPr>
        <w:t xml:space="preserve">, 189 P.3d 1134 (Colo. 2008); </w:t>
      </w:r>
      <w:r w:rsidRPr="002547C3">
        <w:rPr>
          <w:rFonts w:eastAsia="Times New Roman"/>
          <w:b/>
          <w:sz w:val="24"/>
          <w:szCs w:val="24"/>
        </w:rPr>
        <w:t>Centennial Square, Ltd. v. Resolution Tr. Co.</w:t>
      </w:r>
      <w:r w:rsidRPr="002547C3">
        <w:rPr>
          <w:rFonts w:eastAsia="Times New Roman"/>
          <w:sz w:val="24"/>
          <w:szCs w:val="24"/>
        </w:rPr>
        <w:t xml:space="preserve">, 815 P.2d 1002 (Colo. App. 1991); </w:t>
      </w:r>
      <w:r w:rsidRPr="002547C3">
        <w:rPr>
          <w:rFonts w:eastAsia="Times New Roman"/>
          <w:b/>
          <w:sz w:val="24"/>
          <w:szCs w:val="24"/>
        </w:rPr>
        <w:t>Jardel Enters., Inc. v. Triconsultants, Inc.</w:t>
      </w:r>
      <w:r w:rsidRPr="002547C3">
        <w:rPr>
          <w:rFonts w:eastAsia="Times New Roman"/>
          <w:sz w:val="24"/>
          <w:szCs w:val="24"/>
        </w:rPr>
        <w:t xml:space="preserve">, 770 P.2d 1301 (Colo. App. 1988) (applying economic loss rule which precludes recovery for negligence when duty breached is contractual and only economic losses are incurred). </w:t>
      </w:r>
      <w:r w:rsidRPr="002547C3">
        <w:rPr>
          <w:rFonts w:eastAsia="Times New Roman"/>
          <w:i/>
          <w:sz w:val="24"/>
          <w:szCs w:val="24"/>
        </w:rPr>
        <w:t xml:space="preserve">But see </w:t>
      </w:r>
      <w:r w:rsidRPr="002547C3">
        <w:rPr>
          <w:rFonts w:eastAsia="Times New Roman"/>
          <w:b/>
          <w:sz w:val="24"/>
          <w:szCs w:val="24"/>
        </w:rPr>
        <w:t>Tanktech, Inc. v. First Interstate Bank</w:t>
      </w:r>
      <w:r w:rsidRPr="002547C3">
        <w:rPr>
          <w:rFonts w:eastAsia="Times New Roman"/>
          <w:sz w:val="24"/>
          <w:szCs w:val="24"/>
        </w:rPr>
        <w:t xml:space="preserve">, 851 P.2d 174 (Colo. App. 1992) (if contract claim does not preclude negligence claim, relevant provisions of contract are admissible to establish appropriate standard of care to apply to alleged tortfeasor’s conduct), </w:t>
      </w:r>
      <w:r w:rsidRPr="002547C3">
        <w:rPr>
          <w:rFonts w:eastAsia="Times New Roman"/>
          <w:i/>
          <w:sz w:val="24"/>
          <w:szCs w:val="24"/>
        </w:rPr>
        <w:t>rev’d on other grounds</w:t>
      </w:r>
      <w:r w:rsidRPr="002547C3">
        <w:rPr>
          <w:rFonts w:eastAsia="Times New Roman"/>
          <w:sz w:val="24"/>
          <w:szCs w:val="24"/>
        </w:rPr>
        <w:t xml:space="preserve">, 864 P.2d 116 (Colo. 1993). The economic loss rule may apply to an entity that did not exist at the time a duty was contractually created under the interrelated contracts doctrine if that entity is a party to a contract that is sufficiently interrelated with the duty-creating contract or is a third-party beneficiary of the interrelated contract. </w:t>
      </w:r>
      <w:r w:rsidRPr="002547C3">
        <w:rPr>
          <w:rFonts w:eastAsia="Times New Roman"/>
          <w:b/>
          <w:sz w:val="24"/>
          <w:szCs w:val="24"/>
        </w:rPr>
        <w:t>S K Peightal Engineers, LTD v. Mid Valley Real Estate Sols. V, LLC</w:t>
      </w:r>
      <w:r w:rsidRPr="002547C3">
        <w:rPr>
          <w:rFonts w:eastAsia="Times New Roman"/>
          <w:sz w:val="24"/>
          <w:szCs w:val="24"/>
        </w:rPr>
        <w:t xml:space="preserve">, 2015 CO 7, ¶ 16, 342 P.3d 868. </w:t>
      </w:r>
    </w:p>
    <w:p w14:paraId="1BA5FF53" w14:textId="58955C0A"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However, the economic loss rule does not apply where the defendant owes the plaintiff a duty of care independent of any contractual duty. </w:t>
      </w:r>
      <w:r w:rsidRPr="002547C3">
        <w:rPr>
          <w:rFonts w:eastAsia="Times New Roman"/>
          <w:b/>
          <w:sz w:val="24"/>
          <w:szCs w:val="24"/>
        </w:rPr>
        <w:t>Van Rees v. Unleaded Software, Inc.</w:t>
      </w:r>
      <w:r w:rsidRPr="002547C3">
        <w:rPr>
          <w:rFonts w:eastAsia="Times New Roman"/>
          <w:sz w:val="24"/>
          <w:szCs w:val="24"/>
        </w:rPr>
        <w:t xml:space="preserve">, 2016 CO 51, ¶ 15, 373 P.3d 603 (tort claims based on misrepresentations made before the formation of contracts, which allegedly induced plaintiff to enter into the contracts and therefore violated an independent duty in tort to refrain from such conduct, not barred by the economic loss rule); </w:t>
      </w:r>
      <w:r w:rsidRPr="002547C3">
        <w:rPr>
          <w:rFonts w:eastAsia="Times New Roman"/>
          <w:b/>
          <w:sz w:val="24"/>
          <w:szCs w:val="24"/>
        </w:rPr>
        <w:t>A.C. Excavating v. Yacht Club II Homeowners Ass’n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114 P.3d 862 (Colo. 2005) (plaintiff homeowners association, third-party beneficiary of contract between general contractor and its subcontractors, not barred from enforcing negligence claims against defendant subcontractors, contracting parties, where law recognized duty of care that was independent of defendants’ contractual duties); </w:t>
      </w:r>
      <w:r w:rsidRPr="002547C3">
        <w:rPr>
          <w:rFonts w:eastAsia="Times New Roman"/>
          <w:b/>
          <w:sz w:val="24"/>
          <w:szCs w:val="24"/>
        </w:rPr>
        <w:t>Foster v. Bd. of Governors</w:t>
      </w:r>
      <w:r w:rsidRPr="002547C3">
        <w:rPr>
          <w:rFonts w:eastAsia="Times New Roman"/>
          <w:sz w:val="24"/>
          <w:szCs w:val="24"/>
        </w:rPr>
        <w:t xml:space="preserve">, 2014 COA 18, ¶ 28, 342 P.3d 497 (economic loss rule does not bar recovery where bailee’s duty to safely store stallion semen was separate from contractual duties); </w:t>
      </w:r>
      <w:r w:rsidRPr="002547C3">
        <w:rPr>
          <w:rFonts w:eastAsia="Times New Roman"/>
          <w:b/>
          <w:sz w:val="24"/>
          <w:szCs w:val="24"/>
        </w:rPr>
        <w:t>Rhino Fund, LLLP v. Hutchins</w:t>
      </w:r>
      <w:r w:rsidRPr="002547C3">
        <w:rPr>
          <w:rFonts w:eastAsia="Times New Roman"/>
          <w:sz w:val="24"/>
          <w:szCs w:val="24"/>
        </w:rPr>
        <w:t xml:space="preserve">, 215 P.3d 1186 (Colo. App. 2008) (economic loss rule did not bar claims based on independent tort duty to honor terms of escrow account and not to convert funds); </w:t>
      </w:r>
      <w:r w:rsidRPr="002547C3">
        <w:rPr>
          <w:rFonts w:eastAsia="Times New Roman"/>
          <w:b/>
          <w:sz w:val="24"/>
          <w:szCs w:val="24"/>
        </w:rPr>
        <w:t>URS Grp., Inc. v. Tetra Tech FW, Inc.</w:t>
      </w:r>
      <w:r w:rsidRPr="002547C3">
        <w:rPr>
          <w:rFonts w:eastAsia="Times New Roman"/>
          <w:sz w:val="24"/>
          <w:szCs w:val="24"/>
        </w:rPr>
        <w:t xml:space="preserve">, 181 P.3d 380 (Colo. App. 2008) (claim based on misrepresentations made before contract executed not barred by economic loss rule); </w:t>
      </w:r>
      <w:r w:rsidRPr="002547C3">
        <w:rPr>
          <w:rFonts w:eastAsia="Times New Roman"/>
          <w:b/>
          <w:sz w:val="24"/>
          <w:szCs w:val="24"/>
        </w:rPr>
        <w:t>Andrews v. Picard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199 P.3d 6</w:t>
      </w:r>
      <w:r w:rsidRPr="002547C3">
        <w:rPr>
          <w:rFonts w:eastAsia="Times New Roman"/>
          <w:b/>
          <w:sz w:val="24"/>
          <w:szCs w:val="24"/>
        </w:rPr>
        <w:t xml:space="preserve"> </w:t>
      </w:r>
      <w:r w:rsidRPr="002547C3">
        <w:rPr>
          <w:rFonts w:eastAsia="Times New Roman"/>
          <w:sz w:val="24"/>
          <w:szCs w:val="24"/>
        </w:rPr>
        <w:t xml:space="preserve">(Colo. App. 2007) (economic loss rule not applicable where there is duty of care independent of any contractual duty); </w:t>
      </w:r>
      <w:r w:rsidRPr="002547C3">
        <w:rPr>
          <w:rFonts w:eastAsia="Times New Roman"/>
          <w:b/>
          <w:sz w:val="24"/>
          <w:szCs w:val="24"/>
        </w:rPr>
        <w:t>Park Rise Homeowners Ass’n v. Res. Constr. Co</w:t>
      </w:r>
      <w:r w:rsidRPr="002547C3">
        <w:rPr>
          <w:rFonts w:eastAsia="Times New Roman"/>
          <w:sz w:val="24"/>
          <w:szCs w:val="24"/>
        </w:rPr>
        <w:t xml:space="preserve">., 155 P.3d 427 (Colo. App. 2006) (economic loss rule not a bar to homeowners’ negligence claim against builder because builder owed homeowner independent duty to use due care in constructing home). Thus, a tort claim for negligence is “not limited by privity of contract”; instead, foreseeability determines its scope. </w:t>
      </w:r>
      <w:r w:rsidRPr="002547C3">
        <w:rPr>
          <w:rFonts w:eastAsia="Times New Roman"/>
          <w:b/>
          <w:sz w:val="24"/>
          <w:szCs w:val="24"/>
        </w:rPr>
        <w:t>Forest City Stapleton Inc. v. Rogers</w:t>
      </w:r>
      <w:r w:rsidRPr="002547C3">
        <w:rPr>
          <w:rFonts w:eastAsia="Times New Roman"/>
          <w:sz w:val="24"/>
          <w:szCs w:val="24"/>
        </w:rPr>
        <w:t>, 2017 CO 23, ¶ 13, 393 P.3d 487.</w:t>
      </w:r>
      <w:r w:rsidR="00F72DDA">
        <w:rPr>
          <w:rFonts w:eastAsia="Times New Roman"/>
          <w:sz w:val="24"/>
          <w:szCs w:val="24"/>
        </w:rPr>
        <w:t xml:space="preserve"> The economic loss rule also does not </w:t>
      </w:r>
      <w:r w:rsidR="00F72DDA">
        <w:rPr>
          <w:rFonts w:eastAsia="Times New Roman"/>
          <w:sz w:val="24"/>
          <w:szCs w:val="24"/>
        </w:rPr>
        <w:lastRenderedPageBreak/>
        <w:t xml:space="preserve">bar claims for civil theft under section 18-4-405, C.R.S., a statutory right of action created specifically to provide a remedy for even purely economic losses. </w:t>
      </w:r>
      <w:r w:rsidR="00F72DDA" w:rsidRPr="00981EFD">
        <w:rPr>
          <w:rFonts w:eastAsia="Times New Roman"/>
          <w:b/>
          <w:bCs/>
          <w:sz w:val="24"/>
          <w:szCs w:val="24"/>
        </w:rPr>
        <w:t>Bermel v. BlueRadios, Inc.</w:t>
      </w:r>
      <w:r w:rsidR="00F72DDA" w:rsidRPr="00EB10AB">
        <w:rPr>
          <w:rFonts w:eastAsia="Times New Roman"/>
          <w:sz w:val="24"/>
          <w:szCs w:val="24"/>
        </w:rPr>
        <w:t>, 2019 CO 31, ¶ 42, 440 P.3d 1150</w:t>
      </w:r>
      <w:r w:rsidR="00F72DDA">
        <w:rPr>
          <w:rFonts w:eastAsia="Times New Roman"/>
          <w:sz w:val="24"/>
          <w:szCs w:val="24"/>
        </w:rPr>
        <w:t>.</w:t>
      </w:r>
    </w:p>
    <w:p w14:paraId="4A40C774"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A claim for negligent misrepresentation is barred by the “economic loss rule” where the duty allegedly breached is contained in or arises out of the contract. </w:t>
      </w:r>
      <w:r w:rsidRPr="002547C3">
        <w:rPr>
          <w:rFonts w:eastAsia="Times New Roman"/>
          <w:b/>
          <w:bCs/>
          <w:sz w:val="24"/>
          <w:szCs w:val="24"/>
        </w:rPr>
        <w:t>BRW</w:t>
      </w:r>
      <w:r w:rsidRPr="002547C3">
        <w:rPr>
          <w:rFonts w:eastAsia="Times New Roman"/>
          <w:sz w:val="24"/>
          <w:szCs w:val="24"/>
        </w:rPr>
        <w:t xml:space="preserve">, 99 P.3d at 75 (economic loss rule barred negligent misrepresentation claim by subcontractor against project engineer for misrepresentations allegedly made during the performance of the engineer’s contract); </w:t>
      </w:r>
      <w:r w:rsidRPr="002547C3">
        <w:rPr>
          <w:rFonts w:eastAsia="Times New Roman"/>
          <w:b/>
          <w:sz w:val="24"/>
          <w:szCs w:val="24"/>
        </w:rPr>
        <w:t>Top Rail Ranch Estates, LLC v. Walker</w:t>
      </w:r>
      <w:r w:rsidRPr="002547C3">
        <w:rPr>
          <w:rFonts w:eastAsia="Times New Roman"/>
          <w:sz w:val="24"/>
          <w:szCs w:val="24"/>
        </w:rPr>
        <w:t xml:space="preserve">, 2014 COA 9, ¶ 40, 327 P.3d 321 (tort claim for negligent misrepresentation barred where no independent duties found to exist); </w:t>
      </w:r>
      <w:r w:rsidRPr="002547C3">
        <w:rPr>
          <w:rFonts w:eastAsia="Times New Roman"/>
          <w:b/>
          <w:sz w:val="24"/>
          <w:szCs w:val="24"/>
        </w:rPr>
        <w:t>A Good Time Rental</w:t>
      </w:r>
      <w:r w:rsidRPr="002547C3">
        <w:rPr>
          <w:rFonts w:eastAsia="Times New Roman"/>
          <w:sz w:val="24"/>
          <w:szCs w:val="24"/>
        </w:rPr>
        <w:t>, 259 P.3d at 541</w:t>
      </w:r>
      <w:r w:rsidRPr="002547C3" w:rsidDel="003D735D">
        <w:rPr>
          <w:rFonts w:eastAsia="Times New Roman"/>
          <w:sz w:val="24"/>
          <w:szCs w:val="24"/>
        </w:rPr>
        <w:t xml:space="preserve"> </w:t>
      </w:r>
      <w:r w:rsidRPr="002547C3">
        <w:rPr>
          <w:rFonts w:eastAsia="Times New Roman"/>
          <w:sz w:val="24"/>
          <w:szCs w:val="24"/>
        </w:rPr>
        <w:t xml:space="preserve">(economic loss rule barred claims that closing agent negligently misrepresented that it was performing a duty imposed by the closing instructions). But when the alleged misrepresentation occurs before the parties entered into their contract, the economic loss rule does not bar the negligent misrepresentation claim. </w:t>
      </w:r>
      <w:r w:rsidRPr="002547C3">
        <w:rPr>
          <w:rFonts w:eastAsia="Times New Roman"/>
          <w:b/>
          <w:sz w:val="24"/>
          <w:szCs w:val="24"/>
        </w:rPr>
        <w:t>Van Rees</w:t>
      </w:r>
      <w:r w:rsidRPr="002547C3">
        <w:rPr>
          <w:rFonts w:eastAsia="Times New Roman"/>
          <w:sz w:val="24"/>
          <w:szCs w:val="24"/>
        </w:rPr>
        <w:t xml:space="preserve">, 2016 CO 51, ¶¶ 14-19 (economic loss rule does not bar negligent misrepresentation claim where an independent duty of care prohibits contracting party from making negligent misrepresentations in inducing contractual arrangement); </w:t>
      </w:r>
      <w:r w:rsidRPr="002547C3">
        <w:rPr>
          <w:rFonts w:eastAsia="Times New Roman"/>
          <w:b/>
          <w:bCs/>
          <w:sz w:val="24"/>
          <w:szCs w:val="24"/>
        </w:rPr>
        <w:t>URS Grp.</w:t>
      </w:r>
      <w:r w:rsidRPr="002547C3">
        <w:rPr>
          <w:rFonts w:eastAsia="Times New Roman"/>
          <w:sz w:val="24"/>
          <w:szCs w:val="24"/>
        </w:rPr>
        <w:t>, 181 P.3d at 391.</w:t>
      </w:r>
    </w:p>
    <w:p w14:paraId="32307EB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Damages</w:t>
      </w:r>
    </w:p>
    <w:p w14:paraId="097AEB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No damage instructions have been prepared specifically for negligence cases because the instructions in Chapter 5, General Instructions Relating to Damages, and Chapter 6, Damages for Injuries to Persons or Property, are applicable to both negligence claims and to claims involving other kinds of tortious conduct. However, whenever punitive damages are claimed in a negligence case, Instruction 9:30 (defining willful and wanton conduct or willful and reckless disregard) should be used with Instruction 5:4 (exemplary or punitive damages).</w:t>
      </w:r>
    </w:p>
    <w:p w14:paraId="4B9956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10. For damage instructions and special verdict forms in actions against health care professionals or health care institutions, the instructions in subpart D of Part I of Chapter 15 should be used rather than the instructions in Part C of this chapter.</w:t>
      </w:r>
    </w:p>
    <w:p w14:paraId="54AA803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11. In actions for wrongful death, Instructions 10:3 and 10:4 should be used to instruct the jury on the applicable measure of damages.</w:t>
      </w:r>
    </w:p>
    <w:p w14:paraId="2C04F407" w14:textId="77777777" w:rsidR="00E87FFB" w:rsidRDefault="00E87FFB">
      <w:pPr>
        <w:rPr>
          <w:rFonts w:eastAsia="Times New Roman"/>
          <w:b/>
          <w:sz w:val="24"/>
          <w:szCs w:val="24"/>
        </w:rPr>
      </w:pPr>
      <w:r>
        <w:rPr>
          <w:rFonts w:eastAsia="Times New Roman"/>
          <w:b/>
          <w:sz w:val="24"/>
          <w:szCs w:val="24"/>
        </w:rPr>
        <w:br w:type="page"/>
      </w:r>
    </w:p>
    <w:p w14:paraId="55127FA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A. NEGLIGENCE AND DUTY OF CARE</w:t>
      </w:r>
    </w:p>
    <w:p w14:paraId="41B895C4" w14:textId="77777777" w:rsidR="009E3DA4" w:rsidRPr="009E3DA4" w:rsidRDefault="002547C3" w:rsidP="00CC0502">
      <w:pPr>
        <w:spacing w:after="240"/>
        <w:ind w:left="720" w:hanging="720"/>
        <w:rPr>
          <w:rFonts w:eastAsia="Times New Roman"/>
          <w:b/>
          <w:sz w:val="24"/>
          <w:szCs w:val="24"/>
        </w:rPr>
      </w:pPr>
      <w:bookmarkStart w:id="2" w:name="a9_01"/>
      <w:bookmarkEnd w:id="2"/>
      <w:r w:rsidRPr="002547C3">
        <w:rPr>
          <w:rFonts w:eastAsia="Times New Roman"/>
          <w:b/>
          <w:sz w:val="24"/>
          <w:szCs w:val="24"/>
        </w:rPr>
        <w:t xml:space="preserve">9:1 </w:t>
      </w:r>
      <w:r w:rsidRPr="002547C3">
        <w:rPr>
          <w:rFonts w:eastAsia="Times New Roman"/>
          <w:b/>
          <w:sz w:val="24"/>
          <w:szCs w:val="24"/>
        </w:rPr>
        <w:tab/>
        <w:t>ELEMENTS OF LIABILITY — NO NEGLIGENCE OF THE PLAINTIFF</w:t>
      </w:r>
    </w:p>
    <w:p w14:paraId="61566774"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For the plaintiff, </w:t>
      </w:r>
      <w:r w:rsidRPr="002547C3">
        <w:rPr>
          <w:rFonts w:eastAsia="Times New Roman"/>
          <w:i/>
          <w:sz w:val="24"/>
          <w:szCs w:val="24"/>
        </w:rPr>
        <w:t>(name)</w:t>
      </w:r>
      <w:r w:rsidRPr="002547C3">
        <w:rPr>
          <w:rFonts w:eastAsia="Times New Roman"/>
          <w:b/>
          <w:sz w:val="24"/>
          <w:szCs w:val="24"/>
        </w:rPr>
        <w:t xml:space="preserve">, to recover from the defendant, </w:t>
      </w:r>
      <w:r w:rsidRPr="002547C3">
        <w:rPr>
          <w:rFonts w:eastAsia="Times New Roman"/>
          <w:i/>
          <w:sz w:val="24"/>
          <w:szCs w:val="24"/>
        </w:rPr>
        <w:t>(name)</w:t>
      </w:r>
      <w:r w:rsidRPr="002547C3">
        <w:rPr>
          <w:rFonts w:eastAsia="Times New Roman"/>
          <w:b/>
          <w:sz w:val="24"/>
          <w:szCs w:val="24"/>
        </w:rPr>
        <w:t>, on (his) (her) claim of negligence, you must find that all of the following have been proved by a preponderance of the evidence:</w:t>
      </w:r>
    </w:p>
    <w:p w14:paraId="4ACBB285"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1. The plaintiff had (injuries) (damages) (losses);</w:t>
      </w:r>
    </w:p>
    <w:p w14:paraId="038C68F1"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2. The defendant was negligent; and</w:t>
      </w:r>
    </w:p>
    <w:p w14:paraId="3CA2AA1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3. The defendant’s negligence was a cause of the plaintiff’s (injuries) (damages) (losses).</w:t>
      </w:r>
    </w:p>
    <w:p w14:paraId="4764D5BA"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If you find that any one or more of these </w:t>
      </w:r>
      <w:r w:rsidRPr="002547C3">
        <w:rPr>
          <w:rFonts w:eastAsia="Times New Roman"/>
          <w:i/>
          <w:sz w:val="24"/>
          <w:szCs w:val="24"/>
        </w:rPr>
        <w:t>(number)</w:t>
      </w:r>
      <w:r w:rsidRPr="002547C3">
        <w:rPr>
          <w:rFonts w:eastAsia="Times New Roman"/>
          <w:b/>
          <w:sz w:val="24"/>
          <w:szCs w:val="24"/>
        </w:rPr>
        <w:t xml:space="preserve"> statements has not been proved, then your verdict must be for the defendant.</w:t>
      </w:r>
    </w:p>
    <w:p w14:paraId="02682D72"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On the other hand, if you find that all of these </w:t>
      </w:r>
      <w:r w:rsidRPr="002547C3">
        <w:rPr>
          <w:rFonts w:eastAsia="Times New Roman"/>
          <w:i/>
          <w:sz w:val="24"/>
          <w:szCs w:val="24"/>
        </w:rPr>
        <w:t>(number)</w:t>
      </w:r>
      <w:r w:rsidRPr="002547C3">
        <w:rPr>
          <w:rFonts w:eastAsia="Times New Roman"/>
          <w:b/>
          <w:sz w:val="24"/>
          <w:szCs w:val="24"/>
        </w:rPr>
        <w:t xml:space="preserve"> statements have been proved, (then your verdict must be for the plaintiff) (then you must consider the defendant’s affirmative defense(s) of </w:t>
      </w:r>
      <w:r w:rsidRPr="002547C3">
        <w:rPr>
          <w:rFonts w:eastAsia="Times New Roman"/>
          <w:i/>
          <w:sz w:val="24"/>
          <w:szCs w:val="24"/>
        </w:rPr>
        <w:t>[insert any affirmative defense that would be a complete defense to plaintiff’s claim]</w:t>
      </w:r>
      <w:r w:rsidRPr="002547C3">
        <w:rPr>
          <w:rFonts w:eastAsia="Times New Roman"/>
          <w:b/>
          <w:sz w:val="24"/>
          <w:szCs w:val="24"/>
        </w:rPr>
        <w:t>).</w:t>
      </w:r>
    </w:p>
    <w:p w14:paraId="71A41EF7"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44DE8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However, if you find that (this affirmative defense has not) (none of these affirmative defenses have) been proved, then your verdict must be for the plaintiff.</w:t>
      </w:r>
    </w:p>
    <w:p w14:paraId="2D1A7228" w14:textId="77777777" w:rsidR="00832DB4" w:rsidRDefault="00832DB4" w:rsidP="0054263B">
      <w:pPr>
        <w:jc w:val="center"/>
        <w:rPr>
          <w:rFonts w:eastAsia="Times New Roman"/>
          <w:sz w:val="24"/>
          <w:szCs w:val="24"/>
        </w:rPr>
      </w:pPr>
    </w:p>
    <w:p w14:paraId="6A9A45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B66E2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 Omit any numbered paragraphs, the facts of which are not in dispute.</w:t>
      </w:r>
    </w:p>
    <w:p w14:paraId="751AC1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1E9097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Negligence</w:t>
      </w:r>
    </w:p>
    <w:p w14:paraId="2C1B357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3. Whenever the defense of comparative negligence has been properly raised and, pursuant to section 13-21-111, C.R.S., the comparative negligence of the plaintiff must be determined, Instruction 9:22 must be used rather than this instruction, together with the other applicable comparative negligence instructions in Part C of this chapter.</w:t>
      </w:r>
    </w:p>
    <w:p w14:paraId="2ADEC1F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Fault</w:t>
      </w:r>
    </w:p>
    <w:p w14:paraId="3EC4E3BF"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The instructions in Part C of this chapter should also be used in cases involving multiple defendants or designated nonparties where, under the pro rata liability statute, section </w:t>
      </w:r>
      <w:r w:rsidRPr="002547C3">
        <w:rPr>
          <w:rFonts w:eastAsia="Times New Roman"/>
          <w:sz w:val="24"/>
          <w:szCs w:val="24"/>
        </w:rPr>
        <w:lastRenderedPageBreak/>
        <w:t>13-21-111.5, C.R.S., the comparative fault of the defendants or the comparative fault of defendant or defendants and one or more designated nonparties must be determined.</w:t>
      </w:r>
    </w:p>
    <w:p w14:paraId="2261F24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Related Instructions</w:t>
      </w:r>
    </w:p>
    <w:p w14:paraId="22974F4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5. In product liability cases where a claim for negligence is asserted, the instructions in Part C of Chapter 14 should be used, rather than this instruction.</w:t>
      </w:r>
    </w:p>
    <w:p w14:paraId="21C8277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6. For negligence claims against attorneys involving an underlying case, i.e.</w:t>
      </w:r>
      <w:r w:rsidRPr="002547C3">
        <w:rPr>
          <w:rFonts w:eastAsia="Times New Roman"/>
          <w:i/>
          <w:sz w:val="24"/>
          <w:szCs w:val="24"/>
        </w:rPr>
        <w:t>,</w:t>
      </w:r>
      <w:r w:rsidRPr="002547C3">
        <w:rPr>
          <w:rFonts w:eastAsia="Times New Roman"/>
          <w:sz w:val="24"/>
          <w:szCs w:val="24"/>
        </w:rPr>
        <w:t xml:space="preserve"> a “case-within-a-case,” Instructions 15:19 and 15:20 should be used rather than this instruction.</w:t>
      </w:r>
    </w:p>
    <w:p w14:paraId="169EB2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Though mitigation of damages is an affirmative defense, </w:t>
      </w:r>
      <w:r w:rsidRPr="002547C3">
        <w:rPr>
          <w:rFonts w:eastAsia="Times New Roman"/>
          <w:i/>
          <w:sz w:val="24"/>
          <w:szCs w:val="24"/>
        </w:rPr>
        <w:t>see</w:t>
      </w:r>
      <w:r w:rsidRPr="002547C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1277B0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8. In cases in which the plaintiff is claiming damages for fear of his own safety and for the consequential damages caused by that fright, as opposed to damages associated with physical injuries caused more directly by the alleged negligence of the defendant, Instruction 9:2 (negligent infliction of emotional distress) should be used rather than this instruction.</w:t>
      </w:r>
    </w:p>
    <w:p w14:paraId="42A7012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For the tort of negligent misrepresentation causing physical harm, see Instruction 9:3, and, for the tort of negligent misrepresentation causing financial loss in a business transaction, see Instruction 9:4.</w:t>
      </w:r>
    </w:p>
    <w:p w14:paraId="1BE4E21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Whenever this instruction is given, the appropriate instruction or instructions relating to causation must also be given, </w:t>
      </w:r>
      <w:r w:rsidRPr="002547C3">
        <w:rPr>
          <w:rFonts w:eastAsia="Times New Roman"/>
          <w:i/>
          <w:sz w:val="24"/>
          <w:szCs w:val="24"/>
        </w:rPr>
        <w:t>see</w:t>
      </w:r>
      <w:r w:rsidRPr="002547C3">
        <w:rPr>
          <w:rFonts w:eastAsia="Times New Roman"/>
          <w:sz w:val="24"/>
          <w:szCs w:val="24"/>
        </w:rPr>
        <w:t xml:space="preserve"> Instructions 9:18 to 9:20, as well as other appropriate instructions defining the terms used in this instruction, e.g., Instruction 9:6 (defining negligence). Where the issue of foreseeability is presented as part of the causation analysis, Instruction 9:21 (foreseeability limitation) should be given.</w:t>
      </w:r>
    </w:p>
    <w:p w14:paraId="36C2051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This instruction should not be used when liability has been admitted, </w:t>
      </w:r>
      <w:r w:rsidRPr="002547C3">
        <w:rPr>
          <w:rFonts w:eastAsia="Times New Roman"/>
          <w:i/>
          <w:sz w:val="24"/>
          <w:szCs w:val="24"/>
        </w:rPr>
        <w:t>see</w:t>
      </w:r>
      <w:r w:rsidRPr="002547C3">
        <w:rPr>
          <w:rFonts w:eastAsia="Times New Roman"/>
          <w:sz w:val="24"/>
          <w:szCs w:val="24"/>
        </w:rPr>
        <w:t xml:space="preserve"> Instruction 2:4, or when the court has directed a verdict as to liability, </w:t>
      </w:r>
      <w:r w:rsidRPr="002547C3">
        <w:rPr>
          <w:rFonts w:eastAsia="Times New Roman"/>
          <w:i/>
          <w:sz w:val="24"/>
          <w:szCs w:val="24"/>
        </w:rPr>
        <w:t>see</w:t>
      </w:r>
      <w:r w:rsidRPr="002547C3">
        <w:rPr>
          <w:rFonts w:eastAsia="Times New Roman"/>
          <w:sz w:val="24"/>
          <w:szCs w:val="24"/>
        </w:rPr>
        <w:t xml:space="preserve"> Instruction 2:6.</w:t>
      </w:r>
    </w:p>
    <w:p w14:paraId="4C4A057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Whenever the claim of negligence is against an owner or occupant of premises for failure to have properly maintained the premises or properly carried on an activity which caused injury to a person on the premises, the appropriate instruction in Chapter 12 should be used rather than this instruction.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Lombard v. Colo. Outdoor Educ. Ctr., Inc.</w:t>
      </w:r>
      <w:r w:rsidRPr="002547C3">
        <w:rPr>
          <w:rFonts w:eastAsia="Times New Roman"/>
          <w:sz w:val="24"/>
          <w:szCs w:val="24"/>
        </w:rPr>
        <w:t xml:space="preserve">, 187 P.3d 565 (Colo. 2008); </w:t>
      </w:r>
      <w:r w:rsidRPr="002547C3">
        <w:rPr>
          <w:rFonts w:eastAsia="Times New Roman"/>
          <w:b/>
          <w:sz w:val="24"/>
          <w:szCs w:val="24"/>
        </w:rPr>
        <w:t>Thornbury v. Allen</w:t>
      </w:r>
      <w:r w:rsidRPr="002547C3">
        <w:rPr>
          <w:rFonts w:eastAsia="Times New Roman"/>
          <w:sz w:val="24"/>
          <w:szCs w:val="24"/>
        </w:rPr>
        <w:t xml:space="preserve">, 991 P.2d 335, 340 (Colo. App. 1999) (housekeeper injured when glass shelf fell on her foot while supervising cleaning of condominium could recover only from condominium owner under premises liability statute, § 13-21-115, C.R.S., and “not under any other theory of negligence, general, or otherwise”); </w:t>
      </w:r>
      <w:r w:rsidRPr="002547C3">
        <w:rPr>
          <w:rFonts w:eastAsia="Times New Roman"/>
          <w:b/>
          <w:sz w:val="24"/>
          <w:szCs w:val="24"/>
        </w:rPr>
        <w:t>Casey v. Christie Lodge Owners Ass’n</w:t>
      </w:r>
      <w:r w:rsidRPr="002547C3">
        <w:rPr>
          <w:rFonts w:eastAsia="Times New Roman"/>
          <w:sz w:val="24"/>
          <w:szCs w:val="24"/>
        </w:rPr>
        <w:t>, 923 P.2d 365 (Colo. App. 1996) (premises liability statute was applicable to claim for personal injuries against landowner resulting from dangerous condition of premises allegedly caused by landowner’s negligent hiring, supervision or retention of maintenance employee).</w:t>
      </w:r>
    </w:p>
    <w:p w14:paraId="4EBFA1D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Description of Legal Duty</w:t>
      </w:r>
    </w:p>
    <w:p w14:paraId="28B043C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As to the degree of specificity required in instructing the jury on the existence of a legal duty in a negligence action, see </w:t>
      </w:r>
      <w:r w:rsidRPr="002547C3">
        <w:rPr>
          <w:rFonts w:eastAsia="Times New Roman"/>
          <w:b/>
          <w:sz w:val="24"/>
          <w:szCs w:val="24"/>
        </w:rPr>
        <w:t>Woolsey v. Holiday Health Clubs &amp; Fitness Ctrs., Inc.</w:t>
      </w:r>
      <w:r w:rsidRPr="002547C3">
        <w:rPr>
          <w:rFonts w:eastAsia="Times New Roman"/>
          <w:sz w:val="24"/>
          <w:szCs w:val="24"/>
        </w:rPr>
        <w:t>, 820 P.2d 1201 (Colo. App. 1991) (plaintiff not entitled to instruction that health club had legal duty to supervise whirlpool area and to warn about risks and hazards associated with use of whirlpool where more generalized instructions indicating that health club had legal duty to act reasonably towards its members was given).</w:t>
      </w:r>
    </w:p>
    <w:p w14:paraId="0D258D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AA928B" w14:textId="77777777" w:rsidR="002547C3" w:rsidRPr="002547C3" w:rsidRDefault="002547C3" w:rsidP="004520DB">
      <w:pPr>
        <w:spacing w:after="240"/>
        <w:ind w:firstLine="720"/>
        <w:rPr>
          <w:rFonts w:eastAsia="Times New Roman"/>
          <w:sz w:val="24"/>
          <w:szCs w:val="24"/>
        </w:rPr>
      </w:pPr>
      <w:r w:rsidRPr="002547C3">
        <w:rPr>
          <w:rFonts w:eastAsia="Times New Roman"/>
          <w:sz w:val="24"/>
          <w:szCs w:val="24"/>
        </w:rPr>
        <w:t>1. This instruction is supported by</w:t>
      </w:r>
      <w:r w:rsidRPr="002547C3">
        <w:rPr>
          <w:rFonts w:eastAsia="Times New Roman"/>
          <w:b/>
          <w:sz w:val="24"/>
          <w:szCs w:val="24"/>
        </w:rPr>
        <w:t xml:space="preserve"> Bayly, Martin &amp; Fay, Inc. v. Pete’s Satire, Inc.</w:t>
      </w:r>
      <w:r w:rsidRPr="002547C3">
        <w:rPr>
          <w:rFonts w:eastAsia="Times New Roman"/>
          <w:sz w:val="24"/>
          <w:szCs w:val="24"/>
        </w:rPr>
        <w:t xml:space="preserve">, 739 P.2d 239 (Colo. 1987); </w:t>
      </w:r>
      <w:r w:rsidRPr="002547C3">
        <w:rPr>
          <w:rFonts w:eastAsia="Times New Roman"/>
          <w:b/>
          <w:sz w:val="24"/>
          <w:szCs w:val="24"/>
        </w:rPr>
        <w:t>Independent Lumber Co. v. Leatherwood</w:t>
      </w:r>
      <w:r w:rsidRPr="002547C3">
        <w:rPr>
          <w:rFonts w:eastAsia="Times New Roman"/>
          <w:sz w:val="24"/>
          <w:szCs w:val="24"/>
        </w:rPr>
        <w:t xml:space="preserve">, 102 Colo. 460, 79 P.2d 1052 (1938); </w:t>
      </w:r>
      <w:r w:rsidRPr="002547C3">
        <w:rPr>
          <w:rFonts w:eastAsia="Times New Roman"/>
          <w:b/>
          <w:sz w:val="24"/>
          <w:szCs w:val="24"/>
        </w:rPr>
        <w:t>Thompson v. Riveland</w:t>
      </w:r>
      <w:r w:rsidRPr="002547C3">
        <w:rPr>
          <w:rFonts w:eastAsia="Times New Roman"/>
          <w:sz w:val="24"/>
          <w:szCs w:val="24"/>
        </w:rPr>
        <w:t xml:space="preserve">, 714 P.2d 1338 (Colo. App. 1986) (proof of compensable harm or damages is a necessary element of liability); and </w:t>
      </w:r>
      <w:r w:rsidRPr="002547C3">
        <w:rPr>
          <w:rFonts w:eastAsia="Times New Roman"/>
          <w:b/>
          <w:sz w:val="24"/>
          <w:szCs w:val="24"/>
        </w:rPr>
        <w:t>Camacho v. Mennonite Board of Missions</w:t>
      </w:r>
      <w:r w:rsidRPr="002547C3">
        <w:rPr>
          <w:rFonts w:eastAsia="Times New Roman"/>
          <w:sz w:val="24"/>
          <w:szCs w:val="24"/>
        </w:rPr>
        <w:t>, 703 P.2d 598 (Colo. App. 1985). Also</w:t>
      </w:r>
      <w:r w:rsidR="005E5F70">
        <w:rPr>
          <w:rFonts w:eastAsia="Times New Roman"/>
          <w:sz w:val="24"/>
          <w:szCs w:val="24"/>
        </w:rPr>
        <w:t>,</w:t>
      </w:r>
      <w:r w:rsidRPr="002547C3">
        <w:rPr>
          <w:rFonts w:eastAsia="Times New Roman"/>
          <w:sz w:val="24"/>
          <w:szCs w:val="24"/>
        </w:rPr>
        <w:t xml:space="preserve"> in general support of this instruction, see the instructions approved in </w:t>
      </w:r>
      <w:r w:rsidRPr="002547C3">
        <w:rPr>
          <w:rFonts w:eastAsia="Times New Roman"/>
          <w:b/>
          <w:sz w:val="24"/>
          <w:szCs w:val="24"/>
        </w:rPr>
        <w:t>Folck v. Haser</w:t>
      </w:r>
      <w:r w:rsidRPr="002547C3">
        <w:rPr>
          <w:rFonts w:eastAsia="Times New Roman"/>
          <w:sz w:val="24"/>
          <w:szCs w:val="24"/>
        </w:rPr>
        <w:t>, 164 Colo. 11, 432 P.2d 245 (1967).</w:t>
      </w:r>
      <w:r w:rsidR="004520DB">
        <w:rPr>
          <w:rFonts w:eastAsia="Times New Roman"/>
          <w:sz w:val="24"/>
          <w:szCs w:val="24"/>
        </w:rPr>
        <w:t xml:space="preserve"> The supreme court cited with approval an instruction based on this pattern instruction in </w:t>
      </w:r>
      <w:r w:rsidR="004520DB" w:rsidRPr="00441A42">
        <w:rPr>
          <w:rFonts w:eastAsia="Times New Roman"/>
          <w:b/>
          <w:sz w:val="24"/>
          <w:szCs w:val="24"/>
        </w:rPr>
        <w:t>Rains v. Barber</w:t>
      </w:r>
      <w:r w:rsidR="004520DB" w:rsidRPr="004520DB">
        <w:rPr>
          <w:rFonts w:eastAsia="Times New Roman"/>
          <w:sz w:val="24"/>
          <w:szCs w:val="24"/>
        </w:rPr>
        <w:t xml:space="preserve">, 2018 CO 61, </w:t>
      </w:r>
      <w:r w:rsidR="00831BE9">
        <w:rPr>
          <w:rFonts w:eastAsia="Times New Roman"/>
          <w:sz w:val="24"/>
          <w:szCs w:val="24"/>
        </w:rPr>
        <w:t xml:space="preserve">¶ </w:t>
      </w:r>
      <w:r w:rsidR="004520DB" w:rsidRPr="004520DB">
        <w:rPr>
          <w:rFonts w:eastAsia="Times New Roman"/>
          <w:sz w:val="24"/>
          <w:szCs w:val="24"/>
        </w:rPr>
        <w:t>18, 420 P.3d 969</w:t>
      </w:r>
      <w:r w:rsidR="004520DB">
        <w:rPr>
          <w:rFonts w:eastAsia="Times New Roman"/>
          <w:sz w:val="24"/>
          <w:szCs w:val="24"/>
        </w:rPr>
        <w:t xml:space="preserve">. </w:t>
      </w:r>
    </w:p>
    <w:p w14:paraId="4EC4DAF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Existence and Scope of a Legal Duty</w:t>
      </w:r>
    </w:p>
    <w:p w14:paraId="7110913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 This element is discussed in the “Liability” section of the Introductory Note to this chapter. Many additional Colorado Supreme Court cases discuss the existence and scope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 24, 397 P.3d 370 (dog owner did not have a special relationship with pedestrians walking by his house and did not owe a duty to prevent dogs from frightening pedestrians); </w:t>
      </w:r>
      <w:r w:rsidRPr="002547C3">
        <w:rPr>
          <w:rFonts w:eastAsia="Times New Roman"/>
          <w:b/>
          <w:sz w:val="24"/>
          <w:szCs w:val="24"/>
        </w:rPr>
        <w:t>P.W. v. Children’s Hosp. Colo.</w:t>
      </w:r>
      <w:r w:rsidRPr="002547C3">
        <w:rPr>
          <w:rFonts w:eastAsia="Times New Roman"/>
          <w:sz w:val="24"/>
          <w:szCs w:val="24"/>
        </w:rPr>
        <w:t xml:space="preserve">, 2016 CO 6, ¶ 25, 364 P.3d 891 (when a hospital admits a person into its custody who it knows is “actively suicidal” and is admitted for the purpose of preventing self-harm, the hospital assumes a duty to use reasonable care in preventing the patient from engaging in self-harm); </w:t>
      </w:r>
      <w:r w:rsidRPr="002547C3">
        <w:rPr>
          <w:rFonts w:eastAsia="Times New Roman"/>
          <w:b/>
          <w:sz w:val="24"/>
          <w:szCs w:val="24"/>
        </w:rPr>
        <w:t>Westin Operator, LLC v. Groh</w:t>
      </w:r>
      <w:r w:rsidRPr="002547C3">
        <w:rPr>
          <w:rFonts w:eastAsia="Times New Roman"/>
          <w:sz w:val="24"/>
          <w:szCs w:val="24"/>
        </w:rPr>
        <w:t xml:space="preserve">, 2015 CO 25, ¶ 51, 347 P.3d 606 (hotels have a duty to evict patrons in a reasonable manner); </w:t>
      </w:r>
      <w:r w:rsidRPr="002547C3">
        <w:rPr>
          <w:rFonts w:eastAsia="Times New Roman"/>
          <w:b/>
          <w:sz w:val="24"/>
          <w:szCs w:val="24"/>
        </w:rPr>
        <w:t>S K Peightal Eng’rs, LTD v. Mid Valley Real Estate Sols. V, LLC</w:t>
      </w:r>
      <w:r w:rsidRPr="002547C3">
        <w:rPr>
          <w:rFonts w:eastAsia="Times New Roman"/>
          <w:sz w:val="24"/>
          <w:szCs w:val="24"/>
        </w:rPr>
        <w:t xml:space="preserve">, 2015 CO 7, ¶¶ 24-26, 342 P.3d 868 (construction professionals do not have independent tort duty to commercial property owner who acquired defective house through deed in lieu of foreclosure when construction contract documents define the relevant duties of the construction professionals and contractors); </w:t>
      </w:r>
      <w:r w:rsidRPr="002547C3">
        <w:rPr>
          <w:rFonts w:eastAsia="Times New Roman"/>
          <w:b/>
          <w:sz w:val="24"/>
          <w:szCs w:val="24"/>
        </w:rPr>
        <w:t>Ryder v. Mitchell</w:t>
      </w:r>
      <w:r w:rsidRPr="002547C3">
        <w:rPr>
          <w:rFonts w:eastAsia="Times New Roman"/>
          <w:sz w:val="24"/>
          <w:szCs w:val="24"/>
        </w:rPr>
        <w:t xml:space="preserve">, 54 P.3d 885 (Colo. 2002) (child therapist owed no duty to mother of children with respect to letter sent by therapist to the children’s father and new therapist opining that mother was alienating children from father); </w:t>
      </w:r>
      <w:r w:rsidRPr="002547C3">
        <w:rPr>
          <w:rFonts w:eastAsia="Times New Roman"/>
          <w:b/>
          <w:sz w:val="24"/>
          <w:szCs w:val="24"/>
        </w:rPr>
        <w:t>HealthONE v. Rodriguez ex rel.</w:t>
      </w:r>
      <w:r w:rsidRPr="002547C3">
        <w:rPr>
          <w:rFonts w:eastAsia="Times New Roman"/>
          <w:b/>
          <w:i/>
          <w:sz w:val="24"/>
          <w:szCs w:val="24"/>
        </w:rPr>
        <w:t xml:space="preserve"> </w:t>
      </w:r>
      <w:r w:rsidRPr="002547C3">
        <w:rPr>
          <w:rFonts w:eastAsia="Times New Roman"/>
          <w:b/>
          <w:sz w:val="24"/>
          <w:szCs w:val="24"/>
        </w:rPr>
        <w:t>Rodriguez</w:t>
      </w:r>
      <w:r w:rsidRPr="002547C3">
        <w:rPr>
          <w:rFonts w:eastAsia="Times New Roman"/>
          <w:sz w:val="24"/>
          <w:szCs w:val="24"/>
        </w:rPr>
        <w:t xml:space="preserve">, 50 P.3d 879 (Colo. 2002) (anesthesiologist owed duty of care to plaintiff with respect to drug inadvertently left on cart and subsequently given to plaintiff by another physician, even though there was no physician/patient relationship between anesthesiologist and plaintiff); </w:t>
      </w:r>
      <w:r w:rsidRPr="002547C3">
        <w:rPr>
          <w:rFonts w:eastAsia="Times New Roman"/>
          <w:b/>
          <w:sz w:val="24"/>
          <w:szCs w:val="24"/>
        </w:rPr>
        <w:t>Martinez v. Lewis</w:t>
      </w:r>
      <w:r w:rsidRPr="002547C3">
        <w:rPr>
          <w:rFonts w:eastAsia="Times New Roman"/>
          <w:sz w:val="24"/>
          <w:szCs w:val="24"/>
        </w:rPr>
        <w:t xml:space="preserve">, 969 P.2d 213 (Colo. 1998) (physician retained by insurer to conduct medical examination of insured owed no duty of care to insured to use reasonable care in preparing and making report to insurer regarding insured’s medical condition); </w:t>
      </w:r>
      <w:r w:rsidRPr="002547C3">
        <w:rPr>
          <w:rFonts w:eastAsia="Times New Roman"/>
          <w:b/>
          <w:sz w:val="24"/>
          <w:szCs w:val="24"/>
        </w:rPr>
        <w:t>Davenport v. Cmty. Corr. of the Pikes Peak Region, Inc.</w:t>
      </w:r>
      <w:r w:rsidRPr="002547C3">
        <w:rPr>
          <w:rFonts w:eastAsia="Times New Roman"/>
          <w:sz w:val="24"/>
          <w:szCs w:val="24"/>
        </w:rPr>
        <w:t xml:space="preserve">, 962 P.2d 963 (Colo. 1998) (no duty of administrator of private halfway house to protect plaintiff from dangerous behavior of halfway-house resident); </w:t>
      </w:r>
      <w:r w:rsidRPr="002547C3">
        <w:rPr>
          <w:rFonts w:eastAsia="Times New Roman"/>
          <w:b/>
          <w:sz w:val="24"/>
          <w:szCs w:val="24"/>
        </w:rPr>
        <w:t>Trailside Townhome Ass’n v. Acierno</w:t>
      </w:r>
      <w:r w:rsidRPr="002547C3">
        <w:rPr>
          <w:rFonts w:eastAsia="Times New Roman"/>
          <w:sz w:val="24"/>
          <w:szCs w:val="24"/>
        </w:rPr>
        <w:t xml:space="preserve">, 880 P.2d 1197 (Colo. 1994) (duty of townhome association to townhome owners who make use of common areas in townhome complex); </w:t>
      </w:r>
      <w:r w:rsidRPr="002547C3">
        <w:rPr>
          <w:rFonts w:eastAsia="Times New Roman"/>
          <w:b/>
          <w:sz w:val="24"/>
          <w:szCs w:val="24"/>
        </w:rPr>
        <w:t>Bath Excavating &amp; Constr. Co. v. Wills</w:t>
      </w:r>
      <w:r w:rsidRPr="002547C3">
        <w:rPr>
          <w:rFonts w:eastAsia="Times New Roman"/>
          <w:sz w:val="24"/>
          <w:szCs w:val="24"/>
        </w:rPr>
        <w:t xml:space="preserve">, 847 P.2d 1141 (Colo. 1993) (duty of excavation company to city employee injured </w:t>
      </w:r>
      <w:r w:rsidRPr="002547C3">
        <w:rPr>
          <w:rFonts w:eastAsia="Times New Roman"/>
          <w:sz w:val="24"/>
          <w:szCs w:val="24"/>
        </w:rPr>
        <w:lastRenderedPageBreak/>
        <w:t xml:space="preserve">while attempting to plug leak in water line severed by excavation company); </w:t>
      </w:r>
      <w:r w:rsidRPr="002547C3">
        <w:rPr>
          <w:rFonts w:eastAsia="Times New Roman"/>
          <w:b/>
          <w:sz w:val="24"/>
          <w:szCs w:val="24"/>
        </w:rPr>
        <w:t>Greenberg v. Perkins</w:t>
      </w:r>
      <w:r w:rsidRPr="002547C3">
        <w:rPr>
          <w:rFonts w:eastAsia="Times New Roman"/>
          <w:sz w:val="24"/>
          <w:szCs w:val="24"/>
        </w:rPr>
        <w:t xml:space="preserve">, 845 P.2d 530 (Colo. 1993) (duty of physician retained by defendant in personal injury action to use due care in subjecting plaintiff to medical tests); </w:t>
      </w:r>
      <w:r w:rsidRPr="002547C3">
        <w:rPr>
          <w:rFonts w:eastAsia="Times New Roman"/>
          <w:b/>
          <w:sz w:val="24"/>
          <w:szCs w:val="24"/>
        </w:rPr>
        <w:t>Mile Hi Concrete, Inc. v. Matz</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842 P.2d 198 (Colo. 1992) (duty of concrete manufacturer to warn user of the dangers of continued exposure to wet concrete); </w:t>
      </w:r>
      <w:r w:rsidRPr="002547C3">
        <w:rPr>
          <w:rFonts w:eastAsia="Times New Roman"/>
          <w:b/>
          <w:sz w:val="24"/>
          <w:szCs w:val="24"/>
        </w:rPr>
        <w:t>Connes v. Molalla Transp. Sys., Inc.</w:t>
      </w:r>
      <w:r w:rsidRPr="002547C3">
        <w:rPr>
          <w:rFonts w:eastAsia="Times New Roman"/>
          <w:sz w:val="24"/>
          <w:szCs w:val="24"/>
        </w:rPr>
        <w:t xml:space="preserve">, 831 P.2d 1316 (Colo. 1992) (no duty of employer of long-haul truck driver with criminal record to woman sexually assaulted by driver); </w:t>
      </w:r>
      <w:r w:rsidRPr="002547C3">
        <w:rPr>
          <w:rFonts w:eastAsia="Times New Roman"/>
          <w:b/>
          <w:sz w:val="24"/>
          <w:szCs w:val="24"/>
        </w:rPr>
        <w:t>Peterson v. Halsted</w:t>
      </w:r>
      <w:r w:rsidRPr="002547C3">
        <w:rPr>
          <w:rFonts w:eastAsia="Times New Roman"/>
          <w:sz w:val="24"/>
          <w:szCs w:val="24"/>
        </w:rPr>
        <w:t xml:space="preserve">, 829 P.2d 373 (Colo. 1992) (no duty of father who co-signed loan on automobile purchased by emancipated daughter to victims of collision that resulted from daughter’s driving automobile while intoxicated nearly three years after automobile was purchased); </w:t>
      </w:r>
      <w:r w:rsidRPr="002547C3">
        <w:rPr>
          <w:rFonts w:eastAsia="Times New Roman"/>
          <w:b/>
          <w:sz w:val="24"/>
          <w:szCs w:val="24"/>
        </w:rPr>
        <w:t>Casebolt v. Cowan</w:t>
      </w:r>
      <w:r w:rsidRPr="002547C3">
        <w:rPr>
          <w:rFonts w:eastAsia="Times New Roman"/>
          <w:sz w:val="24"/>
          <w:szCs w:val="24"/>
        </w:rPr>
        <w:t xml:space="preserve">, 829 P.2d 352 (Colo. 1992) (duty of employer under negligent entrustment theory to employee who was killed as a result of driving an automobile borrowed from employer when employee was intoxicated); </w:t>
      </w:r>
      <w:r w:rsidRPr="002547C3">
        <w:rPr>
          <w:rFonts w:eastAsia="Times New Roman"/>
          <w:b/>
          <w:sz w:val="24"/>
          <w:szCs w:val="24"/>
        </w:rPr>
        <w:t>Observatory Corp. v. Daly</w:t>
      </w:r>
      <w:r w:rsidRPr="002547C3">
        <w:rPr>
          <w:rFonts w:eastAsia="Times New Roman"/>
          <w:sz w:val="24"/>
          <w:szCs w:val="24"/>
        </w:rPr>
        <w:t xml:space="preserve">, 780 P.2d 462 (Colo. 1989) (duty of tavern owner to prevent injury to patrons); </w:t>
      </w:r>
      <w:r w:rsidRPr="002547C3">
        <w:rPr>
          <w:rFonts w:eastAsia="Times New Roman"/>
          <w:b/>
          <w:sz w:val="24"/>
          <w:szCs w:val="24"/>
        </w:rPr>
        <w:t>Perreira v. State</w:t>
      </w:r>
      <w:r w:rsidRPr="002547C3">
        <w:rPr>
          <w:rFonts w:eastAsia="Times New Roman"/>
          <w:sz w:val="24"/>
          <w:szCs w:val="24"/>
        </w:rPr>
        <w:t xml:space="preserve">, 768 P.2d 1198 (Colo. 1989) (duty of staff psychiatrist at mental health facility to victim assaulted by patient released by psychiatrist); </w:t>
      </w:r>
      <w:r w:rsidRPr="002547C3">
        <w:rPr>
          <w:rFonts w:eastAsia="Times New Roman"/>
          <w:b/>
          <w:sz w:val="24"/>
          <w:szCs w:val="24"/>
        </w:rPr>
        <w:t>Bittle v. Brunetti</w:t>
      </w:r>
      <w:r w:rsidRPr="002547C3">
        <w:rPr>
          <w:rFonts w:eastAsia="Times New Roman"/>
          <w:sz w:val="24"/>
          <w:szCs w:val="24"/>
        </w:rPr>
        <w:t xml:space="preserve">, 750 P.2d 49 (Colo. 1988) (no duty of commercial property owners to pedestrian injured on abutting public sidewalk); </w:t>
      </w:r>
      <w:r w:rsidRPr="002547C3">
        <w:rPr>
          <w:rFonts w:eastAsia="Times New Roman"/>
          <w:b/>
          <w:sz w:val="24"/>
          <w:szCs w:val="24"/>
        </w:rPr>
        <w:t>Univ. of Denver v. Whitlock</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744 P.2d 54 (Colo. 1987) (no duty on part of university to prevent student from being injured in trampoline accident at fraternity house); </w:t>
      </w:r>
      <w:r w:rsidRPr="002547C3">
        <w:rPr>
          <w:rFonts w:eastAsia="Times New Roman"/>
          <w:b/>
          <w:sz w:val="24"/>
          <w:szCs w:val="24"/>
        </w:rPr>
        <w:t>Taco Bell, Inc. v. Lannon</w:t>
      </w:r>
      <w:r w:rsidRPr="002547C3">
        <w:rPr>
          <w:rFonts w:eastAsia="Times New Roman"/>
          <w:sz w:val="24"/>
          <w:szCs w:val="24"/>
        </w:rPr>
        <w:t>, 744 P.2d 43 (Colo. 1987) (duty of fast food restaurant to protect patrons from criminal acts of unknown third parties).</w:t>
      </w:r>
    </w:p>
    <w:p w14:paraId="23A0BFC2" w14:textId="688943F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3. The Colorado Court of Appeals has also discussed the scope and existence of a legal duty. </w:t>
      </w:r>
      <w:r w:rsidRPr="002547C3">
        <w:rPr>
          <w:rFonts w:eastAsia="Times New Roman"/>
          <w:i/>
          <w:sz w:val="24"/>
          <w:szCs w:val="24"/>
        </w:rPr>
        <w:t>See</w:t>
      </w:r>
      <w:r w:rsidRPr="002547C3">
        <w:rPr>
          <w:rFonts w:eastAsia="Times New Roman"/>
          <w:sz w:val="24"/>
          <w:szCs w:val="24"/>
        </w:rPr>
        <w:t xml:space="preserve"> </w:t>
      </w:r>
      <w:r w:rsidR="00F72DDA" w:rsidRPr="00981EFD">
        <w:rPr>
          <w:rFonts w:eastAsia="Times New Roman"/>
          <w:b/>
          <w:bCs/>
          <w:sz w:val="24"/>
          <w:szCs w:val="24"/>
        </w:rPr>
        <w:t>Blakesley v. Burlington N. Santa Fe Ry</w:t>
      </w:r>
      <w:r w:rsidR="00F72DDA" w:rsidRPr="00E0004D">
        <w:rPr>
          <w:rFonts w:eastAsia="Times New Roman"/>
          <w:b/>
          <w:sz w:val="24"/>
          <w:szCs w:val="24"/>
        </w:rPr>
        <w:t>.</w:t>
      </w:r>
      <w:r w:rsidR="00F72DDA" w:rsidRPr="001C1A96">
        <w:rPr>
          <w:rFonts w:eastAsia="Times New Roman"/>
          <w:sz w:val="24"/>
          <w:szCs w:val="24"/>
        </w:rPr>
        <w:t>, 2019 COA 119, ¶ 32</w:t>
      </w:r>
      <w:r w:rsidR="00F72DDA">
        <w:rPr>
          <w:rFonts w:eastAsia="Times New Roman"/>
          <w:sz w:val="24"/>
          <w:szCs w:val="24"/>
        </w:rPr>
        <w:t xml:space="preserve"> (railroad and its employee who gave jobsite safety instructions to third-party contractor on railroad property owed duty to provide reasonable instructions); </w:t>
      </w:r>
      <w:r w:rsidR="00F72DDA" w:rsidRPr="00981EFD">
        <w:rPr>
          <w:rFonts w:eastAsia="Times New Roman"/>
          <w:b/>
          <w:bCs/>
          <w:sz w:val="24"/>
          <w:szCs w:val="24"/>
        </w:rPr>
        <w:t>Wagner v. Planned Parenthood Fed</w:t>
      </w:r>
      <w:r w:rsidR="00F72DDA">
        <w:rPr>
          <w:rFonts w:eastAsia="Times New Roman"/>
          <w:b/>
          <w:bCs/>
          <w:sz w:val="24"/>
          <w:szCs w:val="24"/>
        </w:rPr>
        <w:t>’</w:t>
      </w:r>
      <w:r w:rsidR="00F72DDA" w:rsidRPr="00981EFD">
        <w:rPr>
          <w:rFonts w:eastAsia="Times New Roman"/>
          <w:b/>
          <w:bCs/>
          <w:sz w:val="24"/>
          <w:szCs w:val="24"/>
        </w:rPr>
        <w:t>n of Am., Inc.</w:t>
      </w:r>
      <w:r w:rsidR="00F72DDA" w:rsidRPr="00B80CD0">
        <w:rPr>
          <w:rFonts w:eastAsia="Times New Roman"/>
          <w:sz w:val="24"/>
          <w:szCs w:val="24"/>
        </w:rPr>
        <w:t>, 2019 COA 26, ¶ 11</w:t>
      </w:r>
      <w:r w:rsidR="00F72DDA">
        <w:rPr>
          <w:rFonts w:eastAsia="Times New Roman"/>
          <w:sz w:val="24"/>
          <w:szCs w:val="24"/>
        </w:rPr>
        <w:t xml:space="preserve"> (Planned Parenthood Federation of America did not owe duty to protect clinic patrons or bystanders from mass shooting event when it did not control clinic or own or possess the land on which clinic was situated)</w:t>
      </w:r>
      <w:r w:rsidR="00381584">
        <w:rPr>
          <w:rFonts w:eastAsia="Times New Roman"/>
          <w:sz w:val="24"/>
          <w:szCs w:val="24"/>
        </w:rPr>
        <w:t xml:space="preserve"> (</w:t>
      </w:r>
      <w:r w:rsidR="00381584">
        <w:rPr>
          <w:rFonts w:eastAsia="Times New Roman"/>
          <w:i/>
          <w:iCs/>
          <w:sz w:val="24"/>
          <w:szCs w:val="24"/>
        </w:rPr>
        <w:t xml:space="preserve">cert. granted </w:t>
      </w:r>
      <w:r w:rsidR="00381584">
        <w:rPr>
          <w:rFonts w:eastAsia="Times New Roman"/>
          <w:iCs/>
          <w:sz w:val="24"/>
          <w:szCs w:val="24"/>
        </w:rPr>
        <w:t>Sept. 9, 2019)</w:t>
      </w:r>
      <w:r w:rsidR="00F72DDA">
        <w:rPr>
          <w:rFonts w:eastAsia="Times New Roman"/>
          <w:sz w:val="24"/>
          <w:szCs w:val="24"/>
        </w:rPr>
        <w:t xml:space="preserve">; </w:t>
      </w:r>
      <w:r w:rsidR="00F72DDA" w:rsidRPr="00981EFD">
        <w:rPr>
          <w:rFonts w:eastAsia="Times New Roman"/>
          <w:b/>
          <w:bCs/>
          <w:sz w:val="24"/>
          <w:szCs w:val="24"/>
        </w:rPr>
        <w:t>Garcia v. Colo. Cab Co.</w:t>
      </w:r>
      <w:r w:rsidR="00F72DDA" w:rsidRPr="00412DB3">
        <w:rPr>
          <w:rFonts w:eastAsia="Times New Roman"/>
          <w:sz w:val="24"/>
          <w:szCs w:val="24"/>
        </w:rPr>
        <w:t>, 2019 COA 3, ¶ 14</w:t>
      </w:r>
      <w:r w:rsidR="00F72DDA">
        <w:rPr>
          <w:rFonts w:eastAsia="Times New Roman"/>
          <w:sz w:val="24"/>
          <w:szCs w:val="24"/>
        </w:rPr>
        <w:t xml:space="preserve"> (taxi cab company did not owe duty to protect non-passenger from battery by taxi passenger when the non-passenger walked up to the taxi believing it was responding to his call for a ride) (</w:t>
      </w:r>
      <w:r w:rsidR="00F72DDA">
        <w:rPr>
          <w:rFonts w:eastAsia="Times New Roman"/>
          <w:i/>
          <w:iCs/>
          <w:sz w:val="24"/>
          <w:szCs w:val="24"/>
        </w:rPr>
        <w:t>cert. granted on other grounds</w:t>
      </w:r>
      <w:r w:rsidR="00F72DDA">
        <w:rPr>
          <w:rFonts w:eastAsia="Times New Roman"/>
          <w:iCs/>
          <w:sz w:val="24"/>
          <w:szCs w:val="24"/>
        </w:rPr>
        <w:t xml:space="preserve"> July 1, 2019)</w:t>
      </w:r>
      <w:r w:rsidR="00F72DDA">
        <w:rPr>
          <w:rFonts w:eastAsia="Times New Roman"/>
          <w:sz w:val="24"/>
          <w:szCs w:val="24"/>
        </w:rPr>
        <w:t xml:space="preserve">; </w:t>
      </w:r>
      <w:r w:rsidRPr="002547C3">
        <w:rPr>
          <w:rFonts w:eastAsia="Times New Roman"/>
          <w:b/>
          <w:sz w:val="24"/>
          <w:szCs w:val="24"/>
        </w:rPr>
        <w:t>Lopez v. Trujillo</w:t>
      </w:r>
      <w:r w:rsidRPr="002547C3">
        <w:rPr>
          <w:rFonts w:eastAsia="Times New Roman"/>
          <w:sz w:val="24"/>
          <w:szCs w:val="24"/>
        </w:rPr>
        <w:t xml:space="preserve">, 2016 COA 53, ¶¶ 15-31, 399 P.3d 750 (homeowner who kept dog in a fenced yard did not owe duty to protect pedestrians on sidewalk adjacent from the yard from being frightened by homeowner’s dog, analyzing cases from multiple jurisdictions), </w:t>
      </w:r>
      <w:r w:rsidRPr="002547C3">
        <w:rPr>
          <w:rFonts w:eastAsia="Times New Roman"/>
          <w:i/>
          <w:sz w:val="24"/>
          <w:szCs w:val="24"/>
        </w:rPr>
        <w:t>aff’d sub nom</w:t>
      </w:r>
      <w:r w:rsidR="00126B7A">
        <w:rPr>
          <w:rFonts w:eastAsia="Times New Roman"/>
          <w:i/>
          <w:sz w:val="24"/>
          <w:szCs w:val="24"/>
        </w:rPr>
        <w:t>.</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397 P.3d 370; </w:t>
      </w:r>
      <w:r w:rsidRPr="002547C3">
        <w:rPr>
          <w:rFonts w:eastAsia="Times New Roman"/>
          <w:b/>
          <w:sz w:val="24"/>
          <w:szCs w:val="24"/>
        </w:rPr>
        <w:t>Laughman v. Girtakovskis</w:t>
      </w:r>
      <w:r w:rsidRPr="002547C3">
        <w:rPr>
          <w:rFonts w:eastAsia="Times New Roman"/>
          <w:sz w:val="24"/>
          <w:szCs w:val="24"/>
        </w:rPr>
        <w:t xml:space="preserve">, 2015 COA 143, ¶ 14, 374 P.3d 504 (co-participants in a martial arts sparring activity, an inherently dangerous sport, do not owe each other a duty of ordinary care that would support a negligence claim where the conduct at issue was within the realm of conduct anticipated in the sport); </w:t>
      </w:r>
      <w:r w:rsidRPr="002547C3">
        <w:rPr>
          <w:rFonts w:eastAsia="Times New Roman"/>
          <w:b/>
          <w:sz w:val="24"/>
          <w:szCs w:val="24"/>
        </w:rPr>
        <w:t>Beasley v. Best Car Buys, LTD</w:t>
      </w:r>
      <w:r w:rsidRPr="002547C3">
        <w:rPr>
          <w:rFonts w:eastAsia="Times New Roman"/>
          <w:sz w:val="24"/>
          <w:szCs w:val="24"/>
        </w:rPr>
        <w:t xml:space="preserve">, 2015 COA 145, ¶ 14, 363 P.3d 777 (car vendor has no duty to inquire into a buyer’s driving history or to investigate the status of his license, particularly when that vendor has no reason to believe that the purchaser has dangerous driving habits); </w:t>
      </w:r>
      <w:r w:rsidRPr="002547C3">
        <w:rPr>
          <w:rFonts w:eastAsia="Times New Roman"/>
          <w:b/>
          <w:sz w:val="24"/>
          <w:szCs w:val="24"/>
        </w:rPr>
        <w:t>Bedee v. Am. Med. Response</w:t>
      </w:r>
      <w:r w:rsidRPr="002547C3">
        <w:rPr>
          <w:rFonts w:eastAsia="Times New Roman"/>
          <w:sz w:val="24"/>
          <w:szCs w:val="24"/>
        </w:rPr>
        <w:t xml:space="preserve">, 2015 COA 128, ¶ 30, 361 P.3d 1083 (ambulance driver owes passenger ordinary duty of care, not heightened duty for activity involving increased risk of injury, where ambulance was traveling at normal speeds in a nonemergency situation and the passenger was wearing a seat belt); </w:t>
      </w:r>
      <w:r w:rsidRPr="002547C3">
        <w:rPr>
          <w:rFonts w:eastAsia="Times New Roman"/>
          <w:b/>
          <w:sz w:val="24"/>
          <w:szCs w:val="24"/>
        </w:rPr>
        <w:t>Boulders at Escalante LLC v. Otten Johnson Robinson Neff &amp; Ragonetti PC</w:t>
      </w:r>
      <w:r w:rsidRPr="002547C3">
        <w:rPr>
          <w:rFonts w:eastAsia="Times New Roman"/>
          <w:sz w:val="24"/>
          <w:szCs w:val="24"/>
        </w:rPr>
        <w:t>, 2015 COA 85, ¶ 58</w:t>
      </w:r>
      <w:r w:rsidR="002E1D11">
        <w:rPr>
          <w:rFonts w:eastAsia="Times New Roman"/>
          <w:sz w:val="24"/>
          <w:szCs w:val="24"/>
        </w:rPr>
        <w:t>, 412 P.3d 751</w:t>
      </w:r>
      <w:r w:rsidRPr="002547C3">
        <w:rPr>
          <w:rFonts w:eastAsia="Times New Roman"/>
          <w:sz w:val="24"/>
          <w:szCs w:val="24"/>
        </w:rPr>
        <w:t xml:space="preserve"> (law firm owed developer client a duty to render competent advice on insurance coverage issue); </w:t>
      </w:r>
      <w:r w:rsidRPr="002547C3">
        <w:rPr>
          <w:rFonts w:eastAsia="Times New Roman"/>
          <w:b/>
          <w:sz w:val="24"/>
          <w:szCs w:val="24"/>
        </w:rPr>
        <w:lastRenderedPageBreak/>
        <w:t>In re Estate of Gattis</w:t>
      </w:r>
      <w:r w:rsidRPr="002547C3">
        <w:rPr>
          <w:rFonts w:eastAsia="Times New Roman"/>
          <w:sz w:val="24"/>
          <w:szCs w:val="24"/>
        </w:rPr>
        <w:t xml:space="preserve">, 2013 COA 145, ¶ 17, 318 P.3d 549 (home sellers have independent duty to disclose latent but known defects to home buyers); </w:t>
      </w:r>
      <w:r w:rsidRPr="002547C3">
        <w:rPr>
          <w:rFonts w:eastAsia="Times New Roman"/>
          <w:b/>
          <w:sz w:val="24"/>
          <w:szCs w:val="24"/>
        </w:rPr>
        <w:t>Collard v. Vista Paving Corp.</w:t>
      </w:r>
      <w:r w:rsidRPr="002547C3">
        <w:rPr>
          <w:rFonts w:eastAsia="Times New Roman"/>
          <w:sz w:val="24"/>
          <w:szCs w:val="24"/>
        </w:rPr>
        <w:t>, 2012 COA 208, ¶ 61, 292 P.3d 1232 (When a road contractor finishes contracted work and then leaves the site in a dangerous condition as a result of that work, the contractor has an independent duty for a reasonable period of time either to eliminate the dangerous condition or warn of its existence; however, no such duty exists if the contractor has a good-faith reasonable belief that, after the contractor completed its work, another party would properly take the necessary measures to eliminate the danger or provide adequate warnings to foreseeable users.);</w:t>
      </w:r>
      <w:r w:rsidRPr="002547C3">
        <w:rPr>
          <w:rFonts w:eastAsia="Times New Roman"/>
          <w:b/>
          <w:sz w:val="24"/>
          <w:szCs w:val="24"/>
        </w:rPr>
        <w:t xml:space="preserve"> Draper v. DeFrenchi-Gordineer</w:t>
      </w:r>
      <w:r w:rsidRPr="002547C3">
        <w:rPr>
          <w:rFonts w:eastAsia="Times New Roman"/>
          <w:sz w:val="24"/>
          <w:szCs w:val="24"/>
        </w:rPr>
        <w:t xml:space="preserve">, 282 P.3d 489 (Colo. App. 2011) (negligent entrustment); </w:t>
      </w:r>
      <w:r w:rsidRPr="002547C3">
        <w:rPr>
          <w:rFonts w:eastAsia="Times New Roman"/>
          <w:b/>
          <w:sz w:val="24"/>
          <w:szCs w:val="24"/>
        </w:rPr>
        <w:t>J.C. v. Dungarvin Colo., LLC</w:t>
      </w:r>
      <w:r w:rsidRPr="002547C3">
        <w:rPr>
          <w:rFonts w:eastAsia="Times New Roman"/>
          <w:sz w:val="24"/>
          <w:szCs w:val="24"/>
        </w:rPr>
        <w:t xml:space="preserve">, 252 P.3d 41 (Colo. App. 2010) (providers of services to the developmentally disabled owe no affirmative duty to third parties to warn of dangerous tendencies unless the individual communicated a serious and credible threat against a specific person or a federal or state law or regulation imposes a duty of care under sections 13-21-117.5(4), (6), C.R.S.); </w:t>
      </w:r>
      <w:r w:rsidRPr="002547C3">
        <w:rPr>
          <w:rFonts w:eastAsia="Times New Roman"/>
          <w:b/>
          <w:sz w:val="24"/>
          <w:szCs w:val="24"/>
        </w:rPr>
        <w:t>Barfield v. Hall Realty, Inc.</w:t>
      </w:r>
      <w:r w:rsidRPr="002547C3">
        <w:rPr>
          <w:rFonts w:eastAsia="Times New Roman"/>
          <w:sz w:val="24"/>
          <w:szCs w:val="24"/>
        </w:rPr>
        <w:t xml:space="preserve">, 232 P.3d 286 (Colo. App. 2010) (“transaction broker” has no duty to investigate property and cannot be liable for negligent misrepresentation without actual knowledge); </w:t>
      </w:r>
      <w:r w:rsidRPr="002547C3">
        <w:rPr>
          <w:rFonts w:eastAsia="Times New Roman"/>
          <w:b/>
          <w:sz w:val="24"/>
          <w:szCs w:val="24"/>
        </w:rPr>
        <w:t>Apodaca v. Allstate Ins. Co.</w:t>
      </w:r>
      <w:r w:rsidRPr="002547C3">
        <w:rPr>
          <w:rFonts w:eastAsia="Times New Roman"/>
          <w:sz w:val="24"/>
          <w:szCs w:val="24"/>
        </w:rPr>
        <w:t xml:space="preserve">, 232 P.3d 253 (Colo. App. 2009) (insurance agent has no duty to insured beyond acting reasonably to procure the insurance requested by the insured or to notify the insured of the inability or failure to do so), </w:t>
      </w:r>
      <w:r w:rsidRPr="002547C3">
        <w:rPr>
          <w:rFonts w:eastAsia="Times New Roman"/>
          <w:i/>
          <w:sz w:val="24"/>
          <w:szCs w:val="24"/>
        </w:rPr>
        <w:t>aff’d on other grounds</w:t>
      </w:r>
      <w:r w:rsidRPr="002547C3">
        <w:rPr>
          <w:rFonts w:eastAsia="Times New Roman"/>
          <w:sz w:val="24"/>
          <w:szCs w:val="24"/>
        </w:rPr>
        <w:t xml:space="preserve">, 255 P.3d 1099 (Colo. 2011); </w:t>
      </w:r>
      <w:r w:rsidRPr="002547C3">
        <w:rPr>
          <w:rFonts w:eastAsia="Times New Roman"/>
          <w:b/>
          <w:sz w:val="24"/>
          <w:szCs w:val="24"/>
        </w:rPr>
        <w:t>Hamon Contractors, Inc. v. Carter &amp; Burgess, Inc.</w:t>
      </w:r>
      <w:r w:rsidRPr="002547C3">
        <w:rPr>
          <w:rFonts w:eastAsia="Times New Roman"/>
          <w:sz w:val="24"/>
          <w:szCs w:val="24"/>
        </w:rPr>
        <w:t xml:space="preserve">, 229 P.3d 282 (Colo. App. 2009) (because the alleged tortious conduct was nonfeasance and no special relationship existed, contractor had no duty to inform project administrator of design flaws during bidding process); </w:t>
      </w:r>
      <w:r w:rsidRPr="002547C3">
        <w:rPr>
          <w:rFonts w:eastAsia="Times New Roman"/>
          <w:b/>
          <w:sz w:val="24"/>
          <w:szCs w:val="24"/>
        </w:rPr>
        <w:t>W. Innovations, Inc., v. Sonitrol Corp.</w:t>
      </w:r>
      <w:r w:rsidRPr="002547C3">
        <w:rPr>
          <w:rFonts w:eastAsia="Times New Roman"/>
          <w:sz w:val="24"/>
          <w:szCs w:val="24"/>
        </w:rPr>
        <w:t xml:space="preserve">, 187 P.3d 1155 (Colo. App. 2008) (no duty of security company to notify customer whose security alarm was not going off that security system of its neighbor, also a customer, was sounding an alarm); </w:t>
      </w:r>
      <w:r w:rsidRPr="002547C3">
        <w:rPr>
          <w:rFonts w:eastAsia="Times New Roman"/>
          <w:b/>
          <w:sz w:val="24"/>
          <w:szCs w:val="24"/>
        </w:rPr>
        <w:t>Montoya v. Connolly’s Towing, Inc</w:t>
      </w:r>
      <w:r w:rsidRPr="002547C3">
        <w:rPr>
          <w:rFonts w:eastAsia="Times New Roman"/>
          <w:sz w:val="24"/>
          <w:szCs w:val="24"/>
        </w:rPr>
        <w:t xml:space="preserve">., 216 P.3d 98 (Colo. App. 2008) (duty of tow yard to disclose to non-employee towing a car it stored that its premises safety rules were not uniformly enforced); </w:t>
      </w:r>
      <w:r w:rsidRPr="002547C3">
        <w:rPr>
          <w:rFonts w:eastAsia="Times New Roman"/>
          <w:b/>
          <w:sz w:val="24"/>
          <w:szCs w:val="24"/>
        </w:rPr>
        <w:t>Wark v. McClellan</w:t>
      </w:r>
      <w:r w:rsidRPr="002547C3">
        <w:rPr>
          <w:rFonts w:eastAsia="Times New Roman"/>
          <w:sz w:val="24"/>
          <w:szCs w:val="24"/>
        </w:rPr>
        <w:t xml:space="preserve">, 68 P.3d 574 (Colo. App. 2003) (no duty of parents, who were passengers with their children in a car driven by another, to protect children by protesting driver’s actions or intervening in driver’s control of vehicle); </w:t>
      </w:r>
      <w:r w:rsidRPr="002547C3">
        <w:rPr>
          <w:rFonts w:eastAsia="Times New Roman"/>
          <w:b/>
          <w:sz w:val="24"/>
          <w:szCs w:val="24"/>
        </w:rPr>
        <w:t>E. Meadows Co. v. Greeley Irrigation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66 P.3d 214 (Colo. App. 2003) (discussing duty imposed by section 7-42-108, C.R.S., on ditch owners to maintain ditches to prevent water from escaping and injuring property of others); </w:t>
      </w:r>
      <w:r w:rsidRPr="002547C3">
        <w:rPr>
          <w:rFonts w:eastAsia="Times New Roman"/>
          <w:b/>
          <w:sz w:val="24"/>
          <w:szCs w:val="24"/>
        </w:rPr>
        <w:t>Command Commc’ns, Inc. v. Fritz Cos.</w:t>
      </w:r>
      <w:r w:rsidRPr="002547C3">
        <w:rPr>
          <w:rFonts w:eastAsia="Times New Roman"/>
          <w:sz w:val="24"/>
          <w:szCs w:val="24"/>
        </w:rPr>
        <w:t xml:space="preserve">, 36 P.3d 182 (Colo. App. 2001) (custom brokers had no duty continuously to research rulings on products similar to those imported by their customers); </w:t>
      </w:r>
      <w:r w:rsidRPr="002547C3">
        <w:rPr>
          <w:rFonts w:eastAsia="Times New Roman"/>
          <w:b/>
          <w:sz w:val="24"/>
          <w:szCs w:val="24"/>
        </w:rPr>
        <w:t>Cooper v. United States Ski Ass’n</w:t>
      </w:r>
      <w:r w:rsidRPr="002547C3">
        <w:rPr>
          <w:rFonts w:eastAsia="Times New Roman"/>
          <w:sz w:val="24"/>
          <w:szCs w:val="24"/>
        </w:rPr>
        <w:t xml:space="preserve">, 32 P.3d 502 (Colo. App. 2000) (ski company owed no duty to skier to supervise skiing instruction of ski club that used ski company facilities but was not associated with the ski company in any way), </w:t>
      </w:r>
      <w:r w:rsidRPr="002547C3">
        <w:rPr>
          <w:rFonts w:eastAsia="Times New Roman"/>
          <w:i/>
          <w:sz w:val="24"/>
          <w:szCs w:val="24"/>
        </w:rPr>
        <w:t>rev’d on other grounds</w:t>
      </w:r>
      <w:r w:rsidRPr="002547C3">
        <w:rPr>
          <w:rFonts w:eastAsia="Times New Roman"/>
          <w:sz w:val="24"/>
          <w:szCs w:val="24"/>
        </w:rPr>
        <w:t xml:space="preserve">, 48 P.3d 1229 (Colo. 2002); </w:t>
      </w:r>
      <w:r w:rsidRPr="002547C3">
        <w:rPr>
          <w:rFonts w:eastAsia="Times New Roman"/>
          <w:b/>
          <w:sz w:val="24"/>
          <w:szCs w:val="24"/>
        </w:rPr>
        <w:t>Lewis v. Emil Clayton Plumbing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 P.3d 1254 (Colo. App. 2000) (plumbing contractor, hired to replace water heater, had no duty to inspect or warn occupants of home of danger posed by defective gas stove); </w:t>
      </w:r>
      <w:r w:rsidRPr="002547C3">
        <w:rPr>
          <w:rFonts w:eastAsia="Times New Roman"/>
          <w:b/>
          <w:sz w:val="24"/>
          <w:szCs w:val="24"/>
        </w:rPr>
        <w:t>Weil v. First Nat’l Bank of Castle Rock</w:t>
      </w:r>
      <w:r w:rsidRPr="002547C3">
        <w:rPr>
          <w:rFonts w:eastAsia="Times New Roman"/>
          <w:sz w:val="24"/>
          <w:szCs w:val="24"/>
        </w:rPr>
        <w:t xml:space="preserve">, 983 P.2d 812 (Colo. App. 1999) (bank had no duty to inquire into customer’s authority to open checking account under unregistered trade name); </w:t>
      </w:r>
      <w:r w:rsidRPr="002547C3">
        <w:rPr>
          <w:rFonts w:eastAsia="Times New Roman"/>
          <w:b/>
          <w:sz w:val="24"/>
          <w:szCs w:val="24"/>
        </w:rPr>
        <w:t>Solano v. Goff</w:t>
      </w:r>
      <w:r w:rsidRPr="002547C3">
        <w:rPr>
          <w:rFonts w:eastAsia="Times New Roman"/>
          <w:sz w:val="24"/>
          <w:szCs w:val="24"/>
        </w:rPr>
        <w:t xml:space="preserve">, 985 P.2d 53 (Colo. App. 1999) (county sheriff had no duty to protect murder victim from inmate who escaped from county jail); </w:t>
      </w:r>
      <w:r w:rsidRPr="002547C3">
        <w:rPr>
          <w:rFonts w:eastAsia="Times New Roman"/>
          <w:b/>
          <w:sz w:val="24"/>
          <w:szCs w:val="24"/>
        </w:rPr>
        <w:t>Campbell v. Burt Toyota-Diahatsu, Inc.</w:t>
      </w:r>
      <w:r w:rsidRPr="002547C3">
        <w:rPr>
          <w:rFonts w:eastAsia="Times New Roman"/>
          <w:sz w:val="24"/>
          <w:szCs w:val="24"/>
        </w:rPr>
        <w:t xml:space="preserve">, 983 P.2d 95 (Colo. App. 1998) (no duty of automobile repair shop to warn motorist of danger resulting from modification of seatbelt by motorist’s wife); </w:t>
      </w:r>
      <w:r w:rsidRPr="002547C3">
        <w:rPr>
          <w:rFonts w:eastAsia="Times New Roman"/>
          <w:b/>
          <w:sz w:val="24"/>
          <w:szCs w:val="24"/>
        </w:rPr>
        <w:t>Snow v. Birt</w:t>
      </w:r>
      <w:r w:rsidRPr="002547C3">
        <w:rPr>
          <w:rFonts w:eastAsia="Times New Roman"/>
          <w:sz w:val="24"/>
          <w:szCs w:val="24"/>
        </w:rPr>
        <w:t xml:space="preserve">, 968 P.2d 177 (Colo. App. 1998) (duty of grandparents to protect grandchild from being bitten by father’s dog); </w:t>
      </w:r>
      <w:r w:rsidRPr="002547C3">
        <w:rPr>
          <w:rFonts w:eastAsia="Times New Roman"/>
          <w:b/>
          <w:sz w:val="24"/>
          <w:szCs w:val="24"/>
        </w:rPr>
        <w:t>Molosz v. Hohertz</w:t>
      </w:r>
      <w:r w:rsidRPr="002547C3">
        <w:rPr>
          <w:rFonts w:eastAsia="Times New Roman"/>
          <w:sz w:val="24"/>
          <w:szCs w:val="24"/>
        </w:rPr>
        <w:t xml:space="preserve">, 957 </w:t>
      </w:r>
      <w:r w:rsidRPr="002547C3">
        <w:rPr>
          <w:rFonts w:eastAsia="Times New Roman"/>
          <w:sz w:val="24"/>
          <w:szCs w:val="24"/>
        </w:rPr>
        <w:lastRenderedPageBreak/>
        <w:t xml:space="preserve">P.2d 1049 (Colo. App. 1998) (no duty of landlords to protect neighbors from tenant’s harmful conduct even though landlords knew of tenant’s criminal record and violent propensities); </w:t>
      </w:r>
      <w:r w:rsidRPr="002547C3">
        <w:rPr>
          <w:rFonts w:eastAsia="Times New Roman"/>
          <w:b/>
          <w:sz w:val="24"/>
          <w:szCs w:val="24"/>
        </w:rPr>
        <w:t>Bailey v. Huggins Diagnostic &amp; Rehab. Ctr., Inc.</w:t>
      </w:r>
      <w:r w:rsidRPr="002547C3">
        <w:rPr>
          <w:rFonts w:eastAsia="Times New Roman"/>
          <w:sz w:val="24"/>
          <w:szCs w:val="24"/>
        </w:rPr>
        <w:t xml:space="preserve">, 952 P.2d 768 (Colo. App. 1997) (dentist, who allegedly made false representations in book and on television program regarding effect of “dental amalgams” on health of dental patients, had no duty to plaintiff as member of general public); </w:t>
      </w:r>
      <w:r w:rsidRPr="002547C3">
        <w:rPr>
          <w:rFonts w:eastAsia="Times New Roman"/>
          <w:b/>
          <w:sz w:val="24"/>
          <w:szCs w:val="24"/>
        </w:rPr>
        <w:t>Keith v. Valdez</w:t>
      </w:r>
      <w:r w:rsidRPr="002547C3">
        <w:rPr>
          <w:rFonts w:eastAsia="Times New Roman"/>
          <w:sz w:val="24"/>
          <w:szCs w:val="24"/>
        </w:rPr>
        <w:t xml:space="preserve">, 934 P.2d 897 (Colo. App. 1997) (duty of employer of intoxicated motorist, who was driving employer’s van without employer’s permission, to driver of another vehicle involved in a collision with employer’s van); </w:t>
      </w:r>
      <w:r w:rsidRPr="002547C3">
        <w:rPr>
          <w:rFonts w:eastAsia="Times New Roman"/>
          <w:b/>
          <w:sz w:val="24"/>
          <w:szCs w:val="24"/>
        </w:rPr>
        <w:t>Frisone v. Deane Auto. Ctr., Inc.</w:t>
      </w:r>
      <w:r w:rsidRPr="002547C3">
        <w:rPr>
          <w:rFonts w:eastAsia="Times New Roman"/>
          <w:sz w:val="24"/>
          <w:szCs w:val="24"/>
        </w:rPr>
        <w:t>, 942 P.2d 1215 (Colo. App. 1996) (no duty of automotive center to buyer of used car where center serviced car for previous owner).</w:t>
      </w:r>
    </w:p>
    <w:p w14:paraId="68E92CD9" w14:textId="5804970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Earlier decisions by the Colorado Court of Appeals also include discussions of the scope and existence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Hall v. McBryde</w:t>
      </w:r>
      <w:r w:rsidRPr="002547C3">
        <w:rPr>
          <w:rFonts w:eastAsia="Times New Roman"/>
          <w:sz w:val="24"/>
          <w:szCs w:val="24"/>
        </w:rPr>
        <w:t xml:space="preserve">, 919 P.2d 910 (Colo. App. 1996) (duty of parent to neighbor injured by child with parent’s gun); </w:t>
      </w:r>
      <w:r w:rsidRPr="002547C3">
        <w:rPr>
          <w:rFonts w:eastAsia="Times New Roman"/>
          <w:b/>
          <w:sz w:val="24"/>
          <w:szCs w:val="24"/>
        </w:rPr>
        <w:t>Glover v. Southard</w:t>
      </w:r>
      <w:r w:rsidRPr="002547C3">
        <w:rPr>
          <w:rFonts w:eastAsia="Times New Roman"/>
          <w:sz w:val="24"/>
          <w:szCs w:val="24"/>
        </w:rPr>
        <w:t xml:space="preserve">, 894 P.2d 21 (Colo. App. 1994) (attorney who drafted will and trust owed no duty to intended beneficiaries of will and trust); </w:t>
      </w:r>
      <w:r w:rsidRPr="002547C3">
        <w:rPr>
          <w:rFonts w:eastAsia="Times New Roman"/>
          <w:b/>
          <w:sz w:val="24"/>
          <w:szCs w:val="24"/>
        </w:rPr>
        <w:t>Jacque v. Pub. Serv. Co.</w:t>
      </w:r>
      <w:r w:rsidRPr="002547C3">
        <w:rPr>
          <w:rFonts w:eastAsia="Times New Roman"/>
          <w:sz w:val="24"/>
          <w:szCs w:val="24"/>
        </w:rPr>
        <w:t xml:space="preserve">, 890 P.2d 138 (Colo. App. 1994), (no duty of public utility company to passenger in car who was injured when car struck company’s utility pole ten feet from paved portion of highway); </w:t>
      </w:r>
      <w:r w:rsidRPr="002547C3">
        <w:rPr>
          <w:rFonts w:eastAsia="Times New Roman"/>
          <w:b/>
          <w:sz w:val="24"/>
          <w:szCs w:val="24"/>
        </w:rPr>
        <w:t>Cooley v. Paraho Dev. Corp.</w:t>
      </w:r>
      <w:r w:rsidRPr="002547C3">
        <w:rPr>
          <w:rFonts w:eastAsia="Times New Roman"/>
          <w:sz w:val="24"/>
          <w:szCs w:val="24"/>
        </w:rPr>
        <w:t xml:space="preserve">, 851 P.2d 207 (Colo. App. 1992) (duty of lessee of housing development to tenants to maintain private roadway in safe condition), </w:t>
      </w:r>
      <w:r w:rsidRPr="002547C3">
        <w:rPr>
          <w:rFonts w:eastAsia="Times New Roman"/>
          <w:i/>
          <w:sz w:val="24"/>
          <w:szCs w:val="24"/>
        </w:rPr>
        <w:t>aff’d on other grounds sub nom</w:t>
      </w:r>
      <w:r w:rsidRPr="002547C3">
        <w:rPr>
          <w:rFonts w:eastAsia="Times New Roman"/>
          <w:sz w:val="24"/>
          <w:szCs w:val="24"/>
        </w:rPr>
        <w:t>.</w:t>
      </w:r>
      <w:r w:rsidRPr="002547C3">
        <w:rPr>
          <w:rFonts w:eastAsia="Times New Roman"/>
          <w:i/>
          <w:sz w:val="24"/>
          <w:szCs w:val="24"/>
        </w:rPr>
        <w:t xml:space="preserve"> </w:t>
      </w:r>
      <w:r w:rsidRPr="002547C3">
        <w:rPr>
          <w:rFonts w:eastAsia="Times New Roman"/>
          <w:b/>
          <w:sz w:val="24"/>
          <w:szCs w:val="24"/>
        </w:rPr>
        <w:t>Gen. Elec. Co. v. Niemet</w:t>
      </w:r>
      <w:r w:rsidRPr="002547C3">
        <w:rPr>
          <w:rFonts w:eastAsia="Times New Roman"/>
          <w:sz w:val="24"/>
          <w:szCs w:val="24"/>
        </w:rPr>
        <w:t xml:space="preserve">, 866 P.2d 1361 (Colo. 1994); </w:t>
      </w:r>
      <w:r w:rsidRPr="002547C3">
        <w:rPr>
          <w:rFonts w:eastAsia="Times New Roman"/>
          <w:b/>
          <w:sz w:val="24"/>
          <w:szCs w:val="24"/>
        </w:rPr>
        <w:t>Tolman v. CenCor Career Colls., Inc.</w:t>
      </w:r>
      <w:r w:rsidRPr="002547C3">
        <w:rPr>
          <w:rFonts w:eastAsia="Times New Roman"/>
          <w:sz w:val="24"/>
          <w:szCs w:val="24"/>
        </w:rPr>
        <w:t>, 851 P.2d 203</w:t>
      </w:r>
      <w:r w:rsidRPr="002547C3" w:rsidDel="006D219C">
        <w:rPr>
          <w:rFonts w:eastAsia="Times New Roman"/>
          <w:sz w:val="24"/>
          <w:szCs w:val="24"/>
        </w:rPr>
        <w:t xml:space="preserve"> </w:t>
      </w:r>
      <w:r w:rsidRPr="002547C3">
        <w:rPr>
          <w:rFonts w:eastAsia="Times New Roman"/>
          <w:sz w:val="24"/>
          <w:szCs w:val="24"/>
        </w:rPr>
        <w:t xml:space="preserve">(Colo. App. 1992) (no duty of private educational corporation to students with respect to quality of education, i.e., no educational malpractice), </w:t>
      </w:r>
      <w:r w:rsidRPr="002547C3">
        <w:rPr>
          <w:rFonts w:eastAsia="Times New Roman"/>
          <w:i/>
          <w:sz w:val="24"/>
          <w:szCs w:val="24"/>
        </w:rPr>
        <w:t>aff’d on other grounds</w:t>
      </w:r>
      <w:r w:rsidRPr="002547C3">
        <w:rPr>
          <w:rFonts w:eastAsia="Times New Roman"/>
          <w:sz w:val="24"/>
          <w:szCs w:val="24"/>
        </w:rPr>
        <w:t xml:space="preserve">, 868 P.2d 396 (Colo. 1994); </w:t>
      </w:r>
      <w:r w:rsidRPr="002547C3">
        <w:rPr>
          <w:rFonts w:eastAsia="Times New Roman"/>
          <w:b/>
          <w:sz w:val="24"/>
          <w:szCs w:val="24"/>
        </w:rPr>
        <w:t>Auxier v. Auxier</w:t>
      </w:r>
      <w:r w:rsidRPr="002547C3">
        <w:rPr>
          <w:rFonts w:eastAsia="Times New Roman"/>
          <w:sz w:val="24"/>
          <w:szCs w:val="24"/>
        </w:rPr>
        <w:t xml:space="preserve">, 843 P.2d 93 (Colo. App. 1992) (duty of construction company to provide reasonably safe workplace for nonemployee construction worker),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Scott v. Matlack, Inc.</w:t>
      </w:r>
      <w:r w:rsidRPr="002547C3">
        <w:rPr>
          <w:rFonts w:eastAsia="Times New Roman"/>
          <w:sz w:val="24"/>
          <w:szCs w:val="24"/>
        </w:rPr>
        <w:t xml:space="preserve">, 39 P.3d 1160 (Colo. 2002); </w:t>
      </w:r>
      <w:r w:rsidRPr="002547C3">
        <w:rPr>
          <w:rFonts w:eastAsia="Times New Roman"/>
          <w:b/>
          <w:sz w:val="24"/>
          <w:szCs w:val="24"/>
        </w:rPr>
        <w:t>Sewell v. Pub. Serv. Co.</w:t>
      </w:r>
      <w:r w:rsidRPr="002547C3">
        <w:rPr>
          <w:rFonts w:eastAsia="Times New Roman"/>
          <w:sz w:val="24"/>
          <w:szCs w:val="24"/>
        </w:rPr>
        <w:t xml:space="preserve">, 832 P.2d 994 (Colo. App. 1991) (where, in wrongful death action against public utility, material issues of fact existed as to whether accident was reasonably foreseeable, the trial court erred in granting utility’s motion for summary judgment on basis that utility owed no duty of care to airplane passenger who died when airplane crashed into utility’s unmarked power lines); </w:t>
      </w:r>
      <w:r w:rsidRPr="002547C3">
        <w:rPr>
          <w:rFonts w:eastAsia="Times New Roman"/>
          <w:b/>
          <w:sz w:val="24"/>
          <w:szCs w:val="24"/>
        </w:rPr>
        <w:t>Hines v. Denver &amp; Rio Grande W. R.R.</w:t>
      </w:r>
      <w:r w:rsidRPr="002547C3">
        <w:rPr>
          <w:rFonts w:eastAsia="Times New Roman"/>
          <w:sz w:val="24"/>
          <w:szCs w:val="24"/>
        </w:rPr>
        <w:t xml:space="preserve">, 829 P.2d 419 (Colo. App. 1991) (no duty of railroad to wife of victim killed by train properly to investigate accident); </w:t>
      </w:r>
      <w:r w:rsidRPr="002547C3">
        <w:rPr>
          <w:rFonts w:eastAsia="Times New Roman"/>
          <w:b/>
          <w:sz w:val="24"/>
          <w:szCs w:val="24"/>
        </w:rPr>
        <w:t>Lego v. Schmidt</w:t>
      </w:r>
      <w:r w:rsidRPr="002547C3">
        <w:rPr>
          <w:rFonts w:eastAsia="Times New Roman"/>
          <w:sz w:val="24"/>
          <w:szCs w:val="24"/>
        </w:rPr>
        <w:t xml:space="preserve">, 805 P.2d 1119 (Colo. App. 1990) (no duty of automobile passenger to pedestrian injured by automobile to warn driver of automobile of impending danger); </w:t>
      </w:r>
      <w:r w:rsidRPr="002547C3">
        <w:rPr>
          <w:rFonts w:eastAsia="Times New Roman"/>
          <w:b/>
          <w:sz w:val="24"/>
          <w:szCs w:val="24"/>
        </w:rPr>
        <w:t>Broderick Inv. Co. v. Strand Nordstrom Stailey Parker,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794 P.2d 264 (Colo. App. 1990) (no duty of insurance agency under an “assumed” duty theory to notify third party of change in insured’s liability coverage where insurance agency had previously furnished third party with a certificate verifying insured’s liability coverage); </w:t>
      </w:r>
      <w:r w:rsidRPr="002547C3">
        <w:rPr>
          <w:rFonts w:eastAsia="Times New Roman"/>
          <w:b/>
          <w:sz w:val="24"/>
          <w:szCs w:val="24"/>
        </w:rPr>
        <w:t>Halter v. Waco Scaffolding &amp; Equip.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797 P.2d 790 (Colo. App. 1990) (material issues of fact existed as to whether suppliers of scaffolding and wind clips had duty to warn users of dangers of wrapping scaffolding in protective plastic); </w:t>
      </w:r>
      <w:r w:rsidRPr="002547C3">
        <w:rPr>
          <w:rFonts w:eastAsia="Times New Roman"/>
          <w:b/>
          <w:sz w:val="24"/>
          <w:szCs w:val="24"/>
        </w:rPr>
        <w:t>Wheatridge Lumber Co. v. Valley Water Dist.</w:t>
      </w:r>
      <w:r w:rsidRPr="002547C3">
        <w:rPr>
          <w:rFonts w:eastAsia="Times New Roman"/>
          <w:sz w:val="24"/>
          <w:szCs w:val="24"/>
        </w:rPr>
        <w:t xml:space="preserve">, 790 P.2d 874 (Colo. App. 1989) (material issues of fact existed with respect to whether water district under an “assumed” duty theory had duty to lumber yard company damaged by fire to have water available at fire hydrant); </w:t>
      </w:r>
      <w:r w:rsidRPr="002547C3">
        <w:rPr>
          <w:rFonts w:eastAsia="Times New Roman"/>
          <w:b/>
          <w:sz w:val="24"/>
          <w:szCs w:val="24"/>
        </w:rPr>
        <w:t>May Dep’t Stores Co. v. Univ. Hills, Inc.</w:t>
      </w:r>
      <w:r w:rsidRPr="002547C3">
        <w:rPr>
          <w:rFonts w:eastAsia="Times New Roman"/>
          <w:sz w:val="24"/>
          <w:szCs w:val="24"/>
        </w:rPr>
        <w:t xml:space="preserve">, 789 P.2d 434 (Colo. App. 1989) (no duty of department store under “assumed” duty theory to existing or future tenants for defects in construction of enclosed mall where department store’s lease contained plan approval and consent clauses with respect to alterations in mall); </w:t>
      </w:r>
      <w:r w:rsidRPr="002547C3">
        <w:rPr>
          <w:rFonts w:eastAsia="Times New Roman"/>
          <w:b/>
          <w:sz w:val="24"/>
          <w:szCs w:val="24"/>
        </w:rPr>
        <w:t xml:space="preserve">Felger v. Larimer Cty. Bd. of Cty. </w:t>
      </w:r>
      <w:r w:rsidRPr="002547C3">
        <w:rPr>
          <w:rFonts w:eastAsia="Times New Roman"/>
          <w:b/>
          <w:sz w:val="24"/>
          <w:szCs w:val="24"/>
        </w:rPr>
        <w:lastRenderedPageBreak/>
        <w:t>Comm’rs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776 P.2d 1169 (Colo. App. 1989) (duty of sheriff to protect person in custody from injury by third persons); </w:t>
      </w:r>
      <w:r w:rsidRPr="002547C3">
        <w:rPr>
          <w:rFonts w:eastAsia="Times New Roman"/>
          <w:b/>
          <w:sz w:val="24"/>
          <w:szCs w:val="24"/>
        </w:rPr>
        <w:t>Allen v. Ramada Inn, Inc.</w:t>
      </w:r>
      <w:r w:rsidRPr="002547C3">
        <w:rPr>
          <w:rFonts w:eastAsia="Times New Roman"/>
          <w:sz w:val="24"/>
          <w:szCs w:val="24"/>
        </w:rPr>
        <w:t xml:space="preserve">, 778 P.2d 291 (Colo. App. 1989) (duty of motel owner to protect guest from injury by third persons); </w:t>
      </w:r>
      <w:r w:rsidRPr="002547C3">
        <w:rPr>
          <w:rFonts w:eastAsia="Times New Roman"/>
          <w:b/>
          <w:sz w:val="24"/>
          <w:szCs w:val="24"/>
        </w:rPr>
        <w:t>Hilberg v. F.W. Woolworth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236 (Colo. App. 1988) (no duty under negligent entrustment theory on part of either manufacturer or retailer of rifle to minor child who was accidentally shot by the minor child of the purchaser of the rifle),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Casebolt v. Cowan</w:t>
      </w:r>
      <w:r w:rsidRPr="002547C3">
        <w:rPr>
          <w:rFonts w:eastAsia="Times New Roman"/>
          <w:sz w:val="24"/>
          <w:szCs w:val="24"/>
        </w:rPr>
        <w:t xml:space="preserve">, 829 P.2d 352, 360 (Colo. 1992) (overruling </w:t>
      </w:r>
      <w:r w:rsidRPr="002547C3">
        <w:rPr>
          <w:rFonts w:eastAsia="Times New Roman"/>
          <w:b/>
          <w:sz w:val="24"/>
          <w:szCs w:val="24"/>
        </w:rPr>
        <w:t>Hilberg</w:t>
      </w:r>
      <w:r w:rsidRPr="002547C3">
        <w:rPr>
          <w:rFonts w:eastAsia="Times New Roman"/>
          <w:sz w:val="24"/>
          <w:szCs w:val="24"/>
        </w:rPr>
        <w:t xml:space="preserve"> to the extent that it “suggest[s] that subsequent ability to control the user of the chattel or the manner in which the chattel is used represent[ ] an essential element of the negligent entrustment theory”); </w:t>
      </w:r>
      <w:r w:rsidRPr="002547C3">
        <w:rPr>
          <w:rFonts w:eastAsia="Times New Roman"/>
          <w:b/>
          <w:sz w:val="24"/>
          <w:szCs w:val="24"/>
        </w:rPr>
        <w:t>Leppke v. Segura</w:t>
      </w:r>
      <w:r w:rsidRPr="002547C3">
        <w:rPr>
          <w:rFonts w:eastAsia="Times New Roman"/>
          <w:sz w:val="24"/>
          <w:szCs w:val="24"/>
        </w:rPr>
        <w:t>, 632 P.2d 1057 (Colo. App. 1981) (duty of defendants who jump-started car of intoxicated person to persons who were injured when involved in automobile collision with intoxicated person).</w:t>
      </w:r>
    </w:p>
    <w:p w14:paraId="546A639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5. An employer may not recover damages for economic losses incurred as a result of physical injuries to an employee that were caused by the tortious conduct of a third party. </w:t>
      </w:r>
      <w:r w:rsidRPr="002547C3">
        <w:rPr>
          <w:rFonts w:eastAsia="Times New Roman"/>
          <w:b/>
          <w:sz w:val="24"/>
          <w:szCs w:val="24"/>
        </w:rPr>
        <w:t>Gonzalez v. Yancey</w:t>
      </w:r>
      <w:r w:rsidRPr="002547C3">
        <w:rPr>
          <w:rFonts w:eastAsia="Times New Roman"/>
          <w:sz w:val="24"/>
          <w:szCs w:val="24"/>
        </w:rPr>
        <w:t>, 939 P.2d 525 (Colo. App. 1997).</w:t>
      </w:r>
    </w:p>
    <w:p w14:paraId="107B5A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Hiring and Supervision</w:t>
      </w:r>
    </w:p>
    <w:p w14:paraId="6755F2E8" w14:textId="4694FC23"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Colorado recognizes the torts of negligent hiring and negligent supervision. </w:t>
      </w:r>
      <w:r w:rsidRPr="002547C3">
        <w:rPr>
          <w:rFonts w:eastAsia="Times New Roman"/>
          <w:i/>
          <w:sz w:val="24"/>
          <w:szCs w:val="24"/>
        </w:rPr>
        <w:t xml:space="preserve">See </w:t>
      </w:r>
      <w:r w:rsidRPr="002547C3">
        <w:rPr>
          <w:rFonts w:eastAsia="Times New Roman"/>
          <w:b/>
          <w:sz w:val="24"/>
          <w:szCs w:val="24"/>
        </w:rPr>
        <w:t>Raleigh v. Performance Plumbing &amp; Heating,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130 P.3d 1011 (Colo. 2006) (discussing liability for negligent hiring); </w:t>
      </w:r>
      <w:r w:rsidRPr="002547C3">
        <w:rPr>
          <w:rFonts w:eastAsia="Times New Roman"/>
          <w:b/>
          <w:sz w:val="24"/>
          <w:szCs w:val="24"/>
        </w:rPr>
        <w:t>Keller v. Koca</w:t>
      </w:r>
      <w:r w:rsidRPr="002547C3">
        <w:rPr>
          <w:rFonts w:eastAsia="Times New Roman"/>
          <w:sz w:val="24"/>
          <w:szCs w:val="24"/>
        </w:rPr>
        <w:t xml:space="preserve">, 111 P.3d 445 (Colo. 2005) (employer owed no duty to 12-year-old girl sexually assaulted by employee on business premises on day business was closed as risk was unforeseeable); </w:t>
      </w:r>
      <w:r w:rsidRPr="002547C3">
        <w:rPr>
          <w:rFonts w:eastAsia="Times New Roman"/>
          <w:b/>
          <w:sz w:val="24"/>
          <w:szCs w:val="24"/>
        </w:rPr>
        <w:t>Moses v. Diocese of Colo.</w:t>
      </w:r>
      <w:r w:rsidRPr="002547C3">
        <w:rPr>
          <w:rFonts w:eastAsia="Times New Roman"/>
          <w:sz w:val="24"/>
          <w:szCs w:val="24"/>
        </w:rPr>
        <w:t xml:space="preserve">, 863 P.2d 310 (Colo. 1993); </w:t>
      </w:r>
      <w:r w:rsidRPr="002547C3">
        <w:rPr>
          <w:rFonts w:eastAsia="Times New Roman"/>
          <w:b/>
          <w:sz w:val="24"/>
          <w:szCs w:val="24"/>
        </w:rPr>
        <w:t>Semler v. Hellerstein</w:t>
      </w:r>
      <w:r w:rsidRPr="002547C3">
        <w:rPr>
          <w:rFonts w:eastAsia="Times New Roman"/>
          <w:sz w:val="24"/>
          <w:szCs w:val="24"/>
        </w:rPr>
        <w:t>, 2016 COA 143, ¶¶ 42-45</w:t>
      </w:r>
      <w:r w:rsidR="00A833C4">
        <w:rPr>
          <w:rFonts w:eastAsia="Times New Roman"/>
          <w:sz w:val="24"/>
          <w:szCs w:val="24"/>
        </w:rPr>
        <w:t>, 428 P.3d 555</w:t>
      </w:r>
      <w:r w:rsidRPr="002547C3">
        <w:rPr>
          <w:rFonts w:eastAsia="Times New Roman"/>
          <w:sz w:val="24"/>
          <w:szCs w:val="24"/>
        </w:rPr>
        <w:t xml:space="preserve"> (affirming dismissal of negligent supervision claim where plaintiff failed to allege tortious conduct of employee)</w:t>
      </w:r>
      <w:r w:rsidR="003C3F25">
        <w:rPr>
          <w:rFonts w:eastAsia="Times New Roman"/>
          <w:sz w:val="24"/>
          <w:szCs w:val="24"/>
        </w:rPr>
        <w:t>,</w:t>
      </w:r>
      <w:r w:rsidR="002E1D11">
        <w:rPr>
          <w:rFonts w:eastAsia="Times New Roman"/>
          <w:sz w:val="24"/>
          <w:szCs w:val="24"/>
        </w:rPr>
        <w:t xml:space="preserve"> </w:t>
      </w:r>
      <w:r w:rsidR="003C3F25" w:rsidRPr="003C3F25">
        <w:rPr>
          <w:rFonts w:eastAsia="Times New Roman"/>
          <w:i/>
          <w:sz w:val="24"/>
          <w:szCs w:val="24"/>
        </w:rPr>
        <w:t>rev’d</w:t>
      </w:r>
      <w:r w:rsidR="002E1D11" w:rsidRPr="002E1D11">
        <w:rPr>
          <w:rFonts w:eastAsia="Times New Roman"/>
          <w:i/>
          <w:sz w:val="24"/>
          <w:szCs w:val="24"/>
        </w:rPr>
        <w:t xml:space="preserve"> on other grounds</w:t>
      </w:r>
      <w:r w:rsidR="002E1D11" w:rsidRPr="009266FB">
        <w:rPr>
          <w:rFonts w:eastAsia="Times New Roman"/>
          <w:i/>
          <w:sz w:val="24"/>
          <w:szCs w:val="24"/>
        </w:rPr>
        <w:t xml:space="preserve"> </w:t>
      </w:r>
      <w:r w:rsidR="003C3F25" w:rsidRPr="009266FB">
        <w:rPr>
          <w:rFonts w:eastAsia="Times New Roman"/>
          <w:i/>
          <w:sz w:val="24"/>
          <w:szCs w:val="24"/>
        </w:rPr>
        <w:t>sub nom</w:t>
      </w:r>
      <w:r w:rsidR="009266FB" w:rsidRPr="009266FB">
        <w:rPr>
          <w:rFonts w:eastAsia="Times New Roman"/>
          <w:i/>
          <w:sz w:val="24"/>
          <w:szCs w:val="24"/>
        </w:rPr>
        <w:t>.</w:t>
      </w:r>
      <w:r w:rsidR="009266FB">
        <w:rPr>
          <w:rFonts w:eastAsia="Times New Roman"/>
          <w:i/>
          <w:sz w:val="24"/>
          <w:szCs w:val="24"/>
        </w:rPr>
        <w:t xml:space="preserve"> </w:t>
      </w:r>
      <w:r w:rsidR="003C3F25" w:rsidRPr="009266FB">
        <w:rPr>
          <w:rFonts w:eastAsia="Times New Roman"/>
          <w:b/>
          <w:sz w:val="24"/>
          <w:szCs w:val="24"/>
        </w:rPr>
        <w:t>Bewley v. Semler</w:t>
      </w:r>
      <w:r w:rsidR="003C3F25">
        <w:rPr>
          <w:rFonts w:eastAsia="Times New Roman"/>
          <w:sz w:val="24"/>
          <w:szCs w:val="24"/>
        </w:rPr>
        <w:t>, 2018 CO 79</w:t>
      </w:r>
      <w:r w:rsidR="00E83B20">
        <w:rPr>
          <w:rFonts w:eastAsia="Times New Roman"/>
          <w:sz w:val="24"/>
          <w:szCs w:val="24"/>
        </w:rPr>
        <w:t>, 432 P.3d 582</w:t>
      </w:r>
      <w:r w:rsidRPr="002547C3">
        <w:rPr>
          <w:rFonts w:eastAsia="Times New Roman"/>
          <w:sz w:val="24"/>
          <w:szCs w:val="24"/>
        </w:rPr>
        <w:t xml:space="preserve">; </w:t>
      </w:r>
      <w:r w:rsidRPr="002547C3">
        <w:rPr>
          <w:rFonts w:eastAsia="Times New Roman"/>
          <w:b/>
          <w:sz w:val="24"/>
          <w:szCs w:val="24"/>
        </w:rPr>
        <w:t>Settle v. Basinger</w:t>
      </w:r>
      <w:r w:rsidRPr="002547C3">
        <w:rPr>
          <w:rFonts w:eastAsia="Times New Roman"/>
          <w:sz w:val="24"/>
          <w:szCs w:val="24"/>
        </w:rPr>
        <w:t>, 2013 COA 18, ¶ 29</w:t>
      </w:r>
      <w:r w:rsidR="002E1D11">
        <w:rPr>
          <w:rFonts w:eastAsia="Times New Roman"/>
          <w:sz w:val="24"/>
          <w:szCs w:val="24"/>
        </w:rPr>
        <w:t>, 411 P.3d 717</w:t>
      </w:r>
      <w:r w:rsidRPr="002547C3">
        <w:rPr>
          <w:rFonts w:eastAsia="Times New Roman"/>
          <w:sz w:val="24"/>
          <w:szCs w:val="24"/>
        </w:rPr>
        <w:t xml:space="preserve"> (emergency room physician who treated plaintiff and ordered his transfer by air ambulance to another hospital owed no duty to supervise air ambulance nurses who attempted to intubate plaintiff during flight where physician had no reason to know that the nurses were likely to harm others); </w:t>
      </w:r>
      <w:r w:rsidRPr="002547C3">
        <w:rPr>
          <w:rFonts w:eastAsia="Times New Roman"/>
          <w:b/>
          <w:sz w:val="24"/>
          <w:szCs w:val="24"/>
        </w:rPr>
        <w:t>Kahland v. Villarreal</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491 (Colo. App. 2006); </w:t>
      </w:r>
      <w:r w:rsidRPr="002547C3">
        <w:rPr>
          <w:rFonts w:eastAsia="Times New Roman"/>
          <w:b/>
          <w:sz w:val="24"/>
          <w:szCs w:val="24"/>
        </w:rPr>
        <w:t>Winkler v. Rocky Mountain Conference of United Methodist Church</w:t>
      </w:r>
      <w:r w:rsidRPr="002547C3">
        <w:rPr>
          <w:rFonts w:eastAsia="Times New Roman"/>
          <w:sz w:val="24"/>
          <w:szCs w:val="24"/>
        </w:rPr>
        <w:t xml:space="preserve">, 923 P.2d 152 (Colo. App. 1995); </w:t>
      </w:r>
      <w:r w:rsidRPr="002547C3">
        <w:rPr>
          <w:rFonts w:eastAsia="Times New Roman"/>
          <w:b/>
          <w:sz w:val="24"/>
          <w:szCs w:val="24"/>
        </w:rPr>
        <w:t>DeBose v. Bear Valley Church of Christ</w:t>
      </w:r>
      <w:r w:rsidRPr="002547C3">
        <w:rPr>
          <w:rFonts w:eastAsia="Times New Roman"/>
          <w:sz w:val="24"/>
          <w:szCs w:val="24"/>
        </w:rPr>
        <w:t xml:space="preserve">, 890 P.2d 214 (Colo. App. 1994), </w:t>
      </w:r>
      <w:r w:rsidRPr="002547C3">
        <w:rPr>
          <w:rFonts w:eastAsia="Times New Roman"/>
          <w:i/>
          <w:sz w:val="24"/>
          <w:szCs w:val="24"/>
        </w:rPr>
        <w:t>rev’d on other grounds</w:t>
      </w:r>
      <w:r w:rsidRPr="002547C3">
        <w:rPr>
          <w:rFonts w:eastAsia="Times New Roman"/>
          <w:sz w:val="24"/>
          <w:szCs w:val="24"/>
        </w:rPr>
        <w:t>,</w:t>
      </w:r>
      <w:r w:rsidRPr="002547C3">
        <w:rPr>
          <w:rFonts w:eastAsia="Times New Roman"/>
          <w:i/>
          <w:sz w:val="24"/>
          <w:szCs w:val="24"/>
        </w:rPr>
        <w:t xml:space="preserve"> </w:t>
      </w:r>
      <w:r w:rsidRPr="002547C3">
        <w:rPr>
          <w:rFonts w:eastAsia="Times New Roman"/>
          <w:sz w:val="24"/>
          <w:szCs w:val="24"/>
        </w:rPr>
        <w:t xml:space="preserve">928 P.2d 1315 (Colo. 1996); </w:t>
      </w:r>
      <w:r w:rsidRPr="002547C3">
        <w:rPr>
          <w:rFonts w:eastAsia="Times New Roman"/>
          <w:b/>
          <w:sz w:val="24"/>
          <w:szCs w:val="24"/>
        </w:rPr>
        <w:t>Biel v. Alcott</w:t>
      </w:r>
      <w:r w:rsidRPr="002547C3">
        <w:rPr>
          <w:rFonts w:eastAsia="Times New Roman"/>
          <w:sz w:val="24"/>
          <w:szCs w:val="24"/>
        </w:rPr>
        <w:t xml:space="preserve">, 876 P.2d 60 (Colo. App. 1993);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Loveland ex rel. Loveland v. St. Vrain Valley Sch. Dist. RE-1J</w:t>
      </w:r>
      <w:r w:rsidRPr="002547C3">
        <w:rPr>
          <w:rFonts w:eastAsia="Times New Roman"/>
          <w:sz w:val="24"/>
          <w:szCs w:val="24"/>
        </w:rPr>
        <w:t xml:space="preserve">, 2012 COA 112, ¶¶ 29-33, 328 P.3d 228 (negligent supervision claim against school district on behalf of child injured on school playground apparatus barred by Colorado Governmental Immunity Act), </w:t>
      </w:r>
      <w:r w:rsidRPr="002547C3">
        <w:rPr>
          <w:rFonts w:eastAsia="Times New Roman"/>
          <w:i/>
          <w:sz w:val="24"/>
          <w:szCs w:val="24"/>
        </w:rPr>
        <w:t>aff’d on other grounds sub nom.</w:t>
      </w:r>
      <w:r w:rsidRPr="002547C3">
        <w:rPr>
          <w:rFonts w:eastAsia="Times New Roman"/>
          <w:sz w:val="24"/>
          <w:szCs w:val="24"/>
        </w:rPr>
        <w:t xml:space="preserve"> </w:t>
      </w:r>
      <w:r w:rsidRPr="002547C3">
        <w:rPr>
          <w:rFonts w:eastAsia="Times New Roman"/>
          <w:b/>
          <w:sz w:val="24"/>
          <w:szCs w:val="24"/>
        </w:rPr>
        <w:t>St. Vrain Valley Sch. Dist. RE-1J v. A.R.L.</w:t>
      </w:r>
      <w:r w:rsidRPr="002547C3">
        <w:rPr>
          <w:rFonts w:eastAsia="Times New Roman"/>
          <w:sz w:val="24"/>
          <w:szCs w:val="24"/>
        </w:rPr>
        <w:t xml:space="preserve">, 2014 CO 33, 325 P.3d 1014; </w:t>
      </w:r>
      <w:r w:rsidRPr="002547C3">
        <w:rPr>
          <w:rFonts w:eastAsia="Times New Roman"/>
          <w:b/>
          <w:sz w:val="24"/>
          <w:szCs w:val="24"/>
        </w:rPr>
        <w:t>Williams v. Cont’l Airlines,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943 P.2d 10 (Colo. App. 1996) (rejecting employee’s tort claim against employer and supervisor for “negligent investigation” where employee accused of sexual assault by another employee sought to recover noneconomic damages for injury to reputation and for mental and emotional suffering). </w:t>
      </w:r>
    </w:p>
    <w:p w14:paraId="6754A9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Where a plaintiff seeks to recover against an employer for the negligence of an employee under both negligence and vicarious liability (e.g., respondeat superior) theories, the employer’s acknowledgement of vicarious liability for the employee’s negligence bars the plaintiff from recovering against the employer on a direct negligence claim, such as negligent hiring, supervision, retention, and entrustment. </w:t>
      </w:r>
      <w:r w:rsidRPr="002547C3">
        <w:rPr>
          <w:rFonts w:eastAsia="Times New Roman"/>
          <w:b/>
          <w:sz w:val="24"/>
          <w:szCs w:val="24"/>
        </w:rPr>
        <w:t>Ferrer v. Okbamicael</w:t>
      </w:r>
      <w:r w:rsidRPr="002547C3">
        <w:rPr>
          <w:rFonts w:eastAsia="Times New Roman"/>
          <w:sz w:val="24"/>
          <w:szCs w:val="24"/>
        </w:rPr>
        <w:t xml:space="preserve">, 2017 CO 14M, ¶¶ 19, 58, 390 P.3d 836 (adopting the rule announced in </w:t>
      </w:r>
      <w:r w:rsidRPr="00D23BD0">
        <w:rPr>
          <w:rFonts w:eastAsia="Times New Roman"/>
          <w:b/>
          <w:sz w:val="24"/>
          <w:szCs w:val="24"/>
        </w:rPr>
        <w:t>McHaffie v. Bunch</w:t>
      </w:r>
      <w:r w:rsidRPr="002547C3">
        <w:rPr>
          <w:rFonts w:eastAsia="Times New Roman"/>
          <w:sz w:val="24"/>
          <w:szCs w:val="24"/>
        </w:rPr>
        <w:t xml:space="preserve">, 891 S.W.2d 822 (Mo. 1995)). </w:t>
      </w:r>
      <w:r w:rsidRPr="002547C3">
        <w:rPr>
          <w:rFonts w:eastAsia="Times New Roman"/>
          <w:sz w:val="24"/>
          <w:szCs w:val="24"/>
        </w:rPr>
        <w:lastRenderedPageBreak/>
        <w:t xml:space="preserve">This rule does not apply when the plaintiff’s injuries are not caused by the employee’s negligence, such as when the employer’s own negligence caused the injuries. </w:t>
      </w:r>
      <w:r w:rsidRPr="002547C3">
        <w:rPr>
          <w:rFonts w:eastAsia="Times New Roman"/>
          <w:i/>
          <w:sz w:val="24"/>
          <w:szCs w:val="24"/>
        </w:rPr>
        <w:t>Id.</w:t>
      </w:r>
      <w:r w:rsidR="00D23BD0">
        <w:rPr>
          <w:rFonts w:eastAsia="Times New Roman"/>
          <w:sz w:val="24"/>
          <w:szCs w:val="24"/>
        </w:rPr>
        <w:t xml:space="preserve"> at ¶ 34.</w:t>
      </w:r>
      <w:r w:rsidRPr="002547C3">
        <w:rPr>
          <w:rFonts w:eastAsia="Times New Roman"/>
          <w:i/>
          <w:sz w:val="24"/>
          <w:szCs w:val="24"/>
        </w:rPr>
        <w:t xml:space="preserve"> </w:t>
      </w:r>
    </w:p>
    <w:p w14:paraId="35E7A60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Entrustment</w:t>
      </w:r>
    </w:p>
    <w:p w14:paraId="12D9501C" w14:textId="4370B06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For a discussion of the doctrine of “negligent entrustment,” see </w:t>
      </w:r>
      <w:r w:rsidRPr="002547C3">
        <w:rPr>
          <w:rFonts w:eastAsia="Times New Roman"/>
          <w:b/>
          <w:sz w:val="24"/>
          <w:szCs w:val="24"/>
        </w:rPr>
        <w:t>Casebolt</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829 P.2d at 355-62, where the court affirmed that the doctrine of negligent entrustment is part of the law of negligence in Colorado and ruled that under this doctrine, a wife whose husband died as a result of driving an automobile while intoxicated could bring a wrongful death action against her husband’s employer who had loaned the automobile to the decedent. The court further ruled that evidence that the decedent’s employer knew or had reason to know that the decedent was likely to drive the automobile while intoxicated precluded the entry of summary judgment in favor the employer. </w:t>
      </w:r>
      <w:r w:rsidRPr="002547C3">
        <w:rPr>
          <w:rFonts w:eastAsia="Times New Roman"/>
          <w:i/>
          <w:sz w:val="24"/>
          <w:szCs w:val="24"/>
        </w:rPr>
        <w:t>Id</w:t>
      </w:r>
      <w:r w:rsidRPr="002547C3">
        <w:rPr>
          <w:rFonts w:eastAsia="Times New Roman"/>
          <w:sz w:val="24"/>
          <w:szCs w:val="24"/>
        </w:rPr>
        <w:t xml:space="preserve">. at 362. In so ruling, the court overruled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 and </w:t>
      </w:r>
      <w:r w:rsidRPr="002547C3">
        <w:rPr>
          <w:rFonts w:eastAsia="Times New Roman"/>
          <w:b/>
          <w:sz w:val="24"/>
          <w:szCs w:val="24"/>
        </w:rPr>
        <w:t>Hasegawa v. Day</w:t>
      </w:r>
      <w:r w:rsidRPr="002547C3">
        <w:rPr>
          <w:rFonts w:eastAsia="Times New Roman"/>
          <w:sz w:val="24"/>
          <w:szCs w:val="24"/>
        </w:rPr>
        <w:t xml:space="preserve">, 684 P.2d 936 (Colo. App. 1983), to the extent that these cases held that an essential element of negligent entrustment was that the entrustor had the ability to control the entrustee or the entrustee’s use of the chattel supplied by the entrustor at the time the negligence of the entrustee resulted in injury. The court also held that an entrustee can recover for physical harm to himself or herself that results from a negligent entrustment, and that comparative negligence provides the appropriate framework for examining any negligence on the part of the entrustee, including the negligence of a borrower of an automobile who drives the automobile while intoxicated. </w:t>
      </w:r>
      <w:r w:rsidRPr="002547C3">
        <w:rPr>
          <w:rFonts w:eastAsia="Times New Roman"/>
          <w:b/>
          <w:sz w:val="24"/>
          <w:szCs w:val="24"/>
        </w:rPr>
        <w:t>Casebolt</w:t>
      </w:r>
      <w:r w:rsidRPr="002547C3">
        <w:rPr>
          <w:rFonts w:eastAsia="Times New Roman"/>
          <w:sz w:val="24"/>
          <w:szCs w:val="24"/>
        </w:rPr>
        <w:t>, 829 P.2d at 360-61. Other Colorado cases discuss the doctrine of negligent entrustment.</w:t>
      </w:r>
      <w:r w:rsidRPr="002547C3">
        <w:rPr>
          <w:rFonts w:eastAsia="Times New Roman"/>
          <w:i/>
          <w:sz w:val="24"/>
          <w:szCs w:val="24"/>
        </w:rPr>
        <w:t xml:space="preserve"> See</w:t>
      </w:r>
      <w:r w:rsidRPr="002547C3">
        <w:rPr>
          <w:rFonts w:eastAsia="Times New Roman"/>
          <w:sz w:val="24"/>
          <w:szCs w:val="24"/>
        </w:rPr>
        <w:t xml:space="preserve"> </w:t>
      </w:r>
      <w:r w:rsidRPr="002547C3">
        <w:rPr>
          <w:rFonts w:eastAsia="Times New Roman"/>
          <w:b/>
          <w:sz w:val="24"/>
          <w:szCs w:val="24"/>
        </w:rPr>
        <w:t>Ferrer</w:t>
      </w:r>
      <w:r w:rsidR="00E35042">
        <w:rPr>
          <w:rFonts w:eastAsia="Times New Roman"/>
          <w:sz w:val="24"/>
          <w:szCs w:val="24"/>
        </w:rPr>
        <w:t xml:space="preserve">, 2017 CO 14M, </w:t>
      </w:r>
      <w:r w:rsidRPr="002547C3">
        <w:rPr>
          <w:rFonts w:eastAsia="Times New Roman"/>
          <w:sz w:val="24"/>
          <w:szCs w:val="24"/>
        </w:rPr>
        <w:t xml:space="preserve">¶¶ 19, 58 (holding that where an employer acknowledges vicarious liability for its employee’s negligence, a plaintiff’s direct negligence claims against the employer — such as negligent entrustment — are barred); </w:t>
      </w:r>
      <w:r w:rsidRPr="002547C3">
        <w:rPr>
          <w:rFonts w:eastAsia="Times New Roman"/>
          <w:b/>
          <w:sz w:val="24"/>
          <w:szCs w:val="24"/>
        </w:rPr>
        <w:t>Peterson</w:t>
      </w:r>
      <w:r w:rsidRPr="002547C3">
        <w:rPr>
          <w:rFonts w:eastAsia="Times New Roman"/>
          <w:sz w:val="24"/>
          <w:szCs w:val="24"/>
        </w:rPr>
        <w:t>, 829 P.2d at 377;</w:t>
      </w:r>
      <w:r w:rsidRPr="002547C3">
        <w:rPr>
          <w:rFonts w:eastAsia="Times New Roman"/>
          <w:b/>
          <w:sz w:val="24"/>
          <w:szCs w:val="24"/>
        </w:rPr>
        <w:t xml:space="preserve"> Beasley</w:t>
      </w:r>
      <w:r w:rsidRPr="002547C3">
        <w:rPr>
          <w:rFonts w:eastAsia="Times New Roman"/>
          <w:sz w:val="24"/>
          <w:szCs w:val="24"/>
        </w:rPr>
        <w:t xml:space="preserve">, 2015 COA 145, ¶¶ 8-28; </w:t>
      </w:r>
      <w:r w:rsidRPr="002547C3">
        <w:rPr>
          <w:rFonts w:eastAsia="Times New Roman"/>
          <w:b/>
          <w:sz w:val="24"/>
          <w:szCs w:val="24"/>
        </w:rPr>
        <w:t>Draper</w:t>
      </w:r>
      <w:r w:rsidRPr="002547C3">
        <w:rPr>
          <w:rFonts w:eastAsia="Times New Roman"/>
          <w:sz w:val="24"/>
          <w:szCs w:val="24"/>
        </w:rPr>
        <w:t xml:space="preserve">, 282 P.3d at 498-99; </w:t>
      </w:r>
      <w:r w:rsidRPr="002547C3">
        <w:rPr>
          <w:rFonts w:eastAsia="Times New Roman"/>
          <w:b/>
          <w:sz w:val="24"/>
          <w:szCs w:val="24"/>
        </w:rPr>
        <w:t>Kahland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at 493; </w:t>
      </w:r>
      <w:r w:rsidRPr="002547C3">
        <w:rPr>
          <w:rFonts w:eastAsia="Times New Roman"/>
          <w:b/>
          <w:sz w:val="24"/>
          <w:szCs w:val="24"/>
        </w:rPr>
        <w:t>Connes v. Molalla Transp. Sys., Inc.</w:t>
      </w:r>
      <w:r w:rsidRPr="002547C3">
        <w:rPr>
          <w:rFonts w:eastAsia="Times New Roman"/>
          <w:sz w:val="24"/>
          <w:szCs w:val="24"/>
        </w:rPr>
        <w:t xml:space="preserve">, 817 P.2d 567 (Colo. App. 1991), </w:t>
      </w:r>
      <w:r w:rsidRPr="002547C3">
        <w:rPr>
          <w:rFonts w:eastAsia="Times New Roman"/>
          <w:i/>
          <w:sz w:val="24"/>
          <w:szCs w:val="24"/>
        </w:rPr>
        <w:t>aff’d on other grounds</w:t>
      </w:r>
      <w:r w:rsidRPr="002547C3">
        <w:rPr>
          <w:rFonts w:eastAsia="Times New Roman"/>
          <w:sz w:val="24"/>
          <w:szCs w:val="24"/>
        </w:rPr>
        <w:t xml:space="preserve">, 831 P.2d 1316 (Colo. 1992); </w:t>
      </w:r>
      <w:r w:rsidRPr="002547C3">
        <w:rPr>
          <w:rFonts w:eastAsia="Times New Roman"/>
          <w:b/>
          <w:sz w:val="24"/>
          <w:szCs w:val="24"/>
        </w:rPr>
        <w:t>Lahey v. Benjou</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759 P.2d 855 (Colo. App. 1988);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238-39; </w:t>
      </w:r>
      <w:r w:rsidRPr="002547C3">
        <w:rPr>
          <w:rFonts w:eastAsia="Times New Roman"/>
          <w:b/>
          <w:sz w:val="24"/>
          <w:szCs w:val="24"/>
        </w:rPr>
        <w:t>Butcher v. Cordova</w:t>
      </w:r>
      <w:r w:rsidRPr="002547C3">
        <w:rPr>
          <w:rFonts w:eastAsia="Times New Roman"/>
          <w:sz w:val="24"/>
          <w:szCs w:val="24"/>
        </w:rPr>
        <w:t xml:space="preserve">, 728 P.2d 388 (Colo. App. 1986); </w:t>
      </w:r>
      <w:r w:rsidRPr="002547C3">
        <w:rPr>
          <w:rFonts w:eastAsia="Times New Roman"/>
          <w:b/>
          <w:sz w:val="24"/>
          <w:szCs w:val="24"/>
        </w:rPr>
        <w:t>Hasegawa</w:t>
      </w:r>
      <w:r w:rsidRPr="002547C3">
        <w:rPr>
          <w:rFonts w:eastAsia="Times New Roman"/>
          <w:sz w:val="24"/>
          <w:szCs w:val="24"/>
        </w:rPr>
        <w:t xml:space="preserve">, 684 P.2d 936;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Mid-Century Ins. Co. v. Heritage Drug, Ltd.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3 P.3d 461 (Colo. App. 1999) (claim for negligent entrustment not based on vicarious liability); </w:t>
      </w:r>
      <w:r w:rsidRPr="002547C3">
        <w:rPr>
          <w:rFonts w:eastAsia="Times New Roman"/>
          <w:b/>
          <w:sz w:val="24"/>
          <w:szCs w:val="24"/>
        </w:rPr>
        <w:t>Liebelt v. Bob Penkhus Volvo-Mazda, Inc.</w:t>
      </w:r>
      <w:r w:rsidRPr="002547C3">
        <w:rPr>
          <w:rFonts w:eastAsia="Times New Roman"/>
          <w:sz w:val="24"/>
          <w:szCs w:val="24"/>
        </w:rPr>
        <w:t xml:space="preserve">, 961 P.2d 1147 (Colo. App. 1998) (automobile dealer did not negligently entrust vehicle to uninsured motorist); </w:t>
      </w:r>
      <w:r w:rsidRPr="002547C3">
        <w:rPr>
          <w:rFonts w:eastAsia="Times New Roman"/>
          <w:b/>
          <w:sz w:val="24"/>
          <w:szCs w:val="24"/>
        </w:rPr>
        <w:t>Payberg v. Harris</w:t>
      </w:r>
      <w:r w:rsidRPr="002547C3">
        <w:rPr>
          <w:rFonts w:eastAsia="Times New Roman"/>
          <w:sz w:val="24"/>
          <w:szCs w:val="24"/>
        </w:rPr>
        <w:t>, 931 P.2d 544 (Colo. App. 1996) (bailee cannot be held liable under negligent entrustment theory for returning bailed property to bailor).</w:t>
      </w:r>
    </w:p>
    <w:p w14:paraId="35E2F56C"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Legislative Duty</w:t>
      </w:r>
    </w:p>
    <w:p w14:paraId="5EEE135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For a discussion as to when a negligence claim against a governmental entity can be predicated on a duty arising from a legislative enactment, see </w:t>
      </w:r>
      <w:r w:rsidRPr="002547C3">
        <w:rPr>
          <w:rFonts w:eastAsia="Times New Roman"/>
          <w:b/>
          <w:sz w:val="24"/>
          <w:szCs w:val="24"/>
        </w:rPr>
        <w:t>State v. Moldovan</w:t>
      </w:r>
      <w:r w:rsidRPr="002547C3">
        <w:rPr>
          <w:rFonts w:eastAsia="Times New Roman"/>
          <w:sz w:val="24"/>
          <w:szCs w:val="24"/>
        </w:rPr>
        <w:t xml:space="preserve">, 842 P.2d 220 (Colo. 1992); </w:t>
      </w:r>
      <w:r w:rsidRPr="002547C3">
        <w:rPr>
          <w:rFonts w:eastAsia="Times New Roman"/>
          <w:b/>
          <w:sz w:val="24"/>
          <w:szCs w:val="24"/>
        </w:rPr>
        <w:t>Board of County Commissioners v. Moreland</w:t>
      </w:r>
      <w:r w:rsidRPr="002547C3">
        <w:rPr>
          <w:rFonts w:eastAsia="Times New Roman"/>
          <w:sz w:val="24"/>
          <w:szCs w:val="24"/>
        </w:rPr>
        <w:t xml:space="preserve">, 764 P.2d 812 (Colo. 1988); </w:t>
      </w:r>
      <w:r w:rsidRPr="002547C3">
        <w:rPr>
          <w:rFonts w:eastAsia="Times New Roman"/>
          <w:b/>
          <w:sz w:val="24"/>
          <w:szCs w:val="24"/>
        </w:rPr>
        <w:t>Jefferson County School District R-1 v. Justus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725 P.2d 767 (Colo. 1986); and </w:t>
      </w:r>
      <w:r w:rsidRPr="002547C3">
        <w:rPr>
          <w:rFonts w:eastAsia="Times New Roman"/>
          <w:b/>
          <w:sz w:val="24"/>
          <w:szCs w:val="24"/>
        </w:rPr>
        <w:t>Easton v. 1738 Partnership</w:t>
      </w:r>
      <w:r w:rsidRPr="002547C3">
        <w:rPr>
          <w:rFonts w:eastAsia="Times New Roman"/>
          <w:sz w:val="24"/>
          <w:szCs w:val="24"/>
        </w:rPr>
        <w:t xml:space="preserve">, 854 P.2d 1362 (Colo. App. 1993). </w:t>
      </w:r>
      <w:r w:rsidRPr="002547C3">
        <w:rPr>
          <w:rFonts w:eastAsia="Times New Roman"/>
          <w:i/>
          <w:sz w:val="24"/>
          <w:szCs w:val="24"/>
        </w:rPr>
        <w:t>See also</w:t>
      </w:r>
      <w:r w:rsidRPr="002547C3">
        <w:rPr>
          <w:rFonts w:eastAsia="Times New Roman"/>
          <w:sz w:val="24"/>
          <w:szCs w:val="24"/>
        </w:rPr>
        <w:t xml:space="preserve"> § 24-10-106.5, C.R.S. (providing that the adoption of a policy or regulation to protect any person’s health or safety shall not give rise to a duty of care on the part of a public entity or public employee where none otherwise existed);</w:t>
      </w:r>
      <w:r w:rsidRPr="002547C3">
        <w:rPr>
          <w:rFonts w:eastAsia="Times New Roman"/>
          <w:b/>
          <w:sz w:val="24"/>
          <w:szCs w:val="24"/>
        </w:rPr>
        <w:t xml:space="preserve"> Zapp v. Kukuris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847 P.2d 150 (Colo. App. 1992) (duty of police officers to victim struck by stolen car during high speed police chase). </w:t>
      </w:r>
    </w:p>
    <w:p w14:paraId="6E69BC89"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Expert Testimony</w:t>
      </w:r>
    </w:p>
    <w:p w14:paraId="6972C73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Generally, where the defendant is held to a standard of care beyond the common knowledge and experience of ordinary persons, expert testimony is required to prove breach of a legal duty. </w:t>
      </w:r>
      <w:r w:rsidRPr="002547C3">
        <w:rPr>
          <w:rFonts w:eastAsia="Times New Roman"/>
          <w:b/>
          <w:sz w:val="24"/>
          <w:szCs w:val="24"/>
        </w:rPr>
        <w:t>Gerrity Oil &amp; Gas Corp. v. Magness</w:t>
      </w:r>
      <w:r w:rsidRPr="002547C3">
        <w:rPr>
          <w:rFonts w:eastAsia="Times New Roman"/>
          <w:sz w:val="24"/>
          <w:szCs w:val="24"/>
        </w:rPr>
        <w:t xml:space="preserve">, 946 P.2d 913 (Colo. 1997); </w:t>
      </w:r>
      <w:r w:rsidRPr="002547C3">
        <w:rPr>
          <w:rFonts w:eastAsia="Times New Roman"/>
          <w:i/>
          <w:sz w:val="24"/>
          <w:szCs w:val="24"/>
        </w:rPr>
        <w:t xml:space="preserve">see also </w:t>
      </w:r>
      <w:r w:rsidRPr="002547C3">
        <w:rPr>
          <w:rFonts w:eastAsia="Times New Roman"/>
          <w:b/>
          <w:sz w:val="24"/>
          <w:szCs w:val="24"/>
        </w:rPr>
        <w:t>Dunn v. Am. Family Ins.</w:t>
      </w:r>
      <w:r w:rsidRPr="002547C3">
        <w:rPr>
          <w:rFonts w:eastAsia="Times New Roman"/>
          <w:sz w:val="24"/>
          <w:szCs w:val="24"/>
        </w:rPr>
        <w:t xml:space="preserve">, 251 P.3d 1232 (Colo. App. 2010); </w:t>
      </w:r>
      <w:r w:rsidRPr="002547C3">
        <w:rPr>
          <w:rFonts w:eastAsia="Times New Roman"/>
          <w:b/>
          <w:sz w:val="24"/>
          <w:szCs w:val="24"/>
        </w:rPr>
        <w:t>Hice v. Lott</w:t>
      </w:r>
      <w:r w:rsidRPr="002547C3">
        <w:rPr>
          <w:rFonts w:eastAsia="Times New Roman"/>
          <w:sz w:val="24"/>
          <w:szCs w:val="24"/>
        </w:rPr>
        <w:t xml:space="preserve">, 223 P.3d 139 (Colo. App. 2009); </w:t>
      </w:r>
      <w:r w:rsidRPr="002547C3">
        <w:rPr>
          <w:rFonts w:eastAsia="Times New Roman"/>
          <w:b/>
          <w:sz w:val="24"/>
          <w:szCs w:val="24"/>
        </w:rPr>
        <w:t>Calvaresi v. Nat’l Dev. Co.</w:t>
      </w:r>
      <w:r w:rsidRPr="002547C3">
        <w:rPr>
          <w:rFonts w:eastAsia="Times New Roman"/>
          <w:sz w:val="24"/>
          <w:szCs w:val="24"/>
        </w:rPr>
        <w:t>, 772 P.2d 640 (Colo. App. 1988).</w:t>
      </w:r>
    </w:p>
    <w:p w14:paraId="73521F3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Construction and Improvements to Real Property</w:t>
      </w:r>
    </w:p>
    <w:p w14:paraId="30835ED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In </w:t>
      </w:r>
      <w:r w:rsidRPr="002547C3">
        <w:rPr>
          <w:rFonts w:eastAsia="Times New Roman"/>
          <w:b/>
          <w:sz w:val="24"/>
          <w:szCs w:val="24"/>
        </w:rPr>
        <w:t>Hildebrand v. New Vista Homes II, LLC</w:t>
      </w:r>
      <w:r w:rsidRPr="002547C3">
        <w:rPr>
          <w:rFonts w:eastAsia="Times New Roman"/>
          <w:sz w:val="24"/>
          <w:szCs w:val="24"/>
        </w:rPr>
        <w:t xml:space="preserve">, 252 P.3d 1159 (Colo. App. 2010), the court held that a builder has a duty to use reasonable care and skill in constructing a home, and the failure to do so constitutes negligence.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Cosmopolitan Homes, Inc. v. Weller</w:t>
      </w:r>
      <w:r w:rsidRPr="002547C3">
        <w:rPr>
          <w:rFonts w:eastAsia="Times New Roman"/>
          <w:sz w:val="24"/>
          <w:szCs w:val="24"/>
        </w:rPr>
        <w:t xml:space="preserve">, 663 P.2d 1041 (Colo. 1983) (a subsequent purchaser of a home foreseeably suffers personal injury as a result of a builder’s negligence and thus may state a claim for negligence against the builder). However, in </w:t>
      </w:r>
      <w:r w:rsidRPr="002547C3">
        <w:rPr>
          <w:rFonts w:eastAsia="Times New Roman"/>
          <w:b/>
          <w:sz w:val="24"/>
          <w:szCs w:val="24"/>
        </w:rPr>
        <w:t>S K Peightal Engineers, LTD</w:t>
      </w:r>
      <w:r w:rsidRPr="002547C3">
        <w:rPr>
          <w:rFonts w:eastAsia="Times New Roman"/>
          <w:sz w:val="24"/>
          <w:szCs w:val="24"/>
        </w:rPr>
        <w:t xml:space="preserve">, 2015 CO 7, ¶¶ 18-25, the court held that a commercial entity that acquires a home through a deed in lieu of foreclosure is not a “subsequent” purchaser or homeowner to whom an independent duty of care is owed under </w:t>
      </w:r>
      <w:r w:rsidRPr="002547C3">
        <w:rPr>
          <w:rFonts w:eastAsia="Times New Roman"/>
          <w:b/>
          <w:sz w:val="24"/>
          <w:szCs w:val="24"/>
        </w:rPr>
        <w:t>Cosmopolitan Homes</w:t>
      </w:r>
      <w:r w:rsidRPr="002547C3">
        <w:rPr>
          <w:rFonts w:eastAsia="Times New Roman"/>
          <w:sz w:val="24"/>
          <w:szCs w:val="24"/>
        </w:rPr>
        <w:t>, 663 P.2d at 1044-45.</w:t>
      </w:r>
    </w:p>
    <w:p w14:paraId="3ADA0E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For special pleading and other requirements and limitations in actions or arbitration proceedings against construction professionals “claiming damages, indemnity, or contribution in connection with alleged construction defects, resulting in property loss or damage,” see sections 13-20-801 through 13-20-808, C.R.S. (Construction Defect Action Reform Act or “CDARA”). With respect to claims based on negligence, see section 13-20-804, relating to the effect of “substantial compliance with an applicable building code or industry standard.” CDARA was originally enacted in 2001, but was amended in 2003 and 2007, with the amendments being applicable to actions filed on or after their effective dates. In May 2010, a new section addressing insurance coverage for construction defect claims was added. </w:t>
      </w:r>
      <w:r w:rsidRPr="002547C3">
        <w:rPr>
          <w:rFonts w:eastAsia="Times New Roman"/>
          <w:i/>
          <w:sz w:val="24"/>
          <w:szCs w:val="24"/>
        </w:rPr>
        <w:t>See</w:t>
      </w:r>
      <w:r w:rsidRPr="002547C3">
        <w:rPr>
          <w:rFonts w:eastAsia="Times New Roman"/>
          <w:sz w:val="24"/>
          <w:szCs w:val="24"/>
        </w:rPr>
        <w:t xml:space="preserve"> § 13-20-808. </w:t>
      </w:r>
    </w:p>
    <w:p w14:paraId="5A79D77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“An improvement to real property is commonly understood as ‘[a]n addition to real property, whether permanent or not; esp[ecially] one that increases its value or utility or that enhances its appearance.’” </w:t>
      </w:r>
      <w:r w:rsidRPr="002547C3">
        <w:rPr>
          <w:rFonts w:eastAsia="Times New Roman"/>
          <w:b/>
          <w:bCs/>
          <w:sz w:val="24"/>
          <w:szCs w:val="24"/>
        </w:rPr>
        <w:t>Barron v. Kerr-McGee Rocky Mtn. Corp.</w:t>
      </w:r>
      <w:r w:rsidRPr="002547C3">
        <w:rPr>
          <w:rFonts w:eastAsia="Times New Roman"/>
          <w:sz w:val="24"/>
          <w:szCs w:val="24"/>
        </w:rPr>
        <w:t xml:space="preserve">, 181 P.3d 348, 350 (Colo. App. 2007) (quoting </w:t>
      </w:r>
      <w:r w:rsidRPr="00B14D0B">
        <w:rPr>
          <w:rFonts w:eastAsia="Times New Roman"/>
          <w:smallCaps/>
          <w:sz w:val="24"/>
          <w:szCs w:val="24"/>
        </w:rPr>
        <w:t>Black’s Law Dictionary</w:t>
      </w:r>
      <w:r w:rsidRPr="002547C3">
        <w:rPr>
          <w:rFonts w:eastAsia="Times New Roman"/>
          <w:sz w:val="24"/>
          <w:szCs w:val="24"/>
        </w:rPr>
        <w:t xml:space="preserve"> 773 (8th ed. 2004), and discussing workers’ compensation immunity for one contracting out work on “improvements”). Under particular facts involving a general contractor’s claims against two subcontractors who had worked on the final building in a multi-phase project, an improvement may be a discrete component of an entire project, such as one of multiple residential buildings constructed in a project. </w:t>
      </w:r>
      <w:r w:rsidRPr="002547C3">
        <w:rPr>
          <w:rFonts w:eastAsia="Times New Roman"/>
          <w:b/>
          <w:sz w:val="24"/>
          <w:szCs w:val="24"/>
        </w:rPr>
        <w:t>Shaw Constr., LLC v. United Builder Servs., Inc.</w:t>
      </w:r>
      <w:r w:rsidRPr="002547C3">
        <w:rPr>
          <w:rFonts w:eastAsia="Times New Roman"/>
          <w:sz w:val="24"/>
          <w:szCs w:val="24"/>
        </w:rPr>
        <w:t>, 2012 COA 24, ¶ 38, 296 P.3d 145. The Committee takes no position regarding application of this case to a developer, builder, or other person responsible for the construction or development of a multi-family development as a whole.</w:t>
      </w:r>
    </w:p>
    <w:p w14:paraId="0F4B77C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14. A construction professional “can be liable for negligence if it fails to follow the recommendations of its independent contractors.” </w:t>
      </w:r>
      <w:r w:rsidRPr="002547C3">
        <w:rPr>
          <w:rFonts w:eastAsia="Times New Roman"/>
          <w:b/>
          <w:sz w:val="24"/>
          <w:szCs w:val="24"/>
        </w:rPr>
        <w:t>Hildebrand</w:t>
      </w:r>
      <w:r w:rsidRPr="002547C3">
        <w:rPr>
          <w:rFonts w:eastAsia="Times New Roman"/>
          <w:sz w:val="24"/>
          <w:szCs w:val="24"/>
        </w:rPr>
        <w:t>, 252 P.3d at 1165.</w:t>
      </w:r>
    </w:p>
    <w:p w14:paraId="5D3FB4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15. A construction professional’s employee may be personally liable for the construction professional’s negligent conduct if that employee “approved of, directed, actively participated in, </w:t>
      </w:r>
      <w:r w:rsidRPr="002547C3">
        <w:rPr>
          <w:rFonts w:eastAsia="Times New Roman"/>
          <w:sz w:val="24"/>
          <w:szCs w:val="24"/>
        </w:rPr>
        <w:lastRenderedPageBreak/>
        <w:t xml:space="preserve">or cooperated in” the conduct. </w:t>
      </w:r>
      <w:r w:rsidRPr="002547C3">
        <w:rPr>
          <w:rFonts w:eastAsia="Times New Roman"/>
          <w:i/>
          <w:sz w:val="24"/>
          <w:szCs w:val="24"/>
        </w:rPr>
        <w:t>Id</w:t>
      </w:r>
      <w:r w:rsidRPr="002547C3">
        <w:rPr>
          <w:rFonts w:eastAsia="Times New Roman"/>
          <w:sz w:val="24"/>
          <w:szCs w:val="24"/>
        </w:rPr>
        <w:t xml:space="preserve">. at 1166; </w:t>
      </w:r>
      <w:r w:rsidRPr="002547C3">
        <w:rPr>
          <w:rFonts w:eastAsia="Times New Roman"/>
          <w:i/>
          <w:sz w:val="24"/>
          <w:szCs w:val="24"/>
        </w:rPr>
        <w:t>accord</w:t>
      </w:r>
      <w:r w:rsidRPr="002547C3">
        <w:rPr>
          <w:rFonts w:eastAsia="Times New Roman"/>
          <w:sz w:val="24"/>
          <w:szCs w:val="24"/>
        </w:rPr>
        <w:t xml:space="preserve"> </w:t>
      </w:r>
      <w:r w:rsidRPr="002547C3">
        <w:rPr>
          <w:rFonts w:eastAsia="Times New Roman"/>
          <w:b/>
          <w:sz w:val="24"/>
          <w:szCs w:val="24"/>
        </w:rPr>
        <w:t>Hoang v. Arbess</w:t>
      </w:r>
      <w:r w:rsidRPr="002547C3">
        <w:rPr>
          <w:rFonts w:eastAsia="Times New Roman"/>
          <w:sz w:val="24"/>
          <w:szCs w:val="24"/>
        </w:rPr>
        <w:t>, 80 P.3d 863 (Colo. App. 2003).</w:t>
      </w:r>
    </w:p>
    <w:p w14:paraId="35BD99E6" w14:textId="3517D40B" w:rsidR="00F72DDA" w:rsidRPr="00F72DDA" w:rsidRDefault="00E35042" w:rsidP="002547C3">
      <w:pPr>
        <w:spacing w:after="240"/>
        <w:ind w:firstLine="720"/>
        <w:rPr>
          <w:rFonts w:eastAsia="Times New Roman"/>
          <w:sz w:val="24"/>
          <w:szCs w:val="24"/>
        </w:rPr>
      </w:pPr>
      <w:r>
        <w:rPr>
          <w:rFonts w:eastAsia="Times New Roman"/>
          <w:sz w:val="24"/>
          <w:szCs w:val="24"/>
        </w:rPr>
        <w:t xml:space="preserve">16. </w:t>
      </w:r>
      <w:r w:rsidR="002547C3" w:rsidRPr="002547C3">
        <w:rPr>
          <w:rFonts w:eastAsia="Times New Roman"/>
          <w:sz w:val="24"/>
          <w:szCs w:val="24"/>
        </w:rPr>
        <w:t xml:space="preserve">Negligence claims arising out of construction defects are not limited by contractual privity. </w:t>
      </w:r>
      <w:r w:rsidR="002547C3" w:rsidRPr="002547C3">
        <w:rPr>
          <w:rFonts w:eastAsia="Times New Roman"/>
          <w:b/>
          <w:sz w:val="24"/>
          <w:szCs w:val="24"/>
        </w:rPr>
        <w:t>Forest City Stapleton Inc. v. Rogers</w:t>
      </w:r>
      <w:r w:rsidR="002547C3" w:rsidRPr="002547C3">
        <w:rPr>
          <w:rFonts w:eastAsia="Times New Roman"/>
          <w:sz w:val="24"/>
          <w:szCs w:val="24"/>
        </w:rPr>
        <w:t xml:space="preserve">, 2017 CO 23, ¶ 13, 393 P.3d 487. Rather, foreseeability of harm defines the scope of tort liability. </w:t>
      </w:r>
      <w:r w:rsidR="002547C3" w:rsidRPr="002547C3">
        <w:rPr>
          <w:rFonts w:eastAsia="Times New Roman"/>
          <w:i/>
          <w:sz w:val="24"/>
          <w:szCs w:val="24"/>
        </w:rPr>
        <w:t>Id.</w:t>
      </w:r>
    </w:p>
    <w:p w14:paraId="180C3F51"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Imputed Negligence</w:t>
      </w:r>
    </w:p>
    <w:p w14:paraId="28E5CA63" w14:textId="43225F6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17. The negligence or contributory negligence of a parent, as a parent, is not imputable to his or her children. </w:t>
      </w:r>
      <w:r w:rsidRPr="002547C3">
        <w:rPr>
          <w:rFonts w:eastAsia="Times New Roman"/>
          <w:b/>
          <w:sz w:val="24"/>
          <w:szCs w:val="24"/>
        </w:rPr>
        <w:t>Pub. Serv. Co. v. Petty</w:t>
      </w:r>
      <w:r w:rsidRPr="002547C3">
        <w:rPr>
          <w:rFonts w:eastAsia="Times New Roman"/>
          <w:sz w:val="24"/>
          <w:szCs w:val="24"/>
        </w:rPr>
        <w:t>, 75 Colo. 454, 226 P. 297 (1924) (citing</w:t>
      </w:r>
      <w:r w:rsidRPr="002547C3">
        <w:rPr>
          <w:rFonts w:eastAsia="Times New Roman"/>
          <w:i/>
          <w:sz w:val="24"/>
          <w:szCs w:val="24"/>
        </w:rPr>
        <w:t xml:space="preserve"> </w:t>
      </w:r>
      <w:r w:rsidRPr="002547C3">
        <w:rPr>
          <w:rFonts w:eastAsia="Times New Roman"/>
          <w:b/>
          <w:sz w:val="24"/>
          <w:szCs w:val="24"/>
        </w:rPr>
        <w:t>Denver City Tramway Co. v. Brown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57 Colo. 484, 143 P. 364 (1914));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bCs/>
          <w:sz w:val="24"/>
          <w:szCs w:val="24"/>
        </w:rPr>
        <w:t>Paris ex rel. Paris v. Dance</w:t>
      </w:r>
      <w:r w:rsidRPr="002547C3">
        <w:rPr>
          <w:rFonts w:eastAsia="Times New Roman"/>
          <w:sz w:val="24"/>
          <w:szCs w:val="24"/>
        </w:rPr>
        <w:t xml:space="preserve">, 194 P.3d 404 (Colo. App. 2008); </w:t>
      </w:r>
      <w:r w:rsidRPr="002547C3">
        <w:rPr>
          <w:rFonts w:eastAsia="Times New Roman"/>
          <w:b/>
          <w:sz w:val="24"/>
          <w:szCs w:val="24"/>
        </w:rPr>
        <w:t>Fletcher v. Porter</w:t>
      </w:r>
      <w:r w:rsidRPr="002547C3">
        <w:rPr>
          <w:rFonts w:eastAsia="Times New Roman"/>
          <w:sz w:val="24"/>
          <w:szCs w:val="24"/>
        </w:rPr>
        <w:t xml:space="preserve">, 754 P.2d 788 (Colo. App. 1988). Similarly, in the absence of some other basis, such as master and servant, the contributory negligence of one parent or a spouse will not be imputed to the other parent so as to bar or reduce whatever claim the other parent may have for injuries to the child.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Phillips v. Denver City Tramway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53 Colo. 458, 128 P. 460 (1912).</w:t>
      </w:r>
    </w:p>
    <w:p w14:paraId="1292082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Exculpatory Releases</w:t>
      </w:r>
    </w:p>
    <w:p w14:paraId="074F0E32" w14:textId="76B5223B"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18. Exculpatory releases executed by parents on behalf of minor children have been enforced in Colorado. </w:t>
      </w:r>
      <w:r w:rsidRPr="002547C3">
        <w:rPr>
          <w:rFonts w:eastAsia="Times New Roman"/>
          <w:i/>
          <w:sz w:val="24"/>
          <w:szCs w:val="24"/>
        </w:rPr>
        <w:t>Compare</w:t>
      </w:r>
      <w:r w:rsidRPr="002547C3">
        <w:rPr>
          <w:rFonts w:eastAsia="Times New Roman"/>
          <w:sz w:val="24"/>
          <w:szCs w:val="24"/>
        </w:rPr>
        <w:t xml:space="preserve"> </w:t>
      </w:r>
      <w:r w:rsidRPr="002547C3">
        <w:rPr>
          <w:rFonts w:eastAsia="Times New Roman"/>
          <w:b/>
          <w:sz w:val="24"/>
          <w:szCs w:val="24"/>
        </w:rPr>
        <w:t>Hamill v. Cheley Colo. Camps, Inc.</w:t>
      </w:r>
      <w:r w:rsidRPr="002547C3">
        <w:rPr>
          <w:rFonts w:eastAsia="Times New Roman"/>
          <w:sz w:val="24"/>
          <w:szCs w:val="24"/>
        </w:rPr>
        <w:t xml:space="preserve">, 262 P.3d 945 (Colo. App. 2011) (enforcing release of minor’s claims for negligence signed by mother because release adequately disclosed extent of potential injuries, was clear and unambiguous, and was fairly entered into by mother), </w:t>
      </w:r>
      <w:r w:rsidRPr="002547C3">
        <w:rPr>
          <w:rFonts w:eastAsia="Times New Roman"/>
          <w:i/>
          <w:sz w:val="24"/>
          <w:szCs w:val="24"/>
        </w:rPr>
        <w:t>with</w:t>
      </w:r>
      <w:r w:rsidRPr="002547C3">
        <w:rPr>
          <w:rFonts w:eastAsia="Times New Roman"/>
          <w:sz w:val="24"/>
          <w:szCs w:val="24"/>
        </w:rPr>
        <w:t xml:space="preserve"> </w:t>
      </w:r>
      <w:r w:rsidRPr="002547C3">
        <w:rPr>
          <w:rFonts w:eastAsia="Times New Roman"/>
          <w:b/>
          <w:sz w:val="24"/>
          <w:szCs w:val="24"/>
        </w:rPr>
        <w:t>Wycoff v. Grace Cmty. Church of Assemblies of God</w:t>
      </w:r>
      <w:r w:rsidRPr="002547C3">
        <w:rPr>
          <w:rFonts w:eastAsia="Times New Roman"/>
          <w:sz w:val="24"/>
          <w:szCs w:val="24"/>
        </w:rPr>
        <w:t xml:space="preserve">, 251 P.3d 1260, 1264 (Colo. App. 2010) (declining to enforce release because decision was not voluntary and informed but noting that “parents have a fundamental right to make decisions on behalf of their children, including deciding whether the children should participate in risky activities” (citing § 13-22-107(1)(a)(I)-(V), C.R.S.)). </w:t>
      </w:r>
    </w:p>
    <w:p w14:paraId="7EE041B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Statutory Defenses</w:t>
      </w:r>
    </w:p>
    <w:p w14:paraId="7C461A77" w14:textId="1DEF1D68"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19. For the circumstances in which a person may not be entitled to recover damages sustained while engaged in the commission of, or during immediate flight from, an act constituting a felony, see section 13-80-119, C.R.S. (formerly section 13-80-129, C.R.S.); and </w:t>
      </w:r>
      <w:r w:rsidRPr="002547C3">
        <w:rPr>
          <w:rFonts w:eastAsia="Times New Roman"/>
          <w:b/>
          <w:sz w:val="24"/>
          <w:szCs w:val="24"/>
        </w:rPr>
        <w:t>Molnar v. Law</w:t>
      </w:r>
      <w:r w:rsidRPr="002547C3">
        <w:rPr>
          <w:rFonts w:eastAsia="Times New Roman"/>
          <w:sz w:val="24"/>
          <w:szCs w:val="24"/>
        </w:rPr>
        <w:t xml:space="preserve">, 776 P.2d 1156 (Colo. App. 1989). Other statutes create defenses to negligence claims or limit potential liability for negligence or the amount of recoverable damages. </w:t>
      </w:r>
      <w:r w:rsidRPr="002547C3">
        <w:rPr>
          <w:rFonts w:eastAsia="Times New Roman"/>
          <w:i/>
          <w:sz w:val="24"/>
          <w:szCs w:val="24"/>
        </w:rPr>
        <w:t>See</w:t>
      </w:r>
      <w:r w:rsidRPr="00A55D2A">
        <w:rPr>
          <w:rFonts w:eastAsia="Times New Roman"/>
          <w:i/>
          <w:sz w:val="24"/>
          <w:szCs w:val="24"/>
        </w:rPr>
        <w:t>,</w:t>
      </w:r>
      <w:r w:rsidRPr="002547C3">
        <w:rPr>
          <w:rFonts w:eastAsia="Times New Roman"/>
          <w:i/>
          <w:sz w:val="24"/>
          <w:szCs w:val="24"/>
        </w:rPr>
        <w:t xml:space="preserve"> e.g.</w:t>
      </w:r>
      <w:r w:rsidRPr="002547C3">
        <w:rPr>
          <w:rFonts w:eastAsia="Times New Roman"/>
          <w:sz w:val="24"/>
          <w:szCs w:val="24"/>
        </w:rPr>
        <w:t xml:space="preserve">, § 11-58-107, C.R.S. (issuer or public employee of issuer for information or omission in annual report concerning a nonrated public security); § 12-47-801, C.R.S. (sale, service, or provision of alcoholic beverages to an intoxicated person) (the constitutionality of the predecessor to former 12-47-801 was upheld in </w:t>
      </w:r>
      <w:r w:rsidRPr="002547C3">
        <w:rPr>
          <w:rFonts w:eastAsia="Times New Roman"/>
          <w:b/>
          <w:sz w:val="24"/>
          <w:szCs w:val="24"/>
        </w:rPr>
        <w:t>Charlton v. Kimata</w:t>
      </w:r>
      <w:r w:rsidRPr="002547C3">
        <w:rPr>
          <w:rFonts w:eastAsia="Times New Roman"/>
          <w:sz w:val="24"/>
          <w:szCs w:val="24"/>
        </w:rPr>
        <w:t xml:space="preserve">, 815 P.2d 946 (Colo. 1991), and the statute was interpreted in </w:t>
      </w:r>
      <w:r w:rsidRPr="002547C3">
        <w:rPr>
          <w:rFonts w:eastAsia="Times New Roman"/>
          <w:b/>
          <w:sz w:val="24"/>
          <w:szCs w:val="24"/>
        </w:rPr>
        <w:t>Build It &amp; They Will Drink, Inc. v. Strauch</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253 P.3d 302 (Colo. 2011), and </w:t>
      </w:r>
      <w:r w:rsidRPr="002547C3">
        <w:rPr>
          <w:rFonts w:eastAsia="Times New Roman"/>
          <w:b/>
          <w:sz w:val="24"/>
          <w:szCs w:val="24"/>
        </w:rPr>
        <w:t>Rojas v. Engineered Plastic Designs, Inc.</w:t>
      </w:r>
      <w:r w:rsidRPr="002547C3">
        <w:rPr>
          <w:rFonts w:eastAsia="Times New Roman"/>
          <w:sz w:val="24"/>
          <w:szCs w:val="24"/>
        </w:rPr>
        <w:t xml:space="preserve">, 68 P.3d 591 (Colo. App. 2003)); § 13-21-108, C.R.S. (immunizing various providers of emergency assistance); § 13-21-108.1, C.R.S. (persons involved in providing emergency assistance using automated external defibrillators); § 13-21-108.2, C.R.S. (providers rendering emergency assistance to person injured while engaged in competitive sports); § 13-21-108.3, C.R.S. (architects, professional engineers, professional land surveyors, and building code officials rendering assistance during declared disaster emergency); § 13-21-108.5, C.R.S. (persons rendering assistance relating to discharges of hazardous materials); § 13-21-108.7, C.R.S. (persons rendering emergency assistance through the </w:t>
      </w:r>
      <w:r w:rsidRPr="002547C3">
        <w:rPr>
          <w:rFonts w:eastAsia="Times New Roman"/>
          <w:sz w:val="24"/>
          <w:szCs w:val="24"/>
        </w:rPr>
        <w:lastRenderedPageBreak/>
        <w:t xml:space="preserve">administration of an opiate antagonist); § 13-21-113(1), C.R.S. (suppliers donating food to nonprofit organizations for use of poor persons); § 13-21-113.3, C.R.S. (fire departments and other persons or entities donating equipment); § 13-21-115.5, C.R.S. (volunteers, including physicians, acting for a nonprofit organization or corporation or a hospital) (“Volunteer Services Act” was interpreted in </w:t>
      </w:r>
      <w:r w:rsidRPr="002547C3">
        <w:rPr>
          <w:rFonts w:eastAsia="Times New Roman"/>
          <w:b/>
          <w:sz w:val="24"/>
          <w:szCs w:val="24"/>
        </w:rPr>
        <w:t>Rieger v. Wat Buddhawararam of Denver, Inc.</w:t>
      </w:r>
      <w:r w:rsidRPr="002547C3">
        <w:rPr>
          <w:rFonts w:eastAsia="Times New Roman"/>
          <w:sz w:val="24"/>
          <w:szCs w:val="24"/>
        </w:rPr>
        <w:t xml:space="preserve">, 2013 COA 156, ¶¶ 14-37, 338 P.3d 404); § 13-21-115.6, C.R.S. (liability of school crossing guards limited to willful and wanton conduct when acting within official functions and duties); § 13-21-116(2)(b), C.R.S. (members of boards of directors of nonprofit corporations); § 13-21-116(2.5)(a), C.R.S. (volunteers assisting organizations for young persons); § 13-21-117, C.R.S. (liability of physicians, social workers, and other persons or institutions providing mental health care) (statute interpreted in </w:t>
      </w:r>
      <w:r w:rsidRPr="002547C3">
        <w:rPr>
          <w:rFonts w:eastAsia="Times New Roman"/>
          <w:b/>
          <w:sz w:val="24"/>
          <w:szCs w:val="24"/>
        </w:rPr>
        <w:t>Marcellot v. Exempla, Inc.</w:t>
      </w:r>
      <w:r w:rsidRPr="002547C3">
        <w:rPr>
          <w:rFonts w:eastAsia="Times New Roman"/>
          <w:sz w:val="24"/>
          <w:szCs w:val="24"/>
        </w:rPr>
        <w:t xml:space="preserve">, 2012 COA 200, ¶¶ 18-31, 317 P.3d 1275); § 13-21-117.5, C.R.S. (providers of service or support to persons with developmental disabilities) (statute interpreted in </w:t>
      </w:r>
      <w:r w:rsidRPr="002547C3">
        <w:rPr>
          <w:rFonts w:eastAsia="Times New Roman"/>
          <w:b/>
          <w:sz w:val="24"/>
          <w:szCs w:val="24"/>
        </w:rPr>
        <w:t>McLaughlin v. Oxley</w:t>
      </w:r>
      <w:r w:rsidRPr="002547C3">
        <w:rPr>
          <w:rFonts w:eastAsia="Times New Roman"/>
          <w:sz w:val="24"/>
          <w:szCs w:val="24"/>
        </w:rPr>
        <w:t xml:space="preserve">, 2012 COA 114, ¶¶ 11-18, 297 P.3d 1007); § 13-21-117.7, C.R.S. (limited immunity from liability of foster care provider for acts or omissions of foster child in provider’s care); § 13-21-119, C.R.S. (participants engaged in equine and llama activities) (statute interpreted in </w:t>
      </w:r>
      <w:r w:rsidRPr="002547C3">
        <w:rPr>
          <w:rFonts w:eastAsia="Times New Roman"/>
          <w:b/>
          <w:sz w:val="24"/>
          <w:szCs w:val="24"/>
        </w:rPr>
        <w:t>Clyncke v. Waneka</w:t>
      </w:r>
      <w:r w:rsidRPr="002547C3">
        <w:rPr>
          <w:rFonts w:eastAsia="Times New Roman"/>
          <w:sz w:val="24"/>
          <w:szCs w:val="24"/>
        </w:rPr>
        <w:t xml:space="preserve">, 157 P.3d 1072 (Colo. 2007), and </w:t>
      </w:r>
      <w:r w:rsidRPr="002547C3">
        <w:rPr>
          <w:rFonts w:eastAsia="Times New Roman"/>
          <w:b/>
          <w:sz w:val="24"/>
          <w:szCs w:val="24"/>
        </w:rPr>
        <w:t>Culver v. Samuels</w:t>
      </w:r>
      <w:r w:rsidRPr="002547C3">
        <w:rPr>
          <w:rFonts w:eastAsia="Times New Roman"/>
          <w:sz w:val="24"/>
          <w:szCs w:val="24"/>
        </w:rPr>
        <w:t xml:space="preserve">, 37 P.3d 535 (Colo. App. 2001)); § 13-21-121 C.R.S. (persons engaged in providing agricultural recreational activities); § 14-10-128.1(7), C.R.S. (parenting time coordinator); § 18-1-704.5(1), (2), (4), C.R.S. (defense of use of physical force, including deadly physical force, against an intruder of a dwelling) (applicability in civil cases never decided); § 24-10-105, C.R.S. (public employees); § 24-10-106.5, C.R.S. (public officials adopting a policy or regulation or conducting an inspection); § 24-10-118(2), C.R.S. (public employees); § 24-33.5-1505, C.R.S. (public agencies or entities and persons engaged in “emergency planning, service, or response activities regarding a hazardous material release, threat of release, or act of terrorism”); § 37-87-104, C.R.S. (liability of one who owns, controls, or operates a water storage reservoir); § 37-87-115, C.R.S. (immunity of state engineer and staff); § 38-33.3-303(2)(b), C.R.S. (homeowners association executive board members and officers not appointed by declarant are not liable for acts or omissions undertaken as part of their duties, except for willful and wanton acts or omissions) (statute interpreted in </w:t>
      </w:r>
      <w:r w:rsidRPr="002547C3">
        <w:rPr>
          <w:rFonts w:eastAsia="Times New Roman"/>
          <w:b/>
          <w:sz w:val="24"/>
          <w:szCs w:val="24"/>
        </w:rPr>
        <w:t>McShane v. Stirling Ranch Prop. Owners Ass’n</w:t>
      </w:r>
      <w:r w:rsidRPr="002547C3">
        <w:rPr>
          <w:rFonts w:eastAsia="Times New Roman"/>
          <w:sz w:val="24"/>
          <w:szCs w:val="24"/>
        </w:rPr>
        <w:t>, 2015 COA 48, ¶ 18</w:t>
      </w:r>
      <w:r w:rsidR="002E1D11">
        <w:rPr>
          <w:rFonts w:eastAsia="Times New Roman"/>
          <w:sz w:val="24"/>
          <w:szCs w:val="24"/>
        </w:rPr>
        <w:t>, 411 P.3d 145</w:t>
      </w:r>
      <w:r w:rsidRPr="002547C3">
        <w:rPr>
          <w:rFonts w:eastAsia="Times New Roman"/>
          <w:sz w:val="24"/>
          <w:szCs w:val="24"/>
        </w:rPr>
        <w:t xml:space="preserve">, </w:t>
      </w:r>
      <w:r w:rsidRPr="002547C3">
        <w:rPr>
          <w:rFonts w:eastAsia="Times New Roman"/>
          <w:i/>
          <w:sz w:val="24"/>
          <w:szCs w:val="24"/>
        </w:rPr>
        <w:t>rev’d on other grounds</w:t>
      </w:r>
      <w:r w:rsidRPr="002547C3">
        <w:rPr>
          <w:rFonts w:eastAsia="Times New Roman"/>
          <w:sz w:val="24"/>
          <w:szCs w:val="24"/>
        </w:rPr>
        <w:t>, 2017 CO 38, 393 P.3d 978</w:t>
      </w:r>
      <w:r w:rsidR="00FE156B">
        <w:rPr>
          <w:rFonts w:eastAsia="Times New Roman"/>
          <w:sz w:val="24"/>
          <w:szCs w:val="24"/>
        </w:rPr>
        <w:t>)</w:t>
      </w:r>
      <w:r w:rsidRPr="002547C3">
        <w:rPr>
          <w:rFonts w:eastAsia="Times New Roman"/>
          <w:sz w:val="24"/>
          <w:szCs w:val="24"/>
        </w:rPr>
        <w:t xml:space="preserve">; § 42-2-112(3), C.R.S. (physician or optometrist giving certain opinions concerning the competence of others to operate motor vehicles) (formerly § 42-2-110.5(3), C.R.S.); </w:t>
      </w:r>
      <w:r w:rsidRPr="002547C3">
        <w:rPr>
          <w:rFonts w:eastAsia="Times New Roman"/>
          <w:i/>
          <w:sz w:val="24"/>
          <w:szCs w:val="24"/>
        </w:rPr>
        <w:t>see also</w:t>
      </w:r>
      <w:r w:rsidRPr="002547C3">
        <w:rPr>
          <w:rFonts w:eastAsia="Times New Roman"/>
          <w:sz w:val="24"/>
          <w:szCs w:val="24"/>
        </w:rPr>
        <w:t xml:space="preserve"> 42 U.S.C.A. §§ 14501-05 </w:t>
      </w:r>
      <w:r w:rsidR="00A833C4">
        <w:rPr>
          <w:rFonts w:eastAsia="Times New Roman"/>
          <w:sz w:val="24"/>
          <w:szCs w:val="24"/>
        </w:rPr>
        <w:t xml:space="preserve">(2018) </w:t>
      </w:r>
      <w:r w:rsidRPr="002547C3">
        <w:rPr>
          <w:rFonts w:eastAsia="Times New Roman"/>
          <w:sz w:val="24"/>
          <w:szCs w:val="24"/>
        </w:rPr>
        <w:t xml:space="preserve">(volunteers for nonprofit organizations and governmental entities). </w:t>
      </w:r>
    </w:p>
    <w:p w14:paraId="2872335B" w14:textId="7947EE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20. Notwithstanding the provisions of the comparative negligence statute, § 13-21-111, C.R.S., and the pro rata liability statute, § 13-21-111.5, C.R.S., the assumption of “inherent risks” by a spectator of a professional baseball game may be a complete defense against liability in an action for injuries by a spectator against an owner of a professional baseball team or stadium. </w:t>
      </w:r>
      <w:r w:rsidRPr="002547C3">
        <w:rPr>
          <w:rFonts w:eastAsia="Times New Roman"/>
          <w:i/>
          <w:sz w:val="24"/>
          <w:szCs w:val="24"/>
        </w:rPr>
        <w:t>See</w:t>
      </w:r>
      <w:r w:rsidRPr="002547C3">
        <w:rPr>
          <w:rFonts w:eastAsia="Times New Roman"/>
          <w:sz w:val="24"/>
          <w:szCs w:val="24"/>
        </w:rPr>
        <w:t xml:space="preserve"> § 13-21-120, C.R.S.</w:t>
      </w:r>
    </w:p>
    <w:p w14:paraId="4028E1BB" w14:textId="57A40E3F"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21. For a discussion of the impact of the Colorado Ski Safety Act of 1979, §§ 33-44-101, </w:t>
      </w:r>
      <w:r w:rsidRPr="002547C3">
        <w:rPr>
          <w:rFonts w:eastAsia="Times New Roman"/>
          <w:i/>
          <w:sz w:val="24"/>
          <w:szCs w:val="24"/>
        </w:rPr>
        <w:t>et seq</w:t>
      </w:r>
      <w:r w:rsidRPr="002547C3">
        <w:rPr>
          <w:rFonts w:eastAsia="Times New Roman"/>
          <w:sz w:val="24"/>
          <w:szCs w:val="24"/>
        </w:rPr>
        <w:t xml:space="preserve">., C.R.S., on the liability of ski area operators for injuries sustained in skiing accidents, see </w:t>
      </w:r>
      <w:r w:rsidRPr="002547C3">
        <w:rPr>
          <w:rFonts w:eastAsia="Times New Roman"/>
          <w:b/>
          <w:sz w:val="24"/>
          <w:szCs w:val="24"/>
        </w:rPr>
        <w:t>Fleury v. IntraWest Winter Park Operations Corp.</w:t>
      </w:r>
      <w:r w:rsidRPr="002547C3">
        <w:rPr>
          <w:rFonts w:eastAsia="Times New Roman"/>
          <w:sz w:val="24"/>
          <w:szCs w:val="24"/>
        </w:rPr>
        <w:t xml:space="preserve">, 2016 CO 41, ¶¶ 12-17, 372 P.3d 349; </w:t>
      </w:r>
      <w:r w:rsidRPr="002547C3">
        <w:rPr>
          <w:rFonts w:eastAsia="Times New Roman"/>
          <w:b/>
          <w:sz w:val="24"/>
          <w:szCs w:val="24"/>
        </w:rPr>
        <w:t>Stamp v. Vail Corp.</w:t>
      </w:r>
      <w:r w:rsidRPr="002547C3">
        <w:rPr>
          <w:rFonts w:eastAsia="Times New Roman"/>
          <w:sz w:val="24"/>
          <w:szCs w:val="24"/>
        </w:rPr>
        <w:t xml:space="preserve">, 172 P.3d 437 (Colo. 2007); </w:t>
      </w:r>
      <w:r w:rsidRPr="002547C3">
        <w:rPr>
          <w:rFonts w:eastAsia="Times New Roman"/>
          <w:b/>
          <w:sz w:val="24"/>
          <w:szCs w:val="24"/>
        </w:rPr>
        <w:t>Graven v. Vail Associates, Inc.</w:t>
      </w:r>
      <w:r w:rsidRPr="002547C3">
        <w:rPr>
          <w:rFonts w:eastAsia="Times New Roman"/>
          <w:sz w:val="24"/>
          <w:szCs w:val="24"/>
        </w:rPr>
        <w:t xml:space="preserve">, 909 P.2d 514 (Colo. 1995); </w:t>
      </w:r>
      <w:r w:rsidRPr="002547C3">
        <w:rPr>
          <w:rFonts w:eastAsia="Times New Roman"/>
          <w:b/>
          <w:sz w:val="24"/>
          <w:szCs w:val="24"/>
        </w:rPr>
        <w:t>Anderson v. Vail Corp.</w:t>
      </w:r>
      <w:r w:rsidRPr="002547C3">
        <w:rPr>
          <w:rFonts w:eastAsia="Times New Roman"/>
          <w:sz w:val="24"/>
          <w:szCs w:val="24"/>
        </w:rPr>
        <w:t xml:space="preserve">, 251 P.3d 1125 (Colo. App. 2010); </w:t>
      </w:r>
      <w:r w:rsidRPr="002547C3">
        <w:rPr>
          <w:rFonts w:eastAsia="Times New Roman"/>
          <w:b/>
          <w:sz w:val="24"/>
          <w:szCs w:val="24"/>
        </w:rPr>
        <w:t>Ciocian v. Vail Corp.</w:t>
      </w:r>
      <w:r w:rsidRPr="002547C3">
        <w:rPr>
          <w:rFonts w:eastAsia="Times New Roman"/>
          <w:sz w:val="24"/>
          <w:szCs w:val="24"/>
        </w:rPr>
        <w:t xml:space="preserve">, 251 P.3d 1130 (Colo. App. 2010); and </w:t>
      </w:r>
      <w:r w:rsidRPr="002547C3">
        <w:rPr>
          <w:rFonts w:eastAsia="Times New Roman"/>
          <w:b/>
          <w:sz w:val="24"/>
          <w:szCs w:val="24"/>
        </w:rPr>
        <w:t>Cooper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32 P.3d at 509.</w:t>
      </w:r>
    </w:p>
    <w:p w14:paraId="7B689B32"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Immunities</w:t>
      </w:r>
    </w:p>
    <w:p w14:paraId="7716CC50" w14:textId="4BC35EED" w:rsidR="002547C3" w:rsidRPr="002547C3" w:rsidRDefault="002547C3" w:rsidP="002547C3">
      <w:pPr>
        <w:spacing w:after="240"/>
        <w:ind w:firstLine="720"/>
        <w:rPr>
          <w:rFonts w:eastAsia="Times New Roman"/>
          <w:sz w:val="24"/>
          <w:szCs w:val="24"/>
        </w:rPr>
      </w:pPr>
      <w:r w:rsidRPr="002547C3">
        <w:rPr>
          <w:rFonts w:eastAsia="Times New Roman"/>
          <w:sz w:val="24"/>
          <w:szCs w:val="24"/>
        </w:rPr>
        <w:t>22. Of the immunities from liability for ordinary negligence accorded by various statutes, the broadest appears to be that accorded by section 13-21-116(2)(a), C.R.S., the “Good Samaritan” Act. Under that section, some limited immunity is now accorded to all good Samaritans when the person “performs a service or act of assistance, without compensation or expectation of compensation, for the benefit of another person, or adopts or enforces a policy or a regulation to protect another person’s health or safety.” In cases in which this statute may be applicable, this instruction and the definitional instructions accompanying it must be appropriately modified.</w:t>
      </w:r>
    </w:p>
    <w:p w14:paraId="40A922B5" w14:textId="2B918FCF" w:rsidR="002547C3" w:rsidRPr="002547C3" w:rsidRDefault="002547C3" w:rsidP="002547C3">
      <w:pPr>
        <w:spacing w:after="240"/>
        <w:ind w:firstLine="720"/>
        <w:rPr>
          <w:rFonts w:eastAsia="Times New Roman"/>
          <w:sz w:val="24"/>
          <w:szCs w:val="24"/>
        </w:rPr>
      </w:pPr>
      <w:r w:rsidRPr="002547C3">
        <w:rPr>
          <w:rFonts w:eastAsia="Times New Roman"/>
          <w:sz w:val="24"/>
          <w:szCs w:val="24"/>
        </w:rPr>
        <w:t>23. For cases discussing the common-law doctrine of official immunity that may relieve a public official from personal liability for negligence when making certain decisions, see</w:t>
      </w:r>
      <w:r w:rsidRPr="002547C3">
        <w:rPr>
          <w:rFonts w:eastAsia="Times New Roman"/>
          <w:i/>
          <w:sz w:val="24"/>
          <w:szCs w:val="24"/>
        </w:rPr>
        <w:t xml:space="preserve"> </w:t>
      </w:r>
      <w:r w:rsidRPr="002547C3">
        <w:rPr>
          <w:rFonts w:eastAsia="Times New Roman"/>
          <w:b/>
          <w:sz w:val="24"/>
          <w:szCs w:val="24"/>
        </w:rPr>
        <w:t>State v. Mason</w:t>
      </w:r>
      <w:r w:rsidRPr="002547C3">
        <w:rPr>
          <w:rFonts w:eastAsia="Times New Roman"/>
          <w:sz w:val="24"/>
          <w:szCs w:val="24"/>
        </w:rPr>
        <w:t xml:space="preserve">, 724 P.2d 1289 (Colo. 1986) (absolute quasi-judicial immunity of parole board members); and </w:t>
      </w:r>
      <w:r w:rsidRPr="002547C3">
        <w:rPr>
          <w:rFonts w:eastAsia="Times New Roman"/>
          <w:b/>
          <w:sz w:val="24"/>
          <w:szCs w:val="24"/>
        </w:rPr>
        <w:t>Leake v. Cain</w:t>
      </w:r>
      <w:r w:rsidRPr="002547C3">
        <w:rPr>
          <w:rFonts w:eastAsia="Times New Roman"/>
          <w:sz w:val="24"/>
          <w:szCs w:val="24"/>
        </w:rPr>
        <w:t xml:space="preserve">, 720 P.2d 152 (Colo. 1986) (immunity of police officers when making “discretionary” decisions).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Whitcomb v. City &amp; Cty. of Denver</w:t>
      </w:r>
      <w:r w:rsidRPr="002547C3">
        <w:rPr>
          <w:rFonts w:eastAsia="Times New Roman"/>
          <w:sz w:val="24"/>
          <w:szCs w:val="24"/>
        </w:rPr>
        <w:t>, 731 P.2d 749 (Colo. App. 1986). If a public official is not personally liable because of the doctrine of official immunity, then neither is the employing governmental entity. §§ 24-10-105</w:t>
      </w:r>
      <w:r w:rsidR="0020353E">
        <w:rPr>
          <w:rFonts w:eastAsia="Times New Roman"/>
          <w:sz w:val="24"/>
          <w:szCs w:val="24"/>
        </w:rPr>
        <w:t>,</w:t>
      </w:r>
      <w:r w:rsidRPr="002547C3">
        <w:rPr>
          <w:rFonts w:eastAsia="Times New Roman"/>
          <w:sz w:val="24"/>
          <w:szCs w:val="24"/>
        </w:rPr>
        <w:t xml:space="preserve"> 24-10-106(2)</w:t>
      </w:r>
      <w:r w:rsidR="00CA1AF6">
        <w:rPr>
          <w:rFonts w:eastAsia="Times New Roman"/>
          <w:sz w:val="24"/>
          <w:szCs w:val="24"/>
        </w:rPr>
        <w:t xml:space="preserve"> </w:t>
      </w:r>
      <w:r w:rsidR="0020353E">
        <w:rPr>
          <w:rFonts w:eastAsia="Times New Roman"/>
          <w:sz w:val="24"/>
          <w:szCs w:val="24"/>
        </w:rPr>
        <w:t>&amp;</w:t>
      </w:r>
      <w:r w:rsidR="00CA1AF6">
        <w:rPr>
          <w:rFonts w:eastAsia="Times New Roman"/>
          <w:sz w:val="24"/>
          <w:szCs w:val="24"/>
        </w:rPr>
        <w:t xml:space="preserve"> </w:t>
      </w:r>
      <w:r w:rsidRPr="002547C3">
        <w:rPr>
          <w:rFonts w:eastAsia="Times New Roman"/>
          <w:sz w:val="24"/>
          <w:szCs w:val="24"/>
        </w:rPr>
        <w:t xml:space="preserve">(3), C.R.S.; </w:t>
      </w:r>
      <w:r w:rsidRPr="002547C3">
        <w:rPr>
          <w:rFonts w:eastAsia="Times New Roman"/>
          <w:b/>
          <w:sz w:val="24"/>
          <w:szCs w:val="24"/>
        </w:rPr>
        <w:t>Ceja v. Lemire</w:t>
      </w:r>
      <w:r w:rsidRPr="002547C3">
        <w:rPr>
          <w:rFonts w:eastAsia="Times New Roman"/>
          <w:sz w:val="24"/>
          <w:szCs w:val="24"/>
        </w:rPr>
        <w:t xml:space="preserve">, 154 P.3d 1064 (Colo. 2007); </w:t>
      </w:r>
      <w:r w:rsidRPr="002547C3">
        <w:rPr>
          <w:rFonts w:eastAsia="Times New Roman"/>
          <w:b/>
          <w:sz w:val="24"/>
          <w:szCs w:val="24"/>
        </w:rPr>
        <w:t>Mason</w:t>
      </w:r>
      <w:r w:rsidRPr="002547C3">
        <w:rPr>
          <w:rFonts w:eastAsia="Times New Roman"/>
          <w:sz w:val="24"/>
          <w:szCs w:val="24"/>
        </w:rPr>
        <w:t xml:space="preserve">, 724 P.2d at 1292;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Moreland</w:t>
      </w:r>
      <w:r w:rsidRPr="002547C3">
        <w:rPr>
          <w:rFonts w:eastAsia="Times New Roman"/>
          <w:sz w:val="24"/>
          <w:szCs w:val="24"/>
        </w:rPr>
        <w:t>, 764 P.2d at 818 (county not liable for alleged negligence of employee in not enforcing building code because “before a private civil liability remedy will be recognized for injuries resulting from a breach of obligations legislatively imposed on a governmental entity and unknown at common law, a clear expression of legislative intent must be found”).</w:t>
      </w:r>
    </w:p>
    <w:p w14:paraId="33A54728" w14:textId="06D0E38A"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24. For a discussion of the applicability and effect of the parental immunity doctrine, see </w:t>
      </w:r>
      <w:r w:rsidRPr="002547C3">
        <w:rPr>
          <w:rFonts w:eastAsia="Times New Roman"/>
          <w:b/>
          <w:sz w:val="24"/>
          <w:szCs w:val="24"/>
        </w:rPr>
        <w:t>Terror Mining Co. v. Roter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866 P.2d 929 (Colo. 1994) (for willful and wanton misconduct exception to the parental immunity doctrine to apply, conduct must be purposeful and committed without regard to child’s safety).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Schlessinger v. Schlessinger</w:t>
      </w:r>
      <w:r w:rsidRPr="002547C3">
        <w:rPr>
          <w:rFonts w:eastAsia="Times New Roman"/>
          <w:sz w:val="24"/>
          <w:szCs w:val="24"/>
        </w:rPr>
        <w:t>, 796 P.2d 1385 (Colo. 1990).</w:t>
      </w:r>
    </w:p>
    <w:p w14:paraId="66A7955B"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Fireman’s Rule</w:t>
      </w:r>
    </w:p>
    <w:p w14:paraId="4619BD5E" w14:textId="16B5EA5F" w:rsidR="002547C3" w:rsidRDefault="002547C3" w:rsidP="002547C3">
      <w:pPr>
        <w:spacing w:after="240"/>
        <w:ind w:firstLine="720"/>
        <w:rPr>
          <w:rFonts w:eastAsia="Times New Roman"/>
          <w:sz w:val="24"/>
          <w:szCs w:val="24"/>
        </w:rPr>
      </w:pPr>
      <w:r w:rsidRPr="002547C3">
        <w:rPr>
          <w:rFonts w:eastAsia="Times New Roman"/>
          <w:sz w:val="24"/>
          <w:szCs w:val="24"/>
        </w:rPr>
        <w:t>25. For a discussion of the “fireman’s rule,” which provides that a firefighter or police officer may not recover in tort for injuries caused by the negligent conduct of others,</w:t>
      </w:r>
      <w:r w:rsidRPr="002547C3">
        <w:rPr>
          <w:rFonts w:eastAsia="Times New Roman"/>
          <w:i/>
          <w:sz w:val="24"/>
          <w:szCs w:val="24"/>
        </w:rPr>
        <w:t xml:space="preserve"> </w:t>
      </w:r>
      <w:r w:rsidRPr="002547C3">
        <w:rPr>
          <w:rFonts w:eastAsia="Times New Roman"/>
          <w:sz w:val="24"/>
          <w:szCs w:val="24"/>
        </w:rPr>
        <w:t xml:space="preserve">see </w:t>
      </w:r>
      <w:r w:rsidRPr="002547C3">
        <w:rPr>
          <w:rFonts w:eastAsia="Times New Roman"/>
          <w:b/>
          <w:sz w:val="24"/>
          <w:szCs w:val="24"/>
        </w:rPr>
        <w:t>Bath Excavating &amp; Construction Co.</w:t>
      </w:r>
      <w:r w:rsidRPr="002547C3">
        <w:rPr>
          <w:rFonts w:eastAsia="Times New Roman"/>
          <w:sz w:val="24"/>
          <w:szCs w:val="24"/>
        </w:rPr>
        <w:t xml:space="preserve">, 847 P.2d at 1143-47 (noting that fireman’s rule has not been expressly accepted or rejected in Colorado).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Banyai v. Arruda</w:t>
      </w:r>
      <w:r w:rsidRPr="002547C3">
        <w:rPr>
          <w:rFonts w:eastAsia="Times New Roman"/>
          <w:sz w:val="24"/>
          <w:szCs w:val="24"/>
        </w:rPr>
        <w:t xml:space="preserve">, 799 P.2d 441 (Colo. App. 1990) (rejecting rule); </w:t>
      </w:r>
      <w:r w:rsidRPr="002547C3">
        <w:rPr>
          <w:rFonts w:eastAsia="Times New Roman"/>
          <w:b/>
          <w:sz w:val="24"/>
          <w:szCs w:val="24"/>
        </w:rPr>
        <w:t>Rhea v. Green</w:t>
      </w:r>
      <w:r w:rsidRPr="002547C3">
        <w:rPr>
          <w:rFonts w:eastAsia="Times New Roman"/>
          <w:sz w:val="24"/>
          <w:szCs w:val="24"/>
        </w:rPr>
        <w:t xml:space="preserve">, 29 Colo. App. 19, 476 P.2d 760 (1970) (rejecting rule by implication). </w:t>
      </w:r>
      <w:r w:rsidRPr="002547C3">
        <w:rPr>
          <w:rFonts w:eastAsia="Times New Roman"/>
          <w:i/>
          <w:sz w:val="24"/>
          <w:szCs w:val="24"/>
        </w:rPr>
        <w:t xml:space="preserve">But see </w:t>
      </w:r>
      <w:r w:rsidRPr="002547C3">
        <w:rPr>
          <w:rFonts w:eastAsia="Times New Roman"/>
          <w:b/>
          <w:sz w:val="24"/>
          <w:szCs w:val="24"/>
        </w:rPr>
        <w:t>Lunt v. Post Printing &amp; Publ’g Co.</w:t>
      </w:r>
      <w:r w:rsidRPr="002547C3">
        <w:rPr>
          <w:rFonts w:eastAsia="Times New Roman"/>
          <w:sz w:val="24"/>
          <w:szCs w:val="24"/>
        </w:rPr>
        <w:t>, 48 Colo. 316, 110 P. 203 (1910) (classifying firefighter as a licensee and precluding recovery to the firefighter because landowner did not owe duty to licensee to warn of hidden dangers).</w:t>
      </w:r>
    </w:p>
    <w:p w14:paraId="64829BE8" w14:textId="77777777" w:rsidR="00FE156B" w:rsidRDefault="00FE156B">
      <w:pPr>
        <w:rPr>
          <w:rFonts w:eastAsia="Times New Roman"/>
          <w:sz w:val="24"/>
          <w:szCs w:val="24"/>
        </w:rPr>
      </w:pPr>
      <w:r>
        <w:rPr>
          <w:rFonts w:eastAsia="Times New Roman"/>
          <w:sz w:val="24"/>
          <w:szCs w:val="24"/>
        </w:rPr>
        <w:br w:type="page"/>
      </w:r>
    </w:p>
    <w:p w14:paraId="01A40E8B" w14:textId="77777777" w:rsidR="00FE156B" w:rsidRPr="009E3DA4" w:rsidRDefault="00FE156B" w:rsidP="00FE156B">
      <w:pPr>
        <w:spacing w:after="240"/>
        <w:ind w:left="720" w:hanging="720"/>
        <w:rPr>
          <w:rFonts w:eastAsia="Times New Roman"/>
          <w:b/>
          <w:sz w:val="24"/>
          <w:szCs w:val="24"/>
        </w:rPr>
      </w:pPr>
      <w:bookmarkStart w:id="3" w:name="a9_02"/>
      <w:bookmarkEnd w:id="3"/>
      <w:r w:rsidRPr="00FE156B">
        <w:rPr>
          <w:rFonts w:eastAsia="Times New Roman"/>
          <w:b/>
          <w:sz w:val="24"/>
          <w:szCs w:val="24"/>
        </w:rPr>
        <w:lastRenderedPageBreak/>
        <w:t xml:space="preserve">9:2 </w:t>
      </w:r>
      <w:r w:rsidRPr="00FE156B">
        <w:rPr>
          <w:rFonts w:eastAsia="Times New Roman"/>
          <w:b/>
          <w:sz w:val="24"/>
          <w:szCs w:val="24"/>
        </w:rPr>
        <w:tab/>
        <w:t>NEGLIGENT INFLICTION OF EMOTIONAL DISTRESS — ELEMENTS OF LIABILITY</w:t>
      </w:r>
    </w:p>
    <w:p w14:paraId="0DCE964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infliction of emotional distress, you must find all the following have been proved by a preponderance of the evidence:</w:t>
      </w:r>
    </w:p>
    <w:p w14:paraId="4967187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was negligent;</w:t>
      </w:r>
    </w:p>
    <w:p w14:paraId="1321DB2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defendant’s negligence created an unreasonable risk of physical harm to the plaintiff;</w:t>
      </w:r>
    </w:p>
    <w:p w14:paraId="14E0D0B1"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The defendant’s negligence caused the plaintiff to be put in fear for (his) (her) own safety and such fear was shown by physical consequences or long continued emotional disturbance, rather than only momentary fright, shock, or other similar and immediate emotional distress; and</w:t>
      </w:r>
    </w:p>
    <w:p w14:paraId="0FB2DD4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4. The plaintiff’s fear caused (him) (her) (injuries) (damages) (losses).</w:t>
      </w:r>
    </w:p>
    <w:p w14:paraId="5BDF0757"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162970B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ED5193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34D71A"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62CD9E8" w14:textId="77777777" w:rsidR="00FE156B" w:rsidRDefault="00FE156B" w:rsidP="00FE156B">
      <w:pPr>
        <w:jc w:val="center"/>
        <w:rPr>
          <w:rFonts w:eastAsia="Times New Roman"/>
          <w:sz w:val="24"/>
          <w:szCs w:val="24"/>
        </w:rPr>
      </w:pPr>
    </w:p>
    <w:p w14:paraId="61B094D6"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4E4AC3B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1. This instruction should be used when the plaintiff is claiming damages for fear of his or her own safety and for the consequential damages (physical and mental) caused by such fright, rather than damages resulting from an “impact” caused by the defendant’s negligence. When the plaintiff is claiming damages for intentional infliction of emotional distress by extreme and outrageous conduct, see Chapter 23, and for assault, see Part A of Chapter 20.</w:t>
      </w:r>
    </w:p>
    <w:p w14:paraId="2543F604"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2. Omit any numbered paragraphs, the facts of which are not in dispute.</w:t>
      </w:r>
    </w:p>
    <w:p w14:paraId="3B41AE73"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61CE580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4. Whenever the defense of contributory negligence has been properly raised, the numbered paragraphs of this instruction should be substituted for the numbered paragraphs in Instruction 9:22 and that Instruction should then be used in accord with its Notes on Use.</w:t>
      </w:r>
    </w:p>
    <w:p w14:paraId="4414E89A"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5. Whenever this instruction is given, the appropriate instruction or instructions relating to causation must also be given, </w:t>
      </w:r>
      <w:r w:rsidRPr="00FE156B">
        <w:rPr>
          <w:rFonts w:eastAsia="Times New Roman"/>
          <w:i/>
          <w:sz w:val="24"/>
          <w:szCs w:val="24"/>
        </w:rPr>
        <w:t>see</w:t>
      </w:r>
      <w:r w:rsidRPr="00FE156B">
        <w:rPr>
          <w:rFonts w:eastAsia="Times New Roman"/>
          <w:sz w:val="24"/>
          <w:szCs w:val="24"/>
        </w:rPr>
        <w:t xml:space="preserve"> Instructions 9:18 to 9:21, as well as other appropriate instructions defining the terms used in this instruction, e.g</w:t>
      </w:r>
      <w:r w:rsidRPr="00FE156B">
        <w:rPr>
          <w:rFonts w:eastAsia="Times New Roman"/>
          <w:i/>
          <w:sz w:val="24"/>
          <w:szCs w:val="24"/>
        </w:rPr>
        <w:t>.</w:t>
      </w:r>
      <w:r w:rsidRPr="00FE156B">
        <w:rPr>
          <w:rFonts w:eastAsia="Times New Roman"/>
          <w:sz w:val="24"/>
          <w:szCs w:val="24"/>
        </w:rPr>
        <w:t>, Instruction 9:6 (defining “negligence”).</w:t>
      </w:r>
    </w:p>
    <w:p w14:paraId="712C3BC7"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6. This instruction should not be used when liability has been admitted, </w:t>
      </w:r>
      <w:r w:rsidRPr="00FE156B">
        <w:rPr>
          <w:rFonts w:eastAsia="Times New Roman"/>
          <w:i/>
          <w:sz w:val="24"/>
          <w:szCs w:val="24"/>
        </w:rPr>
        <w:t>see</w:t>
      </w:r>
      <w:r w:rsidRPr="00FE156B">
        <w:rPr>
          <w:rFonts w:eastAsia="Times New Roman"/>
          <w:sz w:val="24"/>
          <w:szCs w:val="24"/>
        </w:rPr>
        <w:t xml:space="preserve"> Instruction 2:4, or when the court has directed a verdict as to liability, </w:t>
      </w:r>
      <w:r w:rsidRPr="00FE156B">
        <w:rPr>
          <w:rFonts w:eastAsia="Times New Roman"/>
          <w:i/>
          <w:sz w:val="24"/>
          <w:szCs w:val="24"/>
        </w:rPr>
        <w:t>see</w:t>
      </w:r>
      <w:r w:rsidRPr="00FE156B">
        <w:rPr>
          <w:rFonts w:eastAsia="Times New Roman"/>
          <w:sz w:val="24"/>
          <w:szCs w:val="24"/>
        </w:rPr>
        <w:t xml:space="preserve"> Instruction 2:6.</w:t>
      </w:r>
    </w:p>
    <w:p w14:paraId="48FE2758"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7. Though mitigation of damages is an affirmative defense, </w:t>
      </w:r>
      <w:r w:rsidRPr="00FE156B">
        <w:rPr>
          <w:rFonts w:eastAsia="Times New Roman"/>
          <w:i/>
          <w:sz w:val="24"/>
          <w:szCs w:val="24"/>
        </w:rPr>
        <w:t>see</w:t>
      </w:r>
      <w:r w:rsidRPr="00FE156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9384418"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5E99207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is supported by </w:t>
      </w:r>
      <w:r w:rsidRPr="00FE156B">
        <w:rPr>
          <w:rFonts w:eastAsia="Times New Roman"/>
          <w:b/>
          <w:sz w:val="24"/>
          <w:szCs w:val="24"/>
        </w:rPr>
        <w:t>Towns v. Anderson</w:t>
      </w:r>
      <w:r w:rsidRPr="00FE156B">
        <w:rPr>
          <w:rFonts w:eastAsia="Times New Roman"/>
          <w:sz w:val="24"/>
          <w:szCs w:val="24"/>
        </w:rPr>
        <w:t xml:space="preserve">, 195 Colo. 517, 579 P.2d 1163 (1978); </w:t>
      </w:r>
      <w:r w:rsidRPr="00FE156B">
        <w:rPr>
          <w:rFonts w:eastAsia="Times New Roman"/>
          <w:b/>
          <w:sz w:val="24"/>
          <w:szCs w:val="24"/>
        </w:rPr>
        <w:t>Wark v. McClellan</w:t>
      </w:r>
      <w:r w:rsidRPr="00FE156B">
        <w:rPr>
          <w:rFonts w:eastAsia="Times New Roman"/>
          <w:sz w:val="24"/>
          <w:szCs w:val="24"/>
        </w:rPr>
        <w:t xml:space="preserve">, 68 P.3d 574 (Colo. App. 2003) (to establish prima facie case of negligent infliction of emotional distress, plaintiff must first show that defendant was negligent); </w:t>
      </w:r>
      <w:r w:rsidRPr="00FE156B">
        <w:rPr>
          <w:rFonts w:eastAsia="Times New Roman"/>
          <w:b/>
          <w:sz w:val="24"/>
          <w:szCs w:val="24"/>
        </w:rPr>
        <w:t>Slovek v. Board of County Commissioners</w:t>
      </w:r>
      <w:r w:rsidRPr="00FE156B">
        <w:rPr>
          <w:rFonts w:eastAsia="Times New Roman"/>
          <w:sz w:val="24"/>
          <w:szCs w:val="24"/>
        </w:rPr>
        <w:t xml:space="preserve">, 697 P.2d 781 (Colo. App. 1984) (though physical impact is not required, to recover damages for negligent infliction of emotional distress, plaintiff must have been subjected to a risk of bodily harm from such negligence), </w:t>
      </w:r>
      <w:r w:rsidRPr="00FE156B">
        <w:rPr>
          <w:rFonts w:eastAsia="Times New Roman"/>
          <w:i/>
          <w:sz w:val="24"/>
          <w:szCs w:val="24"/>
        </w:rPr>
        <w:t>aff’d</w:t>
      </w:r>
      <w:r w:rsidRPr="00FE156B">
        <w:rPr>
          <w:rFonts w:eastAsia="Times New Roman"/>
          <w:sz w:val="24"/>
          <w:szCs w:val="24"/>
        </w:rPr>
        <w:t xml:space="preserve">, 723 P.2d 1309 (Colo. 1986); and </w:t>
      </w:r>
      <w:r w:rsidRPr="00FE156B">
        <w:rPr>
          <w:rFonts w:eastAsia="Times New Roman"/>
          <w:b/>
          <w:sz w:val="24"/>
          <w:szCs w:val="24"/>
        </w:rPr>
        <w:t>Mathews v. Lomas &amp; Nettleton Co.</w:t>
      </w:r>
      <w:r w:rsidRPr="00FE156B">
        <w:rPr>
          <w:rFonts w:eastAsia="Times New Roman"/>
          <w:sz w:val="24"/>
          <w:szCs w:val="24"/>
        </w:rPr>
        <w:t xml:space="preserve">, 754 P.2d 791 (Colo. App. 1988) (proof of risk of bodily harm required).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Webster v. Boone</w:t>
      </w:r>
      <w:r w:rsidRPr="00FE156B">
        <w:rPr>
          <w:rFonts w:eastAsia="Times New Roman"/>
          <w:sz w:val="24"/>
          <w:szCs w:val="24"/>
        </w:rPr>
        <w:t xml:space="preserve">, 992 P.2d 1183 (Colo. App. 1999) (no recovery for emotional distress on negligence claim in the absence of fraud, malice or other willful and wanton conduct or the creation of an unreasonable risk of bodily harm); </w:t>
      </w:r>
      <w:r w:rsidRPr="00FE156B">
        <w:rPr>
          <w:rFonts w:eastAsia="Times New Roman"/>
          <w:b/>
          <w:sz w:val="24"/>
          <w:szCs w:val="24"/>
        </w:rPr>
        <w:t>Colwell v. Mentzer Invs., Inc.</w:t>
      </w:r>
      <w:r w:rsidRPr="00FE156B">
        <w:rPr>
          <w:rFonts w:eastAsia="Times New Roman"/>
          <w:sz w:val="24"/>
          <w:szCs w:val="24"/>
        </w:rPr>
        <w:t xml:space="preserve">, 973 P.2d 631 (Colo. App. 1998) (no recovery unless plaintiff subjected to unreasonable risk of bodily harm); </w:t>
      </w:r>
      <w:r w:rsidRPr="00FE156B">
        <w:rPr>
          <w:rFonts w:eastAsia="Times New Roman"/>
          <w:b/>
          <w:sz w:val="24"/>
          <w:szCs w:val="24"/>
        </w:rPr>
        <w:t>Scharrel v. Wal-Mart Stores, Inc.</w:t>
      </w:r>
      <w:r w:rsidRPr="00FE156B">
        <w:rPr>
          <w:rFonts w:eastAsia="Times New Roman"/>
          <w:sz w:val="24"/>
          <w:szCs w:val="24"/>
        </w:rPr>
        <w:t xml:space="preserve">, 949 P.2d 89 (Colo. App. 1997); </w:t>
      </w:r>
      <w:r w:rsidRPr="00FE156B">
        <w:rPr>
          <w:rFonts w:eastAsia="Times New Roman"/>
          <w:b/>
          <w:sz w:val="24"/>
          <w:szCs w:val="24"/>
        </w:rPr>
        <w:t>Card v. Blakeslee</w:t>
      </w:r>
      <w:r w:rsidRPr="00FE156B">
        <w:rPr>
          <w:rFonts w:eastAsia="Times New Roman"/>
          <w:sz w:val="24"/>
          <w:szCs w:val="24"/>
        </w:rPr>
        <w:t>,</w:t>
      </w:r>
      <w:r w:rsidRPr="00FE156B">
        <w:rPr>
          <w:rFonts w:eastAsia="Times New Roman"/>
          <w:b/>
          <w:sz w:val="24"/>
          <w:szCs w:val="24"/>
        </w:rPr>
        <w:t xml:space="preserve"> </w:t>
      </w:r>
      <w:r w:rsidRPr="00FE156B">
        <w:rPr>
          <w:rFonts w:eastAsia="Times New Roman"/>
          <w:sz w:val="24"/>
          <w:szCs w:val="24"/>
        </w:rPr>
        <w:t xml:space="preserve">937 P.2d 846 (Colo. App. 1996) (to recover on claim of negligent infliction of emotional distress, plaintiff must be subject to a direct threat of harm or an unreasonable risk of bodily injury); </w:t>
      </w:r>
      <w:r w:rsidRPr="00FE156B">
        <w:rPr>
          <w:rFonts w:eastAsia="Times New Roman"/>
          <w:b/>
          <w:sz w:val="24"/>
          <w:szCs w:val="24"/>
        </w:rPr>
        <w:t>Kimelman v. City of Colo. Springs</w:t>
      </w:r>
      <w:r w:rsidRPr="00FE156B">
        <w:rPr>
          <w:rFonts w:eastAsia="Times New Roman"/>
          <w:sz w:val="24"/>
          <w:szCs w:val="24"/>
        </w:rPr>
        <w:t xml:space="preserve">, 775 P.2d 51 (Colo. App. 1988) (no recovery for emotional distress caused by negligent handling of a dead body when plaintiff not personally subjected to a risk of physical harm). </w:t>
      </w:r>
      <w:r w:rsidRPr="00FE156B">
        <w:rPr>
          <w:rFonts w:eastAsia="Times New Roman"/>
          <w:i/>
          <w:sz w:val="24"/>
          <w:szCs w:val="24"/>
        </w:rPr>
        <w:t xml:space="preserve">But see </w:t>
      </w:r>
      <w:r w:rsidRPr="00FE156B">
        <w:rPr>
          <w:rFonts w:eastAsia="Times New Roman"/>
          <w:b/>
          <w:sz w:val="24"/>
          <w:szCs w:val="24"/>
        </w:rPr>
        <w:t>Montoya v. Bebensee</w:t>
      </w:r>
      <w:r w:rsidRPr="00FE156B">
        <w:rPr>
          <w:rFonts w:eastAsia="Times New Roman"/>
          <w:sz w:val="24"/>
          <w:szCs w:val="24"/>
        </w:rPr>
        <w:t>, 761 P.2d 285 (Colo. App. 1988) (reversing the trial court’s dismissal of a claim for negligent infliction of emotional distress without discussing the requirement that the plaintiff have been subjected to a risk of physical harm).</w:t>
      </w:r>
    </w:p>
    <w:p w14:paraId="33803819"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2. A parent who is not personally subjected to an unreasonable risk of physical harm may not recover for emotional distress caused by witnessing the negligent infliction of physical harm on the parent’s child. </w:t>
      </w:r>
      <w:r w:rsidRPr="00FE156B">
        <w:rPr>
          <w:rFonts w:eastAsia="Times New Roman"/>
          <w:b/>
          <w:sz w:val="24"/>
          <w:szCs w:val="24"/>
        </w:rPr>
        <w:t>Millican v. Wolfe</w:t>
      </w:r>
      <w:r w:rsidRPr="00FE156B">
        <w:rPr>
          <w:rFonts w:eastAsia="Times New Roman"/>
          <w:sz w:val="24"/>
          <w:szCs w:val="24"/>
        </w:rPr>
        <w:t xml:space="preserve">, 701 P.2d 107 (Colo. App. 1985);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Hale v. Morris</w:t>
      </w:r>
      <w:r w:rsidRPr="00FE156B">
        <w:rPr>
          <w:rFonts w:eastAsia="Times New Roman"/>
          <w:sz w:val="24"/>
          <w:szCs w:val="24"/>
        </w:rPr>
        <w:t>, 725 P.2d 26 (Colo. App. 1986) (same, and, in addition, harm that child suffered did not occur in the parent’s presence).</w:t>
      </w:r>
    </w:p>
    <w:p w14:paraId="58F4E502"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 xml:space="preserve">3. The firing of an employee because of a disability in violation of the Colorado Anti-Discrimination Act, § 24-34-402, C.R.S., is not sufficient, in and of itself, to support a claim for negligent infliction of emotional distress. </w:t>
      </w:r>
      <w:r w:rsidRPr="00FE156B">
        <w:rPr>
          <w:rFonts w:eastAsia="Times New Roman"/>
          <w:b/>
          <w:sz w:val="24"/>
          <w:szCs w:val="24"/>
        </w:rPr>
        <w:t>Bigby v. Big 3 Supply Co.</w:t>
      </w:r>
      <w:r w:rsidRPr="00FE156B">
        <w:rPr>
          <w:rFonts w:eastAsia="Times New Roman"/>
          <w:sz w:val="24"/>
          <w:szCs w:val="24"/>
        </w:rPr>
        <w:t>, 937 P.2d 794 (Colo. App. 1996).</w:t>
      </w:r>
    </w:p>
    <w:p w14:paraId="460253F8" w14:textId="77777777" w:rsidR="00FE156B" w:rsidRDefault="00FE156B" w:rsidP="00FE156B">
      <w:pPr>
        <w:spacing w:after="240"/>
        <w:ind w:firstLine="720"/>
        <w:rPr>
          <w:rFonts w:eastAsia="Times New Roman"/>
          <w:sz w:val="24"/>
          <w:szCs w:val="24"/>
        </w:rPr>
      </w:pPr>
      <w:r w:rsidRPr="00FE156B">
        <w:rPr>
          <w:rFonts w:eastAsia="Times New Roman"/>
          <w:sz w:val="24"/>
          <w:szCs w:val="24"/>
        </w:rPr>
        <w:t xml:space="preserve">4. A claim of negligent infliction of emotional distress describes an independent tort injury suffered by the plaintiff directly; it is not derivative of a third person’s personal injury claim. </w:t>
      </w:r>
      <w:r w:rsidRPr="00FE156B">
        <w:rPr>
          <w:rFonts w:eastAsia="Times New Roman"/>
          <w:b/>
          <w:sz w:val="24"/>
          <w:szCs w:val="24"/>
        </w:rPr>
        <w:t>Draper v. DeFrenchi-Gordineer</w:t>
      </w:r>
      <w:r w:rsidRPr="00FE156B">
        <w:rPr>
          <w:rFonts w:eastAsia="Times New Roman"/>
          <w:sz w:val="24"/>
          <w:szCs w:val="24"/>
        </w:rPr>
        <w:t>, 282 P.3d 489 (Colo. App. 2011) (husband suffering emotional distress after witnessing automobile accident in which wife was injured was able to maintain claim of negligent infliction of emotional distress against driver who caused the accident notwithstanding wife’s settlement of her personal injury claim against driver).</w:t>
      </w:r>
    </w:p>
    <w:p w14:paraId="625C2D8E" w14:textId="77777777" w:rsidR="00FE156B" w:rsidRDefault="00FE156B">
      <w:pPr>
        <w:rPr>
          <w:rFonts w:eastAsia="Times New Roman"/>
          <w:sz w:val="24"/>
          <w:szCs w:val="24"/>
        </w:rPr>
      </w:pPr>
      <w:r>
        <w:rPr>
          <w:rFonts w:eastAsia="Times New Roman"/>
          <w:sz w:val="24"/>
          <w:szCs w:val="24"/>
        </w:rPr>
        <w:br w:type="page"/>
      </w:r>
    </w:p>
    <w:p w14:paraId="054C7FF9" w14:textId="77777777" w:rsidR="00FE156B" w:rsidRPr="009E3DA4" w:rsidRDefault="00FE156B" w:rsidP="00FE156B">
      <w:pPr>
        <w:spacing w:after="240"/>
        <w:ind w:left="720" w:hanging="720"/>
        <w:rPr>
          <w:rFonts w:eastAsia="Times New Roman"/>
          <w:b/>
          <w:sz w:val="24"/>
          <w:szCs w:val="24"/>
        </w:rPr>
      </w:pPr>
      <w:bookmarkStart w:id="4" w:name="a9_03"/>
      <w:bookmarkEnd w:id="4"/>
      <w:r w:rsidRPr="00FE156B">
        <w:rPr>
          <w:rFonts w:eastAsia="Times New Roman"/>
          <w:b/>
          <w:sz w:val="24"/>
          <w:szCs w:val="24"/>
        </w:rPr>
        <w:lastRenderedPageBreak/>
        <w:t xml:space="preserve">9:3 </w:t>
      </w:r>
      <w:r w:rsidRPr="00FE156B">
        <w:rPr>
          <w:rFonts w:eastAsia="Times New Roman"/>
          <w:b/>
          <w:sz w:val="24"/>
          <w:szCs w:val="24"/>
        </w:rPr>
        <w:tab/>
        <w:t>NEGLIGENT MISREPRESENTATION CAUSING PHYSICAL HARM — ELEMENTS OF LIABILITY</w:t>
      </w:r>
    </w:p>
    <w:p w14:paraId="62D62FB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misrepresentation, you must find all of the following have been proved by a preponderance of the evidence:</w:t>
      </w:r>
    </w:p>
    <w:p w14:paraId="4DF0C15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negligently gave false information to the plaintiff;</w:t>
      </w:r>
    </w:p>
    <w:p w14:paraId="2836F6BC"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plaintiff relied upon such information; and</w:t>
      </w:r>
    </w:p>
    <w:p w14:paraId="5FA45DF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This reliance was a cause of physical harm to the (person) (property) of the plaintiff.</w:t>
      </w:r>
    </w:p>
    <w:p w14:paraId="3FB6AEFE"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5E64185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105D7A8"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82F2804"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41EEF14" w14:textId="77777777" w:rsidR="00FE156B" w:rsidRDefault="00FE156B" w:rsidP="00FE156B">
      <w:pPr>
        <w:jc w:val="center"/>
        <w:rPr>
          <w:rFonts w:eastAsia="Times New Roman"/>
          <w:sz w:val="24"/>
          <w:szCs w:val="24"/>
        </w:rPr>
      </w:pPr>
    </w:p>
    <w:p w14:paraId="11C6B300"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0ECDCD96"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1. This instruction should be used when the plaintiff is claiming damages for physical injury to the plaintiff’s person or property caused by the plaintiff’s or, with this instruction appropriately modified, a third person’s reliance on information negligently provided by the defendant.</w:t>
      </w:r>
    </w:p>
    <w:p w14:paraId="0854AB0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2. Omit any numbered paragraphs, the facts of which are not in dispute.</w:t>
      </w:r>
    </w:p>
    <w:p w14:paraId="333182C8"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0D7313B1"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4. For the tort of negligent misrepresentation causing financial loss in a business transaction, see Instruction 9:4. Unlike that tort, the tort of negligent misrepresentation causing physical harm is not limited to persons whose business or profession is that of giving information dealing with the safety of others. Also, the defendant can be held liable for physical injuries caused by a negligent misrepresentation even though the false information was given on a purely </w:t>
      </w:r>
      <w:r w:rsidRPr="0071225B">
        <w:rPr>
          <w:rFonts w:eastAsia="Times New Roman"/>
          <w:sz w:val="24"/>
          <w:szCs w:val="24"/>
        </w:rPr>
        <w:lastRenderedPageBreak/>
        <w:t xml:space="preserve">gratuitous basis. </w:t>
      </w:r>
      <w:r w:rsidRPr="0071225B">
        <w:rPr>
          <w:rFonts w:eastAsia="Times New Roman"/>
          <w:smallCaps/>
          <w:sz w:val="24"/>
          <w:szCs w:val="24"/>
        </w:rPr>
        <w:t>Restatement (Second) of Torts</w:t>
      </w:r>
      <w:r w:rsidRPr="0071225B">
        <w:rPr>
          <w:rFonts w:eastAsia="Times New Roman"/>
          <w:sz w:val="24"/>
          <w:szCs w:val="24"/>
        </w:rPr>
        <w:t xml:space="preserve"> § 311 cmts. b–c (1965). Similarly, a defendant can be held liable under this instruction even though the plaintiff was not the person to whom the false information was communicated, nor was the person who was intended to rely on the information. </w:t>
      </w:r>
      <w:r w:rsidRPr="0071225B">
        <w:rPr>
          <w:rFonts w:eastAsia="Times New Roman"/>
          <w:i/>
          <w:sz w:val="24"/>
          <w:szCs w:val="24"/>
        </w:rPr>
        <w:t>Id.</w:t>
      </w:r>
      <w:r w:rsidRPr="0071225B">
        <w:rPr>
          <w:rFonts w:eastAsia="Times New Roman"/>
          <w:sz w:val="24"/>
          <w:szCs w:val="24"/>
        </w:rPr>
        <w:t xml:space="preserve"> at cmt. f (incorporating by reference </w:t>
      </w:r>
      <w:r w:rsidRPr="0071225B">
        <w:rPr>
          <w:rFonts w:eastAsia="Times New Roman"/>
          <w:smallCaps/>
          <w:sz w:val="24"/>
          <w:szCs w:val="24"/>
        </w:rPr>
        <w:t>Restatement</w:t>
      </w:r>
      <w:r w:rsidRPr="0071225B">
        <w:rPr>
          <w:rFonts w:eastAsia="Times New Roman"/>
          <w:sz w:val="24"/>
          <w:szCs w:val="24"/>
        </w:rPr>
        <w:t xml:space="preserve"> § 310 cmts. c–d). In these latter circumstances, this instruction must be appropriately modified.</w:t>
      </w:r>
    </w:p>
    <w:p w14:paraId="12C7296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5. The unreasonable reliance of the plaintiff on the misrepresentation of the defendant constitutes contributory negligence on which, because it is an affirmative defense, the defendant has the burdens of pleading and proof. Consequently,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w:t>
      </w:r>
    </w:p>
    <w:p w14:paraId="7D8BD517"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6. Though mitigation of damages is an affirmative defense, </w:t>
      </w:r>
      <w:r w:rsidRPr="0071225B">
        <w:rPr>
          <w:rFonts w:eastAsia="Times New Roman"/>
          <w:i/>
          <w:sz w:val="24"/>
          <w:szCs w:val="24"/>
        </w:rPr>
        <w:t>see</w:t>
      </w:r>
      <w:r w:rsidRPr="0071225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87AC58B"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7. Whenever this instruction is given, the appropriate instruction or instructions relating to causation must also be given, </w:t>
      </w:r>
      <w:r w:rsidRPr="0071225B">
        <w:rPr>
          <w:rFonts w:eastAsia="Times New Roman"/>
          <w:i/>
          <w:sz w:val="24"/>
          <w:szCs w:val="24"/>
        </w:rPr>
        <w:t>see</w:t>
      </w:r>
      <w:r w:rsidRPr="0071225B">
        <w:rPr>
          <w:rFonts w:eastAsia="Times New Roman"/>
          <w:sz w:val="24"/>
          <w:szCs w:val="24"/>
        </w:rPr>
        <w:t xml:space="preserve"> Instructions 9:18 to 9:21, as well as other appropriate instructions defining the terms used in this instruction, e.g., Instruction 9:6 (defining “negligence”).</w:t>
      </w:r>
    </w:p>
    <w:p w14:paraId="18F95ECF"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8. This instruction should not be used when liability has been admitted, </w:t>
      </w:r>
      <w:r w:rsidRPr="0071225B">
        <w:rPr>
          <w:rFonts w:eastAsia="Times New Roman"/>
          <w:i/>
          <w:sz w:val="24"/>
          <w:szCs w:val="24"/>
        </w:rPr>
        <w:t>see</w:t>
      </w:r>
      <w:r w:rsidRPr="0071225B">
        <w:rPr>
          <w:rFonts w:eastAsia="Times New Roman"/>
          <w:sz w:val="24"/>
          <w:szCs w:val="24"/>
        </w:rPr>
        <w:t xml:space="preserve"> Instruction 2:4, or when the court has directed a verdict as to liability, </w:t>
      </w:r>
      <w:r w:rsidRPr="0071225B">
        <w:rPr>
          <w:rFonts w:eastAsia="Times New Roman"/>
          <w:i/>
          <w:sz w:val="24"/>
          <w:szCs w:val="24"/>
        </w:rPr>
        <w:t>see</w:t>
      </w:r>
      <w:r w:rsidRPr="0071225B">
        <w:rPr>
          <w:rFonts w:eastAsia="Times New Roman"/>
          <w:sz w:val="24"/>
          <w:szCs w:val="24"/>
        </w:rPr>
        <w:t xml:space="preserve"> Instruction 2:6.</w:t>
      </w:r>
    </w:p>
    <w:p w14:paraId="31B6E1AC"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4FFC5F59"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1. This instruction is supported by </w:t>
      </w:r>
      <w:r w:rsidRPr="0071225B">
        <w:rPr>
          <w:rFonts w:eastAsia="Times New Roman"/>
          <w:b/>
          <w:sz w:val="24"/>
          <w:szCs w:val="24"/>
        </w:rPr>
        <w:t>Bloskas v. Murray</w:t>
      </w:r>
      <w:r w:rsidRPr="0071225B">
        <w:rPr>
          <w:rFonts w:eastAsia="Times New Roman"/>
          <w:sz w:val="24"/>
          <w:szCs w:val="24"/>
        </w:rPr>
        <w:t xml:space="preserve">, 646 P.2d 907 (Colo. 1982) (recognizing tort of negligent misrepresentation causing physical harm, as set out in </w:t>
      </w:r>
      <w:r w:rsidRPr="0071225B">
        <w:rPr>
          <w:rFonts w:eastAsia="Times New Roman"/>
          <w:smallCaps/>
          <w:sz w:val="24"/>
          <w:szCs w:val="24"/>
        </w:rPr>
        <w:t>Restatement (Second) of Torts</w:t>
      </w:r>
      <w:r w:rsidRPr="0071225B">
        <w:rPr>
          <w:rFonts w:eastAsia="Times New Roman"/>
          <w:sz w:val="24"/>
          <w:szCs w:val="24"/>
        </w:rPr>
        <w:t xml:space="preserve"> § 311 (1965)); and </w:t>
      </w:r>
      <w:r w:rsidRPr="0071225B">
        <w:rPr>
          <w:rFonts w:eastAsia="Times New Roman"/>
          <w:b/>
          <w:sz w:val="24"/>
          <w:szCs w:val="24"/>
        </w:rPr>
        <w:t>Greene v. Thomas</w:t>
      </w:r>
      <w:r w:rsidRPr="0071225B">
        <w:rPr>
          <w:rFonts w:eastAsia="Times New Roman"/>
          <w:sz w:val="24"/>
          <w:szCs w:val="24"/>
        </w:rPr>
        <w:t xml:space="preserve">, 662 P.2d 491 (Colo. App. 1982) (insufficient evidence that any damages caused by reliance). </w:t>
      </w:r>
      <w:r w:rsidRPr="0071225B">
        <w:rPr>
          <w:rFonts w:eastAsia="Times New Roman"/>
          <w:i/>
          <w:sz w:val="24"/>
          <w:szCs w:val="24"/>
        </w:rPr>
        <w:t>See also</w:t>
      </w:r>
      <w:r w:rsidRPr="0071225B">
        <w:rPr>
          <w:rFonts w:eastAsia="Times New Roman"/>
          <w:sz w:val="24"/>
          <w:szCs w:val="24"/>
        </w:rPr>
        <w:t xml:space="preserve"> Source and Authority to Instruction 9:1.</w:t>
      </w:r>
    </w:p>
    <w:p w14:paraId="1FE2A756" w14:textId="77777777" w:rsidR="0071225B" w:rsidRDefault="0071225B" w:rsidP="0071225B">
      <w:pPr>
        <w:spacing w:after="240"/>
        <w:ind w:firstLine="720"/>
        <w:rPr>
          <w:rFonts w:eastAsia="Times New Roman"/>
          <w:sz w:val="24"/>
          <w:szCs w:val="24"/>
        </w:rPr>
      </w:pPr>
      <w:r w:rsidRPr="0071225B">
        <w:rPr>
          <w:rFonts w:eastAsia="Times New Roman"/>
          <w:sz w:val="24"/>
          <w:szCs w:val="24"/>
        </w:rPr>
        <w:t xml:space="preserve">2. To recover on a claim for negligent misrepresentation, a plaintiff must show that the defendant owed the plaintiff a duty of care. </w:t>
      </w:r>
      <w:r w:rsidRPr="0071225B">
        <w:rPr>
          <w:rFonts w:eastAsia="Times New Roman"/>
          <w:b/>
          <w:sz w:val="24"/>
          <w:szCs w:val="24"/>
        </w:rPr>
        <w:t>Bailey v. Huggins Diagnostic &amp; Rehab. Ctr., Inc.</w:t>
      </w:r>
      <w:r w:rsidRPr="0071225B">
        <w:rPr>
          <w:rFonts w:eastAsia="Times New Roman"/>
          <w:sz w:val="24"/>
          <w:szCs w:val="24"/>
        </w:rPr>
        <w:t>,</w:t>
      </w:r>
      <w:r w:rsidRPr="0071225B">
        <w:rPr>
          <w:rFonts w:eastAsia="Times New Roman"/>
          <w:b/>
          <w:sz w:val="24"/>
          <w:szCs w:val="24"/>
        </w:rPr>
        <w:t xml:space="preserve"> </w:t>
      </w:r>
      <w:r w:rsidRPr="0071225B">
        <w:rPr>
          <w:rFonts w:eastAsia="Times New Roman"/>
          <w:sz w:val="24"/>
          <w:szCs w:val="24"/>
        </w:rPr>
        <w:t>952 P.2d 768 (Colo. App. 1997) (dentist, who allegedly made false representations in book and on television program regarding effect of “dental amalgams” on health of dental patients, had no duty to plaintiff as member of general public).</w:t>
      </w:r>
    </w:p>
    <w:p w14:paraId="553A4517" w14:textId="77777777" w:rsidR="0024062B" w:rsidRDefault="0024062B">
      <w:pPr>
        <w:rPr>
          <w:rFonts w:eastAsia="Times New Roman"/>
          <w:sz w:val="24"/>
          <w:szCs w:val="24"/>
        </w:rPr>
      </w:pPr>
      <w:r>
        <w:rPr>
          <w:rFonts w:eastAsia="Times New Roman"/>
          <w:sz w:val="24"/>
          <w:szCs w:val="24"/>
        </w:rPr>
        <w:br w:type="page"/>
      </w:r>
    </w:p>
    <w:p w14:paraId="37795BB2" w14:textId="77777777" w:rsidR="0024062B" w:rsidRPr="009E3DA4" w:rsidRDefault="0024062B" w:rsidP="0024062B">
      <w:pPr>
        <w:spacing w:after="240"/>
        <w:ind w:left="720" w:hanging="720"/>
        <w:rPr>
          <w:rFonts w:eastAsia="Times New Roman"/>
          <w:b/>
          <w:sz w:val="24"/>
          <w:szCs w:val="24"/>
        </w:rPr>
      </w:pPr>
      <w:bookmarkStart w:id="5" w:name="a9_04"/>
      <w:bookmarkEnd w:id="5"/>
      <w:r w:rsidRPr="0024062B">
        <w:rPr>
          <w:rFonts w:eastAsia="Times New Roman"/>
          <w:b/>
          <w:sz w:val="24"/>
          <w:szCs w:val="24"/>
        </w:rPr>
        <w:lastRenderedPageBreak/>
        <w:t xml:space="preserve">9:4 </w:t>
      </w:r>
      <w:r w:rsidRPr="0024062B">
        <w:rPr>
          <w:rFonts w:eastAsia="Times New Roman"/>
          <w:b/>
          <w:sz w:val="24"/>
          <w:szCs w:val="24"/>
        </w:rPr>
        <w:tab/>
        <w:t>NEGLIGENT MISREPRESENTATION CAUSING FINANCIAL LOSS IN A BUSINESS TRANSACTION — ELEMENTS OF LIABILITY</w:t>
      </w:r>
    </w:p>
    <w:p w14:paraId="45BF9B6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For the plaintiff, </w:t>
      </w:r>
      <w:r w:rsidRPr="0024062B">
        <w:rPr>
          <w:rFonts w:eastAsia="Times New Roman"/>
          <w:i/>
          <w:sz w:val="24"/>
          <w:szCs w:val="24"/>
        </w:rPr>
        <w:t>(name)</w:t>
      </w:r>
      <w:r w:rsidRPr="0024062B">
        <w:rPr>
          <w:rFonts w:eastAsia="Times New Roman"/>
          <w:b/>
          <w:sz w:val="24"/>
          <w:szCs w:val="24"/>
        </w:rPr>
        <w:t xml:space="preserve">, to recover from the defendant, </w:t>
      </w:r>
      <w:r w:rsidRPr="0024062B">
        <w:rPr>
          <w:rFonts w:eastAsia="Times New Roman"/>
          <w:i/>
          <w:sz w:val="24"/>
          <w:szCs w:val="24"/>
        </w:rPr>
        <w:t>(name)</w:t>
      </w:r>
      <w:r w:rsidRPr="0024062B">
        <w:rPr>
          <w:rFonts w:eastAsia="Times New Roman"/>
          <w:b/>
          <w:sz w:val="24"/>
          <w:szCs w:val="24"/>
        </w:rPr>
        <w:t>, on (his) (her) claim of negligent misrepresentation, you must find all of the following have been proved by a preponderance of the evidence:</w:t>
      </w:r>
    </w:p>
    <w:p w14:paraId="62BA5D51"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1. The defendant gave false information to the plaintiff;</w:t>
      </w:r>
    </w:p>
    <w:p w14:paraId="229AD98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2. The defendant gave such information to the plaintiff in the course of (the defendant’s [business] [profession] [employment]) (a transaction in which the defendant had a financial interest);</w:t>
      </w:r>
    </w:p>
    <w:p w14:paraId="2997AF24"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3. The defendant gave the information to the plaintiff for the (guidance) (use) of the plaintiff in a business transaction;</w:t>
      </w:r>
    </w:p>
    <w:p w14:paraId="3B26BA2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4. The defendant was negligent in obtaining or communicating the information;</w:t>
      </w:r>
    </w:p>
    <w:p w14:paraId="57C0BF0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5. The defendant gave the information with the intent or knowing that (the plaintiff) (a limited group of persons of which the plaintiff was a member) would (act) (or) (decide not to act) in reliance on the information;</w:t>
      </w:r>
    </w:p>
    <w:p w14:paraId="186DBE0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6. The plaintiff relied on the information supplied by the defendant; and</w:t>
      </w:r>
    </w:p>
    <w:p w14:paraId="45209CE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7. This reliance on the information supplied by the defendant caused damage to the plaintiff.</w:t>
      </w:r>
    </w:p>
    <w:p w14:paraId="0F308C9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If you find that any one or more of these </w:t>
      </w:r>
      <w:r w:rsidRPr="0024062B">
        <w:rPr>
          <w:rFonts w:eastAsia="Times New Roman"/>
          <w:i/>
          <w:sz w:val="24"/>
          <w:szCs w:val="24"/>
        </w:rPr>
        <w:t>(number)</w:t>
      </w:r>
      <w:r w:rsidRPr="0024062B">
        <w:rPr>
          <w:rFonts w:eastAsia="Times New Roman"/>
          <w:b/>
          <w:sz w:val="24"/>
          <w:szCs w:val="24"/>
        </w:rPr>
        <w:t xml:space="preserve"> statements has not been proved, then your verdict must be for the defendant.</w:t>
      </w:r>
    </w:p>
    <w:p w14:paraId="548E0638"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On the other hand, if you find that all of these </w:t>
      </w:r>
      <w:r w:rsidRPr="0024062B">
        <w:rPr>
          <w:rFonts w:eastAsia="Times New Roman"/>
          <w:i/>
          <w:sz w:val="24"/>
          <w:szCs w:val="24"/>
        </w:rPr>
        <w:t>(number)</w:t>
      </w:r>
      <w:r w:rsidRPr="0024062B">
        <w:rPr>
          <w:rFonts w:eastAsia="Times New Roman"/>
          <w:b/>
          <w:sz w:val="24"/>
          <w:szCs w:val="24"/>
        </w:rPr>
        <w:t xml:space="preserve"> statements have been proved, (then your verdict must be for the plaintiff) (then you must consider the defendant’s affirmative defense(s) of </w:t>
      </w:r>
      <w:r w:rsidRPr="0024062B">
        <w:rPr>
          <w:rFonts w:eastAsia="Times New Roman"/>
          <w:i/>
          <w:sz w:val="24"/>
          <w:szCs w:val="24"/>
        </w:rPr>
        <w:t>[insert any affirmative defense that would be a complete defense to plaintiff’s claim]</w:t>
      </w:r>
      <w:r w:rsidRPr="0024062B">
        <w:rPr>
          <w:rFonts w:eastAsia="Times New Roman"/>
          <w:b/>
          <w:sz w:val="24"/>
          <w:szCs w:val="24"/>
        </w:rPr>
        <w:t>).</w:t>
      </w:r>
    </w:p>
    <w:p w14:paraId="6791873B"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4FDCA0F"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However, if you find that (this affirmative defense has not) (none of these affirmative defenses have) been proved, then your verdict must be for the plaintiff.</w:t>
      </w:r>
    </w:p>
    <w:p w14:paraId="273D834F" w14:textId="77777777" w:rsidR="0024062B" w:rsidRDefault="0024062B" w:rsidP="0024062B">
      <w:pPr>
        <w:jc w:val="center"/>
        <w:rPr>
          <w:rFonts w:eastAsia="Times New Roman"/>
          <w:sz w:val="24"/>
          <w:szCs w:val="24"/>
        </w:rPr>
      </w:pPr>
    </w:p>
    <w:p w14:paraId="7DE329B7" w14:textId="77777777" w:rsidR="0024062B" w:rsidRPr="0054263B" w:rsidRDefault="0024062B" w:rsidP="0024062B">
      <w:pPr>
        <w:keepNext/>
        <w:spacing w:after="240"/>
        <w:jc w:val="center"/>
        <w:rPr>
          <w:rFonts w:eastAsia="Times New Roman"/>
          <w:b/>
          <w:sz w:val="24"/>
          <w:szCs w:val="24"/>
        </w:rPr>
      </w:pPr>
      <w:r w:rsidRPr="0054263B">
        <w:rPr>
          <w:rFonts w:eastAsia="Times New Roman"/>
          <w:b/>
          <w:sz w:val="24"/>
          <w:szCs w:val="24"/>
        </w:rPr>
        <w:t>Notes on Use</w:t>
      </w:r>
    </w:p>
    <w:p w14:paraId="0EC43E4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rather than Instruction 19:1 should be used when the plaintiff’s claim is that, while the defendant may have had an honest belief in the truth of what the defendant represented, the defendant was negligent in arriving at such belief or was negligent in the manner </w:t>
      </w:r>
      <w:r w:rsidRPr="0024062B">
        <w:rPr>
          <w:rFonts w:eastAsia="Times New Roman"/>
          <w:sz w:val="24"/>
          <w:szCs w:val="24"/>
        </w:rPr>
        <w:lastRenderedPageBreak/>
        <w:t xml:space="preserve">in which the defendant communicated it, thus creating a false impression of the true facts in the mind of the plaintiff. When the negligently given false information results in physical harm to the plaintiff’s person or property, rather than causing a financial loss to the plaintiff in a business transaction, Instruction 9:3 should be used rather than this instruction. In several respects, the tort covered by this instruction is more akin to the tort of “fraud” or intentional deceit (Instruction 19:1) than it is to the tort of negligent misrepresentation resulting in physical harm (Instruction 9:3). </w:t>
      </w:r>
      <w:r w:rsidRPr="0024062B">
        <w:rPr>
          <w:rFonts w:eastAsia="Times New Roman"/>
          <w:i/>
          <w:sz w:val="24"/>
          <w:szCs w:val="24"/>
        </w:rPr>
        <w:t xml:space="preserve">See </w:t>
      </w:r>
      <w:r w:rsidRPr="0024062B">
        <w:rPr>
          <w:rFonts w:eastAsia="Times New Roman"/>
          <w:smallCaps/>
          <w:sz w:val="24"/>
          <w:szCs w:val="24"/>
        </w:rPr>
        <w:t>Restatement (Second) of Torts</w:t>
      </w:r>
      <w:r w:rsidRPr="0024062B">
        <w:rPr>
          <w:rFonts w:eastAsia="Times New Roman"/>
          <w:sz w:val="24"/>
          <w:szCs w:val="24"/>
        </w:rPr>
        <w:t xml:space="preserve"> § 311 cmts. a–c (1965); </w:t>
      </w:r>
      <w:r w:rsidRPr="0024062B">
        <w:rPr>
          <w:rFonts w:eastAsia="Times New Roman"/>
          <w:smallCaps/>
          <w:sz w:val="24"/>
          <w:szCs w:val="24"/>
        </w:rPr>
        <w:t>Restatement (Second) of Torts</w:t>
      </w:r>
      <w:r w:rsidRPr="0024062B">
        <w:rPr>
          <w:rFonts w:eastAsia="Times New Roman"/>
          <w:sz w:val="24"/>
          <w:szCs w:val="24"/>
        </w:rPr>
        <w:t xml:space="preserve"> § 552 cmt. a (1977).</w:t>
      </w:r>
    </w:p>
    <w:p w14:paraId="1995F9BE"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2. Omit any numbered paragraphs, the facts of which are not in dispute.</w:t>
      </w:r>
    </w:p>
    <w:p w14:paraId="299AC0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30DB678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In cases where the defendant did not give the information directly to the plaintiff, the first three numbered paragraphs of this instruction must be appropriately modified. </w:t>
      </w:r>
    </w:p>
    <w:p w14:paraId="6C1E82FF" w14:textId="558547ED" w:rsidR="0024062B" w:rsidRPr="0024062B" w:rsidRDefault="0024062B" w:rsidP="0024062B">
      <w:pPr>
        <w:spacing w:after="240"/>
        <w:ind w:firstLine="720"/>
        <w:rPr>
          <w:rFonts w:eastAsia="Times New Roman"/>
          <w:sz w:val="24"/>
          <w:szCs w:val="24"/>
        </w:rPr>
      </w:pPr>
      <w:r w:rsidRPr="0024062B">
        <w:rPr>
          <w:rFonts w:eastAsia="Times New Roman"/>
          <w:sz w:val="24"/>
          <w:szCs w:val="24"/>
        </w:rPr>
        <w:t>5.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 For the definition of the claimed negligence of the defendant, Instruction 9:6 should be used. For the definition of the claimed contributory negligence of the plaintiff, Instruction 9:5 should be used if that claimed negligence is in the form of unreasonable reliance. If the claimed contributory negligence is in any other form, Instruction 9:6 should be used to define the negligence of both parties</w:t>
      </w:r>
      <w:r w:rsidR="00E35042">
        <w:rPr>
          <w:rFonts w:eastAsia="Times New Roman"/>
          <w:sz w:val="24"/>
          <w:szCs w:val="24"/>
        </w:rPr>
        <w:t>.</w:t>
      </w:r>
      <w:r w:rsidRPr="0024062B">
        <w:rPr>
          <w:rFonts w:eastAsia="Times New Roman"/>
          <w:sz w:val="24"/>
          <w:szCs w:val="24"/>
        </w:rPr>
        <w:t xml:space="preserve"> </w:t>
      </w:r>
    </w:p>
    <w:p w14:paraId="6994673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Though mitigation of damages is an affirmative defense, </w:t>
      </w:r>
      <w:r w:rsidRPr="0024062B">
        <w:rPr>
          <w:rFonts w:eastAsia="Times New Roman"/>
          <w:i/>
          <w:sz w:val="24"/>
          <w:szCs w:val="24"/>
        </w:rPr>
        <w:t>see</w:t>
      </w:r>
      <w:r w:rsidRPr="0024062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D49CA67"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This instruction, appropriately modified, may also be used in cases in which it is claimed the defendant was under a public duty to give information and did so negligently. </w:t>
      </w:r>
      <w:r w:rsidRPr="0024062B">
        <w:rPr>
          <w:rFonts w:eastAsia="Times New Roman"/>
          <w:smallCaps/>
          <w:sz w:val="24"/>
          <w:szCs w:val="24"/>
        </w:rPr>
        <w:t>Restatement (Second) of Torts</w:t>
      </w:r>
      <w:r w:rsidRPr="0024062B">
        <w:rPr>
          <w:rFonts w:eastAsia="Times New Roman"/>
          <w:i/>
          <w:sz w:val="24"/>
          <w:szCs w:val="24"/>
        </w:rPr>
        <w:t xml:space="preserve"> </w:t>
      </w:r>
      <w:r w:rsidRPr="0024062B">
        <w:rPr>
          <w:rFonts w:eastAsia="Times New Roman"/>
          <w:sz w:val="24"/>
          <w:szCs w:val="24"/>
        </w:rPr>
        <w:t>§ 552(3) (1977).</w:t>
      </w:r>
    </w:p>
    <w:p w14:paraId="12E6CE8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8. This instruction should not be used when liability has been admitted, </w:t>
      </w:r>
      <w:r w:rsidRPr="0024062B">
        <w:rPr>
          <w:rFonts w:eastAsia="Times New Roman"/>
          <w:i/>
          <w:sz w:val="24"/>
          <w:szCs w:val="24"/>
        </w:rPr>
        <w:t>see</w:t>
      </w:r>
      <w:r w:rsidRPr="0024062B">
        <w:rPr>
          <w:rFonts w:eastAsia="Times New Roman"/>
          <w:sz w:val="24"/>
          <w:szCs w:val="24"/>
        </w:rPr>
        <w:t xml:space="preserve"> Instruction 2:4, or when the court has directed a verdict as to liability, </w:t>
      </w:r>
      <w:r w:rsidRPr="0024062B">
        <w:rPr>
          <w:rFonts w:eastAsia="Times New Roman"/>
          <w:i/>
          <w:sz w:val="24"/>
          <w:szCs w:val="24"/>
        </w:rPr>
        <w:t>see</w:t>
      </w:r>
      <w:r w:rsidRPr="0024062B">
        <w:rPr>
          <w:rFonts w:eastAsia="Times New Roman"/>
          <w:sz w:val="24"/>
          <w:szCs w:val="24"/>
        </w:rPr>
        <w:t xml:space="preserve"> Instruction 2:6.</w:t>
      </w:r>
    </w:p>
    <w:p w14:paraId="3B8EB7E3" w14:textId="77777777" w:rsidR="0024062B" w:rsidRPr="0054263B" w:rsidRDefault="0024062B" w:rsidP="0024062B">
      <w:pPr>
        <w:keepNext/>
        <w:spacing w:after="240"/>
        <w:jc w:val="center"/>
        <w:rPr>
          <w:rFonts w:eastAsia="Times New Roman"/>
          <w:b/>
          <w:sz w:val="24"/>
          <w:szCs w:val="24"/>
        </w:rPr>
      </w:pPr>
      <w:r>
        <w:rPr>
          <w:rFonts w:eastAsia="Times New Roman"/>
          <w:b/>
          <w:sz w:val="24"/>
          <w:szCs w:val="24"/>
        </w:rPr>
        <w:t>Source and Authority</w:t>
      </w:r>
    </w:p>
    <w:p w14:paraId="6D314FE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is supported by </w:t>
      </w:r>
      <w:r w:rsidRPr="0024062B">
        <w:rPr>
          <w:rFonts w:eastAsia="Times New Roman"/>
          <w:b/>
          <w:sz w:val="24"/>
          <w:szCs w:val="24"/>
        </w:rPr>
        <w:t>First National Bank in Lamar v. Collins</w:t>
      </w:r>
      <w:r w:rsidRPr="0024062B">
        <w:rPr>
          <w:rFonts w:eastAsia="Times New Roman"/>
          <w:sz w:val="24"/>
          <w:szCs w:val="24"/>
        </w:rPr>
        <w:t>, 44 Colo. App. 228, 616 P.2d 154 (1980) (</w:t>
      </w:r>
      <w:r w:rsidR="007F3861">
        <w:rPr>
          <w:rFonts w:eastAsia="Times New Roman"/>
          <w:sz w:val="24"/>
          <w:szCs w:val="24"/>
        </w:rPr>
        <w:t>applying</w:t>
      </w:r>
      <w:r w:rsidR="007F3861"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 (1977)); </w:t>
      </w:r>
      <w:r w:rsidRPr="0024062B">
        <w:rPr>
          <w:rFonts w:eastAsia="Times New Roman"/>
          <w:b/>
          <w:sz w:val="24"/>
          <w:szCs w:val="24"/>
        </w:rPr>
        <w:t>Robinson v. Poudre Valley Federal Credit Union</w:t>
      </w:r>
      <w:r w:rsidRPr="0024062B">
        <w:rPr>
          <w:rFonts w:eastAsia="Times New Roman"/>
          <w:sz w:val="24"/>
          <w:szCs w:val="24"/>
        </w:rPr>
        <w:t xml:space="preserve">, 654 P.2d 861 (Colo. App. 1982); and </w:t>
      </w:r>
      <w:r w:rsidRPr="0024062B">
        <w:rPr>
          <w:rFonts w:eastAsia="Times New Roman"/>
          <w:b/>
          <w:sz w:val="24"/>
          <w:szCs w:val="24"/>
        </w:rPr>
        <w:t>Fitzgerald v. Edelen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623 P.2d 418 (Colo. App. 1980).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Van Winkle v. Transamerica </w:t>
      </w:r>
      <w:r w:rsidRPr="0024062B">
        <w:rPr>
          <w:rFonts w:eastAsia="Times New Roman"/>
          <w:b/>
          <w:sz w:val="24"/>
          <w:szCs w:val="24"/>
        </w:rPr>
        <w:lastRenderedPageBreak/>
        <w:t>Title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697 P.2d 784 (Colo. App. 1984) (no liability for negligent failure to disclose in absence of duty to disclose); </w:t>
      </w:r>
      <w:r w:rsidRPr="00AB2019">
        <w:rPr>
          <w:rFonts w:eastAsia="Times New Roman"/>
          <w:smallCaps/>
          <w:sz w:val="24"/>
          <w:szCs w:val="24"/>
        </w:rPr>
        <w:t>W. Page Keeton et al., Prosser and Keeton on the Law of Torts</w:t>
      </w:r>
      <w:r w:rsidRPr="0024062B">
        <w:rPr>
          <w:rFonts w:eastAsia="Times New Roman"/>
          <w:sz w:val="24"/>
          <w:szCs w:val="24"/>
        </w:rPr>
        <w:t xml:space="preserve"> §107, at 745-48 (5th ed. 1984); </w:t>
      </w:r>
      <w:r w:rsidRPr="00AB2019">
        <w:rPr>
          <w:rFonts w:eastAsia="Times New Roman"/>
          <w:smallCaps/>
          <w:sz w:val="24"/>
          <w:szCs w:val="24"/>
        </w:rPr>
        <w:t>2 F. Harper et al., Harper, James, and Gray on Torts</w:t>
      </w:r>
      <w:r w:rsidRPr="0024062B">
        <w:rPr>
          <w:rFonts w:eastAsia="Times New Roman"/>
          <w:sz w:val="24"/>
          <w:szCs w:val="24"/>
        </w:rPr>
        <w:t xml:space="preserve"> § 7.6 (3rd ed. 2006). The decisions of the court of appeals in </w:t>
      </w:r>
      <w:r w:rsidRPr="0024062B">
        <w:rPr>
          <w:rFonts w:eastAsia="Times New Roman"/>
          <w:b/>
          <w:sz w:val="24"/>
          <w:szCs w:val="24"/>
        </w:rPr>
        <w:t>Collins</w:t>
      </w:r>
      <w:r w:rsidRPr="0024062B">
        <w:rPr>
          <w:rFonts w:eastAsia="Times New Roman"/>
          <w:sz w:val="24"/>
          <w:szCs w:val="24"/>
        </w:rPr>
        <w:t xml:space="preserve"> and </w:t>
      </w:r>
      <w:r w:rsidRPr="0024062B">
        <w:rPr>
          <w:rFonts w:eastAsia="Times New Roman"/>
          <w:b/>
          <w:sz w:val="24"/>
          <w:szCs w:val="24"/>
        </w:rPr>
        <w:t xml:space="preserve">Fitzgerald </w:t>
      </w:r>
      <w:r w:rsidRPr="0024062B">
        <w:rPr>
          <w:rFonts w:eastAsia="Times New Roman"/>
          <w:sz w:val="24"/>
          <w:szCs w:val="24"/>
        </w:rPr>
        <w:t xml:space="preserve">were cited by analogy with approval by the supreme court in </w:t>
      </w:r>
      <w:r w:rsidRPr="0024062B">
        <w:rPr>
          <w:rFonts w:eastAsia="Times New Roman"/>
          <w:b/>
          <w:sz w:val="24"/>
          <w:szCs w:val="24"/>
        </w:rPr>
        <w:t>Bloskas v. Murray</w:t>
      </w:r>
      <w:r w:rsidRPr="0024062B">
        <w:rPr>
          <w:rFonts w:eastAsia="Times New Roman"/>
          <w:sz w:val="24"/>
          <w:szCs w:val="24"/>
        </w:rPr>
        <w:t xml:space="preserve">, 646 P.2d 907 (Colo. 1982). Later cases also provide support. </w:t>
      </w:r>
      <w:r w:rsidRPr="0024062B">
        <w:rPr>
          <w:rFonts w:eastAsia="Times New Roman"/>
          <w:i/>
          <w:sz w:val="24"/>
          <w:szCs w:val="24"/>
        </w:rPr>
        <w:t>See</w:t>
      </w:r>
      <w:r w:rsidRPr="0024062B">
        <w:rPr>
          <w:rFonts w:eastAsia="Times New Roman"/>
          <w:sz w:val="24"/>
          <w:szCs w:val="24"/>
        </w:rPr>
        <w:t xml:space="preserve"> </w:t>
      </w:r>
      <w:r w:rsidRPr="0024062B">
        <w:rPr>
          <w:rFonts w:eastAsia="Times New Roman"/>
          <w:b/>
          <w:sz w:val="24"/>
          <w:szCs w:val="24"/>
        </w:rPr>
        <w:t>Keller v. A.O. Smith Harvestore Prods., Inc.</w:t>
      </w:r>
      <w:r w:rsidRPr="0024062B">
        <w:rPr>
          <w:rFonts w:eastAsia="Times New Roman"/>
          <w:sz w:val="24"/>
          <w:szCs w:val="24"/>
        </w:rPr>
        <w:t xml:space="preserve">, 819 P.2d 69 (Colo. 1991); </w:t>
      </w:r>
      <w:r w:rsidRPr="0024062B">
        <w:rPr>
          <w:rFonts w:eastAsia="Times New Roman"/>
          <w:b/>
          <w:sz w:val="24"/>
          <w:szCs w:val="24"/>
        </w:rPr>
        <w:t>Hildebrand v. New Vista Homes II, LLC</w:t>
      </w:r>
      <w:r w:rsidRPr="0024062B">
        <w:rPr>
          <w:rFonts w:eastAsia="Times New Roman"/>
          <w:sz w:val="24"/>
          <w:szCs w:val="24"/>
        </w:rPr>
        <w:t xml:space="preserve">, 252 P.3d 1159 (Colo. App. 2010) (affirming judgment on negligent misrepresentation claim against builder and its principal arising from misrepresentation that basement was suitable as a finished living space without a structural floor); </w:t>
      </w:r>
      <w:r w:rsidRPr="0024062B">
        <w:rPr>
          <w:rFonts w:eastAsia="Times New Roman"/>
          <w:b/>
          <w:sz w:val="24"/>
          <w:szCs w:val="24"/>
        </w:rPr>
        <w:t>Mullen v. Allstate Ins. Co.</w:t>
      </w:r>
      <w:r w:rsidRPr="0024062B">
        <w:rPr>
          <w:rFonts w:eastAsia="Times New Roman"/>
          <w:sz w:val="24"/>
          <w:szCs w:val="24"/>
        </w:rPr>
        <w:t xml:space="preserve">, 232 P.3d 168 (Colo. App. 2009) (affirming summary judgment on claim for negligent misrepresentation by omission because insurer was not obligated to provide information about other types of coverage); </w:t>
      </w:r>
      <w:r w:rsidRPr="0024062B">
        <w:rPr>
          <w:rFonts w:eastAsia="Times New Roman"/>
          <w:b/>
          <w:sz w:val="24"/>
          <w:szCs w:val="24"/>
        </w:rPr>
        <w:t>Platt v. Aspenwood Condo. Ass’n, Inc.</w:t>
      </w:r>
      <w:r w:rsidRPr="0024062B">
        <w:rPr>
          <w:rFonts w:eastAsia="Times New Roman"/>
          <w:sz w:val="24"/>
          <w:szCs w:val="24"/>
        </w:rPr>
        <w:t xml:space="preserve">, 214 P.3d 1060 (Colo. App. 2009) (allegations of misrepresentations of status of homeowners vote sufficient to withstand motion to dismiss); </w:t>
      </w:r>
      <w:r w:rsidRPr="0024062B">
        <w:rPr>
          <w:rFonts w:eastAsia="Times New Roman"/>
          <w:b/>
          <w:sz w:val="24"/>
          <w:szCs w:val="24"/>
        </w:rPr>
        <w:t>Fluid Tech., Inc. v. CVJ Axles, Inc.</w:t>
      </w:r>
      <w:r w:rsidRPr="0024062B">
        <w:rPr>
          <w:rFonts w:eastAsia="Times New Roman"/>
          <w:sz w:val="24"/>
          <w:szCs w:val="24"/>
        </w:rPr>
        <w:t xml:space="preserve">, 964 P.2d 614 (Colo. App. 1998) (allegation that information was provided in course of defendant’s business was sufficient to withstand motion to dismiss); </w:t>
      </w:r>
      <w:r w:rsidRPr="0024062B">
        <w:rPr>
          <w:rFonts w:eastAsia="Times New Roman"/>
          <w:b/>
          <w:sz w:val="24"/>
          <w:szCs w:val="24"/>
        </w:rPr>
        <w:t>Messler v. Phillips</w:t>
      </w:r>
      <w:r w:rsidRPr="0024062B">
        <w:rPr>
          <w:rFonts w:eastAsia="Times New Roman"/>
          <w:sz w:val="24"/>
          <w:szCs w:val="24"/>
        </w:rPr>
        <w:t xml:space="preserve">, 867 P.2d 128 (Colo. App. 1993); </w:t>
      </w:r>
      <w:r w:rsidRPr="0024062B">
        <w:rPr>
          <w:rFonts w:eastAsia="Times New Roman"/>
          <w:b/>
          <w:sz w:val="24"/>
          <w:szCs w:val="24"/>
        </w:rPr>
        <w:t>Burman v. Richmond Homes Ltd.</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821 P.2d 913 (Colo. App. 1991); </w:t>
      </w:r>
      <w:r w:rsidRPr="0024062B">
        <w:rPr>
          <w:rFonts w:eastAsia="Times New Roman"/>
          <w:b/>
          <w:sz w:val="24"/>
          <w:szCs w:val="24"/>
        </w:rPr>
        <w:t>Ebrahimi v. E.F. Hutton &amp; Co.</w:t>
      </w:r>
      <w:r w:rsidRPr="0024062B">
        <w:rPr>
          <w:rFonts w:eastAsia="Times New Roman"/>
          <w:sz w:val="24"/>
          <w:szCs w:val="24"/>
        </w:rPr>
        <w:t>, 794 P.2d 1015 (Colo. App. 1989) (distinguishing between the tort of negligent misrepresentation and tort of deceit).</w:t>
      </w:r>
    </w:p>
    <w:p w14:paraId="17D4872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2. A claim for negligent misrepresentation can be based only on misrepresentation of an existing fact. </w:t>
      </w:r>
      <w:r w:rsidRPr="0024062B">
        <w:rPr>
          <w:rFonts w:eastAsia="Times New Roman"/>
          <w:b/>
          <w:sz w:val="24"/>
          <w:szCs w:val="24"/>
        </w:rPr>
        <w:t>Branscum v. Am. Cmty. Mut. Ins. Co.</w:t>
      </w:r>
      <w:r w:rsidRPr="0024062B">
        <w:rPr>
          <w:rFonts w:eastAsia="Times New Roman"/>
          <w:sz w:val="24"/>
          <w:szCs w:val="24"/>
        </w:rPr>
        <w:t xml:space="preserve">, 984 P.2d 675, 680 (Colo. App. 1999) (claim for negligent misrepresentation “cannot be based solely on the nonperformance of a promise to do something at a future time” (citing </w:t>
      </w:r>
      <w:r w:rsidRPr="0024062B">
        <w:rPr>
          <w:rFonts w:eastAsia="Times New Roman"/>
          <w:b/>
          <w:sz w:val="24"/>
          <w:szCs w:val="24"/>
        </w:rPr>
        <w:t>High Country Movin’, Inc. v. U.S. W. Direct Co.</w:t>
      </w:r>
      <w:r w:rsidRPr="0024062B">
        <w:rPr>
          <w:rFonts w:eastAsia="Times New Roman"/>
          <w:sz w:val="24"/>
          <w:szCs w:val="24"/>
        </w:rPr>
        <w:t xml:space="preserve">, 839 P.2d 469 (Colo. App. 1992)));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Colo. Pool Sys., Inc. v. Scottsdale Ins. Co.</w:t>
      </w:r>
      <w:r w:rsidRPr="0024062B">
        <w:rPr>
          <w:rFonts w:eastAsia="Times New Roman"/>
          <w:sz w:val="24"/>
          <w:szCs w:val="24"/>
        </w:rPr>
        <w:t xml:space="preserve">, 2012 COA 178, ¶ 72, 317 P.3d 1262 (while expressions of opinion cannot support a negligent misrepresentation claim, liability for negligent misrepresentation may arise when a statement of opinion involves mixed statements of law and fact); </w:t>
      </w:r>
      <w:r w:rsidRPr="0024062B">
        <w:rPr>
          <w:rFonts w:eastAsia="Times New Roman"/>
          <w:b/>
          <w:sz w:val="24"/>
          <w:szCs w:val="24"/>
        </w:rPr>
        <w:t>Colo. Coffee Bean, LLC v. Peaberry Coffee, Inc.</w:t>
      </w:r>
      <w:r w:rsidRPr="0024062B">
        <w:rPr>
          <w:rFonts w:eastAsia="Times New Roman"/>
          <w:sz w:val="24"/>
          <w:szCs w:val="24"/>
        </w:rPr>
        <w:t xml:space="preserve">, 251 P.3d 9 (Colo. App. 2010); </w:t>
      </w:r>
      <w:r w:rsidRPr="0024062B">
        <w:rPr>
          <w:rFonts w:eastAsia="Times New Roman"/>
          <w:b/>
          <w:sz w:val="24"/>
          <w:szCs w:val="24"/>
        </w:rPr>
        <w:t>Bedard v. Martin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100 P.3d 584 (Colo. App. 2004). </w:t>
      </w:r>
    </w:p>
    <w:p w14:paraId="4F528CD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3. A claim for negligent misrepresentation can be based on false information that the defendant gave the plaintiff for use in a business transaction between the plaintiff and the defendant. </w:t>
      </w:r>
      <w:r w:rsidRPr="0024062B">
        <w:rPr>
          <w:rFonts w:eastAsia="Times New Roman"/>
          <w:i/>
          <w:sz w:val="24"/>
          <w:szCs w:val="24"/>
        </w:rPr>
        <w:t>See, e.g.</w:t>
      </w:r>
      <w:r w:rsidRPr="0024062B">
        <w:rPr>
          <w:rFonts w:eastAsia="Times New Roman"/>
          <w:sz w:val="24"/>
          <w:szCs w:val="24"/>
        </w:rPr>
        <w:t xml:space="preserve">, </w:t>
      </w:r>
      <w:r w:rsidRPr="0024062B">
        <w:rPr>
          <w:rFonts w:eastAsia="Times New Roman"/>
          <w:b/>
          <w:sz w:val="24"/>
          <w:szCs w:val="24"/>
        </w:rPr>
        <w:t>Keller</w:t>
      </w:r>
      <w:r w:rsidRPr="0024062B">
        <w:rPr>
          <w:rFonts w:eastAsia="Times New Roman"/>
          <w:sz w:val="24"/>
          <w:szCs w:val="24"/>
        </w:rPr>
        <w:t xml:space="preserve">, 819 P.2d at 72 (contracting party’s negligent misrepresentation of material facts prior to execution of agreement may provide basis for independent tort claim); </w:t>
      </w:r>
      <w:r w:rsidRPr="0024062B">
        <w:rPr>
          <w:rFonts w:eastAsia="Times New Roman"/>
          <w:b/>
          <w:sz w:val="24"/>
          <w:szCs w:val="24"/>
        </w:rPr>
        <w:t>Collins</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44 Colo. App. at 230, 616 P.2d at 155-56 (allegations that plaintiff relied on negligent misrepresentations of representative of defendant in entering into contract with the defendant stated claim for negligent misrepresentation in a business transaction).</w:t>
      </w:r>
    </w:p>
    <w:p w14:paraId="2CF2A0A6"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Manufacturer’s Liability</w:t>
      </w:r>
    </w:p>
    <w:p w14:paraId="7309DA24"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For a discussion of a manufacturer’s liability to a buyer for negligent misrepresentations made during the course of a sale of its product, see </w:t>
      </w:r>
      <w:r w:rsidRPr="0024062B">
        <w:rPr>
          <w:rFonts w:eastAsia="Times New Roman"/>
          <w:b/>
          <w:sz w:val="24"/>
          <w:szCs w:val="24"/>
        </w:rPr>
        <w:t>Keller</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819 P.2d at 72-74 (clause in integrated sales agreement that specifically disclaimed reliance on representations made prior to agreement’s execution did not preclude finding that buyer relied on such representations). </w:t>
      </w:r>
      <w:r w:rsidRPr="0024062B">
        <w:rPr>
          <w:rFonts w:eastAsia="Times New Roman"/>
          <w:i/>
          <w:sz w:val="24"/>
          <w:szCs w:val="24"/>
        </w:rPr>
        <w:t xml:space="preserve">Accord </w:t>
      </w:r>
      <w:r w:rsidRPr="0024062B">
        <w:rPr>
          <w:rFonts w:eastAsia="Times New Roman"/>
          <w:b/>
          <w:sz w:val="24"/>
          <w:szCs w:val="24"/>
        </w:rPr>
        <w:t>A.O. Smith Harvestore Prods., Inc. v. Kallsen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817 P.2d 1038 (Colo. 1991).</w:t>
      </w:r>
    </w:p>
    <w:p w14:paraId="5C028F1D"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lastRenderedPageBreak/>
        <w:t>Attorney Liability</w:t>
      </w:r>
    </w:p>
    <w:p w14:paraId="69392513"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5. For a discussion as to when an attorney may be liable to a non-client for negligent misrepresentation, see </w:t>
      </w:r>
      <w:r w:rsidRPr="0024062B">
        <w:rPr>
          <w:rFonts w:eastAsia="Times New Roman"/>
          <w:b/>
          <w:sz w:val="24"/>
          <w:szCs w:val="24"/>
        </w:rPr>
        <w:t>Baker v. Wood, Ris &amp; Hames, P.C.</w:t>
      </w:r>
      <w:r w:rsidRPr="0024062B">
        <w:rPr>
          <w:rFonts w:eastAsia="Times New Roman"/>
          <w:sz w:val="24"/>
          <w:szCs w:val="24"/>
        </w:rPr>
        <w:t xml:space="preserve">, 2016 CO 5, ¶ 35, 364 P.3d 872 (attorney’s liability to non-client is limited to narrow circumstances in which attorney committed fraud or a malicious or tortious act, including negligent misrepresentation).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Allen v. Steele</w:t>
      </w:r>
      <w:r w:rsidRPr="0024062B">
        <w:rPr>
          <w:rFonts w:eastAsia="Times New Roman"/>
          <w:sz w:val="24"/>
          <w:szCs w:val="24"/>
        </w:rPr>
        <w:t xml:space="preserve">, 252 P.3d 476 (Colo. 2011) (attorney who negligently misrepresented statute of limitations to non-client was not liable because an initial consultation for a potential civil lawsuit is not a “business transaction,” a necessary element of the claim); </w:t>
      </w:r>
      <w:r w:rsidRPr="0024062B">
        <w:rPr>
          <w:rFonts w:eastAsia="Times New Roman"/>
          <w:b/>
          <w:sz w:val="24"/>
          <w:szCs w:val="24"/>
        </w:rPr>
        <w:t>Mehaffy, Rider, Windholz &amp; Wilson v. Central Bank Denver, N.A.</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892 P.2d 230 (Colo. 1995) (attorney who issues an opinion letter to client for purpose of inducing non-client to rely thereon in business transaction may be liable to non-client for negligent misrepresentation); </w:t>
      </w:r>
      <w:r w:rsidRPr="0024062B">
        <w:rPr>
          <w:rFonts w:eastAsia="Times New Roman"/>
          <w:b/>
          <w:sz w:val="24"/>
          <w:szCs w:val="24"/>
        </w:rPr>
        <w:t>Zimmerman v. Dan Kamphausen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971 P.2d 236 (Colo. App. 1998) (attorney owed duty to third party to whom he issued opinion letter); </w:t>
      </w:r>
      <w:r w:rsidRPr="0024062B">
        <w:rPr>
          <w:rFonts w:eastAsia="Times New Roman"/>
          <w:b/>
          <w:sz w:val="24"/>
          <w:szCs w:val="24"/>
        </w:rPr>
        <w:t>First Interstate Bank of Denver, N.A. v. Berenbaum</w:t>
      </w:r>
      <w:r w:rsidRPr="0024062B">
        <w:rPr>
          <w:rFonts w:eastAsia="Times New Roman"/>
          <w:sz w:val="24"/>
          <w:szCs w:val="24"/>
        </w:rPr>
        <w:t>, 872 P.2d 1297 (Colo. App. 1993).</w:t>
      </w:r>
    </w:p>
    <w:p w14:paraId="5050261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Information Given to Third Party</w:t>
      </w:r>
    </w:p>
    <w:p w14:paraId="2DD11DB0"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A defendant may be liable for negligent misrepresentation even though the defendant did not give the information directly to the plaintiff. It is sufficient if the defendant gave the information to a third person knowing that the third person intended to supply it to and use it to influence the plaintiff or a limited group of persons of which the plaintiff was a member. </w:t>
      </w:r>
      <w:r w:rsidRPr="0024062B">
        <w:rPr>
          <w:rFonts w:eastAsia="Times New Roman"/>
          <w:b/>
          <w:sz w:val="24"/>
          <w:szCs w:val="24"/>
        </w:rPr>
        <w:t>Hildebrand</w:t>
      </w:r>
      <w:r w:rsidRPr="0024062B">
        <w:rPr>
          <w:rFonts w:eastAsia="Times New Roman"/>
          <w:sz w:val="24"/>
          <w:szCs w:val="24"/>
        </w:rPr>
        <w:t xml:space="preserve">, 252 P.3d at 1168 (“‘direct communication of the information to the person acting in reliance upon it is not necessary’” (quoting </w:t>
      </w:r>
      <w:r w:rsidRPr="00AB2019">
        <w:rPr>
          <w:rFonts w:eastAsia="Times New Roman"/>
          <w:smallCaps/>
          <w:sz w:val="24"/>
          <w:szCs w:val="24"/>
        </w:rPr>
        <w:t>Restatement (Second) of Torts</w:t>
      </w:r>
      <w:r w:rsidRPr="0024062B">
        <w:rPr>
          <w:rFonts w:eastAsia="Times New Roman"/>
          <w:sz w:val="24"/>
          <w:szCs w:val="24"/>
        </w:rPr>
        <w:t xml:space="preserve"> § 552 cmt. g (1977)));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Jimerson v. First Am. Title Ins. Co.</w:t>
      </w:r>
      <w:r w:rsidRPr="0024062B">
        <w:rPr>
          <w:rFonts w:eastAsia="Times New Roman"/>
          <w:sz w:val="24"/>
          <w:szCs w:val="24"/>
        </w:rPr>
        <w:t xml:space="preserve">, 989 P.2d 258 (Colo. App. 1999) (recognizing rule, but holding that to impose liability on supplier of information, third-party’s reliance on that information must have been justifiable); </w:t>
      </w:r>
      <w:r w:rsidRPr="0024062B">
        <w:rPr>
          <w:rFonts w:eastAsia="Times New Roman"/>
          <w:b/>
          <w:sz w:val="24"/>
          <w:szCs w:val="24"/>
        </w:rPr>
        <w:t>DCB Constr. Co. v. Cent. City Dev. Co.</w:t>
      </w:r>
      <w:r w:rsidRPr="0024062B">
        <w:rPr>
          <w:rFonts w:eastAsia="Times New Roman"/>
          <w:sz w:val="24"/>
          <w:szCs w:val="24"/>
        </w:rPr>
        <w:t xml:space="preserve">, 940 P.2d 958 (Colo. App. 1996) (privity not required as element of negligent misrepresentation claim), </w:t>
      </w:r>
      <w:r w:rsidRPr="0024062B">
        <w:rPr>
          <w:rFonts w:eastAsia="Times New Roman"/>
          <w:i/>
          <w:sz w:val="24"/>
          <w:szCs w:val="24"/>
        </w:rPr>
        <w:t>aff’d on other grounds</w:t>
      </w:r>
      <w:r w:rsidRPr="0024062B">
        <w:rPr>
          <w:rFonts w:eastAsia="Times New Roman"/>
          <w:sz w:val="24"/>
          <w:szCs w:val="24"/>
        </w:rPr>
        <w:t xml:space="preserve">, 965 P.2d 115 (Colo. 1998); </w:t>
      </w:r>
      <w:r w:rsidRPr="0024062B">
        <w:rPr>
          <w:rFonts w:eastAsia="Times New Roman"/>
          <w:b/>
          <w:sz w:val="24"/>
          <w:szCs w:val="24"/>
        </w:rPr>
        <w:t>Galie v. RAM Assocs. Mgmt. Servs., Inc.</w:t>
      </w:r>
      <w:r w:rsidRPr="0024062B">
        <w:rPr>
          <w:rFonts w:eastAsia="Times New Roman"/>
          <w:sz w:val="24"/>
          <w:szCs w:val="24"/>
        </w:rPr>
        <w:t>, 757 P.2d 176 (Colo. App. 1988) (privity between plaintiff and defendant not required);</w:t>
      </w:r>
      <w:r w:rsidRPr="0024062B">
        <w:rPr>
          <w:rFonts w:eastAsia="Times New Roman"/>
          <w:i/>
          <w:iCs/>
          <w:sz w:val="24"/>
          <w:szCs w:val="24"/>
        </w:rPr>
        <w:t xml:space="preserve"> </w:t>
      </w:r>
      <w:r w:rsidRPr="0024062B">
        <w:rPr>
          <w:rFonts w:eastAsia="Times New Roman"/>
          <w:b/>
          <w:sz w:val="24"/>
          <w:szCs w:val="24"/>
        </w:rPr>
        <w:t>Wolther v. Schaarschmidt</w:t>
      </w:r>
      <w:r w:rsidRPr="0024062B">
        <w:rPr>
          <w:rFonts w:eastAsia="Times New Roman"/>
          <w:sz w:val="24"/>
          <w:szCs w:val="24"/>
        </w:rPr>
        <w:t xml:space="preserve">, 738 P.2d 25 (Colo. App. 1986) (same); </w:t>
      </w:r>
      <w:r w:rsidRPr="0024062B">
        <w:rPr>
          <w:rFonts w:eastAsia="Times New Roman"/>
          <w:i/>
          <w:sz w:val="24"/>
          <w:szCs w:val="24"/>
        </w:rPr>
        <w:t>see generally</w:t>
      </w:r>
      <w:r w:rsidRPr="0024062B">
        <w:rPr>
          <w:rFonts w:eastAsia="Times New Roman"/>
          <w:sz w:val="24"/>
          <w:szCs w:val="24"/>
        </w:rPr>
        <w:t xml:space="preserve"> </w:t>
      </w:r>
      <w:r w:rsidRPr="0024062B">
        <w:rPr>
          <w:rFonts w:eastAsia="Times New Roman"/>
          <w:b/>
          <w:bCs/>
          <w:sz w:val="24"/>
          <w:szCs w:val="24"/>
        </w:rPr>
        <w:t>C</w:t>
      </w:r>
      <w:r w:rsidRPr="0024062B">
        <w:rPr>
          <w:rFonts w:eastAsia="Times New Roman"/>
          <w:b/>
          <w:bCs/>
          <w:iCs/>
          <w:sz w:val="24"/>
          <w:szCs w:val="24"/>
        </w:rPr>
        <w:t>ampbell v. Summit Plaza Assocs.</w:t>
      </w:r>
      <w:r w:rsidRPr="0024062B">
        <w:rPr>
          <w:rFonts w:eastAsia="Times New Roman"/>
          <w:iCs/>
          <w:sz w:val="24"/>
          <w:szCs w:val="24"/>
        </w:rPr>
        <w:t xml:space="preserve">, 192 P.3d 465 (Colo. App. 2008) (reaffirming </w:t>
      </w:r>
      <w:r w:rsidRPr="0024062B">
        <w:rPr>
          <w:rFonts w:eastAsia="Times New Roman"/>
          <w:b/>
          <w:bCs/>
          <w:iCs/>
          <w:sz w:val="24"/>
          <w:szCs w:val="24"/>
        </w:rPr>
        <w:t>Jimerson</w:t>
      </w:r>
      <w:r w:rsidRPr="0024062B">
        <w:rPr>
          <w:rFonts w:eastAsia="Times New Roman"/>
          <w:bCs/>
          <w:iCs/>
          <w:sz w:val="24"/>
          <w:szCs w:val="24"/>
        </w:rPr>
        <w:t>, 989 P.2d 258,</w:t>
      </w:r>
      <w:r w:rsidRPr="0024062B">
        <w:rPr>
          <w:rFonts w:eastAsia="Times New Roman"/>
          <w:iCs/>
          <w:sz w:val="24"/>
          <w:szCs w:val="24"/>
        </w:rPr>
        <w:t xml:space="preserve"> and holding that because title insurer owes no contractual obligation to a vendor of real property by virtue of the title commitment or title insurance policy issued to the buyer, vendor may not enforce obligations established by the title commitment and claim negligence in title insurer’s performance)</w:t>
      </w:r>
      <w:r w:rsidRPr="0024062B">
        <w:rPr>
          <w:rFonts w:eastAsia="Times New Roman"/>
          <w:sz w:val="24"/>
          <w:szCs w:val="24"/>
        </w:rPr>
        <w:t>.</w:t>
      </w:r>
    </w:p>
    <w:p w14:paraId="4A6CB5AA"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Reasonable Reliance</w:t>
      </w:r>
    </w:p>
    <w:p w14:paraId="478214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The unreasonable reliance of the plaintiff on the misrepresentation of the defendant constitutes contributory negligence for which, because it is an affirmative defense, the defendant has the burdens of pleading and proof. </w:t>
      </w:r>
      <w:r w:rsidRPr="0024062B">
        <w:rPr>
          <w:rFonts w:eastAsia="Times New Roman"/>
          <w:i/>
          <w:sz w:val="24"/>
          <w:szCs w:val="24"/>
        </w:rPr>
        <w:t>See</w:t>
      </w:r>
      <w:r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552A (1977). In addition, the defense requires the application of an objective test. </w:t>
      </w:r>
      <w:r w:rsidRPr="0024062B">
        <w:rPr>
          <w:rFonts w:eastAsia="Times New Roman"/>
          <w:b/>
          <w:sz w:val="24"/>
          <w:szCs w:val="24"/>
        </w:rPr>
        <w:t>Robinson</w:t>
      </w:r>
      <w:r w:rsidRPr="0024062B">
        <w:rPr>
          <w:rFonts w:eastAsia="Times New Roman"/>
          <w:sz w:val="24"/>
          <w:szCs w:val="24"/>
        </w:rPr>
        <w:t xml:space="preserve">, 680 P.2d at 243. Thus, the defense applies even though the plaintiff’s unreasonable reliance may otherwise have been “justifiable” in terms of what a person of comparable intelligence, education and experience to that of the plaintiff would have done. </w:t>
      </w:r>
      <w:r w:rsidRPr="0024062B">
        <w:rPr>
          <w:rFonts w:eastAsia="Times New Roman"/>
          <w:i/>
          <w:sz w:val="24"/>
          <w:szCs w:val="24"/>
        </w:rPr>
        <w:t>Id.</w:t>
      </w:r>
      <w:r w:rsidRPr="0024062B">
        <w:rPr>
          <w:rFonts w:eastAsia="Times New Roman"/>
          <w:sz w:val="24"/>
          <w:szCs w:val="24"/>
        </w:rPr>
        <w:t xml:space="preserve">; C.R.C.P. 8(c); </w:t>
      </w:r>
      <w:r w:rsidRPr="00AB2019">
        <w:rPr>
          <w:rFonts w:eastAsia="Times New Roman"/>
          <w:smallCaps/>
          <w:sz w:val="24"/>
          <w:szCs w:val="24"/>
        </w:rPr>
        <w:t>Restatement</w:t>
      </w:r>
      <w:r w:rsidRPr="0024062B">
        <w:rPr>
          <w:rFonts w:eastAsia="Times New Roman"/>
          <w:sz w:val="24"/>
          <w:szCs w:val="24"/>
        </w:rPr>
        <w:t xml:space="preserve"> § 552A.</w:t>
      </w:r>
    </w:p>
    <w:p w14:paraId="645D034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8. Although unreasonable reliance may be considered a form of contributory or comparative negligence and treated as an affirmative defense, in a number of cases, the Colorado Court of Appeals has indicated that “justifiable” reliance is an element of a plaintiff’s claim</w:t>
      </w:r>
      <w:r w:rsidRPr="0024062B">
        <w:rPr>
          <w:rFonts w:eastAsia="Times New Roman"/>
          <w:i/>
          <w:sz w:val="24"/>
          <w:szCs w:val="24"/>
        </w:rPr>
        <w:t xml:space="preserve">. See, </w:t>
      </w:r>
      <w:r w:rsidRPr="0024062B">
        <w:rPr>
          <w:rFonts w:eastAsia="Times New Roman"/>
          <w:i/>
          <w:sz w:val="24"/>
          <w:szCs w:val="24"/>
        </w:rPr>
        <w:lastRenderedPageBreak/>
        <w:t>e.g</w:t>
      </w:r>
      <w:r w:rsidRPr="0024062B">
        <w:rPr>
          <w:rFonts w:eastAsia="Times New Roman"/>
          <w:sz w:val="24"/>
          <w:szCs w:val="24"/>
        </w:rPr>
        <w:t xml:space="preserve">., </w:t>
      </w:r>
      <w:r w:rsidRPr="0024062B">
        <w:rPr>
          <w:rFonts w:eastAsia="Times New Roman"/>
          <w:b/>
          <w:sz w:val="24"/>
          <w:szCs w:val="24"/>
        </w:rPr>
        <w:t>Colo. Pool Sys., Inc.</w:t>
      </w:r>
      <w:r w:rsidRPr="0024062B">
        <w:rPr>
          <w:rFonts w:eastAsia="Times New Roman"/>
          <w:sz w:val="24"/>
          <w:szCs w:val="24"/>
        </w:rPr>
        <w:t xml:space="preserve">, 2012 COA 178, ¶¶ 59-63 (insured cannot justifiably rely on oral statement of insurance agent about insurance coverage if the insured has a copy of the policy and can see that the oral misrepresentation contradicts express, unambiguous terms of the policy, but case remanded for further proceedings because the policy term was ambiguous); </w:t>
      </w:r>
      <w:r w:rsidRPr="0024062B">
        <w:rPr>
          <w:rFonts w:eastAsia="Times New Roman"/>
          <w:b/>
          <w:sz w:val="24"/>
          <w:szCs w:val="24"/>
        </w:rPr>
        <w:t>Colo. Coffee Bean, LLC</w:t>
      </w:r>
      <w:r w:rsidRPr="0024062B">
        <w:rPr>
          <w:rFonts w:eastAsia="Times New Roman"/>
          <w:sz w:val="24"/>
          <w:szCs w:val="24"/>
        </w:rPr>
        <w:t xml:space="preserve">, 251 P.3d at 19 (reliance on franchisor’s general description of business model not justifiable in light of exculpatory clauses in transactional documents and the absence of any specific affirmative misrepresentation); </w:t>
      </w:r>
      <w:r w:rsidRPr="0024062B">
        <w:rPr>
          <w:rFonts w:eastAsia="Times New Roman"/>
          <w:b/>
          <w:sz w:val="24"/>
          <w:szCs w:val="24"/>
        </w:rPr>
        <w:t>Sheffield Servs. Co. v. Trowbridge</w:t>
      </w:r>
      <w:r w:rsidRPr="0024062B">
        <w:rPr>
          <w:rFonts w:eastAsia="Times New Roman"/>
          <w:sz w:val="24"/>
          <w:szCs w:val="24"/>
        </w:rPr>
        <w:t xml:space="preserve">, 211 P.3d 714 (Colo. App. 2009) (analyzing inquiry notice, the sophistication of the investor, and the parties’ relative access to the facts to determine whether reliance was justifiable), </w:t>
      </w:r>
      <w:r w:rsidRPr="0024062B">
        <w:rPr>
          <w:rFonts w:eastAsia="Times New Roman"/>
          <w:i/>
          <w:sz w:val="24"/>
          <w:szCs w:val="24"/>
        </w:rPr>
        <w:t>overruled on other grounds by</w:t>
      </w:r>
      <w:r w:rsidRPr="0024062B">
        <w:rPr>
          <w:rFonts w:eastAsia="Times New Roman"/>
          <w:sz w:val="24"/>
          <w:szCs w:val="24"/>
        </w:rPr>
        <w:t xml:space="preserve"> </w:t>
      </w:r>
      <w:r w:rsidRPr="0024062B">
        <w:rPr>
          <w:rFonts w:eastAsia="Times New Roman"/>
          <w:b/>
          <w:sz w:val="24"/>
          <w:szCs w:val="24"/>
        </w:rPr>
        <w:t>Weinstein v. Colborne Foodbotics, LLC</w:t>
      </w:r>
      <w:r w:rsidRPr="0024062B">
        <w:rPr>
          <w:rFonts w:eastAsia="Times New Roman"/>
          <w:sz w:val="24"/>
          <w:szCs w:val="24"/>
        </w:rPr>
        <w:t xml:space="preserve">, 2013 CO 33, 302 P.3d 263; </w:t>
      </w:r>
      <w:r w:rsidRPr="0024062B">
        <w:rPr>
          <w:rFonts w:eastAsia="Times New Roman"/>
          <w:b/>
          <w:sz w:val="24"/>
          <w:szCs w:val="24"/>
        </w:rPr>
        <w:t>Campbell v. Summit Plaza Assocs.</w:t>
      </w:r>
      <w:r w:rsidRPr="0024062B">
        <w:rPr>
          <w:rFonts w:eastAsia="Times New Roman"/>
          <w:sz w:val="24"/>
          <w:szCs w:val="24"/>
        </w:rPr>
        <w:t xml:space="preserve">, 192 P.3d 465 (Colo. App. 2008); </w:t>
      </w:r>
      <w:r w:rsidRPr="0024062B">
        <w:rPr>
          <w:rFonts w:eastAsia="Times New Roman"/>
          <w:b/>
          <w:sz w:val="24"/>
          <w:szCs w:val="24"/>
        </w:rPr>
        <w:t>Nelson v. Gas Research Inst.</w:t>
      </w:r>
      <w:r w:rsidRPr="0024062B">
        <w:rPr>
          <w:rFonts w:eastAsia="Times New Roman"/>
          <w:sz w:val="24"/>
          <w:szCs w:val="24"/>
        </w:rPr>
        <w:t xml:space="preserve">, 121 P.3d 340 (Colo. App. 2005); </w:t>
      </w:r>
      <w:r w:rsidRPr="0024062B">
        <w:rPr>
          <w:rFonts w:eastAsia="Times New Roman"/>
          <w:b/>
          <w:sz w:val="24"/>
          <w:szCs w:val="24"/>
        </w:rPr>
        <w:t>Balkind v. Telluride Mtn. Title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 P.3d 581 (Colo. App. 2000); </w:t>
      </w:r>
      <w:r w:rsidRPr="0024062B">
        <w:rPr>
          <w:rFonts w:eastAsia="Times New Roman"/>
          <w:b/>
          <w:sz w:val="24"/>
          <w:szCs w:val="24"/>
        </w:rPr>
        <w:t>Branscum v. Am. Cmty. Mut. Ins.</w:t>
      </w:r>
      <w:r w:rsidRPr="0024062B">
        <w:rPr>
          <w:rFonts w:eastAsia="Times New Roman"/>
          <w:sz w:val="24"/>
          <w:szCs w:val="24"/>
        </w:rPr>
        <w:t>, 984 P.2d 675 (Colo. App. 1999).</w:t>
      </w:r>
    </w:p>
    <w:p w14:paraId="5F52AE0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Damages</w:t>
      </w:r>
    </w:p>
    <w:p w14:paraId="01EA2A9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9. Damages are an essential element of a claim for negligent misrepresentation causing financial loss in a business transaction. </w:t>
      </w:r>
      <w:r w:rsidRPr="0024062B">
        <w:rPr>
          <w:rFonts w:eastAsia="Times New Roman"/>
          <w:b/>
          <w:sz w:val="24"/>
          <w:szCs w:val="24"/>
        </w:rPr>
        <w:t>W. Cities Broad., Inc. v. Schueller</w:t>
      </w:r>
      <w:r w:rsidRPr="0024062B">
        <w:rPr>
          <w:rFonts w:eastAsia="Times New Roman"/>
          <w:sz w:val="24"/>
          <w:szCs w:val="24"/>
        </w:rPr>
        <w:t xml:space="preserve">, 849 P.2d 44 (Colo. 1993); </w:t>
      </w:r>
      <w:r w:rsidRPr="0024062B">
        <w:rPr>
          <w:rFonts w:eastAsia="Times New Roman"/>
          <w:b/>
          <w:sz w:val="24"/>
          <w:szCs w:val="24"/>
        </w:rPr>
        <w:t>DC-10 Entm’t, LLC v. Manor Ins. Agency, Inc.</w:t>
      </w:r>
      <w:r w:rsidRPr="0024062B">
        <w:rPr>
          <w:rFonts w:eastAsia="Times New Roman"/>
          <w:sz w:val="24"/>
          <w:szCs w:val="24"/>
        </w:rPr>
        <w:t>, 2013 COA 14, ¶ 7, 308 P.3d 1223.</w:t>
      </w:r>
    </w:p>
    <w:p w14:paraId="0F70AE9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10. The proper measure of damages for a negligent</w:t>
      </w:r>
      <w:r w:rsidRPr="0024062B">
        <w:rPr>
          <w:rFonts w:eastAsia="Times New Roman"/>
          <w:i/>
          <w:sz w:val="24"/>
          <w:szCs w:val="24"/>
        </w:rPr>
        <w:t xml:space="preserve"> </w:t>
      </w:r>
      <w:r w:rsidRPr="0024062B">
        <w:rPr>
          <w:rFonts w:eastAsia="Times New Roman"/>
          <w:sz w:val="24"/>
          <w:szCs w:val="24"/>
        </w:rPr>
        <w:t xml:space="preserve">representation causing financial loss is the “out of pocket” rule rather than the “out of bargain” rule. </w:t>
      </w:r>
      <w:r w:rsidRPr="0024062B">
        <w:rPr>
          <w:rFonts w:eastAsia="Times New Roman"/>
          <w:b/>
          <w:sz w:val="24"/>
          <w:szCs w:val="24"/>
        </w:rPr>
        <w:t>Ballow v. PHICO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878 P.2d 672 (Colo. 1994); </w:t>
      </w:r>
      <w:r w:rsidRPr="0024062B">
        <w:rPr>
          <w:rFonts w:eastAsia="Times New Roman"/>
          <w:b/>
          <w:sz w:val="24"/>
          <w:szCs w:val="24"/>
        </w:rPr>
        <w:t>W. Cities Broad., Inc.</w:t>
      </w:r>
      <w:r w:rsidRPr="0024062B">
        <w:rPr>
          <w:rFonts w:eastAsia="Times New Roman"/>
          <w:sz w:val="24"/>
          <w:szCs w:val="24"/>
        </w:rPr>
        <w:t xml:space="preserve">, 849 P.2d at 49; </w:t>
      </w:r>
      <w:r w:rsidRPr="0024062B">
        <w:rPr>
          <w:rFonts w:eastAsia="Times New Roman"/>
          <w:b/>
          <w:sz w:val="24"/>
          <w:szCs w:val="24"/>
        </w:rPr>
        <w:t>Harrison v. Smith</w:t>
      </w:r>
      <w:r w:rsidRPr="0024062B">
        <w:rPr>
          <w:rFonts w:eastAsia="Times New Roman"/>
          <w:sz w:val="24"/>
          <w:szCs w:val="24"/>
        </w:rPr>
        <w:t xml:space="preserve">, 821 P.2d 832 (Colo. App. 1991); </w:t>
      </w:r>
      <w:r w:rsidRPr="0024062B">
        <w:rPr>
          <w:rFonts w:eastAsia="Times New Roman"/>
          <w:b/>
          <w:sz w:val="24"/>
          <w:szCs w:val="24"/>
        </w:rPr>
        <w:t>Robinson</w:t>
      </w:r>
      <w:r w:rsidRPr="0024062B">
        <w:rPr>
          <w:rFonts w:eastAsia="Times New Roman"/>
          <w:sz w:val="24"/>
          <w:szCs w:val="24"/>
        </w:rPr>
        <w:t xml:space="preserve">, 654 P.2d at 863 (citing with approval § 552B(1) of </w:t>
      </w:r>
      <w:r w:rsidRPr="00AB2019">
        <w:rPr>
          <w:rFonts w:eastAsia="Times New Roman"/>
          <w:smallCaps/>
          <w:sz w:val="24"/>
          <w:szCs w:val="24"/>
        </w:rPr>
        <w:t>Restatement (Second) of Torts</w:t>
      </w:r>
      <w:r w:rsidRPr="0024062B">
        <w:rPr>
          <w:rFonts w:eastAsia="Times New Roman"/>
          <w:sz w:val="24"/>
          <w:szCs w:val="24"/>
        </w:rPr>
        <w:t xml:space="preserve"> (1977)). A damage instruction based on section 552B(1) should therefore be given with this instruction rather than Instruction 19:17. </w:t>
      </w:r>
      <w:r w:rsidRPr="0024062B">
        <w:rPr>
          <w:rFonts w:eastAsia="Times New Roman"/>
          <w:i/>
          <w:sz w:val="24"/>
          <w:szCs w:val="24"/>
        </w:rPr>
        <w:t>See also</w:t>
      </w:r>
      <w:r w:rsidRPr="0024062B">
        <w:rPr>
          <w:rFonts w:eastAsia="Times New Roman"/>
          <w:sz w:val="24"/>
          <w:szCs w:val="24"/>
        </w:rPr>
        <w:t xml:space="preserve"> </w:t>
      </w:r>
      <w:r w:rsidRPr="00AB2019">
        <w:rPr>
          <w:rFonts w:eastAsia="Times New Roman"/>
          <w:smallCaps/>
          <w:sz w:val="24"/>
          <w:szCs w:val="24"/>
        </w:rPr>
        <w:t>Restatement</w:t>
      </w:r>
      <w:r w:rsidRPr="0024062B">
        <w:rPr>
          <w:rFonts w:eastAsia="Times New Roman"/>
          <w:sz w:val="24"/>
          <w:szCs w:val="24"/>
        </w:rPr>
        <w:t xml:space="preserve"> § 552B(2) (specifically excluding from the recoverable damages “the benefit of the plaintiff’s contract with the defendant”).</w:t>
      </w:r>
    </w:p>
    <w:p w14:paraId="70E762A6" w14:textId="77777777" w:rsidR="00293F7E" w:rsidRDefault="00293F7E">
      <w:pPr>
        <w:rPr>
          <w:rFonts w:eastAsia="Times New Roman"/>
          <w:sz w:val="24"/>
          <w:szCs w:val="24"/>
        </w:rPr>
      </w:pPr>
      <w:r>
        <w:rPr>
          <w:rFonts w:eastAsia="Times New Roman"/>
          <w:sz w:val="24"/>
          <w:szCs w:val="24"/>
        </w:rPr>
        <w:br w:type="page"/>
      </w:r>
    </w:p>
    <w:p w14:paraId="77C07230" w14:textId="77777777" w:rsidR="00293F7E" w:rsidRPr="009E3DA4" w:rsidRDefault="00293F7E" w:rsidP="00293F7E">
      <w:pPr>
        <w:spacing w:after="240"/>
        <w:ind w:left="720" w:hanging="720"/>
        <w:rPr>
          <w:rFonts w:eastAsia="Times New Roman"/>
          <w:b/>
          <w:sz w:val="24"/>
          <w:szCs w:val="24"/>
        </w:rPr>
      </w:pPr>
      <w:bookmarkStart w:id="6" w:name="a9_05"/>
      <w:bookmarkEnd w:id="6"/>
      <w:r w:rsidRPr="00293F7E">
        <w:rPr>
          <w:rFonts w:eastAsia="Times New Roman"/>
          <w:b/>
          <w:sz w:val="24"/>
          <w:szCs w:val="24"/>
        </w:rPr>
        <w:lastRenderedPageBreak/>
        <w:t xml:space="preserve">9:5 </w:t>
      </w:r>
      <w:r w:rsidRPr="00293F7E">
        <w:rPr>
          <w:rFonts w:eastAsia="Times New Roman"/>
          <w:b/>
          <w:sz w:val="24"/>
          <w:szCs w:val="24"/>
        </w:rPr>
        <w:tab/>
        <w:t>NEGLIGENT MISREPRESENTATION CAUSING FINANCIAL LOSS IN A BUSINESS TRANSACTION — UNREASONABLE RELIANCE — DEFINED</w:t>
      </w:r>
    </w:p>
    <w:p w14:paraId="2CE98D41" w14:textId="77777777" w:rsidR="00293F7E" w:rsidRPr="00293F7E" w:rsidRDefault="00293F7E" w:rsidP="00293F7E">
      <w:pPr>
        <w:spacing w:after="240"/>
        <w:ind w:firstLine="720"/>
        <w:rPr>
          <w:rFonts w:eastAsia="Times New Roman"/>
          <w:b/>
          <w:sz w:val="24"/>
          <w:szCs w:val="24"/>
        </w:rPr>
      </w:pPr>
      <w:r w:rsidRPr="00293F7E">
        <w:rPr>
          <w:rFonts w:eastAsia="Times New Roman"/>
          <w:b/>
          <w:sz w:val="24"/>
          <w:szCs w:val="24"/>
        </w:rPr>
        <w:t>One is negligent in relying on information given by another when a reasonable person in the same or similar circumstances would not have so relied.</w:t>
      </w:r>
    </w:p>
    <w:p w14:paraId="16DCCD29" w14:textId="77777777" w:rsidR="00293F7E" w:rsidRDefault="00293F7E" w:rsidP="00293F7E">
      <w:pPr>
        <w:jc w:val="center"/>
        <w:rPr>
          <w:rFonts w:eastAsia="Times New Roman"/>
          <w:sz w:val="24"/>
          <w:szCs w:val="24"/>
        </w:rPr>
      </w:pPr>
    </w:p>
    <w:p w14:paraId="2FB74981" w14:textId="77777777" w:rsidR="00293F7E" w:rsidRPr="0054263B" w:rsidRDefault="00293F7E" w:rsidP="00293F7E">
      <w:pPr>
        <w:keepNext/>
        <w:spacing w:after="240"/>
        <w:jc w:val="center"/>
        <w:rPr>
          <w:rFonts w:eastAsia="Times New Roman"/>
          <w:b/>
          <w:sz w:val="24"/>
          <w:szCs w:val="24"/>
        </w:rPr>
      </w:pPr>
      <w:r w:rsidRPr="0054263B">
        <w:rPr>
          <w:rFonts w:eastAsia="Times New Roman"/>
          <w:b/>
          <w:sz w:val="24"/>
          <w:szCs w:val="24"/>
        </w:rPr>
        <w:t>Notes on Use</w:t>
      </w:r>
    </w:p>
    <w:p w14:paraId="258BA8C4"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1. This instruction, rather than Instruction 9:6, should be used in conjunction with Instruction 9:4 for the definition of the plaintiff’s negligence when the affirmative defense of contributory negligence in the form of unreasonable reliance on the part of the plaintiff has been properly raised. </w:t>
      </w:r>
      <w:r w:rsidRPr="00293F7E">
        <w:rPr>
          <w:rFonts w:eastAsia="Times New Roman"/>
          <w:i/>
          <w:sz w:val="24"/>
          <w:szCs w:val="24"/>
        </w:rPr>
        <w:t>See</w:t>
      </w:r>
      <w:r w:rsidRPr="00293F7E">
        <w:rPr>
          <w:rFonts w:eastAsia="Times New Roman"/>
          <w:sz w:val="24"/>
          <w:szCs w:val="24"/>
        </w:rPr>
        <w:t xml:space="preserve"> Note 5 of the Notes on Use to Instruction 9:4.</w:t>
      </w:r>
    </w:p>
    <w:p w14:paraId="79D624F1"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3F7E">
        <w:rPr>
          <w:rFonts w:eastAsia="Times New Roman"/>
          <w:i/>
          <w:sz w:val="24"/>
          <w:szCs w:val="24"/>
        </w:rPr>
        <w:t>See</w:t>
      </w:r>
      <w:r w:rsidRPr="00293F7E">
        <w:rPr>
          <w:rFonts w:eastAsia="Times New Roman"/>
          <w:sz w:val="24"/>
          <w:szCs w:val="24"/>
        </w:rPr>
        <w:t xml:space="preserve"> </w:t>
      </w:r>
      <w:r w:rsidRPr="00293F7E">
        <w:rPr>
          <w:rFonts w:eastAsia="Times New Roman"/>
          <w:b/>
          <w:sz w:val="24"/>
          <w:szCs w:val="24"/>
        </w:rPr>
        <w:t>Bedard v. Martin</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100 P.3d 584 (Colo. App. 2004); </w:t>
      </w:r>
      <w:r w:rsidRPr="00293F7E">
        <w:rPr>
          <w:rFonts w:eastAsia="Times New Roman"/>
          <w:b/>
          <w:sz w:val="24"/>
          <w:szCs w:val="24"/>
        </w:rPr>
        <w:t>Balkind v. Telluride Mtn. Title Co.</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8 P.3d 581 (Colo. App. 2000); </w:t>
      </w:r>
      <w:r w:rsidRPr="00293F7E">
        <w:rPr>
          <w:rFonts w:eastAsia="Times New Roman"/>
          <w:i/>
          <w:sz w:val="24"/>
          <w:szCs w:val="24"/>
        </w:rPr>
        <w:t>see also</w:t>
      </w:r>
      <w:r w:rsidRPr="00293F7E">
        <w:rPr>
          <w:rFonts w:eastAsia="Times New Roman"/>
          <w:sz w:val="24"/>
          <w:szCs w:val="24"/>
        </w:rPr>
        <w:t xml:space="preserve"> </w:t>
      </w:r>
      <w:r w:rsidRPr="00293F7E">
        <w:rPr>
          <w:rFonts w:eastAsia="Times New Roman"/>
          <w:b/>
          <w:sz w:val="24"/>
          <w:szCs w:val="24"/>
        </w:rPr>
        <w:t>M.D.C./Wood, Inc. v. Mortimer</w:t>
      </w:r>
      <w:r w:rsidRPr="00293F7E">
        <w:rPr>
          <w:rFonts w:eastAsia="Times New Roman"/>
          <w:sz w:val="24"/>
          <w:szCs w:val="24"/>
        </w:rPr>
        <w:t>, 866 P.2d 1380 (Colo. 1994). However, for a different test, see the cases and authorities cited in the Source and Authority to Instructions 19:8 to 19:10 (justifiable reliance).</w:t>
      </w:r>
    </w:p>
    <w:p w14:paraId="2754252B" w14:textId="77777777" w:rsidR="00293F7E" w:rsidRPr="0054263B" w:rsidRDefault="00293F7E" w:rsidP="00293F7E">
      <w:pPr>
        <w:keepNext/>
        <w:spacing w:after="240"/>
        <w:jc w:val="center"/>
        <w:rPr>
          <w:rFonts w:eastAsia="Times New Roman"/>
          <w:b/>
          <w:sz w:val="24"/>
          <w:szCs w:val="24"/>
        </w:rPr>
      </w:pPr>
      <w:r>
        <w:rPr>
          <w:rFonts w:eastAsia="Times New Roman"/>
          <w:b/>
          <w:sz w:val="24"/>
          <w:szCs w:val="24"/>
        </w:rPr>
        <w:t>Source and Authority</w:t>
      </w:r>
    </w:p>
    <w:p w14:paraId="6222A096" w14:textId="77777777" w:rsidR="00293F7E" w:rsidRDefault="00293F7E" w:rsidP="00293F7E">
      <w:pPr>
        <w:spacing w:after="240"/>
        <w:ind w:firstLine="720"/>
        <w:rPr>
          <w:rFonts w:eastAsia="Times New Roman"/>
          <w:sz w:val="24"/>
          <w:szCs w:val="24"/>
        </w:rPr>
      </w:pPr>
      <w:r w:rsidRPr="00293F7E">
        <w:rPr>
          <w:rFonts w:eastAsia="Times New Roman"/>
          <w:sz w:val="24"/>
          <w:szCs w:val="24"/>
        </w:rPr>
        <w:t xml:space="preserve">This instruction is supported by </w:t>
      </w:r>
      <w:r w:rsidRPr="00293F7E">
        <w:rPr>
          <w:rFonts w:eastAsia="Times New Roman"/>
          <w:b/>
          <w:sz w:val="24"/>
          <w:szCs w:val="24"/>
        </w:rPr>
        <w:t>Robinson v. Poudre Valley Federal Credit Union</w:t>
      </w:r>
      <w:r w:rsidRPr="00293F7E">
        <w:rPr>
          <w:rFonts w:eastAsia="Times New Roman"/>
          <w:sz w:val="24"/>
          <w:szCs w:val="24"/>
        </w:rPr>
        <w:t xml:space="preserve">, 654 P.2d 861 (Colo. App. 1982); and </w:t>
      </w:r>
      <w:r w:rsidRPr="00293F7E">
        <w:rPr>
          <w:rFonts w:eastAsia="Times New Roman"/>
          <w:smallCaps/>
          <w:sz w:val="24"/>
          <w:szCs w:val="24"/>
        </w:rPr>
        <w:t>Restatement (Second) of Torts</w:t>
      </w:r>
      <w:r w:rsidRPr="00293F7E">
        <w:rPr>
          <w:rFonts w:eastAsia="Times New Roman"/>
          <w:sz w:val="24"/>
          <w:szCs w:val="24"/>
        </w:rPr>
        <w:t xml:space="preserve"> § 552A (1977).</w:t>
      </w:r>
    </w:p>
    <w:p w14:paraId="65777CA5" w14:textId="77777777" w:rsidR="002654B4" w:rsidRDefault="002654B4">
      <w:pPr>
        <w:rPr>
          <w:rFonts w:eastAsia="Times New Roman"/>
          <w:sz w:val="24"/>
          <w:szCs w:val="24"/>
        </w:rPr>
      </w:pPr>
      <w:r>
        <w:rPr>
          <w:rFonts w:eastAsia="Times New Roman"/>
          <w:sz w:val="24"/>
          <w:szCs w:val="24"/>
        </w:rPr>
        <w:br w:type="page"/>
      </w:r>
    </w:p>
    <w:p w14:paraId="33F5C432" w14:textId="77777777" w:rsidR="002654B4" w:rsidRPr="009E3DA4" w:rsidRDefault="00516447" w:rsidP="002654B4">
      <w:pPr>
        <w:spacing w:after="240"/>
        <w:ind w:left="720" w:hanging="720"/>
        <w:rPr>
          <w:rFonts w:eastAsia="Times New Roman"/>
          <w:b/>
          <w:sz w:val="24"/>
          <w:szCs w:val="24"/>
        </w:rPr>
      </w:pPr>
      <w:bookmarkStart w:id="7" w:name="a9_06"/>
      <w:bookmarkEnd w:id="7"/>
      <w:r w:rsidRPr="00516447">
        <w:rPr>
          <w:rFonts w:eastAsia="Times New Roman"/>
          <w:b/>
          <w:sz w:val="24"/>
          <w:szCs w:val="24"/>
        </w:rPr>
        <w:lastRenderedPageBreak/>
        <w:t xml:space="preserve">9:6 </w:t>
      </w:r>
      <w:r w:rsidRPr="00516447">
        <w:rPr>
          <w:rFonts w:eastAsia="Times New Roman"/>
          <w:b/>
          <w:sz w:val="24"/>
          <w:szCs w:val="24"/>
        </w:rPr>
        <w:tab/>
        <w:t>NEGLIGENCE — DEFINED (INCLUDING ASSUMPTION OF THE RISK AND COMPARATIVE NEGLIGENCE CASES)</w:t>
      </w:r>
    </w:p>
    <w:p w14:paraId="76748E79"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means a failure to do an act which a reasonably careful person would do, or the doing of an act which a reasonably careful person would not do, under the same or similar circumstances to protect (oneself or) others from (bodily injury) (death) (property damage) </w:t>
      </w:r>
      <w:r w:rsidRPr="00516447">
        <w:rPr>
          <w:rFonts w:eastAsia="Times New Roman"/>
          <w:i/>
          <w:sz w:val="24"/>
          <w:szCs w:val="24"/>
        </w:rPr>
        <w:t>(insert any other appropriate description, e.g., “financial loss”)</w:t>
      </w:r>
      <w:r w:rsidRPr="00516447">
        <w:rPr>
          <w:rFonts w:eastAsia="Times New Roman"/>
          <w:b/>
          <w:sz w:val="24"/>
          <w:szCs w:val="24"/>
        </w:rPr>
        <w:t>.</w:t>
      </w:r>
    </w:p>
    <w:p w14:paraId="708AAFC4"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(Negligence may also mean assumption of risk. A person assumes the risk of injury or damage if the person voluntarily or unreasonably exposes [himself] [herself] to such injury or damage with knowledge or appreciation of the danger and risk involved.)</w:t>
      </w:r>
    </w:p>
    <w:p w14:paraId="1385DD21" w14:textId="77777777" w:rsidR="002654B4" w:rsidRDefault="002654B4" w:rsidP="002654B4">
      <w:pPr>
        <w:jc w:val="center"/>
        <w:rPr>
          <w:rFonts w:eastAsia="Times New Roman"/>
          <w:sz w:val="24"/>
          <w:szCs w:val="24"/>
        </w:rPr>
      </w:pPr>
    </w:p>
    <w:p w14:paraId="1180F642" w14:textId="77777777" w:rsidR="002654B4" w:rsidRPr="0054263B" w:rsidRDefault="002654B4" w:rsidP="002654B4">
      <w:pPr>
        <w:keepNext/>
        <w:spacing w:after="240"/>
        <w:jc w:val="center"/>
        <w:rPr>
          <w:rFonts w:eastAsia="Times New Roman"/>
          <w:b/>
          <w:sz w:val="24"/>
          <w:szCs w:val="24"/>
        </w:rPr>
      </w:pPr>
      <w:r w:rsidRPr="0054263B">
        <w:rPr>
          <w:rFonts w:eastAsia="Times New Roman"/>
          <w:b/>
          <w:sz w:val="24"/>
          <w:szCs w:val="24"/>
        </w:rPr>
        <w:t>Notes on Use</w:t>
      </w:r>
    </w:p>
    <w:p w14:paraId="1B740F74"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1. Use whichever parenthesized phrases in the first paragraph are appropriate. In particular, whenever the defense of contributory negligence has been raised and is being submitted to the jury under the appropriate comparative negligence instructions, </w:t>
      </w:r>
      <w:r w:rsidRPr="00516447">
        <w:rPr>
          <w:rFonts w:eastAsia="Times New Roman"/>
          <w:i/>
          <w:sz w:val="24"/>
          <w:szCs w:val="24"/>
        </w:rPr>
        <w:t>see</w:t>
      </w:r>
      <w:r w:rsidRPr="00516447">
        <w:rPr>
          <w:rFonts w:eastAsia="Times New Roman"/>
          <w:sz w:val="24"/>
          <w:szCs w:val="24"/>
        </w:rPr>
        <w:t xml:space="preserve"> Instructions 9:22–9:26, the parenthesized words “oneself or” should be used.</w:t>
      </w:r>
    </w:p>
    <w:p w14:paraId="4E81A7F0"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In Colorado, assumption of risk is a form of contributory negligence. For this reason, a separate instruction on the defense of assumption of risk should not be given in a case governed by the comparative negligence statute, § 13-21-111, C.R.S. </w:t>
      </w:r>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Brown v. Kreuser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38 Colo. App. 554, 560 P.2d 105 (1977). “Instructions on [contributory negligence and on] determining [the] comparative negligence percentages of the plaintiff and [the] defendant [Instructions 9:22–9:27] sufficiently cover the conduct heretofore classed as assumption of risk in Colorado. . . .” </w:t>
      </w:r>
      <w:r w:rsidRPr="00516447">
        <w:rPr>
          <w:rFonts w:eastAsia="Times New Roman"/>
          <w:i/>
          <w:sz w:val="24"/>
          <w:szCs w:val="24"/>
        </w:rPr>
        <w:t>Id</w:t>
      </w:r>
      <w:r w:rsidRPr="00516447">
        <w:rPr>
          <w:rFonts w:eastAsia="Times New Roman"/>
          <w:sz w:val="24"/>
          <w:szCs w:val="24"/>
        </w:rPr>
        <w:t xml:space="preserve">. at 558, 560 P.2d at 108;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Loup-Miller v. Brauer &amp; Assocs.–Rocky Mtn.,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40 Colo. App. 67, 572 P.2d 845 (1977); </w:t>
      </w:r>
      <w:r w:rsidRPr="00516447">
        <w:rPr>
          <w:rFonts w:eastAsia="Times New Roman"/>
          <w:b/>
          <w:sz w:val="24"/>
          <w:szCs w:val="24"/>
        </w:rPr>
        <w:t>Stefanich v. Martinez</w:t>
      </w:r>
      <w:r w:rsidRPr="00516447">
        <w:rPr>
          <w:rFonts w:eastAsia="Times New Roman"/>
          <w:sz w:val="24"/>
          <w:szCs w:val="24"/>
        </w:rPr>
        <w:t xml:space="preserve">, 39 Colo. App. 500, 570 P.2d 554 (1977), </w:t>
      </w:r>
      <w:r w:rsidRPr="00516447">
        <w:rPr>
          <w:rFonts w:eastAsia="Times New Roman"/>
          <w:i/>
          <w:sz w:val="24"/>
          <w:szCs w:val="24"/>
        </w:rPr>
        <w:t>aff’d on other grounds</w:t>
      </w:r>
      <w:r w:rsidRPr="00516447">
        <w:rPr>
          <w:rFonts w:eastAsia="Times New Roman"/>
          <w:sz w:val="24"/>
          <w:szCs w:val="24"/>
        </w:rPr>
        <w:t xml:space="preserve">, 195 Colo. 341, 577 P.2d 1099 (1978). The parenthesized second paragraph of this instruction should be given only in comparative negligence cases governed by section 13-21-111, in which there is sufficient evidence to support it. </w:t>
      </w:r>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Laughman v. Girtakovskis</w:t>
      </w:r>
      <w:r w:rsidRPr="00516447">
        <w:rPr>
          <w:rFonts w:eastAsia="Times New Roman"/>
          <w:sz w:val="24"/>
          <w:szCs w:val="24"/>
        </w:rPr>
        <w:t xml:space="preserve">, 2015 COA 143, ¶ 25, 374 P.3d 504 (“the assumption of risk statute applies when the jury is required to apportion negligence”); </w:t>
      </w:r>
      <w:r w:rsidRPr="00516447">
        <w:rPr>
          <w:rFonts w:eastAsia="Times New Roman"/>
          <w:b/>
          <w:sz w:val="24"/>
          <w:szCs w:val="24"/>
        </w:rPr>
        <w:t>Vititoe v. Rocky Mountain Pavement Maint., Inc.</w:t>
      </w:r>
      <w:r w:rsidRPr="00516447">
        <w:rPr>
          <w:rFonts w:eastAsia="Times New Roman"/>
          <w:sz w:val="24"/>
          <w:szCs w:val="24"/>
        </w:rPr>
        <w:t>, 2015 COA 82, ¶¶ 70-75</w:t>
      </w:r>
      <w:r w:rsidR="002E1D11">
        <w:rPr>
          <w:rFonts w:eastAsia="Times New Roman"/>
          <w:sz w:val="24"/>
          <w:szCs w:val="24"/>
        </w:rPr>
        <w:t>, 412 P.3d 767</w:t>
      </w:r>
      <w:r w:rsidRPr="00516447">
        <w:rPr>
          <w:rFonts w:eastAsia="Times New Roman"/>
          <w:sz w:val="24"/>
          <w:szCs w:val="24"/>
        </w:rPr>
        <w:t xml:space="preserve"> (evidence that plaintiff motorcyclist voluntarily accelerated toward truck in front of him moments before colliding with rear end of truck supported instruction containing assumption of risk language); </w:t>
      </w:r>
      <w:r w:rsidRPr="00516447">
        <w:rPr>
          <w:rFonts w:eastAsia="Times New Roman"/>
          <w:b/>
          <w:sz w:val="24"/>
          <w:szCs w:val="24"/>
        </w:rPr>
        <w:t>Winkler v. Rocky Mtn. Conference of United Methodist Church</w:t>
      </w:r>
      <w:r w:rsidRPr="00516447">
        <w:rPr>
          <w:rFonts w:eastAsia="Times New Roman"/>
          <w:sz w:val="24"/>
          <w:szCs w:val="24"/>
        </w:rPr>
        <w:t xml:space="preserve">, 923 P.2d 152 (Colo. App. 1995) (insufficient evidence of assumption of risk or fault on part of plaintiff to warrant comparative negligence instruction); </w:t>
      </w:r>
      <w:r w:rsidRPr="00516447">
        <w:rPr>
          <w:rFonts w:eastAsia="Times New Roman"/>
          <w:b/>
          <w:sz w:val="24"/>
          <w:szCs w:val="24"/>
        </w:rPr>
        <w:t>Carter v. Lovelace</w:t>
      </w:r>
      <w:r w:rsidRPr="00516447">
        <w:rPr>
          <w:rFonts w:eastAsia="Times New Roman"/>
          <w:sz w:val="24"/>
          <w:szCs w:val="24"/>
        </w:rPr>
        <w:t>, 844 P.2d 1288 (Colo. App. 1992) (distinguishing assumption of risk as a form of contributory negligence and concluding that evidence was insufficient to support instruction on assumption of risk).</w:t>
      </w:r>
    </w:p>
    <w:p w14:paraId="5F147103"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In a professional malpractice case, when the claimed contributory negligence of a plaintiff relates only to the plaintiff’s failure, as a patient or a client, to do what a reasonable patient or client would or would not do with regard to the services being rendered by defendant, Instruction 15:6 or Instruction 15:24, whichever is appropriate, should be used for the definition of contributory negligence rather than this instruction. When a hospital admits a person into its </w:t>
      </w:r>
      <w:r w:rsidRPr="00516447">
        <w:rPr>
          <w:rFonts w:eastAsia="Times New Roman"/>
          <w:sz w:val="24"/>
          <w:szCs w:val="24"/>
        </w:rPr>
        <w:lastRenderedPageBreak/>
        <w:t xml:space="preserve">custody who the hospital knows is actively suicidal, and when the admission is for the purpose of preventing that person’s self-destructive behavior, the hospital assumes a duty to use reasonable care in preventing the patient from engaging in such behavior, and this duty subsumes any fault attributable to the plaintiff for harm suffered as a result of those self-destructive acts. In such circumstances, the defenses of comparative negligence or assumption of risk of the patient are inapplicable. </w:t>
      </w:r>
      <w:r w:rsidRPr="00516447">
        <w:rPr>
          <w:rFonts w:eastAsia="Times New Roman"/>
          <w:i/>
          <w:sz w:val="24"/>
          <w:szCs w:val="24"/>
        </w:rPr>
        <w:t xml:space="preserve">See </w:t>
      </w:r>
      <w:r w:rsidRPr="00516447">
        <w:rPr>
          <w:rFonts w:eastAsia="Times New Roman"/>
          <w:b/>
          <w:sz w:val="24"/>
          <w:szCs w:val="24"/>
        </w:rPr>
        <w:t>P.W. v. Children’s Hosp. Colo.</w:t>
      </w:r>
      <w:r w:rsidRPr="00516447">
        <w:rPr>
          <w:rFonts w:eastAsia="Times New Roman"/>
          <w:sz w:val="24"/>
          <w:szCs w:val="24"/>
        </w:rPr>
        <w:t>, 2016 CO 6, ¶ 25, 364 P.3d 891.</w:t>
      </w:r>
    </w:p>
    <w:p w14:paraId="2E405D3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This instruction should not be used where the standard of care required of a person is greater than that normally required in a negligence case. </w:t>
      </w:r>
      <w:r w:rsidRPr="00516447">
        <w:rPr>
          <w:rFonts w:eastAsia="Times New Roman"/>
          <w:i/>
          <w:sz w:val="24"/>
          <w:szCs w:val="24"/>
        </w:rPr>
        <w:t>See</w:t>
      </w:r>
      <w:r w:rsidRPr="00CA1AF6">
        <w:rPr>
          <w:rFonts w:eastAsia="Times New Roman"/>
          <w:i/>
          <w:sz w:val="24"/>
          <w:szCs w:val="24"/>
        </w:rPr>
        <w:t xml:space="preserve">, </w:t>
      </w:r>
      <w:r w:rsidRPr="00516447">
        <w:rPr>
          <w:rFonts w:eastAsia="Times New Roman"/>
          <w:i/>
          <w:sz w:val="24"/>
          <w:szCs w:val="24"/>
        </w:rPr>
        <w:t>e.g.</w:t>
      </w:r>
      <w:r w:rsidRPr="00516447">
        <w:rPr>
          <w:rFonts w:eastAsia="Times New Roman"/>
          <w:sz w:val="24"/>
          <w:szCs w:val="24"/>
        </w:rPr>
        <w:t>,</w:t>
      </w:r>
      <w:r w:rsidRPr="00516447">
        <w:rPr>
          <w:rFonts w:eastAsia="Times New Roman"/>
          <w:i/>
          <w:sz w:val="24"/>
          <w:szCs w:val="24"/>
        </w:rPr>
        <w:t xml:space="preserve"> </w:t>
      </w:r>
      <w:r w:rsidRPr="00516447">
        <w:rPr>
          <w:rFonts w:eastAsia="Times New Roman"/>
          <w:sz w:val="24"/>
          <w:szCs w:val="24"/>
        </w:rPr>
        <w:t>Instruction 9:7. For cases involving children, see Instruction 9:9.</w:t>
      </w:r>
      <w:r w:rsidRPr="00516447">
        <w:rPr>
          <w:rFonts w:eastAsia="Times New Roman"/>
          <w:sz w:val="24"/>
          <w:szCs w:val="24"/>
        </w:rPr>
        <w:cr/>
        <w:t>5. In automobile accident cases, the failure to comply with the mandatory seat belt law is admissible to mitigate “pain and suffering” damages. See Instruction</w:t>
      </w:r>
      <w:r w:rsidRPr="00516447">
        <w:rPr>
          <w:rFonts w:eastAsia="Times New Roman"/>
          <w:i/>
          <w:sz w:val="24"/>
          <w:szCs w:val="24"/>
        </w:rPr>
        <w:t xml:space="preserve"> </w:t>
      </w:r>
      <w:r w:rsidRPr="00516447">
        <w:rPr>
          <w:rFonts w:eastAsia="Times New Roman"/>
          <w:sz w:val="24"/>
          <w:szCs w:val="24"/>
        </w:rPr>
        <w:t xml:space="preserve">5:3 as to the effect of an injured party’s failure to wear a safety belt in an automobile accident case. However, an injured party’s failure to have worn an available seat belt does not constitute negligence. </w:t>
      </w:r>
      <w:r w:rsidRPr="00516447">
        <w:rPr>
          <w:rFonts w:eastAsia="Times New Roman"/>
          <w:b/>
          <w:sz w:val="24"/>
          <w:szCs w:val="24"/>
        </w:rPr>
        <w:t>Fischer v. Moore</w:t>
      </w:r>
      <w:r w:rsidRPr="00516447">
        <w:rPr>
          <w:rFonts w:eastAsia="Times New Roman"/>
          <w:sz w:val="24"/>
          <w:szCs w:val="24"/>
        </w:rPr>
        <w:t xml:space="preserve">, 183 Colo. 392, 517 P.2d 458 (1973) (events occurring before the effective date of the Comparative Negligence Statute, § 13-21-111); </w:t>
      </w:r>
      <w:r w:rsidRPr="00516447">
        <w:rPr>
          <w:rFonts w:eastAsia="Times New Roman"/>
          <w:b/>
          <w:sz w:val="24"/>
          <w:szCs w:val="24"/>
        </w:rPr>
        <w:t>Churning v. Staples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628 P.2d 180 (Colo. App. 1981) (events occurring after the adoption of the Comparative Negligence Statute). Similarly, the failure to wear a helmet while riding a motorcycle does not constitute negligence. </w:t>
      </w:r>
      <w:r w:rsidRPr="00516447">
        <w:rPr>
          <w:rFonts w:eastAsia="Times New Roman"/>
          <w:b/>
          <w:sz w:val="24"/>
          <w:szCs w:val="24"/>
        </w:rPr>
        <w:t>Dare v. Sobule</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674 P.2d 960 (Colo. 1984); </w:t>
      </w:r>
      <w:r w:rsidRPr="00516447">
        <w:rPr>
          <w:rFonts w:eastAsia="Times New Roman"/>
          <w:b/>
          <w:sz w:val="24"/>
          <w:szCs w:val="24"/>
        </w:rPr>
        <w:t>Lawrence v. Taylor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8 P.3d 607 (Colo. App. 2000). If the jury learns that a motorcyclist was not wearing a helmet, a limiting instruction may be required. </w:t>
      </w:r>
      <w:r w:rsidRPr="00516447">
        <w:rPr>
          <w:rFonts w:eastAsia="Times New Roman"/>
          <w:b/>
          <w:sz w:val="24"/>
          <w:szCs w:val="24"/>
        </w:rPr>
        <w:t>Vititoe</w:t>
      </w:r>
      <w:r w:rsidRPr="00516447">
        <w:rPr>
          <w:rFonts w:eastAsia="Times New Roman"/>
          <w:sz w:val="24"/>
          <w:szCs w:val="24"/>
        </w:rPr>
        <w:t>, 2015 COA 82, ¶ 19.</w:t>
      </w:r>
    </w:p>
    <w:p w14:paraId="76454B70" w14:textId="77777777" w:rsidR="002654B4" w:rsidRPr="0054263B" w:rsidRDefault="002654B4" w:rsidP="002654B4">
      <w:pPr>
        <w:keepNext/>
        <w:spacing w:after="240"/>
        <w:jc w:val="center"/>
        <w:rPr>
          <w:rFonts w:eastAsia="Times New Roman"/>
          <w:b/>
          <w:sz w:val="24"/>
          <w:szCs w:val="24"/>
        </w:rPr>
      </w:pPr>
      <w:r>
        <w:rPr>
          <w:rFonts w:eastAsia="Times New Roman"/>
          <w:b/>
          <w:sz w:val="24"/>
          <w:szCs w:val="24"/>
        </w:rPr>
        <w:t>Source and Authority</w:t>
      </w:r>
    </w:p>
    <w:p w14:paraId="5B6C11EE" w14:textId="0A46D4F7" w:rsidR="00516447" w:rsidRPr="00516447" w:rsidRDefault="00516447" w:rsidP="00516447">
      <w:pPr>
        <w:spacing w:after="240"/>
        <w:ind w:firstLine="720"/>
        <w:rPr>
          <w:rFonts w:eastAsia="Times New Roman"/>
          <w:sz w:val="24"/>
          <w:szCs w:val="24"/>
        </w:rPr>
      </w:pPr>
      <w:r w:rsidRPr="00516447">
        <w:rPr>
          <w:rFonts w:eastAsia="Times New Roman"/>
          <w:sz w:val="24"/>
          <w:szCs w:val="24"/>
        </w:rPr>
        <w:t>1. This instruction is supported by</w:t>
      </w:r>
      <w:r w:rsidRPr="00516447">
        <w:rPr>
          <w:rFonts w:eastAsia="Times New Roman"/>
          <w:b/>
          <w:sz w:val="24"/>
          <w:szCs w:val="24"/>
        </w:rPr>
        <w:t xml:space="preserve"> Lyons v. Nasby</w:t>
      </w:r>
      <w:r w:rsidRPr="00516447">
        <w:rPr>
          <w:rFonts w:eastAsia="Times New Roman"/>
          <w:sz w:val="24"/>
          <w:szCs w:val="24"/>
        </w:rPr>
        <w:t xml:space="preserve">, 770 P.2d 1250 (Colo. 1989); </w:t>
      </w:r>
      <w:r w:rsidRPr="00516447">
        <w:rPr>
          <w:rFonts w:eastAsia="Times New Roman"/>
          <w:b/>
          <w:sz w:val="24"/>
          <w:szCs w:val="24"/>
        </w:rPr>
        <w:t>Matt Skorey Packard Co. v. Canino</w:t>
      </w:r>
      <w:r w:rsidRPr="00516447">
        <w:rPr>
          <w:rFonts w:eastAsia="Times New Roman"/>
          <w:sz w:val="24"/>
          <w:szCs w:val="24"/>
        </w:rPr>
        <w:t xml:space="preserve">, 142 Colo. 411, 350 P.2d 1069 (1960); </w:t>
      </w:r>
      <w:r w:rsidRPr="00516447">
        <w:rPr>
          <w:rFonts w:eastAsia="Times New Roman"/>
          <w:b/>
          <w:sz w:val="24"/>
          <w:szCs w:val="24"/>
        </w:rPr>
        <w:t>Maercklein v. Smith</w:t>
      </w:r>
      <w:r w:rsidRPr="00516447">
        <w:rPr>
          <w:rFonts w:eastAsia="Times New Roman"/>
          <w:sz w:val="24"/>
          <w:szCs w:val="24"/>
        </w:rPr>
        <w:t xml:space="preserve">, 129 Colo. 72, 266 P.2d 1095 (1954); </w:t>
      </w:r>
      <w:r w:rsidRPr="00516447">
        <w:rPr>
          <w:rFonts w:eastAsia="Times New Roman"/>
          <w:b/>
          <w:sz w:val="24"/>
          <w:szCs w:val="24"/>
        </w:rPr>
        <w:t>Hogue v. Colo. &amp; S. Ry.</w:t>
      </w:r>
      <w:r w:rsidRPr="00516447">
        <w:rPr>
          <w:rFonts w:eastAsia="Times New Roman"/>
          <w:sz w:val="24"/>
          <w:szCs w:val="24"/>
        </w:rPr>
        <w:t xml:space="preserve">, 110 Colo. 552, 136 P.2d 276 (1943); </w:t>
      </w:r>
      <w:r w:rsidRPr="00516447">
        <w:rPr>
          <w:rFonts w:eastAsia="Times New Roman"/>
          <w:b/>
          <w:sz w:val="24"/>
          <w:szCs w:val="24"/>
        </w:rPr>
        <w:t>Bedee v. Am. Med. Response</w:t>
      </w:r>
      <w:r w:rsidRPr="00516447">
        <w:rPr>
          <w:rFonts w:eastAsia="Times New Roman"/>
          <w:sz w:val="24"/>
          <w:szCs w:val="24"/>
        </w:rPr>
        <w:t xml:space="preserve">, 2015 COA 128, ¶ 24, 361 P.3d 1083; </w:t>
      </w:r>
      <w:r w:rsidRPr="00516447">
        <w:rPr>
          <w:rFonts w:eastAsia="Times New Roman"/>
          <w:b/>
          <w:sz w:val="24"/>
          <w:szCs w:val="24"/>
        </w:rPr>
        <w:t>Vititoe</w:t>
      </w:r>
      <w:r w:rsidRPr="00516447">
        <w:rPr>
          <w:rFonts w:eastAsia="Times New Roman"/>
          <w:sz w:val="24"/>
          <w:szCs w:val="24"/>
        </w:rPr>
        <w:t xml:space="preserve">, 2015 COA 82, ¶¶ 61, 70; </w:t>
      </w:r>
      <w:r w:rsidRPr="00516447">
        <w:rPr>
          <w:rFonts w:eastAsia="Times New Roman"/>
          <w:b/>
          <w:sz w:val="24"/>
          <w:szCs w:val="24"/>
        </w:rPr>
        <w:t>Winkler v. Shaffer</w:t>
      </w:r>
      <w:r w:rsidRPr="00516447">
        <w:rPr>
          <w:rFonts w:eastAsia="Times New Roman"/>
          <w:sz w:val="24"/>
          <w:szCs w:val="24"/>
        </w:rPr>
        <w:t xml:space="preserve">, 2015 COA 63, ¶ 16, 356 P.3d 63; and </w:t>
      </w:r>
      <w:r w:rsidRPr="00516447">
        <w:rPr>
          <w:rFonts w:eastAsia="Times New Roman"/>
          <w:b/>
          <w:sz w:val="24"/>
          <w:szCs w:val="24"/>
        </w:rPr>
        <w:t>Lombard v. Colo. Outdoor Educ. Ctr., Inc.</w:t>
      </w:r>
      <w:r w:rsidRPr="00516447">
        <w:rPr>
          <w:rFonts w:eastAsia="Times New Roman"/>
          <w:sz w:val="24"/>
          <w:szCs w:val="24"/>
        </w:rPr>
        <w:t xml:space="preserve">, 266 P.3d 412 (Colo. App. 2011).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282-84 (1965); </w:t>
      </w:r>
      <w:r w:rsidRPr="00516447">
        <w:rPr>
          <w:rFonts w:eastAsia="Times New Roman"/>
          <w:smallCaps/>
          <w:sz w:val="24"/>
          <w:szCs w:val="24"/>
        </w:rPr>
        <w:t>W. Page Keeton et al., Prosser and Keeton on the Law of Torts</w:t>
      </w:r>
      <w:r w:rsidRPr="00516447">
        <w:rPr>
          <w:rFonts w:eastAsia="Times New Roman"/>
          <w:sz w:val="24"/>
          <w:szCs w:val="24"/>
        </w:rPr>
        <w:t xml:space="preserve"> § 32 (5th ed. 1984).</w:t>
      </w:r>
    </w:p>
    <w:p w14:paraId="5BF8B63E"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Contributory negligence has also been defined in similar terms by the Colorado courts in </w:t>
      </w:r>
      <w:r w:rsidRPr="00516447">
        <w:rPr>
          <w:rFonts w:eastAsia="Times New Roman"/>
          <w:b/>
          <w:sz w:val="24"/>
          <w:szCs w:val="24"/>
        </w:rPr>
        <w:t>Burr v. Green Brothers Sheet Metal, Inc.</w:t>
      </w:r>
      <w:r w:rsidRPr="00516447">
        <w:rPr>
          <w:rFonts w:eastAsia="Times New Roman"/>
          <w:sz w:val="24"/>
          <w:szCs w:val="24"/>
        </w:rPr>
        <w:t xml:space="preserve">, 159 Colo. 25, 409 P.2d 511 (1966); </w:t>
      </w:r>
      <w:r w:rsidRPr="00516447">
        <w:rPr>
          <w:rFonts w:eastAsia="Times New Roman"/>
          <w:b/>
          <w:sz w:val="24"/>
          <w:szCs w:val="24"/>
        </w:rPr>
        <w:t>King Soopers, Inc. v. Mitchell</w:t>
      </w:r>
      <w:r w:rsidRPr="00516447">
        <w:rPr>
          <w:rFonts w:eastAsia="Times New Roman"/>
          <w:sz w:val="24"/>
          <w:szCs w:val="24"/>
        </w:rPr>
        <w:t xml:space="preserve">, 140 Colo. 119, 342 P.2d 1006 (1959); </w:t>
      </w:r>
      <w:r w:rsidRPr="00516447">
        <w:rPr>
          <w:rFonts w:eastAsia="Times New Roman"/>
          <w:b/>
          <w:sz w:val="24"/>
          <w:szCs w:val="24"/>
        </w:rPr>
        <w:t>Peterson v. Kessler</w:t>
      </w:r>
      <w:r w:rsidRPr="00516447">
        <w:rPr>
          <w:rFonts w:eastAsia="Times New Roman"/>
          <w:sz w:val="24"/>
          <w:szCs w:val="24"/>
        </w:rPr>
        <w:t xml:space="preserve">, 135 Colo. 102, 308 P.2d 610 (1957); </w:t>
      </w:r>
      <w:r w:rsidRPr="00516447">
        <w:rPr>
          <w:rFonts w:eastAsia="Times New Roman"/>
          <w:b/>
          <w:sz w:val="24"/>
          <w:szCs w:val="24"/>
        </w:rPr>
        <w:t>Wilson v. Hill</w:t>
      </w:r>
      <w:r w:rsidRPr="00516447">
        <w:rPr>
          <w:rFonts w:eastAsia="Times New Roman"/>
          <w:sz w:val="24"/>
          <w:szCs w:val="24"/>
        </w:rPr>
        <w:t xml:space="preserve">, 103 Colo. 409, 86 P.2d 1084 (1939); </w:t>
      </w:r>
      <w:r w:rsidRPr="00516447">
        <w:rPr>
          <w:rFonts w:eastAsia="Times New Roman"/>
          <w:b/>
          <w:sz w:val="24"/>
          <w:szCs w:val="24"/>
        </w:rPr>
        <w:t>Colorado &amp; S. Ry. v. Honaker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92 Colo. 239, 19 P.2d 759 (1933); </w:t>
      </w:r>
      <w:r w:rsidRPr="00516447">
        <w:rPr>
          <w:rFonts w:eastAsia="Times New Roman"/>
          <w:b/>
          <w:sz w:val="24"/>
          <w:szCs w:val="24"/>
        </w:rPr>
        <w:t>Blackman v. Rifkin</w:t>
      </w:r>
      <w:r w:rsidRPr="00516447">
        <w:rPr>
          <w:rFonts w:eastAsia="Times New Roman"/>
          <w:sz w:val="24"/>
          <w:szCs w:val="24"/>
        </w:rPr>
        <w:t xml:space="preserve">, 759 P.2d 54 (Colo. App. 1988); </w:t>
      </w:r>
      <w:r w:rsidRPr="00516447">
        <w:rPr>
          <w:rFonts w:eastAsia="Times New Roman"/>
          <w:b/>
          <w:sz w:val="24"/>
          <w:szCs w:val="24"/>
        </w:rPr>
        <w:t>Lannon v. Taco Bell,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708 P.2d 1370, 1372 (Colo. App. 1985) (“A party has a duty to refrain from acts or omissions to act which may contribute to the totality of acts which cause injury to him.”), </w:t>
      </w:r>
      <w:r w:rsidRPr="00516447">
        <w:rPr>
          <w:rFonts w:eastAsia="Times New Roman"/>
          <w:i/>
          <w:sz w:val="24"/>
          <w:szCs w:val="24"/>
        </w:rPr>
        <w:t>aff’d on other grounds</w:t>
      </w:r>
      <w:r w:rsidRPr="00516447">
        <w:rPr>
          <w:rFonts w:eastAsia="Times New Roman"/>
          <w:sz w:val="24"/>
          <w:szCs w:val="24"/>
        </w:rPr>
        <w:t xml:space="preserve">, 744 P.2d 43 (Colo. 1987); and </w:t>
      </w:r>
      <w:r w:rsidRPr="00516447">
        <w:rPr>
          <w:rFonts w:eastAsia="Times New Roman"/>
          <w:b/>
          <w:sz w:val="24"/>
          <w:szCs w:val="24"/>
        </w:rPr>
        <w:t>Fay v. Kroblin Refrigerated Xpress, Inc.</w:t>
      </w:r>
      <w:r w:rsidRPr="00516447">
        <w:rPr>
          <w:rFonts w:eastAsia="Times New Roman"/>
          <w:sz w:val="24"/>
          <w:szCs w:val="24"/>
        </w:rPr>
        <w:t xml:space="preserve">, 644 P.2d 68 (Colo. App. 1981).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464 (1965); </w:t>
      </w:r>
      <w:r w:rsidRPr="00516447">
        <w:rPr>
          <w:rFonts w:eastAsia="Times New Roman"/>
          <w:smallCaps/>
          <w:sz w:val="24"/>
          <w:szCs w:val="24"/>
        </w:rPr>
        <w:t>Prosser and Keeton on the Law of Torts</w:t>
      </w:r>
      <w:r w:rsidRPr="00516447">
        <w:rPr>
          <w:rFonts w:eastAsia="Times New Roman"/>
          <w:sz w:val="24"/>
          <w:szCs w:val="24"/>
        </w:rPr>
        <w:t xml:space="preserve">, </w:t>
      </w:r>
      <w:r w:rsidRPr="00516447">
        <w:rPr>
          <w:rFonts w:eastAsia="Times New Roman"/>
          <w:i/>
          <w:sz w:val="24"/>
          <w:szCs w:val="24"/>
        </w:rPr>
        <w:t>supra</w:t>
      </w:r>
      <w:r w:rsidRPr="00516447">
        <w:rPr>
          <w:rFonts w:eastAsia="Times New Roman"/>
          <w:sz w:val="24"/>
          <w:szCs w:val="24"/>
        </w:rPr>
        <w:t>, at § 65.</w:t>
      </w:r>
    </w:p>
    <w:p w14:paraId="6F74601B"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The term comparative negligence has been defined as “a failure to do an act that a reasonably careful person would do, or the doing of an act that a reasonably careful person </w:t>
      </w:r>
      <w:r w:rsidRPr="00516447">
        <w:rPr>
          <w:rFonts w:eastAsia="Times New Roman"/>
          <w:sz w:val="24"/>
          <w:szCs w:val="24"/>
        </w:rPr>
        <w:lastRenderedPageBreak/>
        <w:t xml:space="preserve">would not do, under the same or similar circumstances, to protect oneself from bodily injury.” </w:t>
      </w:r>
      <w:r w:rsidRPr="00516447">
        <w:rPr>
          <w:rFonts w:eastAsia="Times New Roman"/>
          <w:b/>
          <w:sz w:val="24"/>
          <w:szCs w:val="24"/>
        </w:rPr>
        <w:t>Reid v. Berkowitz</w:t>
      </w:r>
      <w:r w:rsidRPr="00516447">
        <w:rPr>
          <w:rFonts w:eastAsia="Times New Roman"/>
          <w:sz w:val="24"/>
          <w:szCs w:val="24"/>
        </w:rPr>
        <w:t>, 2013 COA 110M, ¶ 54, 315 P.3d 185.</w:t>
      </w:r>
    </w:p>
    <w:p w14:paraId="5E97E81D"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For the substantive definition of assumption of risk, as a form of contributory negligence, set out in the parenthesized second paragraph of this instruction, see section 13-21-111.7, C.R.S.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Harris v. The Ark</w:t>
      </w:r>
      <w:r w:rsidRPr="00516447">
        <w:rPr>
          <w:rFonts w:eastAsia="Times New Roman"/>
          <w:sz w:val="24"/>
          <w:szCs w:val="24"/>
        </w:rPr>
        <w:t>, 810 P.2d 226 (Colo. 1991) (statutory definition of assumption of risk as a form of contributory negligence not unconstitutionally vague or otherwise a violation of due process or of equal protection).</w:t>
      </w:r>
    </w:p>
    <w:p w14:paraId="04B0879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5. For a discussion of the distinction between negligent and intentional conduct, see </w:t>
      </w:r>
      <w:r w:rsidRPr="00516447">
        <w:rPr>
          <w:rFonts w:eastAsia="Times New Roman"/>
          <w:b/>
          <w:sz w:val="24"/>
          <w:szCs w:val="24"/>
        </w:rPr>
        <w:t>Wells Fargo Realty Advisors Funding, Inc. v. Uioli, Inc.</w:t>
      </w:r>
      <w:r w:rsidRPr="00516447">
        <w:rPr>
          <w:rFonts w:eastAsia="Times New Roman"/>
          <w:sz w:val="24"/>
          <w:szCs w:val="24"/>
        </w:rPr>
        <w:t>, 872 P.2d 1359 (Colo. App. 1994).</w:t>
      </w:r>
    </w:p>
    <w:p w14:paraId="034D6FC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6. To the extent one or more forms of contributory negligence may be a partial defense to a product liability claim based on negligence, see section 13-21-406, C.R.S.</w:t>
      </w:r>
    </w:p>
    <w:p w14:paraId="4CC64F0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7. In a comparative negligence case, if the court directs a finding or verdict of negligence against one or more of the parties, the court must also instruct the jury as to the conduct on which such finding is based, as well as any other conduct the jury could reasonably find constituted negligence, in order to permit the jury to make a proper comparison of such negligence with any negligence of other parties the jury may find. </w:t>
      </w:r>
      <w:r w:rsidRPr="00516447">
        <w:rPr>
          <w:rFonts w:eastAsia="Times New Roman"/>
          <w:b/>
          <w:sz w:val="24"/>
          <w:szCs w:val="24"/>
        </w:rPr>
        <w:t>Ricklin v. Smith</w:t>
      </w:r>
      <w:r w:rsidRPr="00516447">
        <w:rPr>
          <w:rFonts w:eastAsia="Times New Roman"/>
          <w:sz w:val="24"/>
          <w:szCs w:val="24"/>
        </w:rPr>
        <w:t>, 670 P.2d 1239 (Colo. App. 1983).</w:t>
      </w:r>
    </w:p>
    <w:p w14:paraId="6ED1C329"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8. Under the comparative negligence statute, a special instruction on momentary negligence or justifiable distraction is improper. </w:t>
      </w:r>
      <w:r w:rsidRPr="00516447">
        <w:rPr>
          <w:rFonts w:eastAsia="Times New Roman"/>
          <w:b/>
          <w:sz w:val="24"/>
          <w:szCs w:val="24"/>
        </w:rPr>
        <w:t>Rodriguez v. Morgan County R.E.A., Inc.</w:t>
      </w:r>
      <w:r w:rsidRPr="00516447">
        <w:rPr>
          <w:rFonts w:eastAsia="Times New Roman"/>
          <w:sz w:val="24"/>
          <w:szCs w:val="24"/>
        </w:rPr>
        <w:t>, 878 P.2d 77 (Colo. App. 1994).</w:t>
      </w:r>
    </w:p>
    <w:p w14:paraId="0038FF06" w14:textId="77777777" w:rsidR="002654B4" w:rsidRDefault="00516447" w:rsidP="007B1633">
      <w:pPr>
        <w:spacing w:after="240"/>
        <w:ind w:firstLine="720"/>
        <w:rPr>
          <w:rFonts w:eastAsia="Times New Roman"/>
          <w:sz w:val="24"/>
          <w:szCs w:val="24"/>
        </w:rPr>
      </w:pPr>
      <w:r w:rsidRPr="00516447">
        <w:rPr>
          <w:rFonts w:eastAsia="Times New Roman"/>
          <w:sz w:val="24"/>
          <w:szCs w:val="24"/>
        </w:rPr>
        <w:t xml:space="preserve">9. When the parties to a negligence action are part of an industry that conforms to well-established safety practices or customs, those practices or customs may be considered by the jury as non-conclusive evidence of the standard of reasonable care that the defendant should have followed. </w:t>
      </w:r>
      <w:r w:rsidRPr="00516447">
        <w:rPr>
          <w:rFonts w:eastAsia="Times New Roman"/>
          <w:b/>
          <w:sz w:val="24"/>
          <w:szCs w:val="24"/>
        </w:rPr>
        <w:t>Scott v. Matlack, Inc.</w:t>
      </w:r>
      <w:r w:rsidRPr="00516447">
        <w:rPr>
          <w:rFonts w:eastAsia="Times New Roman"/>
          <w:sz w:val="24"/>
          <w:szCs w:val="24"/>
        </w:rPr>
        <w:t xml:space="preserve">, 39 P.3d 1160 (Colo. 2002) (admission of Occupational Safety and Health Act regulations as some, non-conclusive, evidence of the standard of care in the relevant industry).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Gerrity Oil &amp; Gas Corp. v. Magness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946 P.2d 913 (Colo. 1997); </w:t>
      </w:r>
      <w:r w:rsidRPr="00516447">
        <w:rPr>
          <w:rFonts w:eastAsia="Times New Roman"/>
          <w:b/>
          <w:sz w:val="24"/>
          <w:szCs w:val="24"/>
        </w:rPr>
        <w:t>Yampa Valley Elec. Ass’n v. Telecky</w:t>
      </w:r>
      <w:r w:rsidRPr="00516447">
        <w:rPr>
          <w:rFonts w:eastAsia="Times New Roman"/>
          <w:sz w:val="24"/>
          <w:szCs w:val="24"/>
        </w:rPr>
        <w:t xml:space="preserve">, 862 P.2d 252 (Colo. 1993); </w:t>
      </w:r>
      <w:r w:rsidRPr="00516447">
        <w:rPr>
          <w:rFonts w:eastAsia="Times New Roman"/>
          <w:b/>
          <w:sz w:val="24"/>
          <w:szCs w:val="24"/>
        </w:rPr>
        <w:t>Bennett v. Greeley Gas Co.</w:t>
      </w:r>
      <w:r w:rsidRPr="00516447">
        <w:rPr>
          <w:rFonts w:eastAsia="Times New Roman"/>
          <w:sz w:val="24"/>
          <w:szCs w:val="24"/>
        </w:rPr>
        <w:t xml:space="preserve">, 969 P.2d 754 (Colo. App. 1998); </w:t>
      </w:r>
      <w:r w:rsidRPr="00516447">
        <w:rPr>
          <w:rFonts w:eastAsia="Times New Roman"/>
          <w:b/>
          <w:sz w:val="24"/>
          <w:szCs w:val="24"/>
        </w:rPr>
        <w:t>Miller v. Solaglas Cal., Inc.</w:t>
      </w:r>
      <w:r w:rsidRPr="00516447">
        <w:rPr>
          <w:rFonts w:eastAsia="Times New Roman"/>
          <w:sz w:val="24"/>
          <w:szCs w:val="24"/>
        </w:rPr>
        <w:t>, 870 P.2d 559 (Colo. App. 1993).</w:t>
      </w:r>
    </w:p>
    <w:p w14:paraId="259C37DD" w14:textId="77777777" w:rsidR="007B1633" w:rsidRDefault="007B1633">
      <w:pPr>
        <w:rPr>
          <w:rFonts w:eastAsia="Times New Roman"/>
          <w:sz w:val="24"/>
          <w:szCs w:val="24"/>
        </w:rPr>
      </w:pPr>
      <w:r>
        <w:rPr>
          <w:rFonts w:eastAsia="Times New Roman"/>
          <w:sz w:val="24"/>
          <w:szCs w:val="24"/>
        </w:rPr>
        <w:br w:type="page"/>
      </w:r>
    </w:p>
    <w:p w14:paraId="7517D2FA" w14:textId="77777777" w:rsidR="007B1633" w:rsidRPr="009E3DA4" w:rsidRDefault="007B1633" w:rsidP="007B1633">
      <w:pPr>
        <w:spacing w:after="240"/>
        <w:ind w:left="720" w:hanging="720"/>
        <w:rPr>
          <w:rFonts w:eastAsia="Times New Roman"/>
          <w:b/>
          <w:sz w:val="24"/>
          <w:szCs w:val="24"/>
        </w:rPr>
      </w:pPr>
      <w:bookmarkStart w:id="8" w:name="a9_07"/>
      <w:bookmarkEnd w:id="8"/>
      <w:r w:rsidRPr="007B1633">
        <w:rPr>
          <w:rFonts w:eastAsia="Times New Roman"/>
          <w:b/>
          <w:sz w:val="24"/>
          <w:szCs w:val="24"/>
        </w:rPr>
        <w:lastRenderedPageBreak/>
        <w:t xml:space="preserve">9:7 </w:t>
      </w:r>
      <w:r w:rsidRPr="007B1633">
        <w:rPr>
          <w:rFonts w:eastAsia="Times New Roman"/>
          <w:b/>
          <w:sz w:val="24"/>
          <w:szCs w:val="24"/>
        </w:rPr>
        <w:tab/>
        <w:t>NEGLIGENCE — DEFINED — INHERENTLY DANGEROUS ACTIVITIES</w:t>
      </w:r>
    </w:p>
    <w:p w14:paraId="2E05CA2A" w14:textId="77777777" w:rsidR="007B1633" w:rsidRPr="007B1633" w:rsidRDefault="007B1633" w:rsidP="007B1633">
      <w:pPr>
        <w:spacing w:after="240"/>
        <w:ind w:firstLine="720"/>
        <w:rPr>
          <w:rFonts w:eastAsia="Times New Roman"/>
          <w:b/>
          <w:sz w:val="24"/>
          <w:szCs w:val="24"/>
        </w:rPr>
      </w:pPr>
      <w:r w:rsidRPr="007B1633">
        <w:rPr>
          <w:rFonts w:eastAsia="Times New Roman"/>
          <w:b/>
          <w:sz w:val="24"/>
          <w:szCs w:val="24"/>
        </w:rPr>
        <w:t xml:space="preserve">One carrying on an inherently dangerous activity such as the </w:t>
      </w:r>
      <w:r w:rsidRPr="007B1633">
        <w:rPr>
          <w:rFonts w:eastAsia="Times New Roman"/>
          <w:i/>
          <w:sz w:val="24"/>
          <w:szCs w:val="24"/>
        </w:rPr>
        <w:t>(insert an appropriate description, e.g., “transmission of electricity”)</w:t>
      </w:r>
      <w:r w:rsidRPr="007B1633">
        <w:rPr>
          <w:rFonts w:eastAsia="Times New Roman"/>
          <w:b/>
          <w:sz w:val="24"/>
          <w:szCs w:val="24"/>
        </w:rPr>
        <w:t xml:space="preserve"> must exercise the highest possible degree of skill, care, caution, diligence, and foresight with regard to that activity, according to the best technical, mechanical, and scientific knowledge and methods which are practical and available at the time of the claimed conduct which caused the claimed injury. The failure to do so is negligence.</w:t>
      </w:r>
    </w:p>
    <w:p w14:paraId="2F298526" w14:textId="77777777" w:rsidR="007B1633" w:rsidRDefault="007B1633" w:rsidP="007B1633">
      <w:pPr>
        <w:jc w:val="center"/>
        <w:rPr>
          <w:rFonts w:eastAsia="Times New Roman"/>
          <w:sz w:val="24"/>
          <w:szCs w:val="24"/>
        </w:rPr>
      </w:pPr>
    </w:p>
    <w:p w14:paraId="66E5DF1D" w14:textId="77777777" w:rsidR="007B1633" w:rsidRPr="0054263B" w:rsidRDefault="007B1633" w:rsidP="007B1633">
      <w:pPr>
        <w:keepNext/>
        <w:spacing w:after="240"/>
        <w:jc w:val="center"/>
        <w:rPr>
          <w:rFonts w:eastAsia="Times New Roman"/>
          <w:b/>
          <w:sz w:val="24"/>
          <w:szCs w:val="24"/>
        </w:rPr>
      </w:pPr>
      <w:r w:rsidRPr="0054263B">
        <w:rPr>
          <w:rFonts w:eastAsia="Times New Roman"/>
          <w:b/>
          <w:sz w:val="24"/>
          <w:szCs w:val="24"/>
        </w:rPr>
        <w:t>Notes on Use</w:t>
      </w:r>
    </w:p>
    <w:p w14:paraId="1BAD5359" w14:textId="74855DB3"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1. This instruction should be used, rather than Instruction 9:6, to define “negligence,” when, because of the inherently dangerous nature of the activity, a higher standard of care is required than that required for most activities. </w:t>
      </w:r>
      <w:r w:rsidRPr="007B1633">
        <w:rPr>
          <w:rFonts w:eastAsia="Times New Roman"/>
          <w:b/>
          <w:sz w:val="24"/>
          <w:szCs w:val="24"/>
        </w:rPr>
        <w:t>Fed. Ins. Co. v. Pub. Serv. Co.</w:t>
      </w:r>
      <w:r w:rsidRPr="007B1633">
        <w:rPr>
          <w:rFonts w:eastAsia="Times New Roman"/>
          <w:sz w:val="24"/>
          <w:szCs w:val="24"/>
        </w:rPr>
        <w:t xml:space="preserve">, 194 Colo. 107, 570 P.2d 239 (1977) (applying the rule to the transmission of electricity); </w:t>
      </w:r>
      <w:r w:rsidRPr="007B1633">
        <w:rPr>
          <w:rFonts w:eastAsia="Times New Roman"/>
          <w:i/>
          <w:sz w:val="24"/>
          <w:szCs w:val="24"/>
        </w:rPr>
        <w:t>accord</w:t>
      </w:r>
      <w:r w:rsidRPr="007B1633">
        <w:rPr>
          <w:rFonts w:eastAsia="Times New Roman"/>
          <w:sz w:val="24"/>
          <w:szCs w:val="24"/>
        </w:rPr>
        <w:t xml:space="preserve"> </w:t>
      </w:r>
      <w:r w:rsidRPr="007B1633">
        <w:rPr>
          <w:rFonts w:eastAsia="Times New Roman"/>
          <w:b/>
          <w:sz w:val="24"/>
          <w:szCs w:val="24"/>
        </w:rPr>
        <w:t>City of Fountain v. Gast</w:t>
      </w:r>
      <w:r w:rsidRPr="007B1633">
        <w:rPr>
          <w:rFonts w:eastAsia="Times New Roman"/>
          <w:sz w:val="24"/>
          <w:szCs w:val="24"/>
        </w:rPr>
        <w:t xml:space="preserve">, 904 P.2d 478 (Colo. 1995); </w:t>
      </w:r>
      <w:r w:rsidRPr="007B1633">
        <w:rPr>
          <w:rFonts w:eastAsia="Times New Roman"/>
          <w:b/>
          <w:sz w:val="24"/>
          <w:szCs w:val="24"/>
        </w:rPr>
        <w:t>Yampa Valley Elec. Ass’n v. Telecky</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862 P.2d 252 (Colo. 1993); </w:t>
      </w:r>
      <w:r w:rsidRPr="007B1633">
        <w:rPr>
          <w:rFonts w:eastAsia="Times New Roman"/>
          <w:b/>
          <w:sz w:val="24"/>
          <w:szCs w:val="24"/>
        </w:rPr>
        <w:t>Bennett v. Greeley Gas Co.</w:t>
      </w:r>
      <w:r w:rsidRPr="007B1633">
        <w:rPr>
          <w:rFonts w:eastAsia="Times New Roman"/>
          <w:sz w:val="24"/>
          <w:szCs w:val="24"/>
        </w:rPr>
        <w:t xml:space="preserve">, 969 P.2d 754 (Colo. App. 1998); </w:t>
      </w:r>
      <w:r w:rsidRPr="007B1633">
        <w:rPr>
          <w:rFonts w:eastAsia="Times New Roman"/>
          <w:b/>
          <w:sz w:val="24"/>
          <w:szCs w:val="24"/>
        </w:rPr>
        <w:t>Mladjan v. Public Serv. Co.</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797 P.2d 1299 (Colo. App. 1990); </w:t>
      </w:r>
      <w:r w:rsidRPr="007B1633">
        <w:rPr>
          <w:rFonts w:eastAsia="Times New Roman"/>
          <w:i/>
          <w:sz w:val="24"/>
          <w:szCs w:val="24"/>
        </w:rPr>
        <w:t>see also</w:t>
      </w:r>
      <w:r w:rsidRPr="007B1633">
        <w:rPr>
          <w:rFonts w:eastAsia="Times New Roman"/>
          <w:sz w:val="24"/>
          <w:szCs w:val="24"/>
        </w:rPr>
        <w:t xml:space="preserve"> </w:t>
      </w:r>
      <w:r w:rsidRPr="007B1633">
        <w:rPr>
          <w:rFonts w:eastAsia="Times New Roman"/>
          <w:b/>
          <w:sz w:val="24"/>
          <w:szCs w:val="24"/>
        </w:rPr>
        <w:t>Blueflame Gas, Inc. v. Van Hoose</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679 P.2d 579 (Colo. 1984) (by implication, sale and distribution of propane gas is an inherently dangerous activity, and requires the highest degree of care with respect to effective odorization of propane to detect leaks); </w:t>
      </w:r>
      <w:r w:rsidRPr="007B1633">
        <w:rPr>
          <w:rFonts w:eastAsia="Times New Roman"/>
          <w:b/>
          <w:sz w:val="24"/>
          <w:szCs w:val="24"/>
        </w:rPr>
        <w:t>U.S. Fid. &amp; Guar. Co. v. Salida Gas Serv. Co.</w:t>
      </w:r>
      <w:r w:rsidRPr="007B1633">
        <w:rPr>
          <w:rFonts w:eastAsia="Times New Roman"/>
          <w:sz w:val="24"/>
          <w:szCs w:val="24"/>
        </w:rPr>
        <w:t xml:space="preserve">, 793 P.2d 602 (Colo. App. 1989) (supplying propane gas an inherently dangerous activity); </w:t>
      </w:r>
      <w:r w:rsidRPr="007B1633">
        <w:rPr>
          <w:rFonts w:eastAsia="Times New Roman"/>
          <w:b/>
          <w:sz w:val="24"/>
          <w:szCs w:val="24"/>
        </w:rPr>
        <w:t>Hartford Fire Ins. Co. v. Pub. Serv. Co.</w:t>
      </w:r>
      <w:r w:rsidRPr="007B1633">
        <w:rPr>
          <w:rFonts w:eastAsia="Times New Roman"/>
          <w:sz w:val="24"/>
          <w:szCs w:val="24"/>
        </w:rPr>
        <w:t xml:space="preserve">, 676 P.2d 25 (Colo. App. 1983) (transmission of natural gas is not abnormally dangerous activity giving rise to strict liability, but court does not discuss whether such activity may be an “inherently dangerous” activity); </w:t>
      </w:r>
      <w:r w:rsidRPr="007B1633">
        <w:rPr>
          <w:rFonts w:eastAsia="Times New Roman"/>
          <w:b/>
          <w:sz w:val="24"/>
          <w:szCs w:val="24"/>
        </w:rPr>
        <w:t>Kulik v. Pub. Serv. Co.</w:t>
      </w:r>
      <w:r w:rsidRPr="007B1633">
        <w:rPr>
          <w:rFonts w:eastAsia="Times New Roman"/>
          <w:sz w:val="24"/>
          <w:szCs w:val="24"/>
        </w:rPr>
        <w:t xml:space="preserve">, 43 Colo. App. 139, 605 P.2d 475 (1979) (even assuming transmission of natural gas is an “inherently dangerous” activity, loss caused by defective steam pressure safety release valve on gas-fired boiler is not, under this instruction, chargeable to the activity of transmitting natural gas), </w:t>
      </w:r>
      <w:r w:rsidRPr="007B1633">
        <w:rPr>
          <w:rFonts w:eastAsia="Times New Roman"/>
          <w:i/>
          <w:sz w:val="24"/>
          <w:szCs w:val="24"/>
        </w:rPr>
        <w:t>aff’d on other grounds</w:t>
      </w:r>
      <w:r w:rsidRPr="007B1633">
        <w:rPr>
          <w:rFonts w:eastAsia="Times New Roman"/>
          <w:sz w:val="24"/>
          <w:szCs w:val="24"/>
        </w:rPr>
        <w:t>, 621 P.2d 313 (Colo. 1980).</w:t>
      </w:r>
    </w:p>
    <w:p w14:paraId="636341D1"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2. This instruction does not apply to “ultrahazardous” or “abnormally dangerous” activities to which a rule of strict liability is applicable. </w:t>
      </w:r>
      <w:r w:rsidRPr="007B1633">
        <w:rPr>
          <w:rFonts w:eastAsia="Times New Roman"/>
          <w:i/>
          <w:sz w:val="24"/>
          <w:szCs w:val="24"/>
        </w:rPr>
        <w:t>See</w:t>
      </w:r>
      <w:r w:rsidRPr="007B1633">
        <w:rPr>
          <w:rFonts w:eastAsia="Times New Roman"/>
          <w:sz w:val="24"/>
          <w:szCs w:val="24"/>
        </w:rPr>
        <w:t xml:space="preserve"> </w:t>
      </w:r>
      <w:r w:rsidRPr="007B1633">
        <w:rPr>
          <w:rFonts w:eastAsia="Times New Roman"/>
          <w:b/>
          <w:sz w:val="24"/>
          <w:szCs w:val="24"/>
        </w:rPr>
        <w:t>W. Stock Ctr., Inc. v. Sevit, Inc.</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195 Colo. 372, 578 P.2d 1045 (1978).</w:t>
      </w:r>
    </w:p>
    <w:p w14:paraId="71E0C983"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3. The rule of this instruction applies only to those aspects of an activity which make it “inherently dangerous.”</w:t>
      </w:r>
    </w:p>
    <w:p w14:paraId="579F9795" w14:textId="77777777" w:rsidR="007B1633" w:rsidRDefault="007B1633" w:rsidP="007B1633">
      <w:pPr>
        <w:spacing w:after="240"/>
        <w:ind w:firstLine="720"/>
        <w:rPr>
          <w:rFonts w:eastAsia="Times New Roman"/>
          <w:sz w:val="24"/>
          <w:szCs w:val="24"/>
        </w:rPr>
      </w:pPr>
      <w:r w:rsidRPr="007B1633">
        <w:rPr>
          <w:rFonts w:eastAsia="Times New Roman"/>
          <w:sz w:val="24"/>
          <w:szCs w:val="24"/>
        </w:rPr>
        <w:t xml:space="preserve">4. The Colorado Court of Appeals has referred to “contact” sports generally and martial arts sparring contests specifically as “inherently dangerous” sporting activities. </w:t>
      </w:r>
      <w:r w:rsidRPr="007B1633">
        <w:rPr>
          <w:rFonts w:eastAsia="Times New Roman"/>
          <w:b/>
          <w:sz w:val="24"/>
          <w:szCs w:val="24"/>
        </w:rPr>
        <w:t>Laughman v. Girtakovskis</w:t>
      </w:r>
      <w:r w:rsidRPr="007B1633">
        <w:rPr>
          <w:rFonts w:eastAsia="Times New Roman"/>
          <w:sz w:val="24"/>
          <w:szCs w:val="24"/>
        </w:rPr>
        <w:t>, 2015 COA 143, ¶¶ 19-20, 374 P.3d 504. The use of the phrase “inherently dangerous” in cases involving contact sports should not be confused with the “inherently dangerous” activities doctrine that is the subject of this instruction.</w:t>
      </w:r>
    </w:p>
    <w:p w14:paraId="208705AC" w14:textId="6F8E960F" w:rsidR="0014544B" w:rsidRPr="00B42454" w:rsidRDefault="0014544B" w:rsidP="0014544B">
      <w:pPr>
        <w:ind w:firstLine="720"/>
        <w:rPr>
          <w:sz w:val="24"/>
          <w:szCs w:val="24"/>
        </w:rPr>
      </w:pPr>
      <w:r w:rsidRPr="00B42454">
        <w:rPr>
          <w:sz w:val="24"/>
          <w:szCs w:val="24"/>
        </w:rPr>
        <w:t>5. Where reasonable minds would agree that the defendant is engaged in an activity that poses a high risk of injury to others</w:t>
      </w:r>
      <w:r w:rsidR="00B42454">
        <w:rPr>
          <w:sz w:val="24"/>
          <w:szCs w:val="24"/>
        </w:rPr>
        <w:t>,</w:t>
      </w:r>
      <w:r w:rsidRPr="00B42454">
        <w:rPr>
          <w:sz w:val="24"/>
          <w:szCs w:val="24"/>
        </w:rPr>
        <w:t xml:space="preserve"> the court, </w:t>
      </w:r>
      <w:r w:rsidRPr="00B42454">
        <w:rPr>
          <w:iCs/>
          <w:sz w:val="24"/>
          <w:szCs w:val="24"/>
        </w:rPr>
        <w:t>as a matter of law,</w:t>
      </w:r>
      <w:r w:rsidRPr="00B42454">
        <w:rPr>
          <w:sz w:val="24"/>
          <w:szCs w:val="24"/>
        </w:rPr>
        <w:t xml:space="preserve"> may instruct the jury to hold the defendant to the highest standard of care. </w:t>
      </w:r>
      <w:r w:rsidRPr="00B42454">
        <w:rPr>
          <w:b/>
          <w:sz w:val="24"/>
          <w:szCs w:val="24"/>
        </w:rPr>
        <w:t>Imperial Distribution Servs., Inc. v. Forrest</w:t>
      </w:r>
      <w:r w:rsidRPr="00B42454">
        <w:rPr>
          <w:sz w:val="24"/>
          <w:szCs w:val="24"/>
        </w:rPr>
        <w:t xml:space="preserve">, 741 </w:t>
      </w:r>
      <w:r w:rsidRPr="00B42454">
        <w:rPr>
          <w:sz w:val="24"/>
          <w:szCs w:val="24"/>
        </w:rPr>
        <w:lastRenderedPageBreak/>
        <w:t xml:space="preserve">P.2d 1251 (Colo. 1987); </w:t>
      </w:r>
      <w:r w:rsidRPr="00B42454">
        <w:rPr>
          <w:i/>
          <w:sz w:val="24"/>
          <w:szCs w:val="24"/>
        </w:rPr>
        <w:t>see also</w:t>
      </w:r>
      <w:r w:rsidRPr="00B42454">
        <w:rPr>
          <w:sz w:val="24"/>
          <w:szCs w:val="24"/>
        </w:rPr>
        <w:t xml:space="preserve"> </w:t>
      </w:r>
      <w:r w:rsidRPr="00B42454">
        <w:rPr>
          <w:b/>
          <w:bCs/>
          <w:sz w:val="24"/>
          <w:szCs w:val="24"/>
        </w:rPr>
        <w:t>W. Stock Ctr., Inc.</w:t>
      </w:r>
      <w:r w:rsidRPr="00B42454">
        <w:rPr>
          <w:sz w:val="24"/>
          <w:szCs w:val="24"/>
        </w:rPr>
        <w:t xml:space="preserve">, 195 Colo. at 378-79, 578 P.2d </w:t>
      </w:r>
      <w:r w:rsidR="0019231E" w:rsidRPr="00B42454">
        <w:rPr>
          <w:sz w:val="24"/>
          <w:szCs w:val="24"/>
        </w:rPr>
        <w:t xml:space="preserve">at </w:t>
      </w:r>
      <w:r w:rsidRPr="00B42454">
        <w:rPr>
          <w:sz w:val="24"/>
          <w:szCs w:val="24"/>
        </w:rPr>
        <w:t>10</w:t>
      </w:r>
      <w:r w:rsidR="0019231E" w:rsidRPr="00B42454">
        <w:rPr>
          <w:sz w:val="24"/>
          <w:szCs w:val="24"/>
        </w:rPr>
        <w:t>50-51</w:t>
      </w:r>
      <w:r w:rsidRPr="00B42454">
        <w:rPr>
          <w:sz w:val="24"/>
          <w:szCs w:val="24"/>
        </w:rPr>
        <w:t xml:space="preserve">. However, where reasonable minds could disagree as to the degree of risk associated with the activity at issue, as determined by the level of the activity’s dangerousness and the public’s ability to recognize and guard against the risks, it may be proper to instruct the jury on the reasonable person standard and leave for the jury to decide what degree of care a reasonable person would have used under the circumstances. </w:t>
      </w:r>
      <w:r w:rsidRPr="00B42454">
        <w:rPr>
          <w:b/>
          <w:sz w:val="24"/>
          <w:szCs w:val="24"/>
        </w:rPr>
        <w:t>Imperial Distribution Servs., Inc.</w:t>
      </w:r>
      <w:r w:rsidR="00242366">
        <w:rPr>
          <w:sz w:val="24"/>
          <w:szCs w:val="24"/>
        </w:rPr>
        <w:t xml:space="preserve">, 741 P.2d at 1256. </w:t>
      </w:r>
      <w:r w:rsidRPr="00B42454">
        <w:rPr>
          <w:sz w:val="24"/>
          <w:szCs w:val="24"/>
        </w:rPr>
        <w:t xml:space="preserve">The better practice may be to instruct the jury, in addition to the traditional reasonable care instruction, that the degree of care that constitutes reasonable care in a particular case increases in proportion to the degree of risk associated with the particular activity. </w:t>
      </w:r>
      <w:r w:rsidRPr="00B42454">
        <w:rPr>
          <w:i/>
          <w:sz w:val="24"/>
          <w:szCs w:val="24"/>
        </w:rPr>
        <w:t>Id</w:t>
      </w:r>
      <w:r w:rsidRPr="00B42454">
        <w:rPr>
          <w:sz w:val="24"/>
          <w:szCs w:val="24"/>
        </w:rPr>
        <w:t>.</w:t>
      </w:r>
      <w:r w:rsidRPr="00B42454">
        <w:rPr>
          <w:i/>
          <w:sz w:val="24"/>
          <w:szCs w:val="24"/>
        </w:rPr>
        <w:t xml:space="preserve"> </w:t>
      </w:r>
      <w:r w:rsidRPr="00B42454">
        <w:rPr>
          <w:sz w:val="24"/>
          <w:szCs w:val="24"/>
        </w:rPr>
        <w:t xml:space="preserve">at n.7 (citing </w:t>
      </w:r>
      <w:r w:rsidRPr="00B42454">
        <w:rPr>
          <w:b/>
          <w:bCs/>
          <w:sz w:val="24"/>
          <w:szCs w:val="24"/>
        </w:rPr>
        <w:t>Blueflame Gas, Inc.</w:t>
      </w:r>
      <w:r w:rsidRPr="00B42454">
        <w:rPr>
          <w:sz w:val="24"/>
          <w:szCs w:val="24"/>
        </w:rPr>
        <w:t>, 679 P.2d 587-88</w:t>
      </w:r>
      <w:r w:rsidR="00343F53">
        <w:rPr>
          <w:sz w:val="24"/>
          <w:szCs w:val="24"/>
        </w:rPr>
        <w:t>.</w:t>
      </w:r>
      <w:r w:rsidRPr="00B42454">
        <w:rPr>
          <w:sz w:val="24"/>
          <w:szCs w:val="24"/>
        </w:rPr>
        <w:t xml:space="preserve"> </w:t>
      </w:r>
    </w:p>
    <w:p w14:paraId="76F16974" w14:textId="77777777" w:rsidR="0014544B" w:rsidRPr="00B42454" w:rsidRDefault="0014544B" w:rsidP="0014544B">
      <w:pPr>
        <w:jc w:val="both"/>
        <w:rPr>
          <w:sz w:val="24"/>
          <w:szCs w:val="24"/>
        </w:rPr>
      </w:pPr>
    </w:p>
    <w:p w14:paraId="26677C68" w14:textId="77777777" w:rsidR="0014544B" w:rsidRPr="00B42454" w:rsidRDefault="0014544B" w:rsidP="0014544B">
      <w:pPr>
        <w:ind w:firstLine="720"/>
        <w:rPr>
          <w:sz w:val="24"/>
          <w:szCs w:val="24"/>
        </w:rPr>
      </w:pPr>
      <w:r w:rsidRPr="00B42454">
        <w:rPr>
          <w:sz w:val="24"/>
          <w:szCs w:val="24"/>
        </w:rPr>
        <w:t xml:space="preserve">6. Because not all inherently dangerous activities give rise to a heightened duty of care, distinctions among different kinds of inherently dangerous activities may be necessary. </w:t>
      </w:r>
      <w:r w:rsidRPr="00B42454">
        <w:rPr>
          <w:i/>
          <w:sz w:val="24"/>
          <w:szCs w:val="24"/>
        </w:rPr>
        <w:t>Compare</w:t>
      </w:r>
      <w:r w:rsidRPr="00B42454">
        <w:rPr>
          <w:sz w:val="24"/>
          <w:szCs w:val="24"/>
        </w:rPr>
        <w:t xml:space="preserve"> </w:t>
      </w:r>
      <w:r w:rsidRPr="00B42454">
        <w:rPr>
          <w:b/>
          <w:bCs/>
          <w:sz w:val="24"/>
          <w:szCs w:val="24"/>
        </w:rPr>
        <w:t>Federal Ins. Co. v. Public Serv. Co.</w:t>
      </w:r>
      <w:r w:rsidRPr="00B42454">
        <w:rPr>
          <w:sz w:val="24"/>
          <w:szCs w:val="24"/>
        </w:rPr>
        <w:t xml:space="preserve">, 194 Colo. 107, 570 P.2d 239 (1977) (imposing strict liability on electrical transmission utility because of inherently dangerous properties of electrical energy), </w:t>
      </w:r>
      <w:r w:rsidRPr="00B42454">
        <w:rPr>
          <w:i/>
          <w:sz w:val="24"/>
          <w:szCs w:val="24"/>
        </w:rPr>
        <w:t>with</w:t>
      </w:r>
      <w:r w:rsidRPr="00B42454">
        <w:rPr>
          <w:sz w:val="24"/>
          <w:szCs w:val="24"/>
        </w:rPr>
        <w:t xml:space="preserve"> </w:t>
      </w:r>
      <w:r w:rsidRPr="00B42454">
        <w:rPr>
          <w:b/>
          <w:bCs/>
          <w:sz w:val="24"/>
          <w:szCs w:val="24"/>
        </w:rPr>
        <w:t>Huddleston v. Union Rural Elec. Ass’n</w:t>
      </w:r>
      <w:r w:rsidRPr="00B42454">
        <w:rPr>
          <w:sz w:val="24"/>
          <w:szCs w:val="24"/>
        </w:rPr>
        <w:t xml:space="preserve">, 841 P.2d 282 (Colo. 1992) (transporting persons in single-engine plane over mountains may be “inherently dangerous” activity for purposes of imposing vicarious liability on employer of independent contractor; no mention of heightened duty of care). Where the vicarious liability of an employer for its independent contractor’s ultrahazardous activities is at issue, see Note on Use 4 to Instruction 9:7A; where the vicarious liability of an employer for its independent contractor’s inherently dangerous activities is at issue, see </w:t>
      </w:r>
      <w:r w:rsidRPr="00CA1AF6">
        <w:rPr>
          <w:b/>
          <w:sz w:val="24"/>
          <w:szCs w:val="24"/>
        </w:rPr>
        <w:t>Huddleston</w:t>
      </w:r>
      <w:r w:rsidRPr="00B42454">
        <w:rPr>
          <w:sz w:val="24"/>
          <w:szCs w:val="24"/>
        </w:rPr>
        <w:t>, 841 P.2d at 287.</w:t>
      </w:r>
    </w:p>
    <w:p w14:paraId="6B1C5F98" w14:textId="77777777" w:rsidR="0014544B" w:rsidRPr="00B42454" w:rsidRDefault="0014544B" w:rsidP="0014544B">
      <w:pPr>
        <w:jc w:val="both"/>
        <w:rPr>
          <w:sz w:val="24"/>
          <w:szCs w:val="24"/>
          <w:highlight w:val="yellow"/>
        </w:rPr>
      </w:pPr>
    </w:p>
    <w:p w14:paraId="3A8C44CD" w14:textId="77777777" w:rsidR="0014544B" w:rsidRPr="00B42454" w:rsidRDefault="0014544B" w:rsidP="0014544B">
      <w:pPr>
        <w:spacing w:after="240"/>
        <w:ind w:firstLine="720"/>
        <w:rPr>
          <w:rFonts w:eastAsia="Times New Roman"/>
          <w:sz w:val="24"/>
          <w:szCs w:val="24"/>
        </w:rPr>
      </w:pPr>
      <w:r w:rsidRPr="00B42454">
        <w:rPr>
          <w:sz w:val="24"/>
          <w:szCs w:val="24"/>
        </w:rPr>
        <w:t>7. Certain activities are so inherently dangerous as to be deemed ultrahazardous or abnormally dangerous, resulting in the imposition of strict liability for damages caused by such activities.</w:t>
      </w:r>
      <w:r w:rsidRPr="00B42454">
        <w:rPr>
          <w:b/>
          <w:bCs/>
          <w:sz w:val="24"/>
          <w:szCs w:val="24"/>
        </w:rPr>
        <w:t xml:space="preserve"> </w:t>
      </w:r>
      <w:r w:rsidRPr="00B42454">
        <w:rPr>
          <w:bCs/>
          <w:i/>
          <w:sz w:val="24"/>
          <w:szCs w:val="24"/>
        </w:rPr>
        <w:t>See</w:t>
      </w:r>
      <w:r w:rsidRPr="00B42454">
        <w:rPr>
          <w:b/>
          <w:bCs/>
          <w:sz w:val="24"/>
          <w:szCs w:val="24"/>
        </w:rPr>
        <w:t xml:space="preserve"> Bennett</w:t>
      </w:r>
      <w:r w:rsidRPr="00B42454">
        <w:rPr>
          <w:sz w:val="24"/>
          <w:szCs w:val="24"/>
        </w:rPr>
        <w:t xml:space="preserve">, 969 P.2d at 764 (distinguishing ultrahazardous from inherently dangerous activities); </w:t>
      </w:r>
      <w:r w:rsidRPr="00B42454">
        <w:rPr>
          <w:b/>
          <w:bCs/>
          <w:sz w:val="24"/>
          <w:szCs w:val="24"/>
        </w:rPr>
        <w:t>W. Stock Ctr., Inc.</w:t>
      </w:r>
      <w:r w:rsidRPr="00B42454">
        <w:rPr>
          <w:sz w:val="24"/>
          <w:szCs w:val="24"/>
        </w:rPr>
        <w:t>, 195 Colo. at 379, 578 P.2d at 1050 (same). In such cases, Instruction 9:7A should be given instead of this Instruction 9:7.</w:t>
      </w:r>
    </w:p>
    <w:p w14:paraId="32384C9B" w14:textId="77777777" w:rsidR="007B1633" w:rsidRPr="0054263B" w:rsidRDefault="007B1633" w:rsidP="007B1633">
      <w:pPr>
        <w:keepNext/>
        <w:spacing w:after="240"/>
        <w:jc w:val="center"/>
        <w:rPr>
          <w:rFonts w:eastAsia="Times New Roman"/>
          <w:b/>
          <w:sz w:val="24"/>
          <w:szCs w:val="24"/>
        </w:rPr>
      </w:pPr>
      <w:r>
        <w:rPr>
          <w:rFonts w:eastAsia="Times New Roman"/>
          <w:b/>
          <w:sz w:val="24"/>
          <w:szCs w:val="24"/>
        </w:rPr>
        <w:t>Source and Authority</w:t>
      </w:r>
    </w:p>
    <w:p w14:paraId="34DFB1DF" w14:textId="378BF1C4"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1. This instruction is supported by </w:t>
      </w:r>
      <w:r w:rsidRPr="00952BBB">
        <w:rPr>
          <w:rFonts w:eastAsia="Times New Roman"/>
          <w:b/>
          <w:sz w:val="24"/>
          <w:szCs w:val="24"/>
        </w:rPr>
        <w:t>Federal Insurance Co.</w:t>
      </w:r>
      <w:r w:rsidRPr="00952BBB">
        <w:rPr>
          <w:rFonts w:eastAsia="Times New Roman"/>
          <w:sz w:val="24"/>
          <w:szCs w:val="24"/>
        </w:rPr>
        <w:t xml:space="preserve">, 194 Colo. at 111, 570 P.2d at 241-42; </w:t>
      </w:r>
      <w:r w:rsidRPr="00952BBB">
        <w:rPr>
          <w:rFonts w:eastAsia="Times New Roman"/>
          <w:b/>
          <w:sz w:val="24"/>
          <w:szCs w:val="24"/>
        </w:rPr>
        <w:t>Blankette v. Public Serv. Co.</w:t>
      </w:r>
      <w:r w:rsidRPr="00952BBB">
        <w:rPr>
          <w:rFonts w:eastAsia="Times New Roman"/>
          <w:sz w:val="24"/>
          <w:szCs w:val="24"/>
        </w:rPr>
        <w:t xml:space="preserve">, 90 Colo. 456, 10 P.2d 327 (1932); </w:t>
      </w:r>
      <w:r w:rsidRPr="00952BBB">
        <w:rPr>
          <w:rFonts w:eastAsia="Times New Roman"/>
          <w:b/>
          <w:sz w:val="24"/>
          <w:szCs w:val="24"/>
        </w:rPr>
        <w:t>Denver Consolidated Electric Co. v. Lawrence</w:t>
      </w:r>
      <w:r w:rsidRPr="00952BBB">
        <w:rPr>
          <w:rFonts w:eastAsia="Times New Roman"/>
          <w:sz w:val="24"/>
          <w:szCs w:val="24"/>
        </w:rPr>
        <w:t xml:space="preserve">, 31 Colo. 301, 73 P. 39 (1903); and </w:t>
      </w:r>
      <w:r w:rsidRPr="00952BBB">
        <w:rPr>
          <w:rFonts w:eastAsia="Times New Roman"/>
          <w:b/>
          <w:sz w:val="24"/>
          <w:szCs w:val="24"/>
        </w:rPr>
        <w:t>Denver Consolidated Electric Co. v. Simpson</w:t>
      </w:r>
      <w:r w:rsidRPr="00952BBB">
        <w:rPr>
          <w:rFonts w:eastAsia="Times New Roman"/>
          <w:sz w:val="24"/>
          <w:szCs w:val="24"/>
        </w:rPr>
        <w:t xml:space="preserve">, 21 Colo. 371, 41 P. 499 (1895).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Smith v. Home Light &amp; Power Co.</w:t>
      </w:r>
      <w:r w:rsidRPr="00952BBB">
        <w:rPr>
          <w:rFonts w:eastAsia="Times New Roman"/>
          <w:sz w:val="24"/>
          <w:szCs w:val="24"/>
        </w:rPr>
        <w:t xml:space="preserve">, 734 P.2d 1051 (Colo. 1987) (for purposes of strict liability in tort for a defective product, electricity is not a “product” that has been “sold” or put “in the stream of commerce,” at least not until it reaches the point where it has been made available for use by the consumer); </w:t>
      </w:r>
      <w:r w:rsidRPr="00952BBB">
        <w:rPr>
          <w:rFonts w:eastAsia="Times New Roman"/>
          <w:b/>
          <w:sz w:val="24"/>
          <w:szCs w:val="24"/>
        </w:rPr>
        <w:t>Kedar v. Pub. Serv. Co.</w:t>
      </w:r>
      <w:r w:rsidRPr="00952BBB">
        <w:rPr>
          <w:rFonts w:eastAsia="Times New Roman"/>
          <w:sz w:val="24"/>
          <w:szCs w:val="24"/>
        </w:rPr>
        <w:t>, 709 P.2d 15 (Colo. App. 1985) (citing this instruction with approval).</w:t>
      </w:r>
    </w:p>
    <w:p w14:paraId="04B79082" w14:textId="329E03FE"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2. It is for the court to determine whether a particular activity is “inherently dangerous” and consequently within the scope of this instruction. </w:t>
      </w:r>
      <w:r w:rsidRPr="00952BBB">
        <w:rPr>
          <w:rFonts w:eastAsia="Times New Roman"/>
          <w:b/>
          <w:sz w:val="24"/>
          <w:szCs w:val="24"/>
        </w:rPr>
        <w:t>Imperial Distribution Servs., Inc.</w:t>
      </w:r>
      <w:r w:rsidRPr="00952BBB">
        <w:rPr>
          <w:rFonts w:eastAsia="Times New Roman"/>
          <w:sz w:val="24"/>
          <w:szCs w:val="24"/>
        </w:rPr>
        <w:t xml:space="preserve">, 741 P.2d at 1254; </w:t>
      </w:r>
      <w:r w:rsidRPr="00952BBB">
        <w:rPr>
          <w:rFonts w:eastAsia="Times New Roman"/>
          <w:b/>
          <w:sz w:val="24"/>
          <w:szCs w:val="24"/>
        </w:rPr>
        <w:t>Pizza v. Wolf Creek Ski Dev. Corp.</w:t>
      </w:r>
      <w:r w:rsidRPr="00952BBB">
        <w:rPr>
          <w:rFonts w:eastAsia="Times New Roman"/>
          <w:sz w:val="24"/>
          <w:szCs w:val="24"/>
        </w:rPr>
        <w:t xml:space="preserve">, 711 P.2d 671 (Colo. 1985). </w:t>
      </w:r>
      <w:r w:rsidRPr="00952BBB">
        <w:rPr>
          <w:rFonts w:eastAsia="Times New Roman"/>
          <w:i/>
          <w:sz w:val="24"/>
          <w:szCs w:val="24"/>
        </w:rPr>
        <w:t>But see</w:t>
      </w:r>
      <w:r w:rsidRPr="00952BBB">
        <w:rPr>
          <w:rFonts w:eastAsia="Times New Roman"/>
          <w:sz w:val="24"/>
          <w:szCs w:val="24"/>
        </w:rPr>
        <w:t xml:space="preserve"> </w:t>
      </w:r>
      <w:r w:rsidRPr="00952BBB">
        <w:rPr>
          <w:rFonts w:eastAsia="Times New Roman"/>
          <w:b/>
          <w:sz w:val="24"/>
          <w:szCs w:val="24"/>
        </w:rPr>
        <w:t>Huddleston</w:t>
      </w:r>
      <w:r w:rsidRPr="00952BBB">
        <w:rPr>
          <w:rFonts w:eastAsia="Times New Roman"/>
          <w:sz w:val="24"/>
          <w:szCs w:val="24"/>
        </w:rPr>
        <w:t xml:space="preserve">, 841 P.2d </w:t>
      </w:r>
      <w:r w:rsidR="003A6825">
        <w:rPr>
          <w:rFonts w:eastAsia="Times New Roman"/>
          <w:sz w:val="24"/>
          <w:szCs w:val="24"/>
        </w:rPr>
        <w:t xml:space="preserve">at </w:t>
      </w:r>
      <w:r w:rsidR="00CE3BC1">
        <w:rPr>
          <w:rFonts w:eastAsia="Times New Roman"/>
          <w:sz w:val="24"/>
          <w:szCs w:val="24"/>
        </w:rPr>
        <w:t>28</w:t>
      </w:r>
      <w:r w:rsidR="003A6825">
        <w:rPr>
          <w:rFonts w:eastAsia="Times New Roman"/>
          <w:sz w:val="24"/>
          <w:szCs w:val="24"/>
        </w:rPr>
        <w:t>6</w:t>
      </w:r>
      <w:r w:rsidRPr="00952BBB">
        <w:rPr>
          <w:rFonts w:eastAsia="Times New Roman"/>
          <w:sz w:val="24"/>
          <w:szCs w:val="24"/>
        </w:rPr>
        <w:t xml:space="preserve"> (whether transporting persons in single-engine plane over mountains was an “inherently dangerous” activity for purposes of imposing vicarious liability on employer of independent contractor was a factual question for jury to determine). For discussions </w:t>
      </w:r>
      <w:r w:rsidRPr="00952BBB">
        <w:rPr>
          <w:rFonts w:eastAsia="Times New Roman"/>
          <w:sz w:val="24"/>
          <w:szCs w:val="24"/>
        </w:rPr>
        <w:lastRenderedPageBreak/>
        <w:t xml:space="preserve">of the factors to be considered in determining whether an activity is subject to the higher standard required by this instruction, see </w:t>
      </w:r>
      <w:r w:rsidRPr="00952BBB">
        <w:rPr>
          <w:rFonts w:eastAsia="Times New Roman"/>
          <w:b/>
          <w:sz w:val="24"/>
          <w:szCs w:val="24"/>
        </w:rPr>
        <w:t>Imperial Distribution Servs.,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 xml:space="preserve">741 P.2d at 1255-56; </w:t>
      </w:r>
      <w:r w:rsidRPr="00952BBB">
        <w:rPr>
          <w:rFonts w:eastAsia="Times New Roman"/>
          <w:b/>
          <w:sz w:val="24"/>
          <w:szCs w:val="24"/>
        </w:rPr>
        <w:t>Minto v.</w:t>
      </w:r>
      <w:r w:rsidRPr="00952BBB">
        <w:rPr>
          <w:rFonts w:eastAsia="Times New Roman"/>
          <w:sz w:val="24"/>
          <w:szCs w:val="24"/>
        </w:rPr>
        <w:t xml:space="preserve"> </w:t>
      </w:r>
      <w:r w:rsidRPr="00952BBB">
        <w:rPr>
          <w:rFonts w:eastAsia="Times New Roman"/>
          <w:b/>
          <w:sz w:val="24"/>
          <w:szCs w:val="24"/>
        </w:rPr>
        <w:t>Sprague</w:t>
      </w:r>
      <w:r w:rsidRPr="00952BBB">
        <w:rPr>
          <w:rFonts w:eastAsia="Times New Roman"/>
          <w:sz w:val="24"/>
          <w:szCs w:val="24"/>
        </w:rPr>
        <w:t xml:space="preserve">, 124 P.3d 881 (Colo. App. 2005); and </w:t>
      </w:r>
      <w:r w:rsidRPr="00952BBB">
        <w:rPr>
          <w:rFonts w:eastAsia="Times New Roman"/>
          <w:b/>
          <w:sz w:val="24"/>
          <w:szCs w:val="24"/>
        </w:rPr>
        <w:t>Mannhard v. Clear Creek Skiing Corp.</w:t>
      </w:r>
      <w:r w:rsidRPr="00952BBB">
        <w:rPr>
          <w:rFonts w:eastAsia="Times New Roman"/>
          <w:sz w:val="24"/>
          <w:szCs w:val="24"/>
        </w:rPr>
        <w:t xml:space="preserve">, 682 P.2d 64 (Colo. App. 1983).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W. Stock Ctr., Inc.</w:t>
      </w:r>
      <w:r w:rsidRPr="00952BBB">
        <w:rPr>
          <w:rFonts w:eastAsia="Times New Roman"/>
          <w:sz w:val="24"/>
          <w:szCs w:val="24"/>
        </w:rPr>
        <w:t xml:space="preserve">, 195 Colo. at 378-79, 578 P.2d at 1050; </w:t>
      </w:r>
      <w:r w:rsidRPr="00952BBB">
        <w:rPr>
          <w:rFonts w:eastAsia="Times New Roman"/>
          <w:b/>
          <w:sz w:val="24"/>
          <w:szCs w:val="24"/>
        </w:rPr>
        <w:t>Trinity Universal Ins. Co. v. Streza</w:t>
      </w:r>
      <w:r w:rsidRPr="00952BBB">
        <w:rPr>
          <w:rFonts w:eastAsia="Times New Roman"/>
          <w:sz w:val="24"/>
          <w:szCs w:val="24"/>
        </w:rPr>
        <w:t xml:space="preserve">, 8 P.3d 613 (Colo. App. 2000) (in negligence action arising out of explosion of propane heater, where alleged tortfeasor was not engaged in business of supplying propane gas, trial court did not err in refusing to instruct jury on elements of inherently dangerous activities); </w:t>
      </w:r>
      <w:r w:rsidRPr="00952BBB">
        <w:rPr>
          <w:rFonts w:eastAsia="Times New Roman"/>
          <w:b/>
          <w:sz w:val="24"/>
          <w:szCs w:val="24"/>
        </w:rPr>
        <w:t>Walcott v. Total Petroleum, Inc.</w:t>
      </w:r>
      <w:r w:rsidRPr="00952BBB">
        <w:rPr>
          <w:rFonts w:eastAsia="Times New Roman"/>
          <w:sz w:val="24"/>
          <w:szCs w:val="24"/>
        </w:rPr>
        <w:t xml:space="preserve">, 964 P.2d 609 (Colo. App. 1998) (dispensing gasoline at a service station not an ultrahazardous activity); </w:t>
      </w:r>
      <w:r w:rsidRPr="00952BBB">
        <w:rPr>
          <w:rFonts w:eastAsia="Times New Roman"/>
          <w:b/>
          <w:sz w:val="24"/>
          <w:szCs w:val="24"/>
        </w:rPr>
        <w:t>Melton v. Larrabee</w:t>
      </w:r>
      <w:r w:rsidRPr="00952BBB">
        <w:rPr>
          <w:rFonts w:eastAsia="Times New Roman"/>
          <w:sz w:val="24"/>
          <w:szCs w:val="24"/>
        </w:rPr>
        <w:t xml:space="preserve">, 832 P.2d 1069 (Colo. App. 1992) (installation of heat-tape around water pipe was not an “inherently dangerous” activity). </w:t>
      </w:r>
    </w:p>
    <w:p w14:paraId="112F6C33"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3. The duty of a ski lift operator to exercise the highest degree of care commensurate with lift’s practical operation was not preempted or abrogated by the enactment of either the Colorado Passenger Tramway Act, §§ 25-5-701 to -720, C.R.S., or the Colorado Ski Safety Act of 1979, §§ 33-44-101 to -114, C.R.S. </w:t>
      </w:r>
      <w:r w:rsidRPr="00952BBB">
        <w:rPr>
          <w:rFonts w:eastAsia="Times New Roman"/>
          <w:b/>
          <w:sz w:val="24"/>
          <w:szCs w:val="24"/>
        </w:rPr>
        <w:t>Bayer v. Crested Butte Mtn. Resort,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960 P.2d 70 (Colo. 1998).</w:t>
      </w:r>
    </w:p>
    <w:p w14:paraId="63569101" w14:textId="065243A0"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4. Ambulance driver owes passenger ordinary duty of care, not the duty to exercise the highest degree of care, when the ambulance is traveling at normal speeds in a nonemergency situation, and the passenger was wearing a seat belt. </w:t>
      </w:r>
      <w:r w:rsidRPr="00952BBB">
        <w:rPr>
          <w:rFonts w:eastAsia="Times New Roman"/>
          <w:b/>
          <w:sz w:val="24"/>
          <w:szCs w:val="24"/>
        </w:rPr>
        <w:t>Bedee v. Am. Med. Response</w:t>
      </w:r>
      <w:r w:rsidRPr="00952BBB">
        <w:rPr>
          <w:rFonts w:eastAsia="Times New Roman"/>
          <w:sz w:val="24"/>
          <w:szCs w:val="24"/>
        </w:rPr>
        <w:t>, 2015 COA 128, ¶ 30, 361 P.3d 1083.</w:t>
      </w:r>
    </w:p>
    <w:p w14:paraId="0B05C136" w14:textId="77777777" w:rsidR="00330AE6" w:rsidRDefault="00330AE6">
      <w:pPr>
        <w:rPr>
          <w:rFonts w:eastAsia="Times New Roman"/>
          <w:sz w:val="24"/>
          <w:szCs w:val="24"/>
        </w:rPr>
      </w:pPr>
      <w:r>
        <w:rPr>
          <w:rFonts w:eastAsia="Times New Roman"/>
          <w:sz w:val="24"/>
          <w:szCs w:val="24"/>
        </w:rPr>
        <w:br w:type="page"/>
      </w:r>
    </w:p>
    <w:p w14:paraId="76D1F308" w14:textId="77777777" w:rsidR="00330AE6" w:rsidRPr="009E3DA4" w:rsidRDefault="00330AE6" w:rsidP="00330AE6">
      <w:pPr>
        <w:spacing w:after="240"/>
        <w:ind w:left="720" w:hanging="720"/>
        <w:rPr>
          <w:rFonts w:eastAsia="Times New Roman"/>
          <w:b/>
          <w:sz w:val="24"/>
          <w:szCs w:val="24"/>
        </w:rPr>
      </w:pPr>
      <w:bookmarkStart w:id="9" w:name="a9_07A"/>
      <w:bookmarkEnd w:id="9"/>
      <w:r>
        <w:rPr>
          <w:rFonts w:eastAsia="Times New Roman"/>
          <w:b/>
          <w:sz w:val="24"/>
          <w:szCs w:val="24"/>
        </w:rPr>
        <w:lastRenderedPageBreak/>
        <w:t>9:7A</w:t>
      </w:r>
      <w:r w:rsidRPr="007B1633">
        <w:rPr>
          <w:rFonts w:eastAsia="Times New Roman"/>
          <w:b/>
          <w:sz w:val="24"/>
          <w:szCs w:val="24"/>
        </w:rPr>
        <w:tab/>
      </w:r>
      <w:r w:rsidRPr="00330AE6">
        <w:rPr>
          <w:rFonts w:eastAsia="Times New Roman"/>
          <w:b/>
          <w:sz w:val="24"/>
          <w:szCs w:val="24"/>
        </w:rPr>
        <w:t>ULTRAHAZARDOUS ACTIVITIES RESULTING IN STRICT LIABILITY</w:t>
      </w:r>
    </w:p>
    <w:p w14:paraId="6F655F82" w14:textId="77777777" w:rsidR="00330AE6" w:rsidRDefault="00330AE6" w:rsidP="00330AE6">
      <w:pPr>
        <w:spacing w:after="240"/>
        <w:ind w:firstLine="720"/>
        <w:rPr>
          <w:rFonts w:eastAsia="Times New Roman"/>
          <w:sz w:val="24"/>
          <w:szCs w:val="24"/>
        </w:rPr>
      </w:pPr>
      <w:r w:rsidRPr="00330AE6">
        <w:rPr>
          <w:rFonts w:eastAsia="Times New Roman"/>
          <w:b/>
          <w:sz w:val="24"/>
          <w:szCs w:val="24"/>
        </w:rPr>
        <w:t xml:space="preserve">For the plaintiff, </w:t>
      </w:r>
      <w:r w:rsidRPr="00330AE6">
        <w:rPr>
          <w:rFonts w:eastAsia="Times New Roman"/>
          <w:i/>
          <w:sz w:val="24"/>
          <w:szCs w:val="24"/>
        </w:rPr>
        <w:t>(name)</w:t>
      </w:r>
      <w:r w:rsidRPr="00330AE6">
        <w:rPr>
          <w:rFonts w:eastAsia="Times New Roman"/>
          <w:b/>
          <w:sz w:val="24"/>
          <w:szCs w:val="24"/>
        </w:rPr>
        <w:t xml:space="preserve">, to recover from the defendant </w:t>
      </w:r>
      <w:r w:rsidRPr="00330AE6">
        <w:rPr>
          <w:rFonts w:eastAsia="Times New Roman"/>
          <w:i/>
          <w:sz w:val="24"/>
          <w:szCs w:val="24"/>
        </w:rPr>
        <w:t>(name)</w:t>
      </w:r>
      <w:r w:rsidRPr="00330AE6">
        <w:rPr>
          <w:rFonts w:eastAsia="Times New Roman"/>
          <w:b/>
          <w:sz w:val="24"/>
          <w:szCs w:val="24"/>
        </w:rPr>
        <w:t>, on (his) (her) (its) claim of ultrahazardous activity liability, you must find that both of the following have been proved by a preponderance of the evidence:</w:t>
      </w:r>
    </w:p>
    <w:p w14:paraId="1F0DE3C2"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1. </w:t>
      </w:r>
      <w:r w:rsidRPr="00FC4069">
        <w:rPr>
          <w:rFonts w:eastAsia="Times New Roman"/>
          <w:b/>
          <w:sz w:val="24"/>
          <w:szCs w:val="24"/>
        </w:rPr>
        <w:t>The plaintiff has (injuries) (damages) (losses);</w:t>
      </w:r>
    </w:p>
    <w:p w14:paraId="72E741BF"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2. </w:t>
      </w:r>
      <w:r w:rsidRPr="00FC4069">
        <w:rPr>
          <w:rFonts w:eastAsia="Times New Roman"/>
          <w:b/>
          <w:sz w:val="24"/>
          <w:szCs w:val="24"/>
        </w:rPr>
        <w:t xml:space="preserve">The defendant’s </w:t>
      </w:r>
      <w:r w:rsidRPr="00E60511">
        <w:rPr>
          <w:rFonts w:eastAsia="Times New Roman"/>
          <w:i/>
          <w:sz w:val="24"/>
          <w:szCs w:val="24"/>
        </w:rPr>
        <w:t>(insert description of ultrahazardous activity)</w:t>
      </w:r>
      <w:r w:rsidRPr="00FC4069">
        <w:rPr>
          <w:rFonts w:eastAsia="Times New Roman"/>
          <w:b/>
          <w:sz w:val="24"/>
          <w:szCs w:val="24"/>
        </w:rPr>
        <w:t xml:space="preserve"> was a cause of plaintiff’s (injuries) (damages) (losses).</w:t>
      </w:r>
    </w:p>
    <w:p w14:paraId="2CD2260A"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If you find that any one or more of these </w:t>
      </w:r>
      <w:r w:rsidRPr="00330AE6">
        <w:rPr>
          <w:rFonts w:eastAsia="Times New Roman"/>
          <w:i/>
          <w:sz w:val="24"/>
          <w:szCs w:val="24"/>
        </w:rPr>
        <w:t>(number)</w:t>
      </w:r>
      <w:r w:rsidRPr="00330AE6">
        <w:rPr>
          <w:rFonts w:eastAsia="Times New Roman"/>
          <w:b/>
          <w:sz w:val="24"/>
          <w:szCs w:val="24"/>
        </w:rPr>
        <w:t xml:space="preserve"> statements has not been proved, then your verdict must be for the defendant.</w:t>
      </w:r>
    </w:p>
    <w:p w14:paraId="150A059B"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On the other hand, if you find that all of these </w:t>
      </w:r>
      <w:r w:rsidRPr="00330AE6">
        <w:rPr>
          <w:rFonts w:eastAsia="Times New Roman"/>
          <w:i/>
          <w:sz w:val="24"/>
          <w:szCs w:val="24"/>
        </w:rPr>
        <w:t>(number)</w:t>
      </w:r>
      <w:r w:rsidRPr="00330AE6">
        <w:rPr>
          <w:rFonts w:eastAsia="Times New Roman"/>
          <w:b/>
          <w:sz w:val="24"/>
          <w:szCs w:val="24"/>
        </w:rPr>
        <w:t xml:space="preserve"> statements have been proved, (then your verdict must be for the plaintiff) (then you must consider the defendant’s affirmative defense(s) of </w:t>
      </w:r>
      <w:r w:rsidRPr="00330AE6">
        <w:rPr>
          <w:rFonts w:eastAsia="Times New Roman"/>
          <w:i/>
          <w:sz w:val="24"/>
          <w:szCs w:val="24"/>
        </w:rPr>
        <w:t>[insert any affirmative defense that would be a complete defense to plaintiff’s claim]</w:t>
      </w:r>
      <w:r w:rsidRPr="00330AE6">
        <w:rPr>
          <w:rFonts w:eastAsia="Times New Roman"/>
          <w:b/>
          <w:sz w:val="24"/>
          <w:szCs w:val="24"/>
        </w:rPr>
        <w:t>).</w:t>
      </w:r>
    </w:p>
    <w:p w14:paraId="3C85D916"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5E5E94C"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However, if you find that (this affirmative defense has not) (none of these affirmative defenses have) been proved, then your verdict must be for the plaintiff.</w:t>
      </w:r>
    </w:p>
    <w:p w14:paraId="1033ED51" w14:textId="77777777" w:rsidR="00330AE6" w:rsidRDefault="00330AE6" w:rsidP="00330AE6">
      <w:pPr>
        <w:jc w:val="center"/>
        <w:rPr>
          <w:rFonts w:eastAsia="Times New Roman"/>
          <w:sz w:val="24"/>
          <w:szCs w:val="24"/>
        </w:rPr>
      </w:pPr>
    </w:p>
    <w:p w14:paraId="3323F4B3" w14:textId="77777777" w:rsidR="00330AE6" w:rsidRPr="0054263B" w:rsidRDefault="00330AE6" w:rsidP="00330AE6">
      <w:pPr>
        <w:keepNext/>
        <w:spacing w:after="240"/>
        <w:jc w:val="center"/>
        <w:rPr>
          <w:rFonts w:eastAsia="Times New Roman"/>
          <w:b/>
          <w:sz w:val="24"/>
          <w:szCs w:val="24"/>
        </w:rPr>
      </w:pPr>
      <w:r w:rsidRPr="0054263B">
        <w:rPr>
          <w:rFonts w:eastAsia="Times New Roman"/>
          <w:b/>
          <w:sz w:val="24"/>
          <w:szCs w:val="24"/>
        </w:rPr>
        <w:t>Notes on Use</w:t>
      </w:r>
    </w:p>
    <w:p w14:paraId="056F3A51"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1. This instruction should be used when, because of the uniquely inherently dangerous nature of the activity, strict liability is imposed for damages caused by such activities. </w:t>
      </w:r>
      <w:r w:rsidRPr="00330AE6">
        <w:rPr>
          <w:rFonts w:eastAsia="Times New Roman"/>
          <w:bCs/>
          <w:i/>
          <w:sz w:val="24"/>
          <w:szCs w:val="24"/>
        </w:rPr>
        <w:t>See</w:t>
      </w:r>
      <w:r w:rsidRPr="00330AE6">
        <w:rPr>
          <w:rFonts w:eastAsia="Times New Roman"/>
          <w:b/>
          <w:bCs/>
          <w:sz w:val="24"/>
          <w:szCs w:val="24"/>
        </w:rPr>
        <w:t xml:space="preserve"> </w:t>
      </w:r>
      <w:r w:rsidRPr="00330AE6">
        <w:rPr>
          <w:rFonts w:eastAsia="Times New Roman"/>
          <w:b/>
          <w:sz w:val="24"/>
          <w:szCs w:val="24"/>
        </w:rPr>
        <w:t>Garden of the Gods Village, Inc. v. Hellman</w:t>
      </w:r>
      <w:r w:rsidRPr="00330AE6">
        <w:rPr>
          <w:rFonts w:eastAsia="Times New Roman"/>
          <w:sz w:val="24"/>
          <w:szCs w:val="24"/>
        </w:rPr>
        <w:t xml:space="preserve">, 133 Colo. 286, 294 P.2d 597 (1956) (imposing strict liability for property damage caused by blasting activities); </w:t>
      </w:r>
      <w:r w:rsidRPr="00330AE6">
        <w:rPr>
          <w:rFonts w:eastAsia="Times New Roman"/>
          <w:b/>
          <w:sz w:val="24"/>
          <w:szCs w:val="24"/>
        </w:rPr>
        <w:t>Cass Co.-Contractors v. Colton</w:t>
      </w:r>
      <w:r w:rsidRPr="00330AE6">
        <w:rPr>
          <w:rFonts w:eastAsia="Times New Roman"/>
          <w:sz w:val="24"/>
          <w:szCs w:val="24"/>
        </w:rPr>
        <w:t xml:space="preserve">, 130 Colo. 593, 279 P.2d 415 (1955) (same); </w:t>
      </w:r>
      <w:r w:rsidRPr="00330AE6">
        <w:rPr>
          <w:rFonts w:eastAsia="Times New Roman"/>
          <w:i/>
          <w:sz w:val="24"/>
          <w:szCs w:val="24"/>
        </w:rPr>
        <w:t>cf</w:t>
      </w:r>
      <w:r w:rsidRPr="00330AE6">
        <w:rPr>
          <w:rFonts w:eastAsia="Times New Roman"/>
          <w:sz w:val="24"/>
          <w:szCs w:val="24"/>
        </w:rPr>
        <w:t xml:space="preserve">. </w:t>
      </w:r>
      <w:r w:rsidRPr="00330AE6">
        <w:rPr>
          <w:rFonts w:eastAsia="Times New Roman"/>
          <w:b/>
          <w:sz w:val="24"/>
          <w:szCs w:val="24"/>
        </w:rPr>
        <w:t>Garnet Ditch &amp; Reservoir Co. v. Sampson</w:t>
      </w:r>
      <w:r w:rsidRPr="00330AE6">
        <w:rPr>
          <w:rFonts w:eastAsia="Times New Roman"/>
          <w:sz w:val="24"/>
          <w:szCs w:val="24"/>
        </w:rPr>
        <w:t xml:space="preserve">, 48 Colo. 285, 110 P. 79 (1910) (imposing strict liability under statute for destruction of cattle caused by impounding water in a reservoir). </w:t>
      </w:r>
      <w:r w:rsidRPr="00330AE6">
        <w:rPr>
          <w:rFonts w:eastAsia="Times New Roman"/>
          <w:i/>
          <w:sz w:val="24"/>
          <w:szCs w:val="24"/>
        </w:rPr>
        <w:t xml:space="preserve">But see </w:t>
      </w:r>
      <w:r w:rsidRPr="00330AE6">
        <w:rPr>
          <w:rFonts w:eastAsia="Times New Roman"/>
          <w:b/>
          <w:sz w:val="24"/>
          <w:szCs w:val="24"/>
        </w:rPr>
        <w:t>Liber v. Flor</w:t>
      </w:r>
      <w:r w:rsidRPr="00330AE6">
        <w:rPr>
          <w:rFonts w:eastAsia="Times New Roman"/>
          <w:sz w:val="24"/>
          <w:szCs w:val="24"/>
        </w:rPr>
        <w:t>, 160 Colo. 7, 415 P.2d 332 (1966) (refusing to apply rule of absolute liability for storage of dynamite).</w:t>
      </w:r>
    </w:p>
    <w:p w14:paraId="171CED40"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2. Such uniquely inherently dangerous activities are often referred to as ultrahazardous or abnormally dangerous activities. </w:t>
      </w:r>
      <w:r w:rsidRPr="00330AE6">
        <w:rPr>
          <w:rFonts w:eastAsia="Times New Roman"/>
          <w:b/>
          <w:bCs/>
          <w:sz w:val="24"/>
          <w:szCs w:val="24"/>
        </w:rPr>
        <w:t>Bennett v. Greeley Gas Co.</w:t>
      </w:r>
      <w:r w:rsidRPr="00330AE6">
        <w:rPr>
          <w:rFonts w:eastAsia="Times New Roman"/>
          <w:sz w:val="24"/>
          <w:szCs w:val="24"/>
        </w:rPr>
        <w:t>, 969 P.2d 754 (Colo. App. 1998) (distinguishing ultrahazardous from inherently dangerous activities).</w:t>
      </w:r>
    </w:p>
    <w:p w14:paraId="4BC67017"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3. The question whether an activity is ultrahazardous is question of law for the court. </w:t>
      </w:r>
      <w:r w:rsidRPr="00FD3A25">
        <w:rPr>
          <w:rFonts w:eastAsia="Times New Roman"/>
          <w:smallCaps/>
          <w:sz w:val="24"/>
          <w:szCs w:val="24"/>
        </w:rPr>
        <w:t>Restatement (Second) of Torts</w:t>
      </w:r>
      <w:r w:rsidRPr="00330AE6">
        <w:rPr>
          <w:rFonts w:eastAsia="Times New Roman"/>
          <w:sz w:val="24"/>
          <w:szCs w:val="24"/>
        </w:rPr>
        <w:t xml:space="preserve"> § 520 cmt. l (1977). Factors to be considered in whether an activity is ultrahazardous include whether: (1) the activity poses a high degree of risk of harm to a person, land, or chattels; (2) it is likely that the resulting harm will be great; (3) the risk cannot be eliminated by exercising reasonable care; (4) the activity is not a matter of common usage; (5) </w:t>
      </w:r>
      <w:r w:rsidRPr="00330AE6">
        <w:rPr>
          <w:rFonts w:eastAsia="Times New Roman"/>
          <w:sz w:val="24"/>
          <w:szCs w:val="24"/>
        </w:rPr>
        <w:lastRenderedPageBreak/>
        <w:t xml:space="preserve">the activity is inappropriate where it occurred; and (6) the activity’s value to the community is outweighed by the danger. </w:t>
      </w:r>
      <w:r w:rsidRPr="00330AE6">
        <w:rPr>
          <w:rFonts w:eastAsia="Times New Roman"/>
          <w:b/>
          <w:sz w:val="24"/>
          <w:szCs w:val="24"/>
        </w:rPr>
        <w:t>Minto v. Sprague</w:t>
      </w:r>
      <w:r w:rsidRPr="00330AE6">
        <w:rPr>
          <w:rFonts w:eastAsia="Times New Roman"/>
          <w:sz w:val="24"/>
          <w:szCs w:val="24"/>
        </w:rPr>
        <w:t>, 124 P.3d 881 (Colo. App. 2005).</w:t>
      </w:r>
    </w:p>
    <w:p w14:paraId="16C6F2E8" w14:textId="77777777" w:rsidR="00330AE6" w:rsidRPr="00330AE6" w:rsidRDefault="00330AE6" w:rsidP="00330AE6">
      <w:pPr>
        <w:spacing w:after="240"/>
        <w:ind w:firstLine="720"/>
        <w:rPr>
          <w:rFonts w:eastAsia="Times New Roman"/>
          <w:b/>
          <w:sz w:val="24"/>
          <w:szCs w:val="24"/>
        </w:rPr>
      </w:pPr>
      <w:r w:rsidRPr="00330AE6">
        <w:rPr>
          <w:rFonts w:eastAsia="Times New Roman"/>
          <w:sz w:val="24"/>
          <w:szCs w:val="24"/>
        </w:rPr>
        <w:t xml:space="preserve">4. In addition to giving rise to strict liability, employers are vicariously liable for damages caused by ultrahazardous activities performed on their behalf by their independent contractors. </w:t>
      </w:r>
      <w:r w:rsidRPr="00330AE6">
        <w:rPr>
          <w:rFonts w:eastAsia="Times New Roman"/>
          <w:i/>
          <w:sz w:val="24"/>
          <w:szCs w:val="24"/>
        </w:rPr>
        <w:t>See</w:t>
      </w:r>
      <w:r w:rsidRPr="00330AE6">
        <w:rPr>
          <w:rFonts w:eastAsia="Times New Roman"/>
          <w:sz w:val="24"/>
          <w:szCs w:val="24"/>
        </w:rPr>
        <w:t xml:space="preserve"> </w:t>
      </w:r>
      <w:r w:rsidRPr="00330AE6">
        <w:rPr>
          <w:rFonts w:eastAsia="Times New Roman"/>
          <w:b/>
          <w:sz w:val="24"/>
          <w:szCs w:val="24"/>
        </w:rPr>
        <w:t>Garden of the Gods Village</w:t>
      </w:r>
      <w:r w:rsidRPr="00330AE6">
        <w:rPr>
          <w:rFonts w:eastAsia="Times New Roman"/>
          <w:sz w:val="24"/>
          <w:szCs w:val="24"/>
        </w:rPr>
        <w:t>, 133 Colo. at 294-95, 294 P.2d at 601-02.</w:t>
      </w:r>
    </w:p>
    <w:p w14:paraId="69616BDF" w14:textId="77777777" w:rsidR="00330AE6" w:rsidRPr="0054263B" w:rsidRDefault="00330AE6" w:rsidP="00330AE6">
      <w:pPr>
        <w:keepNext/>
        <w:spacing w:after="240"/>
        <w:jc w:val="center"/>
        <w:rPr>
          <w:rFonts w:eastAsia="Times New Roman"/>
          <w:b/>
          <w:sz w:val="24"/>
          <w:szCs w:val="24"/>
        </w:rPr>
      </w:pPr>
      <w:r>
        <w:rPr>
          <w:rFonts w:eastAsia="Times New Roman"/>
          <w:b/>
          <w:sz w:val="24"/>
          <w:szCs w:val="24"/>
        </w:rPr>
        <w:t>Source and Authority</w:t>
      </w:r>
    </w:p>
    <w:p w14:paraId="59742FB0" w14:textId="77777777" w:rsidR="00FD3A25" w:rsidRPr="00FD3A25" w:rsidRDefault="00FD3A25" w:rsidP="00FD3A25">
      <w:pPr>
        <w:spacing w:after="240"/>
        <w:ind w:firstLine="720"/>
        <w:rPr>
          <w:rFonts w:eastAsia="Times New Roman"/>
          <w:sz w:val="24"/>
          <w:szCs w:val="24"/>
        </w:rPr>
      </w:pPr>
      <w:r w:rsidRPr="00FD3A25">
        <w:rPr>
          <w:rFonts w:eastAsia="Times New Roman"/>
          <w:bCs/>
          <w:sz w:val="24"/>
          <w:szCs w:val="24"/>
        </w:rPr>
        <w:t xml:space="preserve">This instruction is supported by </w:t>
      </w:r>
      <w:r w:rsidRPr="00FD3A25">
        <w:rPr>
          <w:rFonts w:eastAsia="Times New Roman"/>
          <w:b/>
          <w:sz w:val="24"/>
          <w:szCs w:val="24"/>
        </w:rPr>
        <w:t>Garden of the Gods Village</w:t>
      </w:r>
      <w:r w:rsidRPr="00FD3A25">
        <w:rPr>
          <w:rFonts w:eastAsia="Times New Roman"/>
          <w:sz w:val="24"/>
          <w:szCs w:val="24"/>
        </w:rPr>
        <w:t xml:space="preserve">, 133 Colo. at 291-93, 294 P.2d at 600-01; and </w:t>
      </w:r>
      <w:r w:rsidRPr="00FD3A25">
        <w:rPr>
          <w:rFonts w:eastAsia="Times New Roman"/>
          <w:b/>
          <w:bCs/>
          <w:sz w:val="24"/>
          <w:szCs w:val="24"/>
        </w:rPr>
        <w:t>Western Stock Center, Inc. v. Sevit, Inc.</w:t>
      </w:r>
      <w:r w:rsidRPr="00FD3A25">
        <w:rPr>
          <w:rFonts w:eastAsia="Times New Roman"/>
          <w:sz w:val="24"/>
          <w:szCs w:val="24"/>
        </w:rPr>
        <w:t xml:space="preserve">, 195 Colo. 372, 578 P.2d 1045 (1978). The ultrahazardous activity doctrine traces its origins to the seminal English chancery court case of </w:t>
      </w:r>
      <w:r w:rsidRPr="00FD3A25">
        <w:rPr>
          <w:rFonts w:eastAsia="Times New Roman"/>
          <w:b/>
          <w:sz w:val="24"/>
          <w:szCs w:val="24"/>
        </w:rPr>
        <w:t>Rylands v. Fletcher</w:t>
      </w:r>
      <w:r w:rsidRPr="00FD3A25">
        <w:rPr>
          <w:rFonts w:eastAsia="Times New Roman"/>
          <w:sz w:val="24"/>
          <w:szCs w:val="24"/>
        </w:rPr>
        <w:t>, L.R. 3 H.L. 330 (1868).</w:t>
      </w:r>
    </w:p>
    <w:p w14:paraId="59565F6F" w14:textId="77777777" w:rsidR="00952BBB" w:rsidRDefault="00952BBB">
      <w:pPr>
        <w:rPr>
          <w:rFonts w:eastAsia="Times New Roman"/>
          <w:sz w:val="24"/>
          <w:szCs w:val="24"/>
        </w:rPr>
      </w:pPr>
      <w:r>
        <w:rPr>
          <w:rFonts w:eastAsia="Times New Roman"/>
          <w:sz w:val="24"/>
          <w:szCs w:val="24"/>
        </w:rPr>
        <w:br w:type="page"/>
      </w:r>
    </w:p>
    <w:p w14:paraId="6197FFC3" w14:textId="77777777" w:rsidR="00CA7EF2" w:rsidRPr="009E3DA4" w:rsidRDefault="00CA7EF2" w:rsidP="00CA7EF2">
      <w:pPr>
        <w:spacing w:after="240"/>
        <w:ind w:left="720" w:hanging="720"/>
        <w:rPr>
          <w:rFonts w:eastAsia="Times New Roman"/>
          <w:b/>
          <w:sz w:val="24"/>
          <w:szCs w:val="24"/>
        </w:rPr>
      </w:pPr>
      <w:bookmarkStart w:id="10" w:name="a9_08"/>
      <w:bookmarkEnd w:id="10"/>
      <w:r w:rsidRPr="00CA7EF2">
        <w:rPr>
          <w:rFonts w:eastAsia="Times New Roman"/>
          <w:b/>
          <w:sz w:val="24"/>
          <w:szCs w:val="24"/>
        </w:rPr>
        <w:lastRenderedPageBreak/>
        <w:t xml:space="preserve">9:8 </w:t>
      </w:r>
      <w:r w:rsidRPr="00CA7EF2">
        <w:rPr>
          <w:rFonts w:eastAsia="Times New Roman"/>
          <w:b/>
          <w:sz w:val="24"/>
          <w:szCs w:val="24"/>
        </w:rPr>
        <w:tab/>
        <w:t>REASONABLE CARE — DEFINED</w:t>
      </w:r>
    </w:p>
    <w:p w14:paraId="1F3BBEE6"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Reasonable care is that degree of care which a reasonably careful person would use under the same or similar circumstances.</w:t>
      </w:r>
    </w:p>
    <w:p w14:paraId="521735FA" w14:textId="77777777" w:rsidR="00CA7EF2" w:rsidRDefault="00CA7EF2" w:rsidP="00CA7EF2">
      <w:pPr>
        <w:jc w:val="center"/>
        <w:rPr>
          <w:rFonts w:eastAsia="Times New Roman"/>
          <w:sz w:val="24"/>
          <w:szCs w:val="24"/>
        </w:rPr>
      </w:pPr>
    </w:p>
    <w:p w14:paraId="5F7E890A"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145C40F1"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This instruction should be used when “reasonable care” is used in another instruction and needs further definition.</w:t>
      </w:r>
    </w:p>
    <w:p w14:paraId="32341E24"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4751496" w14:textId="10404F1D" w:rsidR="00CA7EF2" w:rsidRPr="00CA7EF2" w:rsidRDefault="00CA7EF2" w:rsidP="00CA7EF2">
      <w:pPr>
        <w:spacing w:after="240"/>
        <w:ind w:firstLine="720"/>
        <w:rPr>
          <w:rFonts w:eastAsia="Times New Roman"/>
          <w:bCs/>
          <w:sz w:val="24"/>
          <w:szCs w:val="24"/>
        </w:rPr>
      </w:pPr>
      <w:r w:rsidRPr="00CA7EF2">
        <w:rPr>
          <w:rFonts w:eastAsia="Times New Roman"/>
          <w:bCs/>
          <w:sz w:val="24"/>
          <w:szCs w:val="24"/>
        </w:rPr>
        <w:t xml:space="preserve">This instruction is supported by </w:t>
      </w:r>
      <w:r w:rsidRPr="00CA7EF2">
        <w:rPr>
          <w:rFonts w:eastAsia="Times New Roman"/>
          <w:b/>
          <w:bCs/>
          <w:sz w:val="24"/>
          <w:szCs w:val="24"/>
        </w:rPr>
        <w:t>Blankette v. Public Service Co.</w:t>
      </w:r>
      <w:r w:rsidRPr="00CA7EF2">
        <w:rPr>
          <w:rFonts w:eastAsia="Times New Roman"/>
          <w:bCs/>
          <w:sz w:val="24"/>
          <w:szCs w:val="24"/>
        </w:rPr>
        <w:t xml:space="preserve">, 90 Colo. 456, 10 P.2d 327 (1932) (dictum). </w:t>
      </w:r>
      <w:r w:rsidRPr="00CA7EF2">
        <w:rPr>
          <w:rFonts w:eastAsia="Times New Roman"/>
          <w:bCs/>
          <w:i/>
          <w:sz w:val="24"/>
          <w:szCs w:val="24"/>
        </w:rPr>
        <w:t>See</w:t>
      </w:r>
      <w:r w:rsidRPr="00CA7EF2">
        <w:rPr>
          <w:rFonts w:eastAsia="Times New Roman"/>
          <w:bCs/>
          <w:sz w:val="24"/>
          <w:szCs w:val="24"/>
        </w:rPr>
        <w:t xml:space="preserve"> </w:t>
      </w:r>
      <w:r w:rsidRPr="00CA7EF2">
        <w:rPr>
          <w:rFonts w:eastAsia="Times New Roman"/>
          <w:b/>
          <w:bCs/>
          <w:sz w:val="24"/>
          <w:szCs w:val="24"/>
        </w:rPr>
        <w:t>Bedee v. Am. Med. Response</w:t>
      </w:r>
      <w:r w:rsidRPr="00CA7EF2">
        <w:rPr>
          <w:rFonts w:eastAsia="Times New Roman"/>
          <w:bCs/>
          <w:sz w:val="24"/>
          <w:szCs w:val="24"/>
        </w:rPr>
        <w:t xml:space="preserve">, 2015 COA 128, ¶ 24, 361 P.3d 1083; </w:t>
      </w:r>
      <w:r w:rsidRPr="00CA7EF2">
        <w:rPr>
          <w:rFonts w:eastAsia="Times New Roman"/>
          <w:b/>
          <w:bCs/>
          <w:sz w:val="24"/>
          <w:szCs w:val="24"/>
        </w:rPr>
        <w:t>Winkler v. Shaffer</w:t>
      </w:r>
      <w:r w:rsidRPr="00CA7EF2">
        <w:rPr>
          <w:rFonts w:eastAsia="Times New Roman"/>
          <w:bCs/>
          <w:sz w:val="24"/>
          <w:szCs w:val="24"/>
        </w:rPr>
        <w:t xml:space="preserve">, 2015 COA 63, ¶ 16, 356 P.3d 1020; </w:t>
      </w:r>
      <w:r w:rsidRPr="00CA7EF2">
        <w:rPr>
          <w:rFonts w:eastAsia="Times New Roman"/>
          <w:bCs/>
          <w:i/>
          <w:sz w:val="24"/>
          <w:szCs w:val="24"/>
        </w:rPr>
        <w:t>see also</w:t>
      </w:r>
      <w:r w:rsidRPr="00CA7EF2">
        <w:rPr>
          <w:rFonts w:eastAsia="Times New Roman"/>
          <w:bCs/>
          <w:sz w:val="24"/>
          <w:szCs w:val="24"/>
        </w:rPr>
        <w:t xml:space="preserve"> </w:t>
      </w:r>
      <w:r w:rsidRPr="00CA7EF2">
        <w:rPr>
          <w:rFonts w:eastAsia="Times New Roman"/>
          <w:b/>
          <w:bCs/>
          <w:sz w:val="24"/>
          <w:szCs w:val="24"/>
        </w:rPr>
        <w:t>Richardson v. El Paso Consol. Gold Mining Co.</w:t>
      </w:r>
      <w:r w:rsidRPr="00CA7EF2">
        <w:rPr>
          <w:rFonts w:eastAsia="Times New Roman"/>
          <w:bCs/>
          <w:sz w:val="24"/>
          <w:szCs w:val="24"/>
        </w:rPr>
        <w:t xml:space="preserve">, 51 Colo. 440, 118 P. 982 (1911); </w:t>
      </w:r>
      <w:r w:rsidRPr="00CA7EF2">
        <w:rPr>
          <w:rFonts w:eastAsia="Times New Roman"/>
          <w:bCs/>
          <w:smallCaps/>
          <w:sz w:val="24"/>
          <w:szCs w:val="24"/>
        </w:rPr>
        <w:t>Restatement (Second) of Torts</w:t>
      </w:r>
      <w:r w:rsidRPr="00CA7EF2">
        <w:rPr>
          <w:rFonts w:eastAsia="Times New Roman"/>
          <w:bCs/>
          <w:sz w:val="24"/>
          <w:szCs w:val="24"/>
        </w:rPr>
        <w:t xml:space="preserve"> § 283 (1965);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31 (5th ed. 1984).</w:t>
      </w:r>
    </w:p>
    <w:p w14:paraId="6AA3793C" w14:textId="77777777" w:rsidR="00CA7EF2" w:rsidRDefault="00CA7EF2">
      <w:pPr>
        <w:rPr>
          <w:rFonts w:eastAsia="Times New Roman"/>
          <w:sz w:val="24"/>
          <w:szCs w:val="24"/>
        </w:rPr>
      </w:pPr>
      <w:r>
        <w:rPr>
          <w:rFonts w:eastAsia="Times New Roman"/>
          <w:sz w:val="24"/>
          <w:szCs w:val="24"/>
        </w:rPr>
        <w:br w:type="page"/>
      </w:r>
    </w:p>
    <w:p w14:paraId="1C6EDC39" w14:textId="77777777" w:rsidR="00CA7EF2" w:rsidRPr="009E3DA4" w:rsidRDefault="00CA7EF2" w:rsidP="00CA7EF2">
      <w:pPr>
        <w:spacing w:after="240"/>
        <w:ind w:left="720" w:hanging="720"/>
        <w:rPr>
          <w:rFonts w:eastAsia="Times New Roman"/>
          <w:b/>
          <w:sz w:val="24"/>
          <w:szCs w:val="24"/>
        </w:rPr>
      </w:pPr>
      <w:bookmarkStart w:id="11" w:name="a9_09"/>
      <w:bookmarkEnd w:id="11"/>
      <w:r w:rsidRPr="00CA7EF2">
        <w:rPr>
          <w:rFonts w:eastAsia="Times New Roman"/>
          <w:b/>
          <w:sz w:val="24"/>
          <w:szCs w:val="24"/>
        </w:rPr>
        <w:lastRenderedPageBreak/>
        <w:t xml:space="preserve">9:9 </w:t>
      </w:r>
      <w:r w:rsidRPr="00CA7EF2">
        <w:rPr>
          <w:rFonts w:eastAsia="Times New Roman"/>
          <w:b/>
          <w:sz w:val="24"/>
          <w:szCs w:val="24"/>
        </w:rPr>
        <w:tab/>
        <w:t>CHILDREN — STANDARD OF CARE — NEGLIGENCE (INCLUDING COMPARATIVE NEGLIGENCE CASES)</w:t>
      </w:r>
    </w:p>
    <w:p w14:paraId="64033FF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under the age of seven at the time of an occurrence is incapable of negligence.)</w:t>
      </w:r>
    </w:p>
    <w:p w14:paraId="6BBA991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(seven years of age or older at the time of an occurrence) is under a duty to use that degree of care which children of similar age, experience and intelligence would ordinarily use under the same or similar circumstances to protect (themselves) (others) from (bodily injury) (death) (property damage).</w:t>
      </w:r>
    </w:p>
    <w:p w14:paraId="7090BCF5" w14:textId="77777777" w:rsidR="00CA7EF2" w:rsidRDefault="00CA7EF2" w:rsidP="00CA7EF2">
      <w:pPr>
        <w:jc w:val="center"/>
        <w:rPr>
          <w:rFonts w:eastAsia="Times New Roman"/>
          <w:sz w:val="24"/>
          <w:szCs w:val="24"/>
        </w:rPr>
      </w:pPr>
    </w:p>
    <w:p w14:paraId="7BADF18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5B177885"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1. When there is no dispute that the child was under seven years, only the first parenthesized paragraph should be used. When there is no dispute that the child was over</w:t>
      </w:r>
      <w:r w:rsidRPr="00CA7EF2">
        <w:rPr>
          <w:rFonts w:eastAsia="Times New Roman"/>
          <w:i/>
          <w:sz w:val="24"/>
          <w:szCs w:val="24"/>
        </w:rPr>
        <w:t xml:space="preserve"> </w:t>
      </w:r>
      <w:r w:rsidRPr="00CA7EF2">
        <w:rPr>
          <w:rFonts w:eastAsia="Times New Roman"/>
          <w:sz w:val="24"/>
          <w:szCs w:val="24"/>
        </w:rPr>
        <w:t>the age of seven, only the second paragraph should be used, deleting the first parenthetical phrase referring to age. Where there is a dispute as to whether the child was under or over the age of seven, both paragraphs should be used. The other parenthetical words should be used as are appropriate to the issues in dispute and the evidence in the case. The alternative “others” or “themselves” is to be used depending on whether the minor party is alleged to have been negligent or contributorily negligent. If the minor party is alleged to have been both, then the instruction should read “themselves and others.”</w:t>
      </w:r>
    </w:p>
    <w:p w14:paraId="2E77743D"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2. While a child under the age of seven is incapable, as a matter of law, of being contributorily negligent, </w:t>
      </w:r>
      <w:r w:rsidRPr="00CA7EF2">
        <w:rPr>
          <w:rFonts w:eastAsia="Times New Roman"/>
          <w:i/>
          <w:sz w:val="24"/>
          <w:szCs w:val="24"/>
        </w:rPr>
        <w:t>see</w:t>
      </w:r>
      <w:r w:rsidRPr="00CA7EF2">
        <w:rPr>
          <w:rFonts w:eastAsia="Times New Roman"/>
          <w:sz w:val="24"/>
          <w:szCs w:val="24"/>
        </w:rPr>
        <w:t xml:space="preserve"> </w:t>
      </w:r>
      <w:r w:rsidRPr="00CA7EF2">
        <w:rPr>
          <w:rFonts w:eastAsia="Times New Roman"/>
          <w:b/>
          <w:sz w:val="24"/>
          <w:szCs w:val="24"/>
        </w:rPr>
        <w:t>Benallo v. Bare</w:t>
      </w:r>
      <w:r w:rsidRPr="00CA7EF2">
        <w:rPr>
          <w:rFonts w:eastAsia="Times New Roman"/>
          <w:sz w:val="24"/>
          <w:szCs w:val="24"/>
        </w:rPr>
        <w:t xml:space="preserve">, 162 Colo. 22, 427 P.2d 323 (1967), and </w:t>
      </w:r>
      <w:r w:rsidRPr="00CA7EF2">
        <w:rPr>
          <w:rFonts w:eastAsia="Times New Roman"/>
          <w:b/>
          <w:sz w:val="24"/>
          <w:szCs w:val="24"/>
        </w:rPr>
        <w:t>Fletcher v. Porter</w:t>
      </w:r>
      <w:r w:rsidRPr="00CA7EF2">
        <w:rPr>
          <w:rFonts w:eastAsia="Times New Roman"/>
          <w:sz w:val="24"/>
          <w:szCs w:val="24"/>
        </w:rPr>
        <w:t xml:space="preserve">, 754 P.2d 788 (Colo. App. 1988), a child seven years of age or more is capable of being negligent under this instruction. </w:t>
      </w:r>
      <w:r w:rsidRPr="00CA7EF2">
        <w:rPr>
          <w:rFonts w:eastAsia="Times New Roman"/>
          <w:b/>
          <w:sz w:val="24"/>
          <w:szCs w:val="24"/>
        </w:rPr>
        <w:t>LeCoq v. Klemme</w:t>
      </w:r>
      <w:r w:rsidRPr="00CA7EF2">
        <w:rPr>
          <w:rFonts w:eastAsia="Times New Roman"/>
          <w:sz w:val="24"/>
          <w:szCs w:val="24"/>
        </w:rPr>
        <w:t xml:space="preserve">, 28 Colo. App. 590, 476 P.2d 280 (1970). Also, although a child may be negligent or contributorily negligent under the common-law standard of care stated in this instruction, a child under the age of ten, because he cannot be found guilty of criminal conduct under the provisions of section 18-1-801, C.R.S., may not be found negligent or contributorily negligent under the doctrine of negligence per se (Instruction 9:14). </w:t>
      </w:r>
      <w:r w:rsidRPr="00CA7EF2">
        <w:rPr>
          <w:rFonts w:eastAsia="Times New Roman"/>
          <w:b/>
          <w:sz w:val="24"/>
          <w:szCs w:val="24"/>
        </w:rPr>
        <w:t>Calkins v. Albi</w:t>
      </w:r>
      <w:r w:rsidRPr="00CA7EF2">
        <w:rPr>
          <w:rFonts w:eastAsia="Times New Roman"/>
          <w:sz w:val="24"/>
          <w:szCs w:val="24"/>
        </w:rPr>
        <w:t>, 163 Colo. 370, 431 P.2d 17 (1967).</w:t>
      </w:r>
    </w:p>
    <w:p w14:paraId="37B30D8B"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3. The usual standard of care required of children as set out in this instruction does not apply to a minor operating a motor vehicle. </w:t>
      </w:r>
      <w:r w:rsidRPr="00CA7EF2">
        <w:rPr>
          <w:rFonts w:eastAsia="Times New Roman"/>
          <w:i/>
          <w:sz w:val="24"/>
          <w:szCs w:val="24"/>
        </w:rPr>
        <w:t>See</w:t>
      </w:r>
      <w:r w:rsidRPr="00CA7EF2">
        <w:rPr>
          <w:rFonts w:eastAsia="Times New Roman"/>
          <w:sz w:val="24"/>
          <w:szCs w:val="24"/>
        </w:rPr>
        <w:t xml:space="preserve"> Instruction 11:5 (duty of care of minor operating motor vehicle).</w:t>
      </w:r>
    </w:p>
    <w:p w14:paraId="6B1B6EFA"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67D52BA" w14:textId="77777777" w:rsidR="00CA7EF2" w:rsidRDefault="00CA7EF2" w:rsidP="00CA7EF2">
      <w:pPr>
        <w:spacing w:after="240"/>
        <w:ind w:firstLine="720"/>
      </w:pPr>
      <w:r w:rsidRPr="00CA7EF2">
        <w:rPr>
          <w:rFonts w:eastAsia="Times New Roman"/>
          <w:bCs/>
          <w:sz w:val="24"/>
          <w:szCs w:val="24"/>
        </w:rPr>
        <w:t xml:space="preserve">This instruction is supported by </w:t>
      </w:r>
      <w:r w:rsidRPr="00CA7EF2">
        <w:rPr>
          <w:rFonts w:eastAsia="Times New Roman"/>
          <w:b/>
          <w:bCs/>
          <w:sz w:val="24"/>
          <w:szCs w:val="24"/>
        </w:rPr>
        <w:t>Roberts v. Fisher</w:t>
      </w:r>
      <w:r w:rsidRPr="00CA7EF2">
        <w:rPr>
          <w:rFonts w:eastAsia="Times New Roman"/>
          <w:bCs/>
          <w:sz w:val="24"/>
          <w:szCs w:val="24"/>
        </w:rPr>
        <w:t xml:space="preserve">, 169 Colo. 288, 455 P.2d 871 (1969) (age); </w:t>
      </w:r>
      <w:r w:rsidRPr="00CA7EF2">
        <w:rPr>
          <w:rFonts w:eastAsia="Times New Roman"/>
          <w:b/>
          <w:bCs/>
          <w:sz w:val="24"/>
          <w:szCs w:val="24"/>
        </w:rPr>
        <w:t>Krause v. Watson Brothers Transportation Co.</w:t>
      </w:r>
      <w:r w:rsidRPr="00CA7EF2">
        <w:rPr>
          <w:rFonts w:eastAsia="Times New Roman"/>
          <w:bCs/>
          <w:sz w:val="24"/>
          <w:szCs w:val="24"/>
        </w:rPr>
        <w:t xml:space="preserve">, 119 Colo. 73, 200 P.2d 387 (1948) (age); </w:t>
      </w:r>
      <w:r w:rsidRPr="00CA7EF2">
        <w:rPr>
          <w:rFonts w:eastAsia="Times New Roman"/>
          <w:b/>
          <w:bCs/>
          <w:sz w:val="24"/>
          <w:szCs w:val="24"/>
        </w:rPr>
        <w:t>Lakeside Park Co. v. Wein</w:t>
      </w:r>
      <w:r w:rsidRPr="00CA7EF2">
        <w:rPr>
          <w:rFonts w:eastAsia="Times New Roman"/>
          <w:bCs/>
          <w:sz w:val="24"/>
          <w:szCs w:val="24"/>
        </w:rPr>
        <w:t xml:space="preserve">, 111 Colo. 322, 141 P.2d 171 (1943) (age and intelligence); </w:t>
      </w:r>
      <w:r w:rsidRPr="00CA7EF2">
        <w:rPr>
          <w:rFonts w:eastAsia="Times New Roman"/>
          <w:b/>
          <w:bCs/>
          <w:sz w:val="24"/>
          <w:szCs w:val="24"/>
        </w:rPr>
        <w:t>Simkins v. Dowis</w:t>
      </w:r>
      <w:r w:rsidRPr="00CA7EF2">
        <w:rPr>
          <w:rFonts w:eastAsia="Times New Roman"/>
          <w:bCs/>
          <w:sz w:val="24"/>
          <w:szCs w:val="24"/>
        </w:rPr>
        <w:t>,</w:t>
      </w:r>
      <w:r w:rsidRPr="00CA7EF2">
        <w:rPr>
          <w:rFonts w:eastAsia="Times New Roman"/>
          <w:b/>
          <w:bCs/>
          <w:sz w:val="24"/>
          <w:szCs w:val="24"/>
        </w:rPr>
        <w:t xml:space="preserve"> </w:t>
      </w:r>
      <w:r w:rsidRPr="00CA7EF2">
        <w:rPr>
          <w:rFonts w:eastAsia="Times New Roman"/>
          <w:bCs/>
          <w:sz w:val="24"/>
          <w:szCs w:val="24"/>
        </w:rPr>
        <w:t xml:space="preserve">100 Colo. 355, 67 P.2d 627 (1937) (age and intelligence); </w:t>
      </w:r>
      <w:r w:rsidRPr="00CA7EF2">
        <w:rPr>
          <w:rFonts w:eastAsia="Times New Roman"/>
          <w:b/>
          <w:bCs/>
          <w:sz w:val="24"/>
          <w:szCs w:val="24"/>
        </w:rPr>
        <w:t>Colorado Utilities Corp. v. Casady</w:t>
      </w:r>
      <w:r w:rsidRPr="00CA7EF2">
        <w:rPr>
          <w:rFonts w:eastAsia="Times New Roman"/>
          <w:bCs/>
          <w:sz w:val="24"/>
          <w:szCs w:val="24"/>
        </w:rPr>
        <w:t xml:space="preserve">, 89 Colo. 156, 300 P. 601 (1931) (age); </w:t>
      </w:r>
      <w:r w:rsidRPr="00CA7EF2">
        <w:rPr>
          <w:rFonts w:eastAsia="Times New Roman"/>
          <w:bCs/>
          <w:smallCaps/>
          <w:sz w:val="24"/>
          <w:szCs w:val="24"/>
        </w:rPr>
        <w:t>Restatement (Second) of Torts</w:t>
      </w:r>
      <w:r w:rsidRPr="00CA7EF2">
        <w:rPr>
          <w:rFonts w:eastAsia="Times New Roman"/>
          <w:bCs/>
          <w:sz w:val="24"/>
          <w:szCs w:val="24"/>
        </w:rPr>
        <w:t xml:space="preserve"> §§ 283A, 464 (1965); and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32, at 179-82 (5th ed. 1984).</w:t>
      </w:r>
      <w:r>
        <w:br w:type="page"/>
      </w:r>
    </w:p>
    <w:p w14:paraId="60DB5E3E" w14:textId="77777777" w:rsidR="00CA7EF2" w:rsidRPr="009E3DA4" w:rsidRDefault="00CA7EF2" w:rsidP="00CA7EF2">
      <w:pPr>
        <w:spacing w:after="240"/>
        <w:ind w:left="720" w:hanging="720"/>
        <w:rPr>
          <w:rFonts w:eastAsia="Times New Roman"/>
          <w:b/>
          <w:sz w:val="24"/>
          <w:szCs w:val="24"/>
        </w:rPr>
      </w:pPr>
      <w:bookmarkStart w:id="12" w:name="a9_10"/>
      <w:bookmarkEnd w:id="12"/>
      <w:r w:rsidRPr="00CA7EF2">
        <w:rPr>
          <w:rFonts w:eastAsia="Times New Roman"/>
          <w:b/>
          <w:sz w:val="24"/>
          <w:szCs w:val="24"/>
        </w:rPr>
        <w:lastRenderedPageBreak/>
        <w:t xml:space="preserve">9:10 </w:t>
      </w:r>
      <w:r w:rsidRPr="00CA7EF2">
        <w:rPr>
          <w:rFonts w:eastAsia="Times New Roman"/>
          <w:b/>
          <w:sz w:val="24"/>
          <w:szCs w:val="24"/>
        </w:rPr>
        <w:tab/>
        <w:t>VOLUNTEER — DUTY OF CARE</w:t>
      </w:r>
    </w:p>
    <w:p w14:paraId="5ABB64F6" w14:textId="77777777" w:rsidR="0090292A" w:rsidRPr="0090292A" w:rsidRDefault="0090292A" w:rsidP="0090292A">
      <w:pPr>
        <w:spacing w:after="240"/>
        <w:ind w:firstLine="720"/>
        <w:rPr>
          <w:rFonts w:eastAsia="Times New Roman"/>
          <w:b/>
          <w:sz w:val="24"/>
          <w:szCs w:val="24"/>
        </w:rPr>
      </w:pPr>
      <w:r w:rsidRPr="0090292A">
        <w:rPr>
          <w:rFonts w:eastAsia="Times New Roman"/>
          <w:b/>
          <w:sz w:val="24"/>
          <w:szCs w:val="24"/>
        </w:rPr>
        <w:t>One who voluntarily assumes the care of an (injured) (ill) person is under a duty to act as a reasonably careful person would under the same or similar circumstances.</w:t>
      </w:r>
    </w:p>
    <w:p w14:paraId="621D158B" w14:textId="77777777" w:rsidR="00CA7EF2" w:rsidRDefault="00CA7EF2" w:rsidP="00CA7EF2">
      <w:pPr>
        <w:jc w:val="center"/>
        <w:rPr>
          <w:rFonts w:eastAsia="Times New Roman"/>
          <w:sz w:val="24"/>
          <w:szCs w:val="24"/>
        </w:rPr>
      </w:pPr>
    </w:p>
    <w:p w14:paraId="10D0701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27688F67"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1. Use whichever parenthesized word is more appropriate.</w:t>
      </w:r>
    </w:p>
    <w:p w14:paraId="7152179D" w14:textId="60D7868C"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2. In appropriate cases this instruction may be modified to state the general rule concerning the duty of a volunteer who assumes a duty of affirmative action. </w:t>
      </w:r>
      <w:r w:rsidRPr="0090292A">
        <w:rPr>
          <w:rFonts w:eastAsia="Times New Roman"/>
          <w:i/>
          <w:sz w:val="24"/>
          <w:szCs w:val="24"/>
        </w:rPr>
        <w:t>See</w:t>
      </w:r>
      <w:r w:rsidRPr="0090292A">
        <w:rPr>
          <w:rFonts w:eastAsia="Times New Roman"/>
          <w:sz w:val="24"/>
          <w:szCs w:val="24"/>
        </w:rPr>
        <w:t xml:space="preserve"> </w:t>
      </w:r>
      <w:r w:rsidRPr="0090292A">
        <w:rPr>
          <w:rFonts w:eastAsia="Times New Roman"/>
          <w:b/>
          <w:sz w:val="24"/>
          <w:szCs w:val="24"/>
        </w:rPr>
        <w:t>Leppke v. Segura</w:t>
      </w:r>
      <w:r w:rsidRPr="0090292A">
        <w:rPr>
          <w:rFonts w:eastAsia="Times New Roman"/>
          <w:sz w:val="24"/>
          <w:szCs w:val="24"/>
        </w:rPr>
        <w:t>,</w:t>
      </w:r>
      <w:r w:rsidRPr="0090292A">
        <w:rPr>
          <w:rFonts w:eastAsia="Times New Roman"/>
          <w:b/>
          <w:sz w:val="24"/>
          <w:szCs w:val="24"/>
        </w:rPr>
        <w:t xml:space="preserve"> </w:t>
      </w:r>
      <w:r w:rsidRPr="0090292A">
        <w:rPr>
          <w:rFonts w:eastAsia="Times New Roman"/>
          <w:sz w:val="24"/>
          <w:szCs w:val="24"/>
        </w:rPr>
        <w:t>632 P.2d 1057 (Colo. App. 1981) (one who does an affirmative act has a duty to use due care to avoid creating, as a result of such act, an unreasonable risk of foreseeable damage or injury to foreseeable persons (</w:t>
      </w:r>
      <w:r w:rsidR="007F3861">
        <w:rPr>
          <w:rFonts w:eastAsia="Times New Roman"/>
          <w:sz w:val="24"/>
          <w:szCs w:val="24"/>
        </w:rPr>
        <w:t>applying</w:t>
      </w:r>
      <w:r w:rsidR="007F3861" w:rsidRPr="0090292A">
        <w:rPr>
          <w:rFonts w:eastAsia="Times New Roman"/>
          <w:sz w:val="24"/>
          <w:szCs w:val="24"/>
        </w:rPr>
        <w:t xml:space="preserve"> </w:t>
      </w:r>
      <w:r w:rsidRPr="0090292A">
        <w:rPr>
          <w:rFonts w:eastAsia="Times New Roman"/>
          <w:smallCaps/>
          <w:sz w:val="24"/>
          <w:szCs w:val="24"/>
        </w:rPr>
        <w:t>Restatement (Second) of Torts</w:t>
      </w:r>
      <w:r w:rsidRPr="0090292A">
        <w:rPr>
          <w:rFonts w:eastAsia="Times New Roman"/>
          <w:sz w:val="24"/>
          <w:szCs w:val="24"/>
        </w:rPr>
        <w:t xml:space="preserve"> § 302 cmt. a (1965) (citing § 320))).</w:t>
      </w:r>
    </w:p>
    <w:p w14:paraId="7560E0E3"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3. This instruction either should not be given, or, if given, should be appropriately modified in cases in which a statutory immunity from liability for ordinary negligence may be applicable. </w:t>
      </w:r>
      <w:r w:rsidRPr="0090292A">
        <w:rPr>
          <w:rFonts w:eastAsia="Times New Roman"/>
          <w:i/>
          <w:sz w:val="24"/>
          <w:szCs w:val="24"/>
        </w:rPr>
        <w:t>See, e.g</w:t>
      </w:r>
      <w:r w:rsidRPr="0090292A">
        <w:rPr>
          <w:rFonts w:eastAsia="Times New Roman"/>
          <w:sz w:val="24"/>
          <w:szCs w:val="24"/>
        </w:rPr>
        <w:t>., § 13-21-116(2), C.R.S. (acts or omissions of gratuitous volunteers); § 13-21-108, C.R.S. (“Good Samaritan” statute); § 13-21-114, C.R.S. (immunity of persons and organizations engaged in mine rescue or recovery work).</w:t>
      </w:r>
    </w:p>
    <w:p w14:paraId="20A0523D"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417FA5AF"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This instruction is supported by </w:t>
      </w:r>
      <w:r w:rsidRPr="00B97801">
        <w:rPr>
          <w:rFonts w:eastAsia="Times New Roman"/>
          <w:bCs/>
          <w:smallCaps/>
          <w:sz w:val="24"/>
          <w:szCs w:val="24"/>
        </w:rPr>
        <w:t>Restatement (Second) of Torts</w:t>
      </w:r>
      <w:r w:rsidRPr="00B97801">
        <w:rPr>
          <w:rFonts w:eastAsia="Times New Roman"/>
          <w:bCs/>
          <w:sz w:val="24"/>
          <w:szCs w:val="24"/>
        </w:rPr>
        <w:t xml:space="preserve"> §§ 324, 324A (1965).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
          <w:bCs/>
          <w:sz w:val="24"/>
          <w:szCs w:val="24"/>
        </w:rPr>
        <w:t>St. Luke’s Hospital v. Indus. Comm’n</w:t>
      </w:r>
      <w:r w:rsidRPr="00B97801">
        <w:rPr>
          <w:rFonts w:eastAsia="Times New Roman"/>
          <w:bCs/>
          <w:sz w:val="24"/>
          <w:szCs w:val="24"/>
        </w:rPr>
        <w:t>, 142 Colo. 28, 349 P.2d 995 (1960) (dictum).</w:t>
      </w:r>
    </w:p>
    <w:p w14:paraId="5903F4E7" w14:textId="77777777" w:rsidR="00B97801" w:rsidRDefault="00B97801">
      <w:pPr>
        <w:rPr>
          <w:rFonts w:eastAsia="Times New Roman"/>
          <w:sz w:val="24"/>
          <w:szCs w:val="24"/>
        </w:rPr>
      </w:pPr>
      <w:r>
        <w:rPr>
          <w:rFonts w:eastAsia="Times New Roman"/>
          <w:sz w:val="24"/>
          <w:szCs w:val="24"/>
        </w:rPr>
        <w:br w:type="page"/>
      </w:r>
    </w:p>
    <w:p w14:paraId="07D722F4" w14:textId="77777777" w:rsidR="00B97801" w:rsidRPr="009E3DA4" w:rsidRDefault="00B97801" w:rsidP="00B97801">
      <w:pPr>
        <w:spacing w:after="240"/>
        <w:ind w:left="720" w:hanging="720"/>
        <w:rPr>
          <w:rFonts w:eastAsia="Times New Roman"/>
          <w:b/>
          <w:sz w:val="24"/>
          <w:szCs w:val="24"/>
        </w:rPr>
      </w:pPr>
      <w:bookmarkStart w:id="13" w:name="a9_11"/>
      <w:bookmarkEnd w:id="13"/>
      <w:r w:rsidRPr="00B97801">
        <w:rPr>
          <w:rFonts w:eastAsia="Times New Roman"/>
          <w:b/>
          <w:sz w:val="24"/>
          <w:szCs w:val="24"/>
        </w:rPr>
        <w:lastRenderedPageBreak/>
        <w:t xml:space="preserve">9:11 </w:t>
      </w:r>
      <w:r w:rsidRPr="00B97801">
        <w:rPr>
          <w:rFonts w:eastAsia="Times New Roman"/>
          <w:b/>
          <w:sz w:val="24"/>
          <w:szCs w:val="24"/>
        </w:rPr>
        <w:tab/>
        <w:t>SUDDEN EMERGENCY</w:t>
      </w:r>
    </w:p>
    <w:p w14:paraId="6364A6BB"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Instruction Deleted</w:t>
      </w:r>
    </w:p>
    <w:p w14:paraId="275D47B3"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Note</w:t>
      </w:r>
    </w:p>
    <w:p w14:paraId="409469DB"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In </w:t>
      </w:r>
      <w:r w:rsidRPr="00B97801">
        <w:rPr>
          <w:rFonts w:eastAsia="Times New Roman"/>
          <w:b/>
          <w:sz w:val="24"/>
          <w:szCs w:val="24"/>
        </w:rPr>
        <w:t>Bedor v. Johnson</w:t>
      </w:r>
      <w:r w:rsidRPr="00B97801">
        <w:rPr>
          <w:rFonts w:eastAsia="Times New Roman"/>
          <w:sz w:val="24"/>
          <w:szCs w:val="24"/>
        </w:rPr>
        <w:t>, 2013 CO 4, ¶ 2, 292 P.3d 924, the Colorado Supreme Court held that trial courts should no longer give the sudden emergency instruction in negligence cases because the instruction’s potential to mislead the jury greatly outweighs its minimal utility.</w:t>
      </w:r>
    </w:p>
    <w:p w14:paraId="18ADC982" w14:textId="77777777" w:rsidR="00B97801" w:rsidRDefault="00B97801">
      <w:pPr>
        <w:rPr>
          <w:rFonts w:eastAsia="Times New Roman"/>
          <w:sz w:val="24"/>
          <w:szCs w:val="24"/>
        </w:rPr>
      </w:pPr>
      <w:r>
        <w:rPr>
          <w:rFonts w:eastAsia="Times New Roman"/>
          <w:sz w:val="24"/>
          <w:szCs w:val="24"/>
        </w:rPr>
        <w:br w:type="page"/>
      </w:r>
    </w:p>
    <w:p w14:paraId="5E18369F" w14:textId="77777777" w:rsidR="00B97801" w:rsidRPr="009E3DA4" w:rsidRDefault="00B97801" w:rsidP="00B97801">
      <w:pPr>
        <w:spacing w:after="240"/>
        <w:ind w:left="720" w:hanging="720"/>
        <w:rPr>
          <w:rFonts w:eastAsia="Times New Roman"/>
          <w:b/>
          <w:sz w:val="24"/>
          <w:szCs w:val="24"/>
        </w:rPr>
      </w:pPr>
      <w:bookmarkStart w:id="14" w:name="a9_12"/>
      <w:bookmarkEnd w:id="14"/>
      <w:r w:rsidRPr="00B97801">
        <w:rPr>
          <w:rFonts w:eastAsia="Times New Roman"/>
          <w:b/>
          <w:sz w:val="24"/>
          <w:szCs w:val="24"/>
        </w:rPr>
        <w:lastRenderedPageBreak/>
        <w:t xml:space="preserve">9:12 </w:t>
      </w:r>
      <w:r w:rsidRPr="00B97801">
        <w:rPr>
          <w:rFonts w:eastAsia="Times New Roman"/>
          <w:b/>
          <w:sz w:val="24"/>
          <w:szCs w:val="24"/>
        </w:rPr>
        <w:tab/>
        <w:t>HAPPENING OF ACCIDENT NOT PRESUMPTIVE NEGLIGENCE</w:t>
      </w:r>
    </w:p>
    <w:p w14:paraId="61F46D04"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The occurrence of an accident does not raise any presumption of negligence on the part of either the plaintiff or the defendant.</w:t>
      </w:r>
    </w:p>
    <w:p w14:paraId="79072AEF" w14:textId="77777777" w:rsidR="00B97801" w:rsidRDefault="00B97801" w:rsidP="00B97801">
      <w:pPr>
        <w:jc w:val="center"/>
        <w:rPr>
          <w:rFonts w:eastAsia="Times New Roman"/>
          <w:sz w:val="24"/>
          <w:szCs w:val="24"/>
        </w:rPr>
      </w:pPr>
    </w:p>
    <w:p w14:paraId="23071607"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61E4C01D"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1. This instruction should not be given in cases where the happening of an accident does give rise to a presumption of negligence, e.g., rear-end collision cases (Instruction 11:12) and res ipsa loquitur cases (Instruction 9:17). </w:t>
      </w:r>
      <w:r w:rsidRPr="00B97801">
        <w:rPr>
          <w:rFonts w:eastAsia="Times New Roman"/>
          <w:b/>
          <w:sz w:val="24"/>
          <w:szCs w:val="24"/>
        </w:rPr>
        <w:t>Gambrell v. Ravin</w:t>
      </w:r>
      <w:r w:rsidRPr="00B97801">
        <w:rPr>
          <w:rFonts w:eastAsia="Times New Roman"/>
          <w:sz w:val="24"/>
          <w:szCs w:val="24"/>
        </w:rPr>
        <w:t xml:space="preserve">, 764 P.2d 362 (Colo. App. 1988), </w:t>
      </w:r>
      <w:r w:rsidRPr="00B97801">
        <w:rPr>
          <w:rFonts w:eastAsia="Times New Roman"/>
          <w:i/>
          <w:sz w:val="24"/>
          <w:szCs w:val="24"/>
        </w:rPr>
        <w:t>aff’d</w:t>
      </w:r>
      <w:r w:rsidRPr="00B97801">
        <w:rPr>
          <w:rFonts w:eastAsia="Times New Roman"/>
          <w:sz w:val="24"/>
          <w:szCs w:val="24"/>
        </w:rPr>
        <w:t xml:space="preserve">, 788 P.2d 817 (Colo. 1990); </w:t>
      </w:r>
      <w:r w:rsidRPr="00B97801">
        <w:rPr>
          <w:rFonts w:eastAsia="Times New Roman"/>
          <w:b/>
          <w:sz w:val="24"/>
          <w:szCs w:val="24"/>
        </w:rPr>
        <w:t>Kitto v. Gilbert</w:t>
      </w:r>
      <w:r w:rsidRPr="00B97801">
        <w:rPr>
          <w:rFonts w:eastAsia="Times New Roman"/>
          <w:sz w:val="24"/>
          <w:szCs w:val="24"/>
        </w:rPr>
        <w:t xml:space="preserve">, 39 Colo. App. 374, 570 P.2d 544 (1977).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w:t>
      </w:r>
      <w:r w:rsidRPr="00B97801">
        <w:rPr>
          <w:rFonts w:eastAsia="Times New Roman"/>
          <w:b/>
          <w:sz w:val="24"/>
          <w:szCs w:val="24"/>
        </w:rPr>
        <w:t xml:space="preserve"> </w:t>
      </w:r>
      <w:r w:rsidRPr="00B97801">
        <w:rPr>
          <w:rFonts w:eastAsia="Times New Roman"/>
          <w:sz w:val="24"/>
          <w:szCs w:val="24"/>
        </w:rPr>
        <w:t>711 P.2d 671 (Colo. 1985) (instruction should not be given where it would conflict with a contrary presumption created by statute).</w:t>
      </w:r>
    </w:p>
    <w:p w14:paraId="1FAB13DF"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012604BE"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1. This instruction is supported by </w:t>
      </w:r>
      <w:r w:rsidRPr="00B97801">
        <w:rPr>
          <w:rFonts w:eastAsia="Times New Roman"/>
          <w:b/>
          <w:bCs/>
          <w:sz w:val="24"/>
          <w:szCs w:val="24"/>
        </w:rPr>
        <w:t>Kendrick v. Pippin</w:t>
      </w:r>
      <w:r w:rsidRPr="00B97801">
        <w:rPr>
          <w:rFonts w:eastAsia="Times New Roman"/>
          <w:bCs/>
          <w:sz w:val="24"/>
          <w:szCs w:val="24"/>
        </w:rPr>
        <w:t xml:space="preserve">, 252 P.3d 1052 (Colo. 2011); </w:t>
      </w:r>
      <w:r w:rsidRPr="00B97801">
        <w:rPr>
          <w:rFonts w:eastAsia="Times New Roman"/>
          <w:b/>
          <w:bCs/>
          <w:sz w:val="24"/>
          <w:szCs w:val="24"/>
        </w:rPr>
        <w:t>Pence v. Chaudet</w:t>
      </w:r>
      <w:r w:rsidRPr="00B97801">
        <w:rPr>
          <w:rFonts w:eastAsia="Times New Roman"/>
          <w:bCs/>
          <w:sz w:val="24"/>
          <w:szCs w:val="24"/>
        </w:rPr>
        <w:t xml:space="preserve">, 163 Colo. 104, 428 P.2d 705 (1967); </w:t>
      </w:r>
      <w:r w:rsidRPr="00B97801">
        <w:rPr>
          <w:rFonts w:eastAsia="Times New Roman"/>
          <w:b/>
          <w:bCs/>
          <w:sz w:val="24"/>
          <w:szCs w:val="24"/>
        </w:rPr>
        <w:t>City of Aurora v. Weeks</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152 Colo. 509, 384 P.2d 90 (1963); </w:t>
      </w:r>
      <w:r w:rsidRPr="00B97801">
        <w:rPr>
          <w:rFonts w:eastAsia="Times New Roman"/>
          <w:b/>
          <w:bCs/>
          <w:sz w:val="24"/>
          <w:szCs w:val="24"/>
        </w:rPr>
        <w:t>National Construction Co. v. Holt</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137 Colo. 208, 322 P.2d 1046 (1958); and </w:t>
      </w:r>
      <w:r w:rsidRPr="00B97801">
        <w:rPr>
          <w:rFonts w:eastAsia="Times New Roman"/>
          <w:b/>
          <w:bCs/>
          <w:sz w:val="24"/>
          <w:szCs w:val="24"/>
        </w:rPr>
        <w:t>Perry Lumber Co. v. Ruybal</w:t>
      </w:r>
      <w:r w:rsidRPr="00B97801">
        <w:rPr>
          <w:rFonts w:eastAsia="Times New Roman"/>
          <w:bCs/>
          <w:sz w:val="24"/>
          <w:szCs w:val="24"/>
        </w:rPr>
        <w:t xml:space="preserve">, 133 Colo. 502, 297 P.2d 531 (1956).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Cs/>
          <w:smallCaps/>
          <w:sz w:val="24"/>
          <w:szCs w:val="24"/>
        </w:rPr>
        <w:t>W. Page Keeton et al., Prosser and Keeton on the Law of Torts</w:t>
      </w:r>
      <w:r w:rsidRPr="00B97801">
        <w:rPr>
          <w:rFonts w:eastAsia="Times New Roman"/>
          <w:bCs/>
          <w:sz w:val="24"/>
          <w:szCs w:val="24"/>
        </w:rPr>
        <w:t xml:space="preserve"> § 39, at 242 (5th ed. 1984).</w:t>
      </w:r>
    </w:p>
    <w:p w14:paraId="2A909F60"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2. “While it is true, that ‘proof of the happening of an accident, or the incurrence of an injury alone raises no inference of negligence,’ it is equally true that negligence may be established by the facts and circumstances surrounding an accident.” </w:t>
      </w:r>
      <w:r w:rsidRPr="00B97801">
        <w:rPr>
          <w:rFonts w:eastAsia="Times New Roman"/>
          <w:b/>
          <w:bCs/>
          <w:sz w:val="24"/>
          <w:szCs w:val="24"/>
        </w:rPr>
        <w:t>Remley v. Newton</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147 Colo. 401, 405, 364 P.2d 581, 583 (1961); </w:t>
      </w:r>
      <w:r w:rsidRPr="00B97801">
        <w:rPr>
          <w:rFonts w:eastAsia="Times New Roman"/>
          <w:bCs/>
          <w:i/>
          <w:sz w:val="24"/>
          <w:szCs w:val="24"/>
        </w:rPr>
        <w:t>accord</w:t>
      </w:r>
      <w:r w:rsidRPr="00B97801">
        <w:rPr>
          <w:rFonts w:eastAsia="Times New Roman"/>
          <w:bCs/>
          <w:sz w:val="24"/>
          <w:szCs w:val="24"/>
        </w:rPr>
        <w:t xml:space="preserve"> </w:t>
      </w:r>
      <w:r w:rsidRPr="00B97801">
        <w:rPr>
          <w:rFonts w:eastAsia="Times New Roman"/>
          <w:b/>
          <w:bCs/>
          <w:sz w:val="24"/>
          <w:szCs w:val="24"/>
        </w:rPr>
        <w:t>Alhilo v. Kliem</w:t>
      </w:r>
      <w:r w:rsidRPr="00B97801">
        <w:rPr>
          <w:rFonts w:eastAsia="Times New Roman"/>
          <w:bCs/>
          <w:sz w:val="24"/>
          <w:szCs w:val="24"/>
        </w:rPr>
        <w:t>, 2016 COA 142, ¶ 42</w:t>
      </w:r>
      <w:r w:rsidR="002E1D11">
        <w:rPr>
          <w:rFonts w:eastAsia="Times New Roman"/>
          <w:bCs/>
          <w:sz w:val="24"/>
          <w:szCs w:val="24"/>
        </w:rPr>
        <w:t>, 412 P.3d 902</w:t>
      </w:r>
      <w:r w:rsidRPr="00B97801">
        <w:rPr>
          <w:rFonts w:eastAsia="Times New Roman"/>
          <w:bCs/>
          <w:sz w:val="24"/>
          <w:szCs w:val="24"/>
        </w:rPr>
        <w:t>.</w:t>
      </w:r>
    </w:p>
    <w:p w14:paraId="093F021E" w14:textId="77777777" w:rsidR="00B97801" w:rsidRDefault="00B97801">
      <w:pPr>
        <w:rPr>
          <w:rFonts w:eastAsia="Times New Roman"/>
          <w:sz w:val="24"/>
          <w:szCs w:val="24"/>
        </w:rPr>
      </w:pPr>
      <w:r>
        <w:rPr>
          <w:rFonts w:eastAsia="Times New Roman"/>
          <w:sz w:val="24"/>
          <w:szCs w:val="24"/>
        </w:rPr>
        <w:br w:type="page"/>
      </w:r>
    </w:p>
    <w:p w14:paraId="5140E884" w14:textId="77777777" w:rsidR="00B97801" w:rsidRPr="009E3DA4" w:rsidRDefault="00B97801" w:rsidP="00B97801">
      <w:pPr>
        <w:spacing w:after="240"/>
        <w:ind w:left="720" w:hanging="720"/>
        <w:rPr>
          <w:rFonts w:eastAsia="Times New Roman"/>
          <w:b/>
          <w:sz w:val="24"/>
          <w:szCs w:val="24"/>
        </w:rPr>
      </w:pPr>
      <w:bookmarkStart w:id="15" w:name="a9_13"/>
      <w:bookmarkEnd w:id="15"/>
      <w:r w:rsidRPr="00B97801">
        <w:rPr>
          <w:rFonts w:eastAsia="Times New Roman"/>
          <w:b/>
          <w:sz w:val="24"/>
          <w:szCs w:val="24"/>
        </w:rPr>
        <w:lastRenderedPageBreak/>
        <w:t xml:space="preserve">9:13 </w:t>
      </w:r>
      <w:r w:rsidRPr="00B97801">
        <w:rPr>
          <w:rFonts w:eastAsia="Times New Roman"/>
          <w:b/>
          <w:sz w:val="24"/>
          <w:szCs w:val="24"/>
        </w:rPr>
        <w:tab/>
        <w:t>LOOKING BUT FAILING TO SEE AS NEGLIGENCE</w:t>
      </w:r>
    </w:p>
    <w:p w14:paraId="4224E735"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To look in such a manner as to fail to see what must have been plainly visible is to look without a reasonable degree of care and is of no more effect than not to have looked at all.</w:t>
      </w:r>
    </w:p>
    <w:p w14:paraId="1CC6B6EB" w14:textId="77777777" w:rsidR="00B97801" w:rsidRDefault="00B97801" w:rsidP="00B97801">
      <w:pPr>
        <w:jc w:val="center"/>
        <w:rPr>
          <w:rFonts w:eastAsia="Times New Roman"/>
          <w:sz w:val="24"/>
          <w:szCs w:val="24"/>
        </w:rPr>
      </w:pPr>
    </w:p>
    <w:p w14:paraId="0E6426F9"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3337CA84"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1. This instruction may be given in cases of contributory negligence as well as negligence.</w:t>
      </w:r>
    </w:p>
    <w:p w14:paraId="7E60FC4C"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2. The giving of Instruction 11:1 (duty to maintain lookout) is not necessarily precluded by the giving of this instruction. </w:t>
      </w:r>
      <w:r w:rsidRPr="00B97801">
        <w:rPr>
          <w:rFonts w:eastAsia="Times New Roman"/>
          <w:b/>
          <w:sz w:val="24"/>
          <w:szCs w:val="24"/>
        </w:rPr>
        <w:t>Horton v. Mondragon</w:t>
      </w:r>
      <w:r w:rsidRPr="00B97801">
        <w:rPr>
          <w:rFonts w:eastAsia="Times New Roman"/>
          <w:sz w:val="24"/>
          <w:szCs w:val="24"/>
        </w:rPr>
        <w:t>, 705 P.2d 977 (Colo. App. 1984).</w:t>
      </w:r>
    </w:p>
    <w:p w14:paraId="69BBE159"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3. This instruction should not be given unless “the alleged negligence involved the failure to see something which was plainly visible, and the allegedly negligent actor [claims or admits] he did not see it.” </w:t>
      </w:r>
      <w:r w:rsidRPr="00B97801">
        <w:rPr>
          <w:rFonts w:eastAsia="Times New Roman"/>
          <w:b/>
          <w:sz w:val="24"/>
          <w:szCs w:val="24"/>
        </w:rPr>
        <w:t>Zavorka v. Union Pac. R.R.</w:t>
      </w:r>
      <w:r w:rsidRPr="00B97801">
        <w:rPr>
          <w:rFonts w:eastAsia="Times New Roman"/>
          <w:sz w:val="24"/>
          <w:szCs w:val="24"/>
        </w:rPr>
        <w:t xml:space="preserve">, 690 P.2d 1285, 1289 (Colo. App. 1984); </w:t>
      </w:r>
      <w:r w:rsidRPr="00B97801">
        <w:rPr>
          <w:rFonts w:eastAsia="Times New Roman"/>
          <w:i/>
          <w:sz w:val="24"/>
          <w:szCs w:val="24"/>
        </w:rPr>
        <w:t xml:space="preserve">accord </w:t>
      </w:r>
      <w:r w:rsidRPr="00B97801">
        <w:rPr>
          <w:rFonts w:eastAsia="Times New Roman"/>
          <w:b/>
          <w:sz w:val="24"/>
          <w:szCs w:val="24"/>
        </w:rPr>
        <w:t>Regents of the Univ. of Colo. v. Harbert Constr. Co.</w:t>
      </w:r>
      <w:r w:rsidRPr="00B97801">
        <w:rPr>
          <w:rFonts w:eastAsia="Times New Roman"/>
          <w:sz w:val="24"/>
          <w:szCs w:val="24"/>
        </w:rPr>
        <w:t xml:space="preserve">, 51 P.3d 1037 (Colo. App. 2001). This instruction must be appropriately modified if there is conflicting evidence as to whether the thing to be observed was plainly visible. </w:t>
      </w:r>
      <w:r w:rsidRPr="00B97801">
        <w:rPr>
          <w:rFonts w:eastAsia="Times New Roman"/>
          <w:b/>
          <w:sz w:val="24"/>
          <w:szCs w:val="24"/>
        </w:rPr>
        <w:t>Brady v. Burlington N. R.R.</w:t>
      </w:r>
      <w:r w:rsidRPr="00B97801">
        <w:rPr>
          <w:rFonts w:eastAsia="Times New Roman"/>
          <w:sz w:val="24"/>
          <w:szCs w:val="24"/>
        </w:rPr>
        <w:t xml:space="preserve">, 752 P.2d 592 (Colo. App. 1988);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 xml:space="preserve">, 711 P.2d 671 (Colo. 1985) (error to give this instruction where the thing to be avoided was not obvious); </w:t>
      </w:r>
      <w:r w:rsidRPr="00B97801">
        <w:rPr>
          <w:rFonts w:eastAsia="Times New Roman"/>
          <w:b/>
          <w:sz w:val="24"/>
          <w:szCs w:val="24"/>
        </w:rPr>
        <w:t>Martinez v. W.R. Grace Co.</w:t>
      </w:r>
      <w:r w:rsidRPr="00B97801">
        <w:rPr>
          <w:rFonts w:eastAsia="Times New Roman"/>
          <w:sz w:val="24"/>
          <w:szCs w:val="24"/>
        </w:rPr>
        <w:t>, 782 P.2d 827 (Colo. App. 1989) (error to give this instruction when there is a dispute as to whether the hazard was “plainly” visible).</w:t>
      </w:r>
    </w:p>
    <w:p w14:paraId="67C10958"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73905207"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This instruction is supported by</w:t>
      </w:r>
      <w:r w:rsidRPr="00316D33">
        <w:rPr>
          <w:rFonts w:eastAsia="Times New Roman"/>
          <w:b/>
          <w:bCs/>
          <w:sz w:val="24"/>
          <w:szCs w:val="24"/>
        </w:rPr>
        <w:t xml:space="preserve"> Clark v. Bunnell</w:t>
      </w:r>
      <w:r w:rsidRPr="00316D33">
        <w:rPr>
          <w:rFonts w:eastAsia="Times New Roman"/>
          <w:bCs/>
          <w:sz w:val="24"/>
          <w:szCs w:val="24"/>
        </w:rPr>
        <w:t xml:space="preserve">, 172 Colo. 32, 470 P.2d 42 (1970); </w:t>
      </w:r>
      <w:r w:rsidRPr="00316D33">
        <w:rPr>
          <w:rFonts w:eastAsia="Times New Roman"/>
          <w:b/>
          <w:bCs/>
          <w:sz w:val="24"/>
          <w:szCs w:val="24"/>
        </w:rPr>
        <w:t>Folck v. Haser</w:t>
      </w:r>
      <w:r w:rsidRPr="00316D33">
        <w:rPr>
          <w:rFonts w:eastAsia="Times New Roman"/>
          <w:bCs/>
          <w:sz w:val="24"/>
          <w:szCs w:val="24"/>
        </w:rPr>
        <w:t xml:space="preserve">, 164 Colo. 11, 432 P.2d 245 (1967); </w:t>
      </w:r>
      <w:r w:rsidRPr="00316D33">
        <w:rPr>
          <w:rFonts w:eastAsia="Times New Roman"/>
          <w:b/>
          <w:bCs/>
          <w:sz w:val="24"/>
          <w:szCs w:val="24"/>
        </w:rPr>
        <w:t>Behr v. McCoy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138 Colo. 137, 330 P.2d 535 (1958) (citing several earlier cases); </w:t>
      </w:r>
      <w:r w:rsidRPr="00316D33">
        <w:rPr>
          <w:rFonts w:eastAsia="Times New Roman"/>
          <w:b/>
          <w:bCs/>
          <w:sz w:val="24"/>
          <w:szCs w:val="24"/>
        </w:rPr>
        <w:t>Union Pacific Railroad v. Cogburn</w:t>
      </w:r>
      <w:r w:rsidRPr="00316D33">
        <w:rPr>
          <w:rFonts w:eastAsia="Times New Roman"/>
          <w:bCs/>
          <w:sz w:val="24"/>
          <w:szCs w:val="24"/>
        </w:rPr>
        <w:t xml:space="preserve">, 136 Colo. 184, 315 P.2d 209 (1957) (involving contributory negligence); and </w:t>
      </w:r>
      <w:r w:rsidRPr="00316D33">
        <w:rPr>
          <w:rFonts w:eastAsia="Times New Roman"/>
          <w:b/>
          <w:bCs/>
          <w:sz w:val="24"/>
          <w:szCs w:val="24"/>
        </w:rPr>
        <w:t>Fabling v. Jones</w:t>
      </w:r>
      <w:r w:rsidRPr="00316D33">
        <w:rPr>
          <w:rFonts w:eastAsia="Times New Roman"/>
          <w:bCs/>
          <w:sz w:val="24"/>
          <w:szCs w:val="24"/>
        </w:rPr>
        <w:t xml:space="preserve">, 108 Colo. 144, 114 P.2d 1100 (1941). </w:t>
      </w:r>
      <w:r w:rsidRPr="00316D33">
        <w:rPr>
          <w:rFonts w:eastAsia="Times New Roman"/>
          <w:bCs/>
          <w:i/>
          <w:sz w:val="24"/>
          <w:szCs w:val="24"/>
        </w:rPr>
        <w:t xml:space="preserve">See also </w:t>
      </w:r>
      <w:r w:rsidRPr="00316D33">
        <w:rPr>
          <w:rFonts w:eastAsia="Times New Roman"/>
          <w:bCs/>
          <w:smallCaps/>
          <w:sz w:val="24"/>
          <w:szCs w:val="24"/>
        </w:rPr>
        <w:t>Restatement (Second) of Torts</w:t>
      </w:r>
      <w:r w:rsidRPr="00316D33">
        <w:rPr>
          <w:rFonts w:eastAsia="Times New Roman"/>
          <w:bCs/>
          <w:sz w:val="24"/>
          <w:szCs w:val="24"/>
        </w:rPr>
        <w:t xml:space="preserve"> § 289 (1965).</w:t>
      </w:r>
    </w:p>
    <w:p w14:paraId="02A7C750" w14:textId="77777777" w:rsidR="00316D33" w:rsidRDefault="00316D33">
      <w:pPr>
        <w:rPr>
          <w:rFonts w:eastAsia="Times New Roman"/>
          <w:sz w:val="24"/>
          <w:szCs w:val="24"/>
        </w:rPr>
      </w:pPr>
      <w:r>
        <w:rPr>
          <w:rFonts w:eastAsia="Times New Roman"/>
          <w:sz w:val="24"/>
          <w:szCs w:val="24"/>
        </w:rPr>
        <w:br w:type="page"/>
      </w:r>
    </w:p>
    <w:p w14:paraId="799609C5" w14:textId="77777777" w:rsidR="00316D33" w:rsidRPr="009E3DA4" w:rsidRDefault="00316D33" w:rsidP="00316D33">
      <w:pPr>
        <w:spacing w:after="240"/>
        <w:ind w:left="720" w:hanging="720"/>
        <w:rPr>
          <w:rFonts w:eastAsia="Times New Roman"/>
          <w:b/>
          <w:sz w:val="24"/>
          <w:szCs w:val="24"/>
        </w:rPr>
      </w:pPr>
      <w:bookmarkStart w:id="16" w:name="a9_14"/>
      <w:bookmarkEnd w:id="16"/>
      <w:r w:rsidRPr="00316D33">
        <w:rPr>
          <w:rFonts w:eastAsia="Times New Roman"/>
          <w:b/>
          <w:sz w:val="24"/>
          <w:szCs w:val="24"/>
        </w:rPr>
        <w:lastRenderedPageBreak/>
        <w:t xml:space="preserve">9:14 </w:t>
      </w:r>
      <w:r w:rsidRPr="00316D33">
        <w:rPr>
          <w:rFonts w:eastAsia="Times New Roman"/>
          <w:b/>
          <w:sz w:val="24"/>
          <w:szCs w:val="24"/>
        </w:rPr>
        <w:tab/>
        <w:t>NEGLIGENCE PER SE — VIOLATION OF STATUTE OR ORDINANCE</w:t>
      </w:r>
    </w:p>
    <w:p w14:paraId="0C01D63D"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 xml:space="preserve">At the time of the occurrence in question in this case, the following (statute[s]) (ordinance[s]) of the </w:t>
      </w:r>
      <w:r w:rsidRPr="00316D33">
        <w:rPr>
          <w:rFonts w:eastAsia="Times New Roman"/>
          <w:i/>
          <w:sz w:val="24"/>
          <w:szCs w:val="24"/>
        </w:rPr>
        <w:t>[name of municipal corporation]</w:t>
      </w:r>
      <w:r w:rsidRPr="00316D33">
        <w:rPr>
          <w:rFonts w:eastAsia="Times New Roman"/>
          <w:b/>
          <w:sz w:val="24"/>
          <w:szCs w:val="24"/>
        </w:rPr>
        <w:t>, State of Colorado (was) (were) in effect:</w:t>
      </w:r>
    </w:p>
    <w:p w14:paraId="3D849C88" w14:textId="77777777" w:rsidR="00316D33" w:rsidRPr="00316D33" w:rsidRDefault="00316D33" w:rsidP="00316D33">
      <w:pPr>
        <w:spacing w:after="240"/>
        <w:ind w:left="720"/>
        <w:rPr>
          <w:rFonts w:eastAsia="Times New Roman"/>
          <w:i/>
          <w:sz w:val="24"/>
          <w:szCs w:val="24"/>
        </w:rPr>
      </w:pPr>
      <w:r w:rsidRPr="00316D33">
        <w:rPr>
          <w:rFonts w:eastAsia="Times New Roman"/>
          <w:i/>
          <w:sz w:val="24"/>
          <w:szCs w:val="24"/>
        </w:rPr>
        <w:t>(Insert quotation of applicable statute[s] or ordinance[s]).</w:t>
      </w:r>
    </w:p>
    <w:p w14:paraId="2375D3FE"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violation of (this) (these) (statute[s]) (ordinance[s]) constitutes negligence.</w:t>
      </w:r>
    </w:p>
    <w:p w14:paraId="7A526ECB"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If you find such a violation, you may only consider it if you also find that it was a cause of the claimed (injuries) (damages) (losses).</w:t>
      </w:r>
    </w:p>
    <w:p w14:paraId="47715270" w14:textId="77777777" w:rsidR="00316D33" w:rsidRDefault="00316D33" w:rsidP="00316D33">
      <w:pPr>
        <w:jc w:val="center"/>
        <w:rPr>
          <w:rFonts w:eastAsia="Times New Roman"/>
          <w:sz w:val="24"/>
          <w:szCs w:val="24"/>
        </w:rPr>
      </w:pPr>
    </w:p>
    <w:p w14:paraId="617473B8"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4B883C4D"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1. Use whichever parenthesized words are appropriate. </w:t>
      </w:r>
      <w:r w:rsidRPr="00316D33">
        <w:rPr>
          <w:rFonts w:eastAsia="Times New Roman"/>
          <w:i/>
          <w:sz w:val="24"/>
          <w:szCs w:val="24"/>
        </w:rPr>
        <w:t xml:space="preserve">See </w:t>
      </w:r>
      <w:r w:rsidRPr="00316D33">
        <w:rPr>
          <w:rFonts w:eastAsia="Times New Roman"/>
          <w:b/>
          <w:sz w:val="24"/>
          <w:szCs w:val="24"/>
        </w:rPr>
        <w:t>Easton v. 1738 P’ship</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854 P.2d 1362 (Colo. App. 1993).</w:t>
      </w:r>
    </w:p>
    <w:p w14:paraId="447E2360"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2. One or more appropriate instructions on cause should also be given with this instruction. </w:t>
      </w:r>
      <w:r w:rsidRPr="00316D33">
        <w:rPr>
          <w:rFonts w:eastAsia="Times New Roman"/>
          <w:i/>
          <w:sz w:val="24"/>
          <w:szCs w:val="24"/>
        </w:rPr>
        <w:t>See</w:t>
      </w:r>
      <w:r w:rsidRPr="00316D33">
        <w:rPr>
          <w:rFonts w:eastAsia="Times New Roman"/>
          <w:sz w:val="24"/>
          <w:szCs w:val="24"/>
        </w:rPr>
        <w:t xml:space="preserve"> Part D of this chapter.</w:t>
      </w:r>
    </w:p>
    <w:p w14:paraId="361FE5B4" w14:textId="0E27B679"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This instruction should not be given unless (1) one of the purposes of the statute or ordinance was to protect against the type of injuries or losses the plaintiff sustained, and (2) the plaintiff was a member of the group of persons the statute or ordinance was intended to protect.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Scott v. Matlack, Inc.</w:t>
      </w:r>
      <w:r w:rsidRPr="00316D33">
        <w:rPr>
          <w:rFonts w:eastAsia="Times New Roman"/>
          <w:sz w:val="24"/>
          <w:szCs w:val="24"/>
        </w:rPr>
        <w:t xml:space="preserve">, 39 P.3d 1160 (Colo. 2002); </w:t>
      </w:r>
      <w:r w:rsidRPr="00316D33">
        <w:rPr>
          <w:rFonts w:eastAsia="Times New Roman"/>
          <w:b/>
          <w:sz w:val="24"/>
          <w:szCs w:val="24"/>
        </w:rPr>
        <w:t>Davenport v. Cmty. Corr. of the Pikes Peak Region, Inc.</w:t>
      </w:r>
      <w:r w:rsidRPr="00316D33">
        <w:rPr>
          <w:rFonts w:eastAsia="Times New Roman"/>
          <w:sz w:val="24"/>
          <w:szCs w:val="24"/>
        </w:rPr>
        <w:t xml:space="preserve">, 962 P.2d 963 (Colo. 1998); </w:t>
      </w:r>
      <w:r w:rsidRPr="00316D33">
        <w:rPr>
          <w:rFonts w:eastAsia="Times New Roman"/>
          <w:b/>
          <w:sz w:val="24"/>
          <w:szCs w:val="24"/>
        </w:rPr>
        <w:t>Lyons v. Nasby</w:t>
      </w:r>
      <w:r w:rsidRPr="00316D33">
        <w:rPr>
          <w:rFonts w:eastAsia="Times New Roman"/>
          <w:sz w:val="24"/>
          <w:szCs w:val="24"/>
        </w:rPr>
        <w:t xml:space="preserve">, 770 P.2d 1250, 1257 (Colo. 1989); </w:t>
      </w:r>
      <w:r w:rsidRPr="00316D33">
        <w:rPr>
          <w:rFonts w:eastAsia="Times New Roman"/>
          <w:b/>
          <w:sz w:val="24"/>
          <w:szCs w:val="24"/>
        </w:rPr>
        <w:t>Dickinson v. Lincoln Bldg. Corp.</w:t>
      </w:r>
      <w:r w:rsidRPr="00316D33">
        <w:rPr>
          <w:rFonts w:eastAsia="Times New Roman"/>
          <w:sz w:val="24"/>
          <w:szCs w:val="24"/>
        </w:rPr>
        <w:t xml:space="preserve">, 2015 COA 170M, ¶ 54, 378 P.3d 797 (building code section applicable to design and construction of exit doors was not enacted to protect against injuries potentially incurred when attempting to open a locked exit door); </w:t>
      </w:r>
      <w:r w:rsidRPr="00316D33">
        <w:rPr>
          <w:rFonts w:eastAsia="Times New Roman"/>
          <w:b/>
          <w:sz w:val="24"/>
          <w:szCs w:val="24"/>
        </w:rPr>
        <w:t>Lawson v. Stow</w:t>
      </w:r>
      <w:r w:rsidRPr="00316D33">
        <w:rPr>
          <w:rFonts w:eastAsia="Times New Roman"/>
          <w:sz w:val="24"/>
          <w:szCs w:val="24"/>
        </w:rPr>
        <w:t xml:space="preserve">, 2014 COA 26, ¶¶ 43, 47, 327 P.3d 340 (the false reporting statute, § 18-8-111(1)(b), C.R.S., cannot serve as the basis for negligence per se claim); </w:t>
      </w:r>
      <w:r w:rsidRPr="00316D33">
        <w:rPr>
          <w:rFonts w:eastAsia="Times New Roman"/>
          <w:b/>
          <w:sz w:val="24"/>
          <w:szCs w:val="24"/>
        </w:rPr>
        <w:t>Smit v. Anderson</w:t>
      </w:r>
      <w:r w:rsidRPr="00316D33">
        <w:rPr>
          <w:rFonts w:eastAsia="Times New Roman"/>
          <w:sz w:val="24"/>
          <w:szCs w:val="24"/>
        </w:rPr>
        <w:t xml:space="preserve">, 72 P.3d 369 (Colo. App. 2002) (building code not designed to protect person injured while assisting owner in building house); </w:t>
      </w:r>
      <w:r w:rsidRPr="00316D33">
        <w:rPr>
          <w:rFonts w:eastAsia="Times New Roman"/>
          <w:b/>
          <w:sz w:val="24"/>
          <w:szCs w:val="24"/>
        </w:rPr>
        <w:t>Trinity Universal Ins. Co. v. Streza</w:t>
      </w:r>
      <w:r w:rsidRPr="00316D33">
        <w:rPr>
          <w:rFonts w:eastAsia="Times New Roman"/>
          <w:sz w:val="24"/>
          <w:szCs w:val="24"/>
        </w:rPr>
        <w:t xml:space="preserve">, 8 P.3d 613 (Colo. App. 2000) (fuel products statute not applicable to incidental use of propane heater by contractor); </w:t>
      </w:r>
      <w:r w:rsidRPr="00316D33">
        <w:rPr>
          <w:rFonts w:eastAsia="Times New Roman"/>
          <w:b/>
          <w:sz w:val="24"/>
          <w:szCs w:val="24"/>
        </w:rPr>
        <w:t>Liebelt v. Bob Penkhus Volvo-Mazda, Inc.</w:t>
      </w:r>
      <w:r w:rsidRPr="00316D33">
        <w:rPr>
          <w:rFonts w:eastAsia="Times New Roman"/>
          <w:sz w:val="24"/>
          <w:szCs w:val="24"/>
        </w:rPr>
        <w:t xml:space="preserve">, 961 P.2d 1147 (Colo. App. 1998) (automobile dealer was not negligent per se by violating “dealer plate law”); </w:t>
      </w:r>
      <w:r w:rsidRPr="00316D33">
        <w:rPr>
          <w:rFonts w:eastAsia="Times New Roman"/>
          <w:b/>
          <w:sz w:val="24"/>
          <w:szCs w:val="24"/>
        </w:rPr>
        <w:t>Jacque v. Pub. Serv. Co.</w:t>
      </w:r>
      <w:r w:rsidRPr="00316D33">
        <w:rPr>
          <w:rFonts w:eastAsia="Times New Roman"/>
          <w:sz w:val="24"/>
          <w:szCs w:val="24"/>
        </w:rPr>
        <w:t xml:space="preserve">, 890 P.2d 138 (Colo. App. 1994); </w:t>
      </w:r>
      <w:r w:rsidRPr="00316D33">
        <w:rPr>
          <w:rFonts w:eastAsia="Times New Roman"/>
          <w:b/>
          <w:sz w:val="24"/>
          <w:szCs w:val="24"/>
        </w:rPr>
        <w:t>Martin v. Minnard</w:t>
      </w:r>
      <w:r w:rsidRPr="00316D33">
        <w:rPr>
          <w:rFonts w:eastAsia="Times New Roman"/>
          <w:sz w:val="24"/>
          <w:szCs w:val="24"/>
        </w:rPr>
        <w:t xml:space="preserve">, 862 P.2d 1014 (Colo. App. 1993); </w:t>
      </w:r>
      <w:r w:rsidRPr="00316D33">
        <w:rPr>
          <w:rFonts w:eastAsia="Times New Roman"/>
          <w:b/>
          <w:sz w:val="24"/>
          <w:szCs w:val="24"/>
        </w:rPr>
        <w:t>Deacon v. Am. Plant Food Corp.</w:t>
      </w:r>
      <w:r w:rsidRPr="00316D33">
        <w:rPr>
          <w:rFonts w:eastAsia="Times New Roman"/>
          <w:sz w:val="24"/>
          <w:szCs w:val="24"/>
        </w:rPr>
        <w:t xml:space="preserve">, 782 P.2d 861 (Colo. App. 1989), </w:t>
      </w:r>
      <w:r w:rsidRPr="00316D33">
        <w:rPr>
          <w:rFonts w:eastAsia="Times New Roman"/>
          <w:i/>
          <w:sz w:val="24"/>
          <w:szCs w:val="24"/>
        </w:rPr>
        <w:t xml:space="preserve">rev’d on other grounds sub nom. </w:t>
      </w:r>
      <w:r w:rsidRPr="00316D33">
        <w:rPr>
          <w:rFonts w:eastAsia="Times New Roman"/>
          <w:b/>
          <w:sz w:val="24"/>
          <w:szCs w:val="24"/>
        </w:rPr>
        <w:t>Stone’s Farm Supply, Inc. v. Deacon</w:t>
      </w:r>
      <w:r w:rsidRPr="00316D33">
        <w:rPr>
          <w:rFonts w:eastAsia="Times New Roman"/>
          <w:sz w:val="24"/>
          <w:szCs w:val="24"/>
        </w:rPr>
        <w:t xml:space="preserve">, 805 P.2d 1109 (Colo. 1991); </w:t>
      </w:r>
      <w:r w:rsidRPr="00316D33">
        <w:rPr>
          <w:rFonts w:eastAsia="Times New Roman"/>
          <w:b/>
          <w:sz w:val="24"/>
          <w:szCs w:val="24"/>
        </w:rPr>
        <w:t>Comfort v. Rocky Mtn. Consultants, Inc.</w:t>
      </w:r>
      <w:r w:rsidRPr="00316D33">
        <w:rPr>
          <w:rFonts w:eastAsia="Times New Roman"/>
          <w:sz w:val="24"/>
          <w:szCs w:val="24"/>
        </w:rPr>
        <w:t xml:space="preserve">, 773 P.2d 615 (Colo. App. 1989); </w:t>
      </w:r>
      <w:r w:rsidRPr="00316D33">
        <w:rPr>
          <w:rFonts w:eastAsia="Times New Roman"/>
          <w:b/>
          <w:sz w:val="24"/>
          <w:szCs w:val="24"/>
        </w:rPr>
        <w:t>Russo v. Birrenkott</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770 P.2d 1335 (Colo. App. 1988);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Leake v. Cain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720 P.2d 152 (Colo. 1986); </w:t>
      </w:r>
      <w:r w:rsidRPr="00316D33">
        <w:rPr>
          <w:rFonts w:eastAsia="Times New Roman"/>
          <w:b/>
          <w:sz w:val="24"/>
          <w:szCs w:val="24"/>
        </w:rPr>
        <w:t>Dunbar v. Olivieri</w:t>
      </w:r>
      <w:r w:rsidRPr="00316D33">
        <w:rPr>
          <w:rFonts w:eastAsia="Times New Roman"/>
          <w:sz w:val="24"/>
          <w:szCs w:val="24"/>
        </w:rPr>
        <w:t xml:space="preserve">, 97 Colo. 381, 50 P.2d 64 (1935),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Mile High Fence Co. v. Radovich</w:t>
      </w:r>
      <w:r w:rsidRPr="00316D33">
        <w:rPr>
          <w:rFonts w:eastAsia="Times New Roman"/>
          <w:sz w:val="24"/>
          <w:szCs w:val="24"/>
        </w:rPr>
        <w:t xml:space="preserve">, 175 Colo. 537, 489 P.2d 308 (1971); </w:t>
      </w:r>
      <w:r w:rsidRPr="00316D33">
        <w:rPr>
          <w:rFonts w:eastAsia="Times New Roman"/>
          <w:b/>
          <w:sz w:val="24"/>
          <w:szCs w:val="24"/>
        </w:rPr>
        <w:t>Crespin v. Largo Corp.</w:t>
      </w:r>
      <w:r w:rsidRPr="00316D33">
        <w:rPr>
          <w:rFonts w:eastAsia="Times New Roman"/>
          <w:sz w:val="24"/>
          <w:szCs w:val="24"/>
        </w:rPr>
        <w:t xml:space="preserve">, 698 P.2d 826 (Colo. App. 1984), </w:t>
      </w:r>
      <w:r w:rsidRPr="00316D33">
        <w:rPr>
          <w:rFonts w:eastAsia="Times New Roman"/>
          <w:i/>
          <w:sz w:val="24"/>
          <w:szCs w:val="24"/>
        </w:rPr>
        <w:t>aff’d</w:t>
      </w:r>
      <w:r w:rsidRPr="00316D33">
        <w:rPr>
          <w:rFonts w:eastAsia="Times New Roman"/>
          <w:sz w:val="24"/>
          <w:szCs w:val="24"/>
        </w:rPr>
        <w:t xml:space="preserve">, 727 P.2d 1098 (Colo. 1986); </w:t>
      </w:r>
      <w:r w:rsidRPr="00316D33">
        <w:rPr>
          <w:rFonts w:eastAsia="Times New Roman"/>
          <w:b/>
          <w:sz w:val="24"/>
          <w:szCs w:val="24"/>
        </w:rPr>
        <w:t>Bartley v. Floyd</w:t>
      </w:r>
      <w:r w:rsidRPr="00316D33">
        <w:rPr>
          <w:rFonts w:eastAsia="Times New Roman"/>
          <w:sz w:val="24"/>
          <w:szCs w:val="24"/>
        </w:rPr>
        <w:t xml:space="preserve">, 695 P.2d 781 (Colo. App. 1984), </w:t>
      </w:r>
      <w:r w:rsidRPr="00316D33">
        <w:rPr>
          <w:rFonts w:eastAsia="Times New Roman"/>
          <w:i/>
          <w:sz w:val="24"/>
          <w:szCs w:val="24"/>
        </w:rPr>
        <w:t>aff’d</w:t>
      </w:r>
      <w:r w:rsidRPr="00316D33">
        <w:rPr>
          <w:rFonts w:eastAsia="Times New Roman"/>
          <w:sz w:val="24"/>
          <w:szCs w:val="24"/>
        </w:rPr>
        <w:t xml:space="preserve">, 727 P.2d 1109 (Colo. 1986) (plaintiff within class of persons intended to be protected); </w:t>
      </w:r>
      <w:r w:rsidRPr="00316D33">
        <w:rPr>
          <w:rFonts w:eastAsia="Times New Roman"/>
          <w:b/>
          <w:sz w:val="24"/>
          <w:szCs w:val="24"/>
        </w:rPr>
        <w:t>Aetna Cas. &amp; Surety Co. v. Crissy Fowler Lumber Co.</w:t>
      </w:r>
      <w:r w:rsidRPr="00316D33">
        <w:rPr>
          <w:rFonts w:eastAsia="Times New Roman"/>
          <w:sz w:val="24"/>
          <w:szCs w:val="24"/>
        </w:rPr>
        <w:t xml:space="preserve">, 687 P.2d 514 (Colo. App. 1984); </w:t>
      </w:r>
      <w:r w:rsidRPr="00316D33">
        <w:rPr>
          <w:rFonts w:eastAsia="Times New Roman"/>
          <w:b/>
          <w:sz w:val="24"/>
          <w:szCs w:val="24"/>
        </w:rPr>
        <w:t>Phillips v. Monarch Recreation Corp.</w:t>
      </w:r>
      <w:r w:rsidRPr="00316D33">
        <w:rPr>
          <w:rFonts w:eastAsia="Times New Roman"/>
          <w:sz w:val="24"/>
          <w:szCs w:val="24"/>
        </w:rPr>
        <w:t xml:space="preserve">, </w:t>
      </w:r>
      <w:r w:rsidRPr="00316D33">
        <w:rPr>
          <w:rFonts w:eastAsia="Times New Roman"/>
          <w:sz w:val="24"/>
          <w:szCs w:val="24"/>
        </w:rPr>
        <w:lastRenderedPageBreak/>
        <w:t xml:space="preserve">668 P.2d 982 (Colo. App. 1983); </w:t>
      </w:r>
      <w:r w:rsidRPr="00316D33">
        <w:rPr>
          <w:rFonts w:eastAsia="Times New Roman"/>
          <w:b/>
          <w:sz w:val="24"/>
          <w:szCs w:val="24"/>
        </w:rPr>
        <w:t>Iverson v. Solsbery</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641 P.2d 314 (Colo. App. 1982); </w:t>
      </w:r>
      <w:r w:rsidRPr="00316D33">
        <w:rPr>
          <w:rFonts w:eastAsia="Times New Roman"/>
          <w:b/>
          <w:sz w:val="24"/>
          <w:szCs w:val="24"/>
        </w:rPr>
        <w:t>Hamilton v. Gravinsky</w:t>
      </w:r>
      <w:r w:rsidRPr="00316D33">
        <w:rPr>
          <w:rFonts w:eastAsia="Times New Roman"/>
          <w:sz w:val="24"/>
          <w:szCs w:val="24"/>
        </w:rPr>
        <w:t xml:space="preserve">, 28 Colo. App. 408, 474 P.2d 185 (1970), </w:t>
      </w:r>
      <w:r w:rsidRPr="00316D33">
        <w:rPr>
          <w:rFonts w:eastAsia="Times New Roman"/>
          <w:i/>
          <w:sz w:val="24"/>
          <w:szCs w:val="24"/>
        </w:rPr>
        <w:t>aff’d</w:t>
      </w:r>
      <w:r w:rsidRPr="00316D33">
        <w:rPr>
          <w:rFonts w:eastAsia="Times New Roman"/>
          <w:sz w:val="24"/>
          <w:szCs w:val="24"/>
        </w:rPr>
        <w:t xml:space="preserve">, 174 Colo. 206, 483 P.2d 385 (1971); </w:t>
      </w:r>
      <w:r w:rsidRPr="00316D33">
        <w:rPr>
          <w:rFonts w:eastAsia="Times New Roman"/>
          <w:smallCaps/>
          <w:sz w:val="24"/>
          <w:szCs w:val="24"/>
        </w:rPr>
        <w:t>Restatement (Second) of Torts</w:t>
      </w:r>
      <w:r w:rsidRPr="00316D33">
        <w:rPr>
          <w:rFonts w:eastAsia="Times New Roman"/>
          <w:sz w:val="24"/>
          <w:szCs w:val="24"/>
        </w:rPr>
        <w:t xml:space="preserve"> § 286 (1965); </w:t>
      </w:r>
      <w:r w:rsidRPr="00316D33">
        <w:rPr>
          <w:rFonts w:eastAsia="Times New Roman"/>
          <w:smallCaps/>
          <w:sz w:val="24"/>
          <w:szCs w:val="24"/>
        </w:rPr>
        <w:t>W. Page Keeton et al., Prosser and Keeton on the Law of Torts</w:t>
      </w:r>
      <w:r w:rsidRPr="00316D33">
        <w:rPr>
          <w:rFonts w:eastAsia="Times New Roman"/>
          <w:sz w:val="24"/>
          <w:szCs w:val="24"/>
        </w:rPr>
        <w:t xml:space="preserve"> § 36, at 222-27 (5th ed. 1984).</w:t>
      </w:r>
    </w:p>
    <w:p w14:paraId="00BBFD5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4. This instruction does not apply when the ordinance or statute is construed as only imposing an obligation for the benefit of the public at large, rather than for individuals, as members of the public. </w:t>
      </w:r>
      <w:r w:rsidRPr="00316D33">
        <w:rPr>
          <w:rFonts w:eastAsia="Times New Roman"/>
          <w:b/>
          <w:sz w:val="24"/>
          <w:szCs w:val="24"/>
        </w:rPr>
        <w:t>Bittle v. Brunetti</w:t>
      </w:r>
      <w:r w:rsidRPr="00316D33">
        <w:rPr>
          <w:rFonts w:eastAsia="Times New Roman"/>
          <w:sz w:val="24"/>
          <w:szCs w:val="24"/>
        </w:rPr>
        <w:t xml:space="preserve">, 712 P.2d 1112, 1113 (Colo. App. 1985) (ordinance requiring abutting landowner to remove snow from a public walk “is penal only and cannot serve as a basis of civil liability for one injured on the walk”), </w:t>
      </w:r>
      <w:r w:rsidRPr="00316D33">
        <w:rPr>
          <w:rFonts w:eastAsia="Times New Roman"/>
          <w:i/>
          <w:sz w:val="24"/>
          <w:szCs w:val="24"/>
        </w:rPr>
        <w:t>aff’d</w:t>
      </w:r>
      <w:r w:rsidRPr="00316D33">
        <w:rPr>
          <w:rFonts w:eastAsia="Times New Roman"/>
          <w:sz w:val="24"/>
          <w:szCs w:val="24"/>
        </w:rPr>
        <w:t xml:space="preserve">, 750 P.2d 49 (Colo. 1988) (unless legislative body expressly makes property owners civilly liable for a violation, intended purpose will be understood to benefit primarily the municipality); </w:t>
      </w:r>
      <w:r w:rsidRPr="00316D33">
        <w:rPr>
          <w:rFonts w:eastAsia="Times New Roman"/>
          <w:i/>
          <w:sz w:val="24"/>
          <w:szCs w:val="24"/>
        </w:rPr>
        <w:t xml:space="preserve">accord </w:t>
      </w:r>
      <w:r w:rsidRPr="00316D33">
        <w:rPr>
          <w:rFonts w:eastAsia="Times New Roman"/>
          <w:b/>
          <w:sz w:val="24"/>
          <w:szCs w:val="24"/>
        </w:rPr>
        <w:t>Foster v. Redd</w:t>
      </w:r>
      <w:r w:rsidRPr="00316D33">
        <w:rPr>
          <w:rFonts w:eastAsia="Times New Roman"/>
          <w:sz w:val="24"/>
          <w:szCs w:val="24"/>
        </w:rPr>
        <w:t xml:space="preserve">, 128 P.3d 316 (Colo. App. 2005);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Dunlap v. Colo. Springs Cablevision, Inc.</w:t>
      </w:r>
      <w:r w:rsidRPr="00316D33">
        <w:rPr>
          <w:rFonts w:eastAsia="Times New Roman"/>
          <w:sz w:val="24"/>
          <w:szCs w:val="24"/>
        </w:rPr>
        <w:t xml:space="preserve">, 799 P.2d 416 (Colo. App. 1990) (if the exclusive purpose of a legislative enactment is to secure rights or privileges to the public at large, not citizens in their individual capacity, no basis exists for a claim of negligence per se), </w:t>
      </w:r>
      <w:r w:rsidRPr="00316D33">
        <w:rPr>
          <w:rFonts w:eastAsia="Times New Roman"/>
          <w:i/>
          <w:sz w:val="24"/>
          <w:szCs w:val="24"/>
        </w:rPr>
        <w:t>rev’d on other grounds</w:t>
      </w:r>
      <w:r w:rsidRPr="00316D33">
        <w:rPr>
          <w:rFonts w:eastAsia="Times New Roman"/>
          <w:sz w:val="24"/>
          <w:szCs w:val="24"/>
        </w:rPr>
        <w:t>,</w:t>
      </w:r>
      <w:r w:rsidRPr="00316D33">
        <w:rPr>
          <w:rFonts w:eastAsia="Times New Roman"/>
          <w:i/>
          <w:sz w:val="24"/>
          <w:szCs w:val="24"/>
        </w:rPr>
        <w:t xml:space="preserve"> </w:t>
      </w:r>
      <w:r w:rsidRPr="00316D33">
        <w:rPr>
          <w:rFonts w:eastAsia="Times New Roman"/>
          <w:sz w:val="24"/>
          <w:szCs w:val="24"/>
        </w:rPr>
        <w:t>829 P.2d 1286 (Colo. 1992).</w:t>
      </w:r>
    </w:p>
    <w:p w14:paraId="46F2A901"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5. Nor should this instruction be given unless there is sufficient evidence that the conduct was in violation of the relevant statute or ordinance as construed by the court, and that such violation was a proximate cause of the damages being claimed. </w:t>
      </w:r>
      <w:r w:rsidRPr="00316D33">
        <w:rPr>
          <w:rFonts w:eastAsia="Times New Roman"/>
          <w:b/>
          <w:sz w:val="24"/>
          <w:szCs w:val="24"/>
        </w:rPr>
        <w:t>Orth v. Bauer</w:t>
      </w:r>
      <w:r w:rsidRPr="00316D33">
        <w:rPr>
          <w:rFonts w:eastAsia="Times New Roman"/>
          <w:sz w:val="24"/>
          <w:szCs w:val="24"/>
        </w:rPr>
        <w:t xml:space="preserve">, 163 Colo. 136, 429 P.2d 279 (1967); </w:t>
      </w:r>
      <w:r w:rsidRPr="00316D33">
        <w:rPr>
          <w:rFonts w:eastAsia="Times New Roman"/>
          <w:b/>
          <w:sz w:val="24"/>
          <w:szCs w:val="24"/>
        </w:rPr>
        <w:t>Parrish v. Smith</w:t>
      </w:r>
      <w:r w:rsidRPr="00316D33">
        <w:rPr>
          <w:rFonts w:eastAsia="Times New Roman"/>
          <w:sz w:val="24"/>
          <w:szCs w:val="24"/>
        </w:rPr>
        <w:t xml:space="preserve">, 102 Colo. 250, 78 P.2d 629 (1938);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Beasley v. Best Car Buys, LTD</w:t>
      </w:r>
      <w:r w:rsidRPr="00316D33">
        <w:rPr>
          <w:rFonts w:eastAsia="Times New Roman"/>
          <w:sz w:val="24"/>
          <w:szCs w:val="24"/>
        </w:rPr>
        <w:t xml:space="preserve">, 2015 COA 145, ¶ 32, 363 P.3d 777; </w:t>
      </w:r>
      <w:r w:rsidRPr="00316D33">
        <w:rPr>
          <w:rFonts w:eastAsia="Times New Roman"/>
          <w:b/>
          <w:sz w:val="24"/>
          <w:szCs w:val="24"/>
        </w:rPr>
        <w:t>Harless v. Geyer</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849 P.2d 904 (Colo. App. 1992); </w:t>
      </w:r>
      <w:r w:rsidRPr="00316D33">
        <w:rPr>
          <w:rFonts w:eastAsia="Times New Roman"/>
          <w:b/>
          <w:sz w:val="24"/>
          <w:szCs w:val="24"/>
        </w:rPr>
        <w:t>Kepley v. Kim</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843 P.2d 133 (Colo. App. 1992); </w:t>
      </w:r>
      <w:r w:rsidRPr="00316D33">
        <w:rPr>
          <w:rFonts w:eastAsia="Times New Roman"/>
          <w:b/>
          <w:sz w:val="24"/>
          <w:szCs w:val="24"/>
        </w:rPr>
        <w:t>Comfort v. Rocky Mtn. Consultants, Inc.</w:t>
      </w:r>
      <w:r w:rsidRPr="00316D33">
        <w:rPr>
          <w:rFonts w:eastAsia="Times New Roman"/>
          <w:sz w:val="24"/>
          <w:szCs w:val="24"/>
        </w:rPr>
        <w:t xml:space="preserve">, 773 P.2d 615 (Colo. App. 1989) (proof of violation required); </w:t>
      </w:r>
      <w:r w:rsidRPr="00316D33">
        <w:rPr>
          <w:rFonts w:eastAsia="Times New Roman"/>
          <w:b/>
          <w:sz w:val="24"/>
          <w:szCs w:val="24"/>
        </w:rPr>
        <w:t>Hilberg v. F.W. Woolworth Co.</w:t>
      </w:r>
      <w:r w:rsidRPr="00316D33">
        <w:rPr>
          <w:rFonts w:eastAsia="Times New Roman"/>
          <w:sz w:val="24"/>
          <w:szCs w:val="24"/>
        </w:rPr>
        <w:t>, 761 P.2d 236 (Colo. App.</w:t>
      </w:r>
      <w:r w:rsidRPr="00316D33" w:rsidDel="00B15526">
        <w:rPr>
          <w:rFonts w:eastAsia="Times New Roman"/>
          <w:sz w:val="24"/>
          <w:szCs w:val="24"/>
        </w:rPr>
        <w:t xml:space="preserve"> </w:t>
      </w:r>
      <w:r w:rsidRPr="00316D33">
        <w:rPr>
          <w:rFonts w:eastAsia="Times New Roman"/>
          <w:sz w:val="24"/>
          <w:szCs w:val="24"/>
        </w:rPr>
        <w:t xml:space="preserve">1988),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Casebolt v. Cowan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829 P.2d 352 (Colo. 1992); </w:t>
      </w:r>
      <w:r w:rsidRPr="00316D33">
        <w:rPr>
          <w:rFonts w:eastAsia="Times New Roman"/>
          <w:b/>
          <w:sz w:val="24"/>
          <w:szCs w:val="24"/>
        </w:rPr>
        <w:t>Sanchez v. Staats</w:t>
      </w:r>
      <w:r w:rsidRPr="00316D33">
        <w:rPr>
          <w:rFonts w:eastAsia="Times New Roman"/>
          <w:sz w:val="24"/>
          <w:szCs w:val="24"/>
        </w:rPr>
        <w:t>, 34 Colo. App.</w:t>
      </w:r>
      <w:r w:rsidRPr="00316D33">
        <w:rPr>
          <w:rFonts w:eastAsia="Times New Roman"/>
          <w:b/>
          <w:sz w:val="24"/>
          <w:szCs w:val="24"/>
        </w:rPr>
        <w:t xml:space="preserve"> </w:t>
      </w:r>
      <w:r w:rsidRPr="00316D33">
        <w:rPr>
          <w:rFonts w:eastAsia="Times New Roman"/>
          <w:sz w:val="24"/>
          <w:szCs w:val="24"/>
        </w:rPr>
        <w:t xml:space="preserve">243, 526 P.2d 672 (1974), </w:t>
      </w:r>
      <w:r w:rsidRPr="00316D33">
        <w:rPr>
          <w:rFonts w:eastAsia="Times New Roman"/>
          <w:i/>
          <w:sz w:val="24"/>
          <w:szCs w:val="24"/>
        </w:rPr>
        <w:t>aff’d</w:t>
      </w:r>
      <w:r w:rsidRPr="00316D33">
        <w:rPr>
          <w:rFonts w:eastAsia="Times New Roman"/>
          <w:sz w:val="24"/>
          <w:szCs w:val="24"/>
        </w:rPr>
        <w:t xml:space="preserve">, 189 Colo. 228, 539 P.2d 1233 (1975);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Lego v. Schmidt</w:t>
      </w:r>
      <w:r w:rsidRPr="00316D33">
        <w:rPr>
          <w:rFonts w:eastAsia="Times New Roman"/>
          <w:sz w:val="24"/>
          <w:szCs w:val="24"/>
        </w:rPr>
        <w:t>, 805 P.2d 1119 (Colo. App. 1990) (no evidence that defendants, who were passengers in vehicle which struck pedestrian, violated ordinance or statute or that “their use of vehicle was a proximate cause of pedestrian’s injuries”).</w:t>
      </w:r>
    </w:p>
    <w:p w14:paraId="664A6042"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6. If necessary, the court should give additional instructions defining the terms used in the statute or ordinance.</w:t>
      </w:r>
    </w:p>
    <w:p w14:paraId="4E5BA190" w14:textId="77777777" w:rsidR="00316D33" w:rsidRDefault="00316D33" w:rsidP="00316D33">
      <w:pPr>
        <w:spacing w:after="240"/>
        <w:ind w:firstLine="720"/>
        <w:rPr>
          <w:rFonts w:eastAsia="Times New Roman"/>
          <w:sz w:val="24"/>
          <w:szCs w:val="24"/>
        </w:rPr>
      </w:pPr>
      <w:r w:rsidRPr="00316D33">
        <w:rPr>
          <w:rFonts w:eastAsia="Times New Roman"/>
          <w:sz w:val="24"/>
          <w:szCs w:val="24"/>
        </w:rPr>
        <w:t xml:space="preserve">7. Because a child under the age of ten cannot be found guilty of criminal conduct under the provisions of section 18-1-801, C.R.S., this instruction is not applicable to such children. </w:t>
      </w:r>
      <w:r w:rsidRPr="00316D33">
        <w:rPr>
          <w:rFonts w:eastAsia="Times New Roman"/>
          <w:b/>
          <w:sz w:val="24"/>
          <w:szCs w:val="24"/>
        </w:rPr>
        <w:t>Calkins v. Albi</w:t>
      </w:r>
      <w:r w:rsidRPr="00316D33">
        <w:rPr>
          <w:rFonts w:eastAsia="Times New Roman"/>
          <w:sz w:val="24"/>
          <w:szCs w:val="24"/>
        </w:rPr>
        <w:t>, 163 Colo. 370, 431 P.2d 17 (1967).</w:t>
      </w:r>
      <w:r w:rsidR="00D747D0">
        <w:rPr>
          <w:rFonts w:eastAsia="Times New Roman"/>
          <w:sz w:val="24"/>
          <w:szCs w:val="24"/>
        </w:rPr>
        <w:t xml:space="preserve"> </w:t>
      </w:r>
    </w:p>
    <w:p w14:paraId="5CF67181"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756D42D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1. This instruction is supported by</w:t>
      </w:r>
      <w:r w:rsidRPr="00316D33">
        <w:rPr>
          <w:rFonts w:eastAsia="Times New Roman"/>
          <w:b/>
          <w:bCs/>
          <w:sz w:val="24"/>
          <w:szCs w:val="24"/>
        </w:rPr>
        <w:t xml:space="preserve"> Largo Corp. v. Crespin</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727 P.2d 1098 (Colo. 1986); </w:t>
      </w:r>
      <w:r w:rsidRPr="00316D33">
        <w:rPr>
          <w:rFonts w:eastAsia="Times New Roman"/>
          <w:b/>
          <w:bCs/>
          <w:sz w:val="24"/>
          <w:szCs w:val="24"/>
        </w:rPr>
        <w:t>Palmer v. A.H. Robins Co., Inc</w:t>
      </w:r>
      <w:r w:rsidRPr="00316D33">
        <w:rPr>
          <w:rFonts w:eastAsia="Times New Roman"/>
          <w:bCs/>
          <w:sz w:val="24"/>
          <w:szCs w:val="24"/>
        </w:rPr>
        <w:t xml:space="preserve">., 684 P.2d 187 (Colo. 1984) (statute); </w:t>
      </w:r>
      <w:r w:rsidRPr="00316D33">
        <w:rPr>
          <w:rFonts w:eastAsia="Times New Roman"/>
          <w:b/>
          <w:bCs/>
          <w:sz w:val="24"/>
          <w:szCs w:val="24"/>
        </w:rPr>
        <w:t>Kirk v. Himes</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170 Colo. 378, 461 P.2d 444 (1969) (statute); </w:t>
      </w:r>
      <w:r w:rsidRPr="00316D33">
        <w:rPr>
          <w:rFonts w:eastAsia="Times New Roman"/>
          <w:b/>
          <w:bCs/>
          <w:sz w:val="24"/>
          <w:szCs w:val="24"/>
        </w:rPr>
        <w:t>Reed v. Barlow</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153 Colo. 451, 386 P.2d 979 (1963) (ordinance violation involving contributory negligence of plaintiff); </w:t>
      </w:r>
      <w:r w:rsidRPr="00316D33">
        <w:rPr>
          <w:rFonts w:eastAsia="Times New Roman"/>
          <w:b/>
          <w:bCs/>
          <w:sz w:val="24"/>
          <w:szCs w:val="24"/>
        </w:rPr>
        <w:t>Lambotte v. Payton</w:t>
      </w:r>
      <w:r w:rsidRPr="00316D33">
        <w:rPr>
          <w:rFonts w:eastAsia="Times New Roman"/>
          <w:bCs/>
          <w:sz w:val="24"/>
          <w:szCs w:val="24"/>
        </w:rPr>
        <w:t xml:space="preserve">, 147 Colo. 207, 363 P.2d 167 (1961);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Ankeny v. Talbot</w:t>
      </w:r>
      <w:r w:rsidRPr="00316D33">
        <w:rPr>
          <w:rFonts w:eastAsia="Times New Roman"/>
          <w:bCs/>
          <w:sz w:val="24"/>
          <w:szCs w:val="24"/>
        </w:rPr>
        <w:t xml:space="preserve">, 126 Colo. 313, 250 P.2d 1019 (1952); </w:t>
      </w:r>
      <w:r w:rsidRPr="00316D33">
        <w:rPr>
          <w:rFonts w:eastAsia="Times New Roman"/>
          <w:b/>
          <w:bCs/>
          <w:sz w:val="24"/>
          <w:szCs w:val="24"/>
        </w:rPr>
        <w:t>Barsch v. Hammond</w:t>
      </w:r>
      <w:r w:rsidRPr="00316D33">
        <w:rPr>
          <w:rFonts w:eastAsia="Times New Roman"/>
          <w:bCs/>
          <w:sz w:val="24"/>
          <w:szCs w:val="24"/>
        </w:rPr>
        <w:t xml:space="preserve">, 110 Colo. 441, 135 P.2d 519 (1943) (statute); and </w:t>
      </w:r>
      <w:r w:rsidRPr="00316D33">
        <w:rPr>
          <w:rFonts w:eastAsia="Times New Roman"/>
          <w:b/>
          <w:bCs/>
          <w:sz w:val="24"/>
          <w:szCs w:val="24"/>
        </w:rPr>
        <w:t>Hertz Driv-Ur-Self Sys., Inc. v. Hendrickson</w:t>
      </w:r>
      <w:r w:rsidRPr="00316D33">
        <w:rPr>
          <w:rFonts w:eastAsia="Times New Roman"/>
          <w:bCs/>
          <w:sz w:val="24"/>
          <w:szCs w:val="24"/>
        </w:rPr>
        <w:t xml:space="preserve">, 109 Colo. 1, </w:t>
      </w:r>
      <w:r w:rsidRPr="00316D33">
        <w:rPr>
          <w:rFonts w:eastAsia="Times New Roman"/>
          <w:bCs/>
          <w:sz w:val="24"/>
          <w:szCs w:val="24"/>
        </w:rPr>
        <w:lastRenderedPageBreak/>
        <w:t xml:space="preserve">121 P.2d 483 (1942) (statute).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City &amp; County of Denver v. DeLong</w:t>
      </w:r>
      <w:r w:rsidRPr="00316D33">
        <w:rPr>
          <w:rFonts w:eastAsia="Times New Roman"/>
          <w:bCs/>
          <w:sz w:val="24"/>
          <w:szCs w:val="24"/>
        </w:rPr>
        <w:t xml:space="preserve">, 190 Colo. 219, 545 P.2d 154 (1976); </w:t>
      </w:r>
      <w:r w:rsidRPr="00316D33">
        <w:rPr>
          <w:rFonts w:eastAsia="Times New Roman"/>
          <w:b/>
          <w:bCs/>
          <w:sz w:val="24"/>
          <w:szCs w:val="24"/>
        </w:rPr>
        <w:t>Nutting v. N. Energy, Inc.</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874 P.2d 482 (Colo. App. 1994); </w:t>
      </w:r>
      <w:r w:rsidRPr="00316D33">
        <w:rPr>
          <w:rFonts w:eastAsia="Times New Roman"/>
          <w:b/>
          <w:bCs/>
          <w:sz w:val="24"/>
          <w:szCs w:val="24"/>
        </w:rPr>
        <w:t>Schneider v. Midtown Motor Co.</w:t>
      </w:r>
      <w:r w:rsidRPr="00316D33">
        <w:rPr>
          <w:rFonts w:eastAsia="Times New Roman"/>
          <w:bCs/>
          <w:sz w:val="24"/>
          <w:szCs w:val="24"/>
        </w:rPr>
        <w:t>, 854 P.2d 1322 (Colo. App. 1992) (trial court erred in granting summary judgment for automobile dealer where material issues of fact remained on issue of whether violation of statute prohibiting automobile owner from allowing unlicensed driver to drive constituted negligence per se).</w:t>
      </w:r>
    </w:p>
    <w:p w14:paraId="7BA94DC6"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doctrine of negligence per se does not apply unless the statute or ordinance prescribes or proscribes specific conduct. </w:t>
      </w:r>
      <w:r w:rsidRPr="00316D33">
        <w:rPr>
          <w:rFonts w:eastAsia="Times New Roman"/>
          <w:b/>
          <w:bCs/>
          <w:sz w:val="24"/>
          <w:szCs w:val="24"/>
        </w:rPr>
        <w:t>Sego v. Mains</w:t>
      </w:r>
      <w:r w:rsidRPr="00316D33">
        <w:rPr>
          <w:rFonts w:eastAsia="Times New Roman"/>
          <w:bCs/>
          <w:sz w:val="24"/>
          <w:szCs w:val="24"/>
        </w:rPr>
        <w:t xml:space="preserve">, 41 Colo. App. 1, 578 P.2d 1069 (1978). It does not apply, for example, to a statutorily authorized discretionary act. </w:t>
      </w:r>
      <w:r w:rsidRPr="00316D33">
        <w:rPr>
          <w:rFonts w:eastAsia="Times New Roman"/>
          <w:b/>
          <w:bCs/>
          <w:sz w:val="24"/>
          <w:szCs w:val="24"/>
        </w:rPr>
        <w:t>Bauer v. Sw. Denver Mental Health Ctr., Inc.</w:t>
      </w:r>
      <w:r w:rsidRPr="00316D33">
        <w:rPr>
          <w:rFonts w:eastAsia="Times New Roman"/>
          <w:bCs/>
          <w:sz w:val="24"/>
          <w:szCs w:val="24"/>
        </w:rPr>
        <w:t xml:space="preserve">, 701 P.2d 114 (Colo. App. 1985). Neither does the doctrine apply when the defendant was unaware he or she was engaged in the conduct that constituted the violation. </w:t>
      </w:r>
      <w:r w:rsidRPr="00316D33">
        <w:rPr>
          <w:rFonts w:eastAsia="Times New Roman"/>
          <w:b/>
          <w:bCs/>
          <w:sz w:val="24"/>
          <w:szCs w:val="24"/>
        </w:rPr>
        <w:t>Singleton v. Collins</w:t>
      </w:r>
      <w:r w:rsidRPr="00316D33">
        <w:rPr>
          <w:rFonts w:eastAsia="Times New Roman"/>
          <w:bCs/>
          <w:sz w:val="24"/>
          <w:szCs w:val="24"/>
        </w:rPr>
        <w:t xml:space="preserve">, 40 Colo. App. 340, 574 P.2d 882 (1978). In situations in which a statute or ordinance does not contain an absolute prohibition of the conduct in question, but instead uses language implying that a violation of the statute or ordinance must be based upon volitional conduct, it may be appropriate to modify this instruction to include additional language requiring the jury to consider whether the alleged violation was undertaken with the level of negligence, knowledge, or intent required by the statute or ordinance. </w:t>
      </w:r>
      <w:r w:rsidRPr="00316D33">
        <w:rPr>
          <w:rFonts w:eastAsia="Times New Roman"/>
          <w:b/>
          <w:bCs/>
          <w:sz w:val="24"/>
          <w:szCs w:val="24"/>
        </w:rPr>
        <w:t>Novak v. Craven</w:t>
      </w:r>
      <w:r w:rsidRPr="00316D33">
        <w:rPr>
          <w:rFonts w:eastAsia="Times New Roman"/>
          <w:bCs/>
          <w:sz w:val="24"/>
          <w:szCs w:val="24"/>
        </w:rPr>
        <w:t xml:space="preserve">, 195 P.3d 1115 (Colo. App. 2008). </w:t>
      </w:r>
    </w:p>
    <w:p w14:paraId="29199CE4"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3. If a statutory standard of care is a codification of common-law negligence, the negligence per se instruction has no practical effect when given alongside a common-law negligence instruction. In such cases, the court need not give both a common-law negligence instruction and a negligence per se instruction. </w:t>
      </w:r>
      <w:r w:rsidRPr="00316D33">
        <w:rPr>
          <w:rFonts w:eastAsia="Times New Roman"/>
          <w:b/>
          <w:bCs/>
          <w:sz w:val="24"/>
          <w:szCs w:val="24"/>
        </w:rPr>
        <w:t>Winkler v. Shaffer</w:t>
      </w:r>
      <w:r w:rsidRPr="00316D33">
        <w:rPr>
          <w:rFonts w:eastAsia="Times New Roman"/>
          <w:bCs/>
          <w:sz w:val="24"/>
          <w:szCs w:val="24"/>
        </w:rPr>
        <w:t xml:space="preserve">, 2015 COA 63, ¶ 18, 356 P.3d 1020; </w:t>
      </w:r>
      <w:r w:rsidRPr="00316D33">
        <w:rPr>
          <w:rFonts w:eastAsia="Times New Roman"/>
          <w:b/>
          <w:bCs/>
          <w:sz w:val="24"/>
          <w:szCs w:val="24"/>
        </w:rPr>
        <w:t>Silva v. Wilcox</w:t>
      </w:r>
      <w:r w:rsidRPr="00316D33">
        <w:rPr>
          <w:rFonts w:eastAsia="Times New Roman"/>
          <w:bCs/>
          <w:sz w:val="24"/>
          <w:szCs w:val="24"/>
        </w:rPr>
        <w:t xml:space="preserve">, 223 P.3d 127 (Colo. App. 2009); </w:t>
      </w:r>
      <w:r w:rsidRPr="00316D33">
        <w:rPr>
          <w:rFonts w:eastAsia="Times New Roman"/>
          <w:bCs/>
          <w:i/>
          <w:sz w:val="24"/>
          <w:szCs w:val="24"/>
        </w:rPr>
        <w:t xml:space="preserve">see </w:t>
      </w:r>
      <w:r w:rsidRPr="00316D33">
        <w:rPr>
          <w:rFonts w:eastAsia="Times New Roman"/>
          <w:b/>
          <w:bCs/>
          <w:sz w:val="24"/>
          <w:szCs w:val="24"/>
        </w:rPr>
        <w:t>Fishman v. Kotts</w:t>
      </w:r>
      <w:r w:rsidRPr="00316D33">
        <w:rPr>
          <w:rFonts w:eastAsia="Times New Roman"/>
          <w:bCs/>
          <w:sz w:val="24"/>
          <w:szCs w:val="24"/>
        </w:rPr>
        <w:t xml:space="preserve">, 179 P.3d 232 (Colo. App. 2007); </w:t>
      </w:r>
      <w:r w:rsidRPr="00316D33">
        <w:rPr>
          <w:rFonts w:eastAsia="Times New Roman"/>
          <w:bCs/>
          <w:smallCaps/>
          <w:sz w:val="24"/>
          <w:szCs w:val="24"/>
        </w:rPr>
        <w:t>Restatement (Third) of Torts: Liability for Physical Harm</w:t>
      </w:r>
      <w:r w:rsidRPr="00316D33">
        <w:rPr>
          <w:rFonts w:eastAsia="Times New Roman"/>
          <w:bCs/>
          <w:sz w:val="24"/>
          <w:szCs w:val="24"/>
        </w:rPr>
        <w:t xml:space="preserve"> § 14 cmt. e (2005).</w:t>
      </w:r>
    </w:p>
    <w:p w14:paraId="56A4A953"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4. </w:t>
      </w:r>
      <w:r w:rsidRPr="00316D33">
        <w:rPr>
          <w:rFonts w:eastAsia="Times New Roman"/>
          <w:bCs/>
          <w:sz w:val="24"/>
          <w:szCs w:val="24"/>
          <w:lang w:val="en-CA"/>
        </w:rPr>
        <w:fldChar w:fldCharType="begin"/>
      </w:r>
      <w:r w:rsidRPr="00316D33">
        <w:rPr>
          <w:rFonts w:eastAsia="Times New Roman"/>
          <w:bCs/>
          <w:sz w:val="24"/>
          <w:szCs w:val="24"/>
          <w:lang w:val="en-CA"/>
        </w:rPr>
        <w:instrText xml:space="preserve"> SEQ CHAPTER \h \r 1</w:instrText>
      </w:r>
      <w:r w:rsidRPr="00316D33">
        <w:rPr>
          <w:rFonts w:eastAsia="Times New Roman"/>
          <w:bCs/>
          <w:sz w:val="24"/>
          <w:szCs w:val="24"/>
        </w:rPr>
        <w:fldChar w:fldCharType="end"/>
      </w:r>
      <w:r w:rsidRPr="00316D33">
        <w:rPr>
          <w:rFonts w:eastAsia="Times New Roman"/>
          <w:bCs/>
          <w:sz w:val="24"/>
          <w:szCs w:val="24"/>
        </w:rPr>
        <w:t xml:space="preserve">In cases subject to the Colorado Premises Liability Act, § 13-21-115, C.R.S., a plaintiff may not assert a claim of negligence </w:t>
      </w:r>
      <w:r w:rsidRPr="00316D33">
        <w:rPr>
          <w:rFonts w:eastAsia="Times New Roman"/>
          <w:bCs/>
          <w:iCs/>
          <w:sz w:val="24"/>
          <w:szCs w:val="24"/>
        </w:rPr>
        <w:t>per se</w:t>
      </w:r>
      <w:r w:rsidRPr="00316D33">
        <w:rPr>
          <w:rFonts w:eastAsia="Times New Roman"/>
          <w:bCs/>
          <w:sz w:val="24"/>
          <w:szCs w:val="24"/>
        </w:rPr>
        <w:t xml:space="preserve"> against a landowner to recover for damages caused on the premises. The premises liability statute establishes a comprehensive and exclusive legislative scheme for premises liability claims. However, certain statutes or ordinances may be relevant to establish the standard of reasonable care, and violation of that statute or ordinance may be evidence of a failure to exercise reasonable care for purposes of establishing a premises liability claim. </w:t>
      </w:r>
      <w:r w:rsidRPr="00316D33">
        <w:rPr>
          <w:rFonts w:eastAsia="Times New Roman"/>
          <w:b/>
          <w:bCs/>
          <w:sz w:val="24"/>
          <w:szCs w:val="24"/>
        </w:rPr>
        <w:t>Lombard v. Colo. Outdoor Educ. Ctr., Inc.</w:t>
      </w:r>
      <w:r w:rsidRPr="00316D33">
        <w:rPr>
          <w:rFonts w:eastAsia="Times New Roman"/>
          <w:bCs/>
          <w:sz w:val="24"/>
          <w:szCs w:val="24"/>
        </w:rPr>
        <w:t>, 187 P.3d 565 (Colo. 2008).</w:t>
      </w:r>
    </w:p>
    <w:p w14:paraId="0600AE7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5. In addition to state statutes and municipal ordinances, this instruction, appropriately modified, also may be applicable to violations of applicable federal regulations. </w:t>
      </w:r>
      <w:r w:rsidRPr="00316D33">
        <w:rPr>
          <w:rFonts w:eastAsia="Times New Roman"/>
          <w:bCs/>
          <w:i/>
          <w:sz w:val="24"/>
          <w:szCs w:val="24"/>
        </w:rPr>
        <w:t>Compare</w:t>
      </w:r>
      <w:r w:rsidRPr="00316D33">
        <w:rPr>
          <w:rFonts w:eastAsia="Times New Roman"/>
          <w:bCs/>
          <w:sz w:val="24"/>
          <w:szCs w:val="24"/>
        </w:rPr>
        <w:t xml:space="preserve"> </w:t>
      </w:r>
      <w:r w:rsidRPr="00316D33">
        <w:rPr>
          <w:rFonts w:eastAsia="Times New Roman"/>
          <w:b/>
          <w:bCs/>
          <w:sz w:val="24"/>
          <w:szCs w:val="24"/>
        </w:rPr>
        <w:t>Hageman v. TSI, Inc.</w:t>
      </w:r>
      <w:r w:rsidRPr="00316D33">
        <w:rPr>
          <w:rFonts w:eastAsia="Times New Roman"/>
          <w:bCs/>
          <w:sz w:val="24"/>
          <w:szCs w:val="24"/>
        </w:rPr>
        <w:t xml:space="preserve">, 786 P.2d 452 (Colo. App. 1989), </w:t>
      </w:r>
      <w:r w:rsidRPr="00316D33">
        <w:rPr>
          <w:rFonts w:eastAsia="Times New Roman"/>
          <w:bCs/>
          <w:i/>
          <w:sz w:val="24"/>
          <w:szCs w:val="24"/>
        </w:rPr>
        <w:t>with</w:t>
      </w:r>
      <w:r w:rsidRPr="00316D33">
        <w:rPr>
          <w:rFonts w:eastAsia="Times New Roman"/>
          <w:bCs/>
          <w:sz w:val="24"/>
          <w:szCs w:val="24"/>
        </w:rPr>
        <w:t xml:space="preserve"> </w:t>
      </w:r>
      <w:r w:rsidRPr="00316D33">
        <w:rPr>
          <w:rFonts w:eastAsia="Times New Roman"/>
          <w:b/>
          <w:bCs/>
          <w:sz w:val="24"/>
          <w:szCs w:val="24"/>
        </w:rPr>
        <w:t>Scott v. Matlack, Inc.</w:t>
      </w:r>
      <w:r w:rsidRPr="00316D33">
        <w:rPr>
          <w:rFonts w:eastAsia="Times New Roman"/>
          <w:bCs/>
          <w:sz w:val="24"/>
          <w:szCs w:val="24"/>
        </w:rPr>
        <w:t xml:space="preserve">, 39 P.3d 1160 (Colo. 2002) (violation of regulatory standards issued pursuant to the Occupational Safety and Health Act, 29 U.S.C. §§ 651 to -678, does not constitute negligence per se but admission of regulations are some, albeit non-conclusive, evidence of the standard of care in the relevant industry), and </w:t>
      </w:r>
      <w:r w:rsidRPr="00316D33">
        <w:rPr>
          <w:rFonts w:eastAsia="Times New Roman"/>
          <w:b/>
          <w:bCs/>
          <w:sz w:val="24"/>
          <w:szCs w:val="24"/>
        </w:rPr>
        <w:t>Canape v. Petersen</w:t>
      </w:r>
      <w:r w:rsidRPr="00316D33">
        <w:rPr>
          <w:rFonts w:eastAsia="Times New Roman"/>
          <w:bCs/>
          <w:sz w:val="24"/>
          <w:szCs w:val="24"/>
        </w:rPr>
        <w:t>, 897 P.2d 762 (Colo. 1995) (same).</w:t>
      </w:r>
    </w:p>
    <w:p w14:paraId="6331F8D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6. For a discussion of the possible impact of the Colorado Governmental Immunity Act on the application of the negligence per se doctrine, see </w:t>
      </w:r>
      <w:r w:rsidRPr="00316D33">
        <w:rPr>
          <w:rFonts w:eastAsia="Times New Roman"/>
          <w:b/>
          <w:bCs/>
          <w:sz w:val="24"/>
          <w:szCs w:val="24"/>
        </w:rPr>
        <w:t>State v. Moldovan</w:t>
      </w:r>
      <w:r w:rsidRPr="00316D33">
        <w:rPr>
          <w:rFonts w:eastAsia="Times New Roman"/>
          <w:bCs/>
          <w:sz w:val="24"/>
          <w:szCs w:val="24"/>
        </w:rPr>
        <w:t>, 842 P.2d 220 (Colo. 1992).</w:t>
      </w:r>
    </w:p>
    <w:p w14:paraId="0F249312"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lastRenderedPageBreak/>
        <w:t xml:space="preserve">7. Generally, to determine if a private tort remedy is available to a person alleging that a defendant has violated a statutory duty, a court must consider three factors: (1) whether the plaintiff is within the class of persons intended to be benefitted by the legislative enactment; (2) whether the General Assembly intended to create, albeit implicitly, a private right of action; and (3) whether an implied civil remedy would be consistent with the legislative scheme. </w:t>
      </w:r>
      <w:r w:rsidRPr="00316D33">
        <w:rPr>
          <w:rFonts w:eastAsia="Times New Roman"/>
          <w:b/>
          <w:bCs/>
          <w:sz w:val="24"/>
          <w:szCs w:val="24"/>
        </w:rPr>
        <w:t>Allstate Ins. Co. v. Parfrey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830 P.2d 905 (Colo. 1992); </w:t>
      </w:r>
      <w:r w:rsidRPr="00316D33">
        <w:rPr>
          <w:rFonts w:eastAsia="Times New Roman"/>
          <w:b/>
          <w:bCs/>
          <w:sz w:val="24"/>
          <w:szCs w:val="24"/>
        </w:rPr>
        <w:t>Grizzell v. Hartman Enters., Inc.</w:t>
      </w:r>
      <w:r w:rsidRPr="00316D33">
        <w:rPr>
          <w:rFonts w:eastAsia="Times New Roman"/>
          <w:bCs/>
          <w:sz w:val="24"/>
          <w:szCs w:val="24"/>
        </w:rPr>
        <w:t xml:space="preserve">, 68 P.3d 551 (Colo. App. 2003) (no private tort remedy available to parent of child injured as a result of a violation of the Youth Employment Opportunity Act, § 8-12-101 to -117, C.R.S.);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Gerrity Oil &amp; Gas Corp. v. Magness</w:t>
      </w:r>
      <w:r w:rsidRPr="00316D33">
        <w:rPr>
          <w:rFonts w:eastAsia="Times New Roman"/>
          <w:bCs/>
          <w:sz w:val="24"/>
          <w:szCs w:val="24"/>
        </w:rPr>
        <w:t>, 946 P.2d 913 (Colo. 1997) (when statutory language indicates that legislature considered but chose not to include private remedy for damages, such remedy will not be inferred).</w:t>
      </w:r>
    </w:p>
    <w:p w14:paraId="092AE525"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8. A violation of either the Colorado Passenger Tramway Act, §§ 25-5-701 to -720, C.R.S., or the Colorado Ski Safety and Liability Act, §§ 33-44-101 to -114, C.R.S., constitutes negligence per se. </w:t>
      </w:r>
      <w:r w:rsidRPr="00316D33">
        <w:rPr>
          <w:rFonts w:eastAsia="Times New Roman"/>
          <w:b/>
          <w:bCs/>
          <w:sz w:val="24"/>
          <w:szCs w:val="24"/>
        </w:rPr>
        <w:t>Bayer v. Crested Butte Mtn. Resort, Inc.</w:t>
      </w:r>
      <w:r w:rsidRPr="00316D33">
        <w:rPr>
          <w:rFonts w:eastAsia="Times New Roman"/>
          <w:bCs/>
          <w:sz w:val="24"/>
          <w:szCs w:val="24"/>
        </w:rPr>
        <w:t>, 960 P.2d 70 (Colo. 1998).</w:t>
      </w:r>
    </w:p>
    <w:p w14:paraId="4DA57A7B" w14:textId="77777777" w:rsidR="00316D33" w:rsidRDefault="00316D33" w:rsidP="00316D33">
      <w:pPr>
        <w:spacing w:after="240"/>
        <w:ind w:firstLine="720"/>
        <w:rPr>
          <w:rFonts w:eastAsia="Times New Roman"/>
          <w:bCs/>
          <w:sz w:val="24"/>
          <w:szCs w:val="24"/>
        </w:rPr>
      </w:pPr>
      <w:r w:rsidRPr="00316D33">
        <w:rPr>
          <w:rFonts w:eastAsia="Times New Roman"/>
          <w:bCs/>
          <w:sz w:val="24"/>
          <w:szCs w:val="24"/>
        </w:rPr>
        <w:t>9. For a discussion regarding the difference between strict liability in tort and negligence per se, see</w:t>
      </w:r>
      <w:r w:rsidRPr="00316D33">
        <w:rPr>
          <w:rFonts w:eastAsia="Times New Roman"/>
          <w:bCs/>
          <w:i/>
          <w:sz w:val="24"/>
          <w:szCs w:val="24"/>
        </w:rPr>
        <w:t xml:space="preserve"> </w:t>
      </w:r>
      <w:r w:rsidRPr="00316D33">
        <w:rPr>
          <w:rFonts w:eastAsia="Times New Roman"/>
          <w:b/>
          <w:bCs/>
          <w:sz w:val="24"/>
          <w:szCs w:val="24"/>
        </w:rPr>
        <w:t>Lui v. Barnhart</w:t>
      </w:r>
      <w:r w:rsidRPr="00316D33">
        <w:rPr>
          <w:rFonts w:eastAsia="Times New Roman"/>
          <w:bCs/>
          <w:sz w:val="24"/>
          <w:szCs w:val="24"/>
        </w:rPr>
        <w:t>, 987 P.2d 942 (Colo. App. 1999) (in action by motorist who collided with horse, mere fact that horse was out of corral did not establish, as a matter of law, that owner had violated ordinance requiring that such animals be confined, or that owner was negligent per se).</w:t>
      </w:r>
    </w:p>
    <w:p w14:paraId="6058A9CE" w14:textId="244BA911" w:rsidR="00017CD9" w:rsidRPr="00316D33" w:rsidRDefault="00017CD9" w:rsidP="00316D33">
      <w:pPr>
        <w:spacing w:after="240"/>
        <w:ind w:firstLine="720"/>
        <w:rPr>
          <w:rFonts w:eastAsia="Times New Roman"/>
          <w:bCs/>
          <w:sz w:val="24"/>
          <w:szCs w:val="24"/>
        </w:rPr>
      </w:pPr>
      <w:r>
        <w:rPr>
          <w:rFonts w:eastAsia="Times New Roman"/>
          <w:sz w:val="24"/>
          <w:szCs w:val="24"/>
        </w:rPr>
        <w:t xml:space="preserve">10. The Colorado Governmental Immunity Act applies to a claim for vicarious liability against a governmental entity based on negligence per se when vicarious liability is based on the conduct of the entity’s employee done within the course of employment. </w:t>
      </w:r>
      <w:r w:rsidRPr="00441A42">
        <w:rPr>
          <w:rFonts w:eastAsia="Times New Roman"/>
          <w:b/>
          <w:sz w:val="24"/>
          <w:szCs w:val="24"/>
          <w:u w:val="single"/>
        </w:rPr>
        <w:t>L.J. v. Carricato</w:t>
      </w:r>
      <w:r w:rsidRPr="00D747D0">
        <w:rPr>
          <w:rFonts w:eastAsia="Times New Roman"/>
          <w:sz w:val="24"/>
          <w:szCs w:val="24"/>
        </w:rPr>
        <w:t>, 2018 COA 3, ¶ 37, 413 P.3d 1280</w:t>
      </w:r>
      <w:r>
        <w:rPr>
          <w:rFonts w:eastAsia="Times New Roman"/>
          <w:sz w:val="24"/>
          <w:szCs w:val="24"/>
        </w:rPr>
        <w:t>.</w:t>
      </w:r>
    </w:p>
    <w:p w14:paraId="44773DF8" w14:textId="77777777" w:rsidR="00316D33" w:rsidRDefault="00316D33">
      <w:pPr>
        <w:rPr>
          <w:rFonts w:eastAsia="Times New Roman"/>
          <w:sz w:val="24"/>
          <w:szCs w:val="24"/>
        </w:rPr>
      </w:pPr>
      <w:r>
        <w:rPr>
          <w:rFonts w:eastAsia="Times New Roman"/>
          <w:sz w:val="24"/>
          <w:szCs w:val="24"/>
        </w:rPr>
        <w:br w:type="page"/>
      </w:r>
    </w:p>
    <w:p w14:paraId="2D912FC8" w14:textId="77777777" w:rsidR="00316D33" w:rsidRPr="009E3DA4" w:rsidRDefault="00316D33" w:rsidP="00316D33">
      <w:pPr>
        <w:spacing w:after="240"/>
        <w:ind w:left="720" w:hanging="720"/>
        <w:rPr>
          <w:rFonts w:eastAsia="Times New Roman"/>
          <w:b/>
          <w:sz w:val="24"/>
          <w:szCs w:val="24"/>
        </w:rPr>
      </w:pPr>
      <w:bookmarkStart w:id="17" w:name="a9_15"/>
      <w:bookmarkEnd w:id="17"/>
      <w:r w:rsidRPr="00316D33">
        <w:rPr>
          <w:rFonts w:eastAsia="Times New Roman"/>
          <w:b/>
          <w:sz w:val="24"/>
          <w:szCs w:val="24"/>
        </w:rPr>
        <w:lastRenderedPageBreak/>
        <w:t xml:space="preserve">9:15 </w:t>
      </w:r>
      <w:r w:rsidRPr="00316D33">
        <w:rPr>
          <w:rFonts w:eastAsia="Times New Roman"/>
          <w:b/>
          <w:sz w:val="24"/>
          <w:szCs w:val="24"/>
        </w:rPr>
        <w:tab/>
        <w:t>CONDUCT IN COMPLIANCE WITH STATUTE OR ORDINANCE AND JUSTIFIABLE VIOLATION OF STATUTE</w:t>
      </w:r>
    </w:p>
    <w:p w14:paraId="35E2D995"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Even if (statutes) (ordinances) govern the actions of persons, such persons must use reasonable care under the particular circumstances and conditions prevailing.</w:t>
      </w:r>
    </w:p>
    <w:p w14:paraId="5AC1FF5F"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person violating a (statute) (ordinance) may justifiably do so if compliance with the (statute) (ordinance) would have created a greater risk of danger or injury to him or herself or others.</w:t>
      </w:r>
    </w:p>
    <w:p w14:paraId="5F6EBBF9" w14:textId="77777777" w:rsidR="00316D33" w:rsidRDefault="00316D33" w:rsidP="00316D33">
      <w:pPr>
        <w:jc w:val="center"/>
        <w:rPr>
          <w:rFonts w:eastAsia="Times New Roman"/>
          <w:sz w:val="24"/>
          <w:szCs w:val="24"/>
        </w:rPr>
      </w:pPr>
    </w:p>
    <w:p w14:paraId="362E1ED7"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226200B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1. Use whichever parenthesized words are appropriate.</w:t>
      </w:r>
    </w:p>
    <w:p w14:paraId="24C22175"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2. The first paragraph may be used alone as a separate instruction in appropriate cases where it is claimed that because of a party’s compliance with a statute, that party was not negligent.</w:t>
      </w:r>
    </w:p>
    <w:p w14:paraId="468A491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The second paragraph of this instruction should be given after Instruction 9:14, but only if there is sufficient evidence on which justification might be found under the rule stated in this instruction. For the statutory justifications applicable in criminal cases, some or all of which may be applicable in civil cases under the second paragraph of this instruction, see sections 18-1-701 to -709, C.R.S. In such cases, the second paragraph should be appropriately modified. A violation because of lack of knowledge as to the existence of the statute or ordinance is not justifiable. </w:t>
      </w:r>
      <w:r w:rsidRPr="00316D33">
        <w:rPr>
          <w:rFonts w:eastAsia="Times New Roman"/>
          <w:i/>
          <w:sz w:val="24"/>
          <w:szCs w:val="24"/>
        </w:rPr>
        <w:t>See</w:t>
      </w:r>
      <w:r w:rsidRPr="00316D33">
        <w:rPr>
          <w:rFonts w:eastAsia="Times New Roman"/>
          <w:sz w:val="24"/>
          <w:szCs w:val="24"/>
        </w:rPr>
        <w:t xml:space="preserve"> Instruction 9:16;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People v. Brandyberry</w:t>
      </w:r>
      <w:r w:rsidRPr="00316D33">
        <w:rPr>
          <w:rFonts w:eastAsia="Times New Roman"/>
          <w:sz w:val="24"/>
          <w:szCs w:val="24"/>
        </w:rPr>
        <w:t xml:space="preserve">, 812 P.2d 674 (Colo. App. 1990) (to be entitled to choice of evils defense as defined by section 18-1-702, C.R.S., actor’s criminal conduct must be necessary because of sudden and unforeseen emergence of situation requiring actor’s immediate action to prevent occurrence of imminently impending injury). </w:t>
      </w:r>
    </w:p>
    <w:p w14:paraId="4222CB0D"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4BD4877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1. The rule stated in the first paragraph is supported by </w:t>
      </w:r>
      <w:r w:rsidRPr="00316D33">
        <w:rPr>
          <w:rFonts w:eastAsia="Times New Roman"/>
          <w:b/>
          <w:bCs/>
          <w:sz w:val="24"/>
          <w:szCs w:val="24"/>
        </w:rPr>
        <w:t>Oliver v. Weaver</w:t>
      </w:r>
      <w:r w:rsidRPr="00316D33">
        <w:rPr>
          <w:rFonts w:eastAsia="Times New Roman"/>
          <w:bCs/>
          <w:sz w:val="24"/>
          <w:szCs w:val="24"/>
        </w:rPr>
        <w:t xml:space="preserve">, 72 Colo. 540, 212 P. 978 (1923) (compliance not conclusive evidence of no negligence). </w:t>
      </w:r>
      <w:r w:rsidRPr="00316D33">
        <w:rPr>
          <w:rFonts w:eastAsia="Times New Roman"/>
          <w:bCs/>
          <w:i/>
          <w:sz w:val="24"/>
          <w:szCs w:val="24"/>
        </w:rPr>
        <w:t xml:space="preserve">See also </w:t>
      </w:r>
      <w:r w:rsidRPr="00D51E80">
        <w:rPr>
          <w:rFonts w:eastAsia="Times New Roman"/>
          <w:bCs/>
          <w:smallCaps/>
          <w:sz w:val="24"/>
          <w:szCs w:val="24"/>
        </w:rPr>
        <w:t>Restatement (Second) of Torts</w:t>
      </w:r>
      <w:r w:rsidRPr="00316D33">
        <w:rPr>
          <w:rFonts w:eastAsia="Times New Roman"/>
          <w:bCs/>
          <w:sz w:val="24"/>
          <w:szCs w:val="24"/>
        </w:rPr>
        <w:t xml:space="preserve"> § 288C (1965); </w:t>
      </w:r>
      <w:r w:rsidRPr="00D51E80">
        <w:rPr>
          <w:rFonts w:eastAsia="Times New Roman"/>
          <w:bCs/>
          <w:smallCaps/>
          <w:sz w:val="24"/>
          <w:szCs w:val="24"/>
        </w:rPr>
        <w:t>W. Page Keeton et al., Prosser and Keeton on the Law of Torts</w:t>
      </w:r>
      <w:r w:rsidRPr="00316D33">
        <w:rPr>
          <w:rFonts w:eastAsia="Times New Roman"/>
          <w:bCs/>
          <w:sz w:val="24"/>
          <w:szCs w:val="24"/>
        </w:rPr>
        <w:t xml:space="preserve"> § 36, at 233 (5th ed. 1984).</w:t>
      </w:r>
    </w:p>
    <w:p w14:paraId="335CCC1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rule stated in the second paragraph is supported by </w:t>
      </w:r>
      <w:r w:rsidRPr="00316D33">
        <w:rPr>
          <w:rFonts w:eastAsia="Times New Roman"/>
          <w:b/>
          <w:bCs/>
          <w:sz w:val="24"/>
          <w:szCs w:val="24"/>
        </w:rPr>
        <w:t>Crosby v. Canino</w:t>
      </w:r>
      <w:r w:rsidRPr="00316D33">
        <w:rPr>
          <w:rFonts w:eastAsia="Times New Roman"/>
          <w:bCs/>
          <w:sz w:val="24"/>
          <w:szCs w:val="24"/>
        </w:rPr>
        <w:t xml:space="preserve">, 84 Colo. 225, 268 P. 1021 (1928).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Larson v. Long</w:t>
      </w:r>
      <w:r w:rsidRPr="00316D33">
        <w:rPr>
          <w:rFonts w:eastAsia="Times New Roman"/>
          <w:bCs/>
          <w:sz w:val="24"/>
          <w:szCs w:val="24"/>
        </w:rPr>
        <w:t xml:space="preserve">, 74 Colo. 152, 219 P. 1066 (1923); </w:t>
      </w:r>
      <w:r w:rsidRPr="00D51E80">
        <w:rPr>
          <w:rFonts w:eastAsia="Times New Roman"/>
          <w:bCs/>
          <w:smallCaps/>
          <w:sz w:val="24"/>
          <w:szCs w:val="24"/>
        </w:rPr>
        <w:t>Restatement (Second) of Torts</w:t>
      </w:r>
      <w:r w:rsidRPr="00316D33">
        <w:rPr>
          <w:rFonts w:eastAsia="Times New Roman"/>
          <w:bCs/>
          <w:sz w:val="24"/>
          <w:szCs w:val="24"/>
        </w:rPr>
        <w:t xml:space="preserve"> § 288A; </w:t>
      </w:r>
      <w:r w:rsidRPr="00D51E80">
        <w:rPr>
          <w:rFonts w:eastAsia="Times New Roman"/>
          <w:bCs/>
          <w:smallCaps/>
          <w:sz w:val="24"/>
          <w:szCs w:val="24"/>
        </w:rPr>
        <w:t>Prosser and Keeton on the Law of Torts</w:t>
      </w:r>
      <w:r w:rsidRPr="00316D33">
        <w:rPr>
          <w:rFonts w:eastAsia="Times New Roman"/>
          <w:bCs/>
          <w:sz w:val="24"/>
          <w:szCs w:val="24"/>
        </w:rPr>
        <w:t xml:space="preserve">, </w:t>
      </w:r>
      <w:r w:rsidRPr="00316D33">
        <w:rPr>
          <w:rFonts w:eastAsia="Times New Roman"/>
          <w:bCs/>
          <w:i/>
          <w:sz w:val="24"/>
          <w:szCs w:val="24"/>
        </w:rPr>
        <w:t>supra</w:t>
      </w:r>
      <w:r w:rsidRPr="00316D33">
        <w:rPr>
          <w:rFonts w:eastAsia="Times New Roman"/>
          <w:bCs/>
          <w:sz w:val="24"/>
          <w:szCs w:val="24"/>
        </w:rPr>
        <w:t>, § 36, at 227-29.</w:t>
      </w:r>
    </w:p>
    <w:p w14:paraId="0A0EB0F4" w14:textId="77777777" w:rsidR="00895065" w:rsidRDefault="00895065">
      <w:pPr>
        <w:rPr>
          <w:rFonts w:eastAsia="Times New Roman"/>
          <w:sz w:val="24"/>
          <w:szCs w:val="24"/>
        </w:rPr>
      </w:pPr>
      <w:r>
        <w:rPr>
          <w:rFonts w:eastAsia="Times New Roman"/>
          <w:sz w:val="24"/>
          <w:szCs w:val="24"/>
        </w:rPr>
        <w:br w:type="page"/>
      </w:r>
    </w:p>
    <w:p w14:paraId="70A73A42" w14:textId="77777777" w:rsidR="00895065" w:rsidRPr="009E3DA4" w:rsidRDefault="00895065" w:rsidP="00895065">
      <w:pPr>
        <w:spacing w:after="240"/>
        <w:ind w:left="720" w:hanging="720"/>
        <w:rPr>
          <w:rFonts w:eastAsia="Times New Roman"/>
          <w:b/>
          <w:sz w:val="24"/>
          <w:szCs w:val="24"/>
        </w:rPr>
      </w:pPr>
      <w:bookmarkStart w:id="18" w:name="a9_16"/>
      <w:bookmarkEnd w:id="18"/>
      <w:r w:rsidRPr="00895065">
        <w:rPr>
          <w:rFonts w:eastAsia="Times New Roman"/>
          <w:b/>
          <w:sz w:val="24"/>
          <w:szCs w:val="24"/>
        </w:rPr>
        <w:lastRenderedPageBreak/>
        <w:t xml:space="preserve">9:16 </w:t>
      </w:r>
      <w:r w:rsidRPr="00895065">
        <w:rPr>
          <w:rFonts w:eastAsia="Times New Roman"/>
          <w:b/>
          <w:sz w:val="24"/>
          <w:szCs w:val="24"/>
        </w:rPr>
        <w:tab/>
        <w:t>UNKNOWING VIOLATION OF STATUTE OR ORDINANCE</w:t>
      </w:r>
    </w:p>
    <w:p w14:paraId="5A72E9F7" w14:textId="77777777" w:rsidR="00895065" w:rsidRPr="00895065" w:rsidRDefault="00895065" w:rsidP="00895065">
      <w:pPr>
        <w:spacing w:after="240"/>
        <w:ind w:firstLine="720"/>
        <w:rPr>
          <w:rFonts w:eastAsia="Times New Roman"/>
          <w:b/>
          <w:sz w:val="24"/>
          <w:szCs w:val="24"/>
        </w:rPr>
      </w:pPr>
      <w:r w:rsidRPr="00895065">
        <w:rPr>
          <w:rFonts w:eastAsia="Times New Roman"/>
          <w:b/>
          <w:sz w:val="24"/>
          <w:szCs w:val="24"/>
        </w:rPr>
        <w:t>It is not a defense to a claimed act of negligence that a person was unaware that his or her conduct constituted a violation of a (statute) (ordinance).</w:t>
      </w:r>
    </w:p>
    <w:p w14:paraId="05868977" w14:textId="77777777" w:rsidR="00895065" w:rsidRDefault="00895065" w:rsidP="00895065">
      <w:pPr>
        <w:jc w:val="center"/>
        <w:rPr>
          <w:rFonts w:eastAsia="Times New Roman"/>
          <w:sz w:val="24"/>
          <w:szCs w:val="24"/>
        </w:rPr>
      </w:pPr>
    </w:p>
    <w:p w14:paraId="155460D1" w14:textId="77777777" w:rsidR="00895065" w:rsidRPr="0054263B" w:rsidRDefault="00895065" w:rsidP="00895065">
      <w:pPr>
        <w:keepNext/>
        <w:spacing w:after="240"/>
        <w:jc w:val="center"/>
        <w:rPr>
          <w:rFonts w:eastAsia="Times New Roman"/>
          <w:b/>
          <w:sz w:val="24"/>
          <w:szCs w:val="24"/>
        </w:rPr>
      </w:pPr>
      <w:r w:rsidRPr="0054263B">
        <w:rPr>
          <w:rFonts w:eastAsia="Times New Roman"/>
          <w:b/>
          <w:sz w:val="24"/>
          <w:szCs w:val="24"/>
        </w:rPr>
        <w:t>Notes on Use</w:t>
      </w:r>
    </w:p>
    <w:p w14:paraId="6112E972"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1. Use whichever parenthesized words are appropriate.</w:t>
      </w:r>
    </w:p>
    <w:p w14:paraId="2D92AB1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 xml:space="preserve">2. This instruction does not apply and should not be given in a case where the person allegedly violating the statute was unaware and reasonably could not be aware of the fact that he or she was engaging in the conduct which constituted the violation, for example, a person whose tail lights on the car the person was driving suddenly went out while the person was driving on a highway at night. </w:t>
      </w:r>
      <w:r w:rsidRPr="00895065">
        <w:rPr>
          <w:rFonts w:eastAsia="Times New Roman"/>
          <w:i/>
          <w:sz w:val="24"/>
          <w:szCs w:val="24"/>
        </w:rPr>
        <w:t>See also</w:t>
      </w:r>
      <w:r w:rsidRPr="00895065">
        <w:rPr>
          <w:rFonts w:eastAsia="Times New Roman"/>
          <w:sz w:val="24"/>
          <w:szCs w:val="24"/>
        </w:rPr>
        <w:t xml:space="preserve"> </w:t>
      </w:r>
      <w:r w:rsidRPr="00895065">
        <w:rPr>
          <w:rFonts w:eastAsia="Times New Roman"/>
          <w:b/>
          <w:sz w:val="24"/>
          <w:szCs w:val="24"/>
        </w:rPr>
        <w:t>Singleton v. Collins</w:t>
      </w:r>
      <w:r w:rsidRPr="00895065">
        <w:rPr>
          <w:rFonts w:eastAsia="Times New Roman"/>
          <w:sz w:val="24"/>
          <w:szCs w:val="24"/>
        </w:rPr>
        <w:t>,</w:t>
      </w:r>
      <w:r w:rsidRPr="00895065">
        <w:rPr>
          <w:rFonts w:eastAsia="Times New Roman"/>
          <w:b/>
          <w:sz w:val="24"/>
          <w:szCs w:val="24"/>
        </w:rPr>
        <w:t xml:space="preserve"> </w:t>
      </w:r>
      <w:r w:rsidRPr="00895065">
        <w:rPr>
          <w:rFonts w:eastAsia="Times New Roman"/>
          <w:sz w:val="24"/>
          <w:szCs w:val="24"/>
        </w:rPr>
        <w:t>40 Colo. App. 340, 574 P.2d 882 (1978) (landlady not held liable under the doctrine of negligence per se when unaware condition on the premises, created by builder, was in violation of ordinance, and governmental inspection had indicated building was in compliance).</w:t>
      </w:r>
    </w:p>
    <w:p w14:paraId="6EBB0BD7"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3. This instruction is intended only to cover the situation where the person was aware he or she was engaging in the conduct, but was unaware of a statute or ordinance making such conduct unlawful.</w:t>
      </w:r>
    </w:p>
    <w:p w14:paraId="18C21990"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4. In appropriate cases, this instruction should be given with Instruction 9:14 (violation of statute or ordinance).</w:t>
      </w:r>
    </w:p>
    <w:p w14:paraId="695B76D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5. For exceptions to the rule stated in this instruction, see section 18-1-504(2), C.R.S.</w:t>
      </w:r>
    </w:p>
    <w:p w14:paraId="74EBD60C" w14:textId="77777777" w:rsidR="00895065" w:rsidRPr="0054263B" w:rsidRDefault="00895065" w:rsidP="00895065">
      <w:pPr>
        <w:keepNext/>
        <w:spacing w:after="240"/>
        <w:jc w:val="center"/>
        <w:rPr>
          <w:rFonts w:eastAsia="Times New Roman"/>
          <w:b/>
          <w:sz w:val="24"/>
          <w:szCs w:val="24"/>
        </w:rPr>
      </w:pPr>
      <w:r>
        <w:rPr>
          <w:rFonts w:eastAsia="Times New Roman"/>
          <w:b/>
          <w:sz w:val="24"/>
          <w:szCs w:val="24"/>
        </w:rPr>
        <w:t>Source and Authority</w:t>
      </w:r>
    </w:p>
    <w:p w14:paraId="167F7B6E" w14:textId="77777777" w:rsidR="00895065" w:rsidRPr="00895065" w:rsidRDefault="00895065" w:rsidP="00895065">
      <w:pPr>
        <w:spacing w:after="240"/>
        <w:ind w:firstLine="720"/>
        <w:rPr>
          <w:rFonts w:eastAsia="Times New Roman"/>
          <w:bCs/>
          <w:sz w:val="24"/>
          <w:szCs w:val="24"/>
        </w:rPr>
      </w:pPr>
      <w:r w:rsidRPr="00895065">
        <w:rPr>
          <w:rFonts w:eastAsia="Times New Roman"/>
          <w:bCs/>
          <w:sz w:val="24"/>
          <w:szCs w:val="24"/>
        </w:rPr>
        <w:t xml:space="preserve">This instruction is supported by section 18-1-504(2), and </w:t>
      </w:r>
      <w:r w:rsidRPr="00895065">
        <w:rPr>
          <w:rFonts w:eastAsia="Times New Roman"/>
          <w:bCs/>
          <w:smallCaps/>
          <w:sz w:val="24"/>
          <w:szCs w:val="24"/>
        </w:rPr>
        <w:t>Restatement (Second) of Torts</w:t>
      </w:r>
      <w:r w:rsidRPr="00895065">
        <w:rPr>
          <w:rFonts w:eastAsia="Times New Roman"/>
          <w:bCs/>
          <w:sz w:val="24"/>
          <w:szCs w:val="24"/>
        </w:rPr>
        <w:t xml:space="preserve"> § 290 cmt. o (1965).</w:t>
      </w:r>
    </w:p>
    <w:p w14:paraId="33AEE22F" w14:textId="77777777" w:rsidR="007D198E" w:rsidRDefault="007D198E">
      <w:pPr>
        <w:rPr>
          <w:rFonts w:eastAsia="Times New Roman"/>
          <w:sz w:val="24"/>
          <w:szCs w:val="24"/>
        </w:rPr>
      </w:pPr>
      <w:r>
        <w:rPr>
          <w:rFonts w:eastAsia="Times New Roman"/>
          <w:sz w:val="24"/>
          <w:szCs w:val="24"/>
        </w:rPr>
        <w:br w:type="page"/>
      </w:r>
    </w:p>
    <w:p w14:paraId="5727F9E4" w14:textId="77777777" w:rsidR="007D198E" w:rsidRPr="009E3DA4" w:rsidRDefault="007D198E" w:rsidP="007D198E">
      <w:pPr>
        <w:spacing w:after="240"/>
        <w:ind w:left="720" w:hanging="720"/>
        <w:rPr>
          <w:rFonts w:eastAsia="Times New Roman"/>
          <w:b/>
          <w:sz w:val="24"/>
          <w:szCs w:val="24"/>
        </w:rPr>
      </w:pPr>
      <w:bookmarkStart w:id="19" w:name="a9_17"/>
      <w:bookmarkEnd w:id="19"/>
      <w:r w:rsidRPr="007D198E">
        <w:rPr>
          <w:rFonts w:eastAsia="Times New Roman"/>
          <w:b/>
          <w:sz w:val="24"/>
          <w:szCs w:val="24"/>
        </w:rPr>
        <w:lastRenderedPageBreak/>
        <w:t xml:space="preserve">9:17 </w:t>
      </w:r>
      <w:r w:rsidRPr="007D198E">
        <w:rPr>
          <w:rFonts w:eastAsia="Times New Roman"/>
          <w:b/>
          <w:sz w:val="24"/>
          <w:szCs w:val="24"/>
        </w:rPr>
        <w:tab/>
        <w:t>RES IPSA LOQUITUR — PERMISSIBLE INFERENCE ARISING FROM REBUTTABLE PRESUMPTION OF NEGLIGENCE</w:t>
      </w:r>
    </w:p>
    <w:p w14:paraId="33AA915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In deciding whether or not the defendant, </w:t>
      </w:r>
      <w:r w:rsidRPr="007D198E">
        <w:rPr>
          <w:rFonts w:eastAsia="Times New Roman"/>
          <w:i/>
          <w:sz w:val="24"/>
          <w:szCs w:val="24"/>
        </w:rPr>
        <w:t>(name)</w:t>
      </w:r>
      <w:r w:rsidRPr="007D198E">
        <w:rPr>
          <w:rFonts w:eastAsia="Times New Roman"/>
          <w:sz w:val="24"/>
          <w:szCs w:val="24"/>
        </w:rPr>
        <w:t xml:space="preserve">, </w:t>
      </w:r>
      <w:r w:rsidRPr="007D198E">
        <w:rPr>
          <w:rFonts w:eastAsia="Times New Roman"/>
          <w:b/>
          <w:sz w:val="24"/>
          <w:szCs w:val="24"/>
        </w:rPr>
        <w:t>was negligent,</w:t>
      </w:r>
      <w:r w:rsidRPr="007D198E">
        <w:rPr>
          <w:rFonts w:eastAsia="Times New Roman"/>
          <w:i/>
          <w:sz w:val="24"/>
          <w:szCs w:val="24"/>
        </w:rPr>
        <w:t xml:space="preserve"> </w:t>
      </w:r>
      <w:r w:rsidRPr="007D198E">
        <w:rPr>
          <w:rFonts w:eastAsia="Times New Roman"/>
          <w:b/>
          <w:sz w:val="24"/>
          <w:szCs w:val="24"/>
        </w:rPr>
        <w:t>you may, but are not required to, draw an inference that the defendant was negligent if you find that:</w:t>
      </w:r>
    </w:p>
    <w:p w14:paraId="3196BDED"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1. The plaintiff, </w:t>
      </w:r>
      <w:r w:rsidRPr="007D198E">
        <w:rPr>
          <w:rFonts w:eastAsia="Times New Roman"/>
          <w:i/>
          <w:sz w:val="24"/>
          <w:szCs w:val="24"/>
        </w:rPr>
        <w:t>(name)</w:t>
      </w:r>
      <w:r w:rsidRPr="007D198E">
        <w:rPr>
          <w:rFonts w:eastAsia="Times New Roman"/>
          <w:b/>
          <w:sz w:val="24"/>
          <w:szCs w:val="24"/>
        </w:rPr>
        <w:t xml:space="preserve">, had (injuries) (damages) (losses) caused by the </w:t>
      </w:r>
      <w:r w:rsidRPr="007D198E">
        <w:rPr>
          <w:rFonts w:eastAsia="Times New Roman"/>
          <w:i/>
          <w:sz w:val="24"/>
          <w:szCs w:val="24"/>
        </w:rPr>
        <w:t>(insert appropriate description of instrumentality)</w:t>
      </w:r>
      <w:r w:rsidRPr="007D198E">
        <w:rPr>
          <w:rFonts w:eastAsia="Times New Roman"/>
          <w:b/>
          <w:sz w:val="24"/>
          <w:szCs w:val="24"/>
        </w:rPr>
        <w:t>; and</w:t>
      </w:r>
    </w:p>
    <w:p w14:paraId="7F010895"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2. Such (injuries) (damages) (losses) would not have occurred unless someone was negligent in </w:t>
      </w:r>
      <w:r w:rsidRPr="007D198E">
        <w:rPr>
          <w:rFonts w:eastAsia="Times New Roman"/>
          <w:i/>
          <w:sz w:val="24"/>
          <w:szCs w:val="24"/>
        </w:rPr>
        <w:t>(insert one or more appropriate descriptions, e.g., “using,” “handling,” “operating,” “manufacturing,” “repairing,” “maintaining,” etc.)</w:t>
      </w:r>
      <w:r w:rsidRPr="007D198E">
        <w:rPr>
          <w:rFonts w:eastAsia="Times New Roman"/>
          <w:b/>
          <w:sz w:val="24"/>
          <w:szCs w:val="24"/>
        </w:rPr>
        <w:t xml:space="preserve"> the </w:t>
      </w:r>
      <w:r w:rsidRPr="007D198E">
        <w:rPr>
          <w:rFonts w:eastAsia="Times New Roman"/>
          <w:i/>
          <w:sz w:val="24"/>
          <w:szCs w:val="24"/>
        </w:rPr>
        <w:t>(insert appropriate description of instrumentality)</w:t>
      </w:r>
      <w:r w:rsidRPr="007D198E">
        <w:rPr>
          <w:rFonts w:eastAsia="Times New Roman"/>
          <w:b/>
          <w:sz w:val="24"/>
          <w:szCs w:val="24"/>
        </w:rPr>
        <w:t>; and</w:t>
      </w:r>
    </w:p>
    <w:p w14:paraId="65B33403"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3. At the time and in the way such negligence probably occurred, it was more likely that the negligence of the defendant (or someone for whom the defendant was legally responsible), rather than the negligence of anyone else, caused the plaintiff’s (injuries) (damages) (losses).</w:t>
      </w:r>
    </w:p>
    <w:p w14:paraId="26DF48E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If you draw this inference, you may consider it along with all the other evidence in the case in deciding whether or not the defendant was negligent.</w:t>
      </w:r>
    </w:p>
    <w:p w14:paraId="5EFCC2BF" w14:textId="77777777" w:rsidR="007D198E" w:rsidRDefault="007D198E" w:rsidP="007D198E">
      <w:pPr>
        <w:jc w:val="center"/>
        <w:rPr>
          <w:rFonts w:eastAsia="Times New Roman"/>
          <w:sz w:val="24"/>
          <w:szCs w:val="24"/>
        </w:rPr>
      </w:pPr>
    </w:p>
    <w:p w14:paraId="21C80AC1" w14:textId="77777777" w:rsidR="007D198E" w:rsidRPr="0054263B" w:rsidRDefault="007D198E" w:rsidP="007D198E">
      <w:pPr>
        <w:keepNext/>
        <w:spacing w:after="240"/>
        <w:jc w:val="center"/>
        <w:rPr>
          <w:rFonts w:eastAsia="Times New Roman"/>
          <w:b/>
          <w:sz w:val="24"/>
          <w:szCs w:val="24"/>
        </w:rPr>
      </w:pPr>
      <w:r w:rsidRPr="0054263B">
        <w:rPr>
          <w:rFonts w:eastAsia="Times New Roman"/>
          <w:b/>
          <w:sz w:val="24"/>
          <w:szCs w:val="24"/>
        </w:rPr>
        <w:t>Notes on Use</w:t>
      </w:r>
    </w:p>
    <w:p w14:paraId="12516123"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 To demonstrate the applicability of res ipsa loquitur, a plaintiff must introduce evidence that, when viewed in the light most favorable to the plaintiff, establishes each of three elements by a preponderance of the evidence: (1) the event is of the kind that ordinarily does not occur in the absence of negligence; (2) responsible causes other than the defendant’s negligence are sufficiently eliminated; and (3) the presumed negligence is within the scope of the defendant’s duty to the plaintiff. </w:t>
      </w:r>
      <w:r w:rsidRPr="007D198E">
        <w:rPr>
          <w:rFonts w:eastAsia="Times New Roman"/>
          <w:b/>
          <w:sz w:val="24"/>
          <w:szCs w:val="24"/>
        </w:rPr>
        <w:t>Chapman v. Harner</w:t>
      </w:r>
      <w:r w:rsidRPr="007D198E">
        <w:rPr>
          <w:rFonts w:eastAsia="Times New Roman"/>
          <w:sz w:val="24"/>
          <w:szCs w:val="24"/>
        </w:rPr>
        <w:t xml:space="preserve">, 2014 CO 78, ¶ 5, 339 P.3d 519; </w:t>
      </w:r>
      <w:r w:rsidRPr="007D198E">
        <w:rPr>
          <w:rFonts w:eastAsia="Times New Roman"/>
          <w:b/>
          <w:sz w:val="24"/>
          <w:szCs w:val="24"/>
        </w:rPr>
        <w:t>Kendrick v. Pippin</w:t>
      </w:r>
      <w:r w:rsidRPr="007D198E">
        <w:rPr>
          <w:rFonts w:eastAsia="Times New Roman"/>
          <w:sz w:val="24"/>
          <w:szCs w:val="24"/>
        </w:rPr>
        <w:t xml:space="preserve">, 252 P.3d 1052 (Colo. 2011). </w:t>
      </w:r>
    </w:p>
    <w:p w14:paraId="5708391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2. Formerly, when the trial court determined that res ipsa loquitur</w:t>
      </w:r>
      <w:r w:rsidRPr="007D198E">
        <w:rPr>
          <w:rFonts w:eastAsia="Times New Roman"/>
          <w:i/>
          <w:sz w:val="24"/>
          <w:szCs w:val="24"/>
        </w:rPr>
        <w:t xml:space="preserve"> </w:t>
      </w:r>
      <w:r w:rsidRPr="007D198E">
        <w:rPr>
          <w:rFonts w:eastAsia="Times New Roman"/>
          <w:sz w:val="24"/>
          <w:szCs w:val="24"/>
        </w:rPr>
        <w:t xml:space="preserve">applied, the jury was instructed to consider the presumption of negligence together with all other evidence in the case in deciding whether or not the defendant was negligent. In </w:t>
      </w:r>
      <w:r w:rsidRPr="007D198E">
        <w:rPr>
          <w:rFonts w:eastAsia="Times New Roman"/>
          <w:b/>
          <w:sz w:val="24"/>
          <w:szCs w:val="24"/>
        </w:rPr>
        <w:t>Chapman</w:t>
      </w:r>
      <w:r w:rsidRPr="007D198E">
        <w:rPr>
          <w:rFonts w:eastAsia="Times New Roman"/>
          <w:sz w:val="24"/>
          <w:szCs w:val="24"/>
        </w:rPr>
        <w:t>, 2014 CO 78, ¶¶ 25-26, however, the Supreme Court held that, under Rule 301, the res ipsa loquitur</w:t>
      </w:r>
      <w:r w:rsidRPr="007D198E">
        <w:rPr>
          <w:rFonts w:eastAsia="Times New Roman"/>
          <w:i/>
          <w:sz w:val="24"/>
          <w:szCs w:val="24"/>
        </w:rPr>
        <w:t xml:space="preserve"> </w:t>
      </w:r>
      <w:r w:rsidRPr="007D198E">
        <w:rPr>
          <w:rFonts w:eastAsia="Times New Roman"/>
          <w:sz w:val="24"/>
          <w:szCs w:val="24"/>
        </w:rPr>
        <w:t xml:space="preserve">doctrine shifts only the burden of going forward with evidence to rebut the presumed fact of negligence. The doctrine does not shift the burden of proof, which remains on the plaintiff throughout the case. </w:t>
      </w:r>
    </w:p>
    <w:p w14:paraId="7182AB6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3. If the plaintiff presents sufficient evidence for a jury to find in favor of the plaintiff on the elements of res ipsa loquitur, then the burden shifts to the defendant to produce legally sufficient evidence rebutting the presumption. </w:t>
      </w:r>
      <w:r w:rsidRPr="007D198E">
        <w:rPr>
          <w:rFonts w:eastAsia="Times New Roman"/>
          <w:b/>
          <w:sz w:val="24"/>
          <w:szCs w:val="24"/>
        </w:rPr>
        <w:t>Chapman</w:t>
      </w:r>
      <w:r w:rsidRPr="007D198E">
        <w:rPr>
          <w:rFonts w:eastAsia="Times New Roman"/>
          <w:sz w:val="24"/>
          <w:szCs w:val="24"/>
        </w:rPr>
        <w:t xml:space="preserve">, 2014 CO 78, ¶ 25. If the defendant fails to produce legally sufficient evidence rebutting the presumption, </w:t>
      </w:r>
      <w:r w:rsidRPr="007D198E">
        <w:rPr>
          <w:rFonts w:eastAsia="Times New Roman"/>
          <w:b/>
          <w:sz w:val="24"/>
          <w:szCs w:val="24"/>
        </w:rPr>
        <w:t xml:space="preserve">Chapman </w:t>
      </w:r>
      <w:r w:rsidRPr="007D198E">
        <w:rPr>
          <w:rFonts w:eastAsia="Times New Roman"/>
          <w:sz w:val="24"/>
          <w:szCs w:val="24"/>
        </w:rPr>
        <w:t xml:space="preserve">does not state the procedure to be followed. </w:t>
      </w:r>
      <w:r w:rsidRPr="007D198E">
        <w:rPr>
          <w:rFonts w:eastAsia="Times New Roman"/>
          <w:b/>
          <w:sz w:val="24"/>
          <w:szCs w:val="24"/>
        </w:rPr>
        <w:t>Krueger v. Ary</w:t>
      </w:r>
      <w:r w:rsidRPr="007D198E">
        <w:rPr>
          <w:rFonts w:eastAsia="Times New Roman"/>
          <w:sz w:val="24"/>
          <w:szCs w:val="24"/>
        </w:rPr>
        <w:t xml:space="preserve">, 205 P.3d 1150 (Colo. 2009), addressing the rebuttable presumption of undue influence in will contests, sets forth in detail the general procedure for applying a rebuttable presumption. Although </w:t>
      </w:r>
      <w:r w:rsidRPr="007D198E">
        <w:rPr>
          <w:rFonts w:eastAsia="Times New Roman"/>
          <w:b/>
          <w:sz w:val="24"/>
          <w:szCs w:val="24"/>
        </w:rPr>
        <w:t xml:space="preserve">Krueger </w:t>
      </w:r>
      <w:r w:rsidRPr="007D198E">
        <w:rPr>
          <w:rFonts w:eastAsia="Times New Roman"/>
          <w:sz w:val="24"/>
          <w:szCs w:val="24"/>
        </w:rPr>
        <w:t xml:space="preserve">was distinguished in </w:t>
      </w:r>
      <w:r w:rsidRPr="007D198E">
        <w:rPr>
          <w:rFonts w:eastAsia="Times New Roman"/>
          <w:b/>
          <w:sz w:val="24"/>
          <w:szCs w:val="24"/>
        </w:rPr>
        <w:lastRenderedPageBreak/>
        <w:t>Chapman</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 xml:space="preserve">2014 CO 78, ¶ 15, on the effect of applying res ipsa loquitur, </w:t>
      </w:r>
      <w:r w:rsidRPr="007D198E">
        <w:rPr>
          <w:rFonts w:eastAsia="Times New Roman"/>
          <w:b/>
          <w:sz w:val="24"/>
          <w:szCs w:val="24"/>
        </w:rPr>
        <w:t xml:space="preserve">Krueger </w:t>
      </w:r>
      <w:r w:rsidRPr="007D198E">
        <w:rPr>
          <w:rFonts w:eastAsia="Times New Roman"/>
          <w:sz w:val="24"/>
          <w:szCs w:val="24"/>
        </w:rPr>
        <w:t xml:space="preserve">nonetheless may provide guidance about the procedure when the defendant fails to rebut the presumption of negligence created by res ipsa loquitur. </w:t>
      </w:r>
      <w:r w:rsidRPr="007D198E">
        <w:rPr>
          <w:rFonts w:eastAsia="Times New Roman"/>
          <w:b/>
          <w:sz w:val="24"/>
          <w:szCs w:val="24"/>
        </w:rPr>
        <w:t xml:space="preserve">Krueger </w:t>
      </w:r>
      <w:r w:rsidRPr="007D198E">
        <w:rPr>
          <w:rFonts w:eastAsia="Times New Roman"/>
          <w:sz w:val="24"/>
          <w:szCs w:val="24"/>
        </w:rPr>
        <w:t>states that “if the opponent does not meet her burden [of going forward], the presumption establishes the presumed facts as a matter of law.” 205 P.3d at 1156. In that event, see Instruction 2:6 (instructing jury on remaining issues where trial court has directed a verdict on negligence against the defendant).</w:t>
      </w:r>
    </w:p>
    <w:p w14:paraId="3CF660E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4. If the defendant meets the burden of going forward by producing sufficient evidence to rebut the presumption of negligence, then “the presumption is destroyed and only a permissible inference of negligence remains. The jury may consider this inference alongside the other evidence in determining whether the plaintiff satisfied his burden to prove that the defendant was negligent, but it is not required to do so, and the trial court has discretion to determine whether or not to instruct the jury on the remaining permissible inference.” </w:t>
      </w:r>
      <w:r w:rsidRPr="007D198E">
        <w:rPr>
          <w:rFonts w:eastAsia="Times New Roman"/>
          <w:b/>
          <w:sz w:val="24"/>
          <w:szCs w:val="24"/>
        </w:rPr>
        <w:t>Chapman</w:t>
      </w:r>
      <w:r w:rsidRPr="007D198E">
        <w:rPr>
          <w:rFonts w:eastAsia="Times New Roman"/>
          <w:sz w:val="24"/>
          <w:szCs w:val="24"/>
        </w:rPr>
        <w:t xml:space="preserve">, 2014 CO 78, ¶ 25. If the court decides to instruct on the remaining permissible inference, this instruction, rather than Instruction 3:5 (permissible inference arising from rebuttable presumption), should be used. However, the supreme court “disfavor[s] instructions emphasizing specific evidence.” </w:t>
      </w:r>
      <w:r w:rsidRPr="007D198E">
        <w:rPr>
          <w:rFonts w:eastAsia="Times New Roman"/>
          <w:b/>
          <w:sz w:val="24"/>
          <w:szCs w:val="24"/>
        </w:rPr>
        <w:t>Krueger</w:t>
      </w:r>
      <w:r w:rsidRPr="007D198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7D198E">
        <w:rPr>
          <w:rFonts w:eastAsia="Times New Roman"/>
          <w:i/>
          <w:sz w:val="24"/>
          <w:szCs w:val="24"/>
        </w:rPr>
        <w:t>Id.</w:t>
      </w:r>
      <w:r w:rsidRPr="007D198E">
        <w:rPr>
          <w:rFonts w:eastAsia="Times New Roman"/>
          <w:sz w:val="24"/>
          <w:szCs w:val="24"/>
        </w:rPr>
        <w:t xml:space="preserve"> When the permissible inference arises, an instruction should be given if “justified by strong underlying policy considerations.” </w:t>
      </w:r>
      <w:r w:rsidRPr="007D198E">
        <w:rPr>
          <w:rFonts w:eastAsia="Times New Roman"/>
          <w:i/>
          <w:sz w:val="24"/>
          <w:szCs w:val="24"/>
        </w:rPr>
        <w:t>Id.</w:t>
      </w:r>
      <w:r w:rsidRPr="007D198E">
        <w:rPr>
          <w:rFonts w:eastAsia="Times New Roman"/>
          <w:sz w:val="24"/>
          <w:szCs w:val="24"/>
        </w:rPr>
        <w:t xml:space="preserve"> </w:t>
      </w:r>
    </w:p>
    <w:p w14:paraId="52F0CA65"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5. As an example of policy considerations that would support giving a permissible inference instruction, the court in </w:t>
      </w:r>
      <w:r w:rsidRPr="007D198E">
        <w:rPr>
          <w:rFonts w:eastAsia="Times New Roman"/>
          <w:b/>
          <w:sz w:val="24"/>
          <w:szCs w:val="24"/>
        </w:rPr>
        <w:t xml:space="preserve">Krueger </w:t>
      </w:r>
      <w:r w:rsidRPr="007D198E">
        <w:rPr>
          <w:rFonts w:eastAsia="Times New Roman"/>
          <w:sz w:val="24"/>
          <w:szCs w:val="24"/>
        </w:rPr>
        <w:t xml:space="preserve">cited the presumption that evidence destroyed by a civil litigant would have been unfavorable to the destroying party. </w:t>
      </w:r>
      <w:r w:rsidRPr="007D198E">
        <w:rPr>
          <w:rFonts w:eastAsia="Times New Roman"/>
          <w:i/>
          <w:sz w:val="24"/>
          <w:szCs w:val="24"/>
        </w:rPr>
        <w:t>Id.</w:t>
      </w:r>
      <w:r w:rsidRPr="007D198E">
        <w:rPr>
          <w:rFonts w:eastAsia="Times New Roman"/>
          <w:sz w:val="24"/>
          <w:szCs w:val="24"/>
        </w:rPr>
        <w:t xml:space="preserve"> “A trial court may give this permissible inference instruction as long as it furthers two underlying rationales.” </w:t>
      </w:r>
      <w:r w:rsidRPr="007D198E">
        <w:rPr>
          <w:rFonts w:eastAsia="Times New Roman"/>
          <w:i/>
          <w:sz w:val="24"/>
          <w:szCs w:val="24"/>
        </w:rPr>
        <w:t>Id.</w:t>
      </w:r>
      <w:r w:rsidRPr="007D198E">
        <w:rPr>
          <w:rFonts w:eastAsia="Times New Roman"/>
          <w:sz w:val="24"/>
          <w:szCs w:val="24"/>
        </w:rPr>
        <w:t xml:space="preserve"> “The instruction should be both punitive and remedial; it should deter the parties from destroying evidence, and restore the prejudiced party to the position she would have been in had the evidence not been destroyed.” </w:t>
      </w:r>
      <w:r w:rsidRPr="007D198E">
        <w:rPr>
          <w:rFonts w:eastAsia="Times New Roman"/>
          <w:i/>
          <w:sz w:val="24"/>
          <w:szCs w:val="24"/>
        </w:rPr>
        <w:t>Id.</w:t>
      </w:r>
      <w:r w:rsidRPr="007D198E">
        <w:rPr>
          <w:rFonts w:eastAsia="Times New Roman"/>
          <w:sz w:val="24"/>
          <w:szCs w:val="24"/>
        </w:rPr>
        <w:t xml:space="preserve"> </w:t>
      </w:r>
    </w:p>
    <w:p w14:paraId="7A917947"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6. This instruction should not be given if the circumstances of the case “‘do not suggest or indicate superior knowledge or opportunity for explanation on the part of the party charged or if the plaintiff . . . has equal or superior means of information.’” </w:t>
      </w:r>
      <w:r w:rsidRPr="007D198E">
        <w:rPr>
          <w:rFonts w:eastAsia="Times New Roman"/>
          <w:b/>
          <w:sz w:val="24"/>
          <w:szCs w:val="24"/>
        </w:rPr>
        <w:t>Shutt v. Kaufman’s, Inc.</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165 Colo. 175, 179-80, 438 P.2d 501, 503 (1968) (quoting </w:t>
      </w:r>
      <w:r w:rsidRPr="007D198E">
        <w:rPr>
          <w:rFonts w:eastAsia="Times New Roman"/>
          <w:b/>
          <w:sz w:val="24"/>
          <w:szCs w:val="24"/>
        </w:rPr>
        <w:t>Yellow Cab Co. v. Hodgson</w:t>
      </w:r>
      <w:r w:rsidRPr="007D198E">
        <w:rPr>
          <w:rFonts w:eastAsia="Times New Roman"/>
          <w:sz w:val="24"/>
          <w:szCs w:val="24"/>
        </w:rPr>
        <w:t>, 91 Colo. 365, 373, 14 P.2d 1081, 1084 (1932)).</w:t>
      </w:r>
    </w:p>
    <w:p w14:paraId="39E68AE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7. If the doctrine of res ipsa loquitur applies, it is reversible error for the court to instruct the jury that the mere happening of an accident does not give rise to a presumption of negligence (Instruction 9:12). </w:t>
      </w:r>
      <w:r w:rsidRPr="007D198E">
        <w:rPr>
          <w:rFonts w:eastAsia="Times New Roman"/>
          <w:b/>
          <w:sz w:val="24"/>
          <w:szCs w:val="24"/>
        </w:rPr>
        <w:t>Trione v. Mike Wallen Standard, Inc.</w:t>
      </w:r>
      <w:r w:rsidRPr="007D198E">
        <w:rPr>
          <w:rFonts w:eastAsia="Times New Roman"/>
          <w:sz w:val="24"/>
          <w:szCs w:val="24"/>
        </w:rPr>
        <w:t xml:space="preserve">, 902 P.2d 454 (Colo. App. 1995);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Kitto v. Gilbert</w:t>
      </w:r>
      <w:r w:rsidRPr="007D198E">
        <w:rPr>
          <w:rFonts w:eastAsia="Times New Roman"/>
          <w:sz w:val="24"/>
          <w:szCs w:val="24"/>
        </w:rPr>
        <w:t>, 39 Colo. App. 374, 570 P.2d 544 (1977).</w:t>
      </w:r>
    </w:p>
    <w:p w14:paraId="5C6BD8B2" w14:textId="248FF68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8. The doctrine of res ipsa loquitur may apply in cases involving more than one defendant and in cases where the defendant may not have had “exclusive” control in a literal sense. </w:t>
      </w:r>
      <w:r w:rsidRPr="007D198E">
        <w:rPr>
          <w:rFonts w:eastAsia="Times New Roman"/>
          <w:b/>
          <w:sz w:val="24"/>
          <w:szCs w:val="24"/>
        </w:rPr>
        <w:t>Branco E. Co. v. Leffler</w:t>
      </w:r>
      <w:r w:rsidRPr="007D198E">
        <w:rPr>
          <w:rFonts w:eastAsia="Times New Roman"/>
          <w:sz w:val="24"/>
          <w:szCs w:val="24"/>
        </w:rPr>
        <w:t xml:space="preserve">, 173 Colo. 428, 482 P.2d 364 (1971); </w:t>
      </w:r>
      <w:r w:rsidRPr="007D198E">
        <w:rPr>
          <w:rFonts w:eastAsia="Times New Roman"/>
          <w:i/>
          <w:sz w:val="24"/>
          <w:szCs w:val="24"/>
        </w:rPr>
        <w:t>see also</w:t>
      </w:r>
      <w:r w:rsidRPr="007D198E">
        <w:rPr>
          <w:rFonts w:eastAsia="Times New Roman"/>
          <w:iCs/>
          <w:sz w:val="24"/>
          <w:szCs w:val="24"/>
        </w:rPr>
        <w:t xml:space="preserve"> </w:t>
      </w:r>
      <w:r w:rsidRPr="007D198E">
        <w:rPr>
          <w:rFonts w:eastAsia="Times New Roman"/>
          <w:b/>
          <w:bCs/>
          <w:sz w:val="24"/>
          <w:szCs w:val="24"/>
        </w:rPr>
        <w:t>Ochoa v. Vered</w:t>
      </w:r>
      <w:r w:rsidRPr="007D198E">
        <w:rPr>
          <w:rFonts w:eastAsia="Times New Roman"/>
          <w:sz w:val="24"/>
          <w:szCs w:val="24"/>
        </w:rPr>
        <w:t>, 212 P.3d 963 (Colo. App. 2009);</w:t>
      </w:r>
      <w:r w:rsidRPr="007D198E">
        <w:rPr>
          <w:rFonts w:eastAsia="Times New Roman"/>
          <w:i/>
          <w:sz w:val="24"/>
          <w:szCs w:val="24"/>
        </w:rPr>
        <w:t xml:space="preserve"> </w:t>
      </w:r>
      <w:r w:rsidRPr="007D198E">
        <w:rPr>
          <w:rFonts w:eastAsia="Times New Roman"/>
          <w:b/>
          <w:sz w:val="24"/>
          <w:szCs w:val="24"/>
        </w:rPr>
        <w:t>Auxier v. Auxier</w:t>
      </w:r>
      <w:r w:rsidRPr="007D198E">
        <w:rPr>
          <w:rFonts w:eastAsia="Times New Roman"/>
          <w:sz w:val="24"/>
          <w:szCs w:val="24"/>
        </w:rPr>
        <w:t xml:space="preserve">, 843 P.2d 93 (Colo. App. 1992), </w:t>
      </w:r>
      <w:r w:rsidRPr="007D198E">
        <w:rPr>
          <w:rFonts w:eastAsia="Times New Roman"/>
          <w:i/>
          <w:sz w:val="24"/>
          <w:szCs w:val="24"/>
        </w:rPr>
        <w:t>overruled on other grounds by</w:t>
      </w:r>
      <w:r w:rsidRPr="007D198E">
        <w:rPr>
          <w:rFonts w:eastAsia="Times New Roman"/>
          <w:sz w:val="24"/>
          <w:szCs w:val="24"/>
        </w:rPr>
        <w:t xml:space="preserve"> </w:t>
      </w:r>
      <w:r w:rsidRPr="007D198E">
        <w:rPr>
          <w:rFonts w:eastAsia="Times New Roman"/>
          <w:b/>
          <w:sz w:val="24"/>
          <w:szCs w:val="24"/>
        </w:rPr>
        <w:t>Scott v. Matlack, Inc.</w:t>
      </w:r>
      <w:r w:rsidRPr="007D198E">
        <w:rPr>
          <w:rFonts w:eastAsia="Times New Roman"/>
          <w:sz w:val="24"/>
          <w:szCs w:val="24"/>
        </w:rPr>
        <w:t xml:space="preserve">, 39 P.3d 1160 (Colo. 2002). On the question of what constitutes sufficient proof on the issue of “exclusive” control, compare </w:t>
      </w:r>
      <w:r w:rsidRPr="007D198E">
        <w:rPr>
          <w:rFonts w:eastAsia="Times New Roman"/>
          <w:b/>
          <w:sz w:val="24"/>
          <w:szCs w:val="24"/>
        </w:rPr>
        <w:t>Leffler</w:t>
      </w:r>
      <w:r w:rsidRPr="007D198E">
        <w:rPr>
          <w:rFonts w:eastAsia="Times New Roman"/>
          <w:sz w:val="24"/>
          <w:szCs w:val="24"/>
        </w:rPr>
        <w:t xml:space="preserve">, 482 P.2d 364, with </w:t>
      </w:r>
      <w:r w:rsidRPr="007D198E">
        <w:rPr>
          <w:rFonts w:eastAsia="Times New Roman"/>
          <w:b/>
          <w:sz w:val="24"/>
          <w:szCs w:val="24"/>
        </w:rPr>
        <w:t>Hilzer v. MacDonald</w:t>
      </w:r>
      <w:r w:rsidRPr="007D198E">
        <w:rPr>
          <w:rFonts w:eastAsia="Times New Roman"/>
          <w:sz w:val="24"/>
          <w:szCs w:val="24"/>
        </w:rPr>
        <w:t xml:space="preserve">, 169 Colo. 230, 454 P.2d 928 (1969);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 v. Gamble</w:t>
      </w:r>
      <w:r w:rsidRPr="007D198E">
        <w:rPr>
          <w:rFonts w:eastAsia="Times New Roman"/>
          <w:sz w:val="24"/>
          <w:szCs w:val="24"/>
        </w:rPr>
        <w:t xml:space="preserve">, </w:t>
      </w:r>
      <w:r w:rsidRPr="007D198E">
        <w:rPr>
          <w:rFonts w:eastAsia="Times New Roman"/>
          <w:sz w:val="24"/>
          <w:szCs w:val="24"/>
        </w:rPr>
        <w:lastRenderedPageBreak/>
        <w:t xml:space="preserve">655 P.2d 405 (Colo. 1982) (evidence insufficient to eliminate other possible responsible causes, including plaintiff’s own conduct and conduct of third persons); </w:t>
      </w:r>
      <w:r w:rsidRPr="007D198E">
        <w:rPr>
          <w:rFonts w:eastAsia="Times New Roman"/>
          <w:b/>
          <w:sz w:val="24"/>
          <w:szCs w:val="24"/>
        </w:rPr>
        <w:t>Lui v. Barnhart</w:t>
      </w:r>
      <w:r w:rsidRPr="007D198E">
        <w:rPr>
          <w:rFonts w:eastAsia="Times New Roman"/>
          <w:sz w:val="24"/>
          <w:szCs w:val="24"/>
        </w:rPr>
        <w:t xml:space="preserve">, 987 P.2d 942 (Colo. App. 1999) (in action by motorist who collided with horse, mere fact that horse was out of corral did not support instruction on res ipsa loquitur since horse’s presence on road could be explained by actions of unknown third parties); </w:t>
      </w:r>
      <w:r w:rsidRPr="007D198E">
        <w:rPr>
          <w:rFonts w:eastAsia="Times New Roman"/>
          <w:b/>
          <w:sz w:val="24"/>
          <w:szCs w:val="24"/>
        </w:rPr>
        <w:t>Nutting v. N. Energy, Inc.</w:t>
      </w:r>
      <w:r w:rsidRPr="007D198E">
        <w:rPr>
          <w:rFonts w:eastAsia="Times New Roman"/>
          <w:sz w:val="24"/>
          <w:szCs w:val="24"/>
        </w:rPr>
        <w:t xml:space="preserve">, 874 P.2d 482 (Colo. App. 1994); </w:t>
      </w:r>
      <w:r w:rsidRPr="007D198E">
        <w:rPr>
          <w:rFonts w:eastAsia="Times New Roman"/>
          <w:b/>
          <w:sz w:val="24"/>
          <w:szCs w:val="24"/>
        </w:rPr>
        <w:t>Martin v. Minnard</w:t>
      </w:r>
      <w:r w:rsidRPr="007D198E">
        <w:rPr>
          <w:rFonts w:eastAsia="Times New Roman"/>
          <w:sz w:val="24"/>
          <w:szCs w:val="24"/>
        </w:rPr>
        <w:t xml:space="preserve">, 862 P.2d 1014 (Colo. App. 1993); </w:t>
      </w:r>
      <w:r w:rsidRPr="007D198E">
        <w:rPr>
          <w:rFonts w:eastAsia="Times New Roman"/>
          <w:b/>
          <w:sz w:val="24"/>
          <w:szCs w:val="24"/>
        </w:rPr>
        <w:t>Berrey v. White Wing Servs., Inc.</w:t>
      </w:r>
      <w:r w:rsidRPr="007D198E">
        <w:rPr>
          <w:rFonts w:eastAsia="Times New Roman"/>
          <w:sz w:val="24"/>
          <w:szCs w:val="24"/>
        </w:rPr>
        <w:t xml:space="preserve">, 44 Colo. App. 506, 619 P.2d 82 (1980) (sufficient evidence of “exclusive” control). Also, in cases involving alleged medical malpractice, compare </w:t>
      </w:r>
      <w:r w:rsidRPr="007D198E">
        <w:rPr>
          <w:rFonts w:eastAsia="Times New Roman"/>
          <w:b/>
          <w:sz w:val="24"/>
          <w:szCs w:val="24"/>
        </w:rPr>
        <w:t>Spoor v. Serota</w:t>
      </w:r>
      <w:r w:rsidRPr="007D198E">
        <w:rPr>
          <w:rFonts w:eastAsia="Times New Roman"/>
          <w:sz w:val="24"/>
          <w:szCs w:val="24"/>
        </w:rPr>
        <w:t xml:space="preserve">, 852 P.2d 1292 (Colo. App. 1992), </w:t>
      </w:r>
      <w:r w:rsidRPr="007D198E">
        <w:rPr>
          <w:rFonts w:eastAsia="Times New Roman"/>
          <w:b/>
          <w:sz w:val="24"/>
          <w:szCs w:val="24"/>
        </w:rPr>
        <w:t>Mudd v. Dorr</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40 Colo. App. 74, 574 P.2d 97 (1977), and </w:t>
      </w:r>
      <w:r w:rsidRPr="007D198E">
        <w:rPr>
          <w:rFonts w:eastAsia="Times New Roman"/>
          <w:b/>
          <w:sz w:val="24"/>
          <w:szCs w:val="24"/>
        </w:rPr>
        <w:t>Kitto</w:t>
      </w:r>
      <w:r w:rsidRPr="007D198E">
        <w:rPr>
          <w:rFonts w:eastAsia="Times New Roman"/>
          <w:sz w:val="24"/>
          <w:szCs w:val="24"/>
        </w:rPr>
        <w:t xml:space="preserve">, 39 Colo. App. 374, 570 P.2d 544, with </w:t>
      </w:r>
      <w:r w:rsidRPr="007D198E">
        <w:rPr>
          <w:rFonts w:eastAsia="Times New Roman"/>
          <w:b/>
          <w:sz w:val="24"/>
          <w:szCs w:val="24"/>
        </w:rPr>
        <w:t>Adams v. Leidholt</w:t>
      </w:r>
      <w:r w:rsidRPr="007D198E">
        <w:rPr>
          <w:rFonts w:eastAsia="Times New Roman"/>
          <w:sz w:val="24"/>
          <w:szCs w:val="24"/>
        </w:rPr>
        <w:t xml:space="preserve">, 195 Colo. 450, 579 P.2d 618 (1978), </w:t>
      </w:r>
      <w:r w:rsidRPr="007D198E">
        <w:rPr>
          <w:rFonts w:eastAsia="Times New Roman"/>
          <w:i/>
          <w:sz w:val="24"/>
          <w:szCs w:val="24"/>
        </w:rPr>
        <w:t>aff’d on other grounds</w:t>
      </w:r>
      <w:r w:rsidRPr="007D198E">
        <w:rPr>
          <w:rFonts w:eastAsia="Times New Roman"/>
          <w:sz w:val="24"/>
          <w:szCs w:val="24"/>
        </w:rPr>
        <w:t xml:space="preserve">, 195 Colo. 450, 579 P.2d 618 (1978).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w:t>
      </w:r>
      <w:r w:rsidRPr="007D198E">
        <w:rPr>
          <w:rFonts w:eastAsia="Times New Roman"/>
          <w:sz w:val="24"/>
          <w:szCs w:val="24"/>
        </w:rPr>
        <w:t xml:space="preserve">, 655 P.2d at 409 (res ipsa loquitur instruction not warranted because it was “equally likely” that there was another cause for plaintiff’s injury); </w:t>
      </w:r>
      <w:r w:rsidRPr="007D198E">
        <w:rPr>
          <w:rFonts w:eastAsia="Times New Roman"/>
          <w:b/>
          <w:sz w:val="24"/>
          <w:szCs w:val="24"/>
        </w:rPr>
        <w:t>Freedman v. Kaiser Found. Health Plan</w:t>
      </w:r>
      <w:r w:rsidRPr="007D198E">
        <w:rPr>
          <w:rFonts w:eastAsia="Times New Roman"/>
          <w:sz w:val="24"/>
          <w:szCs w:val="24"/>
        </w:rPr>
        <w:t xml:space="preserve">, 849 P.2d 811 (Colo. App. 1992) (instruction on res ipsa loquitur not warranted where evidence did not sufficiently eliminate other possible causes of plaintiffs’ damages and indicated that plaintiffs’ damages might have been caused by negligence of third party not named as a defendant); </w:t>
      </w:r>
      <w:r w:rsidRPr="007D198E">
        <w:rPr>
          <w:rFonts w:eastAsia="Times New Roman"/>
          <w:b/>
          <w:sz w:val="24"/>
          <w:szCs w:val="24"/>
        </w:rPr>
        <w:t>Miller v. Van Newkirk</w:t>
      </w:r>
      <w:r w:rsidRPr="007D198E">
        <w:rPr>
          <w:rFonts w:eastAsia="Times New Roman"/>
          <w:sz w:val="24"/>
          <w:szCs w:val="24"/>
        </w:rPr>
        <w:t>, 628 P.2d 143 (Colo. App. 1980) (insufficient evidence that “accident” would not ordinarily have happened in the absence of negligence).</w:t>
      </w:r>
    </w:p>
    <w:p w14:paraId="30650C84" w14:textId="41F095B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9. In order to rely on the doctrine, it is not necessary for the plaintiff’s proof to eliminate all possibilities other than the negligence of the defendant which might explain the accident and his injuries. </w:t>
      </w:r>
      <w:r w:rsidRPr="007D198E">
        <w:rPr>
          <w:rFonts w:eastAsia="Times New Roman"/>
          <w:b/>
          <w:sz w:val="24"/>
          <w:szCs w:val="24"/>
        </w:rPr>
        <w:t>Adams</w:t>
      </w:r>
      <w:r w:rsidRPr="007D198E">
        <w:rPr>
          <w:rFonts w:eastAsia="Times New Roman"/>
          <w:sz w:val="24"/>
          <w:szCs w:val="24"/>
        </w:rPr>
        <w:t xml:space="preserve">, 38 Colo. App. at 470, 563 P.2d at 20;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Montgomery Elevator Co. v. Gordon</w:t>
      </w:r>
      <w:r w:rsidRPr="007D198E">
        <w:rPr>
          <w:rFonts w:eastAsia="Times New Roman"/>
          <w:sz w:val="24"/>
          <w:szCs w:val="24"/>
        </w:rPr>
        <w:t xml:space="preserve">, 619 P.2d 66 (Colo. 1980); </w:t>
      </w:r>
      <w:r w:rsidRPr="007D198E">
        <w:rPr>
          <w:rFonts w:eastAsia="Times New Roman"/>
          <w:b/>
          <w:sz w:val="24"/>
          <w:szCs w:val="24"/>
        </w:rPr>
        <w:t>Manzi</w:t>
      </w:r>
      <w:r w:rsidRPr="007D198E">
        <w:rPr>
          <w:rFonts w:eastAsia="Times New Roman"/>
          <w:sz w:val="24"/>
          <w:szCs w:val="24"/>
        </w:rPr>
        <w:t xml:space="preserve"> </w:t>
      </w:r>
      <w:r w:rsidRPr="007D198E">
        <w:rPr>
          <w:rFonts w:eastAsia="Times New Roman"/>
          <w:b/>
          <w:sz w:val="24"/>
          <w:szCs w:val="24"/>
        </w:rPr>
        <w:t>v. Montgomery Elevator Co.</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865 P.2d 902 (Colo. App. 1993) (evidence sufficient to invoke doctrine against manufacturer of escalator where injuries occurred as a result of plaintiff’s shoe being caught in escalator mechanism); </w:t>
      </w:r>
      <w:r w:rsidRPr="007D198E">
        <w:rPr>
          <w:rFonts w:eastAsia="Times New Roman"/>
          <w:b/>
          <w:sz w:val="24"/>
          <w:szCs w:val="24"/>
        </w:rPr>
        <w:t>Hartford Fire Ins. Co. v. Pub. Serv. Co.</w:t>
      </w:r>
      <w:r w:rsidRPr="007D198E">
        <w:rPr>
          <w:rFonts w:eastAsia="Times New Roman"/>
          <w:sz w:val="24"/>
          <w:szCs w:val="24"/>
        </w:rPr>
        <w:t>, 676 P.2d 25 (Colo. App. 1983). Moreover, once the plaintiff has established a prima facie case that the accident would not have happened but for the negligence of someone and that such negligence might have been that of the defendant, the presentation of conflicting evidence concerning other explanations as to how the accident might have been caused, or by whom, does not deprive the plaintiff of the right to have the case submitted to the jury on the theory of res ipsa loquitur</w:t>
      </w:r>
      <w:r w:rsidRPr="007D198E">
        <w:rPr>
          <w:rFonts w:eastAsia="Times New Roman"/>
          <w:i/>
          <w:sz w:val="24"/>
          <w:szCs w:val="24"/>
        </w:rPr>
        <w:t xml:space="preserve">. </w:t>
      </w:r>
      <w:r w:rsidRPr="007D198E">
        <w:rPr>
          <w:rFonts w:eastAsia="Times New Roman"/>
          <w:b/>
          <w:sz w:val="24"/>
          <w:szCs w:val="24"/>
        </w:rPr>
        <w:t>Hartford Fire Ins. Co.</w:t>
      </w:r>
      <w:r w:rsidRPr="007D198E">
        <w:rPr>
          <w:rFonts w:eastAsia="Times New Roman"/>
          <w:sz w:val="24"/>
          <w:szCs w:val="24"/>
        </w:rPr>
        <w:t>, 676 P.2d at 29.</w:t>
      </w:r>
    </w:p>
    <w:p w14:paraId="2F9DF45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10. In cases governed by the comparative negligence statute, it is not necessary in all cases for the plaintiff to prove a lack of contributory negligence on his or her part in order to rely on the doctrine of res ipsa loquitur as a means of establishing the defendant’s negligence. That would appear to be necessary only where the plaintiff has had some “control” over the instrumentality at the time of the probable negligence and consequently might have been the only person whose negligence caused his or her injuries. Such is not the case, however, where the doctrine would be sufficient alone to establish negligence on the part of anyone having “exclusive control of the instrumentality” at the time of the probable negligence, and any negligence of the plaintiff, even though it may have contributed to the plaintiff’s injuries, for example, by enhancing them, was causally independent of whatever events may have caused the instrumentality to bring about the accident. </w:t>
      </w:r>
      <w:r w:rsidRPr="007D198E">
        <w:rPr>
          <w:rFonts w:eastAsia="Times New Roman"/>
          <w:b/>
          <w:sz w:val="24"/>
          <w:szCs w:val="24"/>
        </w:rPr>
        <w:t>Gordon</w:t>
      </w:r>
      <w:r w:rsidRPr="007D198E">
        <w:rPr>
          <w:rFonts w:eastAsia="Times New Roman"/>
          <w:sz w:val="24"/>
          <w:szCs w:val="24"/>
        </w:rPr>
        <w:t xml:space="preserve">, 619 P.2d at 70; </w:t>
      </w:r>
      <w:r w:rsidRPr="007D198E">
        <w:rPr>
          <w:rFonts w:eastAsia="Times New Roman"/>
          <w:i/>
          <w:sz w:val="24"/>
          <w:szCs w:val="24"/>
        </w:rPr>
        <w:t xml:space="preserve">see also </w:t>
      </w:r>
      <w:r w:rsidRPr="007D198E">
        <w:rPr>
          <w:rFonts w:eastAsia="Times New Roman"/>
          <w:b/>
          <w:sz w:val="24"/>
          <w:szCs w:val="24"/>
        </w:rPr>
        <w:t>Tracy v. Graf</w:t>
      </w:r>
      <w:r w:rsidRPr="007D198E">
        <w:rPr>
          <w:rFonts w:eastAsia="Times New Roman"/>
          <w:sz w:val="24"/>
          <w:szCs w:val="24"/>
        </w:rPr>
        <w:t xml:space="preserve">, 37 Colo. App. 323, 550 P.2d 886 (1976), </w:t>
      </w:r>
      <w:r w:rsidRPr="007D198E">
        <w:rPr>
          <w:rFonts w:eastAsia="Times New Roman"/>
          <w:i/>
          <w:sz w:val="24"/>
          <w:szCs w:val="24"/>
        </w:rPr>
        <w:t>rev’d on other grounds</w:t>
      </w:r>
      <w:r w:rsidRPr="007D198E">
        <w:rPr>
          <w:rFonts w:eastAsia="Times New Roman"/>
          <w:sz w:val="24"/>
          <w:szCs w:val="24"/>
        </w:rPr>
        <w:t>, 194 Colo. 1, 568 P.2d 467 (1977).</w:t>
      </w:r>
    </w:p>
    <w:p w14:paraId="59B3F6B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11. The plaintiff need only disprove any possible contributory negligence on his or her part if the plaintiff had some control over the instrumentality at the time the instrumentality </w:t>
      </w:r>
      <w:r w:rsidRPr="007D198E">
        <w:rPr>
          <w:rFonts w:eastAsia="Times New Roman"/>
          <w:sz w:val="24"/>
          <w:szCs w:val="24"/>
        </w:rPr>
        <w:lastRenderedPageBreak/>
        <w:t xml:space="preserve">caused the accident, and the plaintiff’s control was such that, if exercised negligently, it could have been the negligence inferable from the accident rather than that of the defendant. While other independent contributory negligence of the plaintiff may be established by the defendant to bar or reduce the plaintiff’s damages under the comparative negligence statute, evidence of that negligence will not preclude the plaintiff’s use of the doctrine of res ipsa loquitur, if otherwise applicable, to establish negligence on the part of the defendant. </w:t>
      </w:r>
      <w:r w:rsidRPr="007D198E">
        <w:rPr>
          <w:rFonts w:eastAsia="Times New Roman"/>
          <w:b/>
          <w:sz w:val="24"/>
          <w:szCs w:val="24"/>
        </w:rPr>
        <w:t>Gordon</w:t>
      </w:r>
      <w:r w:rsidRPr="007D198E">
        <w:rPr>
          <w:rFonts w:eastAsia="Times New Roman"/>
          <w:sz w:val="24"/>
          <w:szCs w:val="24"/>
        </w:rPr>
        <w:t>, 619 P.2d at 70;</w:t>
      </w:r>
      <w:r w:rsidRPr="007D198E">
        <w:rPr>
          <w:rFonts w:eastAsia="Times New Roman"/>
          <w:i/>
          <w:sz w:val="24"/>
          <w:szCs w:val="24"/>
        </w:rPr>
        <w:t xml:space="preserve"> see</w:t>
      </w:r>
      <w:r w:rsidRPr="007D198E">
        <w:rPr>
          <w:rFonts w:eastAsia="Times New Roman"/>
          <w:sz w:val="24"/>
          <w:szCs w:val="24"/>
        </w:rPr>
        <w:t xml:space="preserve"> </w:t>
      </w:r>
      <w:r w:rsidRPr="007D198E">
        <w:rPr>
          <w:rFonts w:eastAsia="Times New Roman"/>
          <w:b/>
          <w:sz w:val="24"/>
          <w:szCs w:val="24"/>
        </w:rPr>
        <w:t>Spoor</w:t>
      </w:r>
      <w:r w:rsidRPr="007D198E">
        <w:rPr>
          <w:rFonts w:eastAsia="Times New Roman"/>
          <w:sz w:val="24"/>
          <w:szCs w:val="24"/>
        </w:rPr>
        <w:t>, 852 P.2d at 1295.</w:t>
      </w:r>
    </w:p>
    <w:p w14:paraId="680C920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12. To rely on the doctrine, it is not necessary in all cases to establish that a specific instrumentality caused the injuries. It is sufficient if all reasonable causes were within the control of the defendant and the injuries would probably not have occurred in the absence of negligence. </w:t>
      </w:r>
      <w:r w:rsidRPr="007D198E">
        <w:rPr>
          <w:rFonts w:eastAsia="Times New Roman"/>
          <w:b/>
          <w:sz w:val="24"/>
          <w:szCs w:val="24"/>
        </w:rPr>
        <w:t>Zimmer v. Celebrities, Inc.</w:t>
      </w:r>
      <w:r w:rsidRPr="007D198E">
        <w:rPr>
          <w:rFonts w:eastAsia="Times New Roman"/>
          <w:sz w:val="24"/>
          <w:szCs w:val="24"/>
        </w:rPr>
        <w:t>, 44 Colo. App. 515, 615 P.2d 76 (1980).</w:t>
      </w:r>
    </w:p>
    <w:p w14:paraId="454B4F0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13. “[A]llegations of specific negligence in a complaint do not preclude a plaintiff from relying on the doctrine.” </w:t>
      </w:r>
      <w:r w:rsidRPr="007D198E">
        <w:rPr>
          <w:rFonts w:eastAsia="Times New Roman"/>
          <w:b/>
          <w:sz w:val="24"/>
          <w:szCs w:val="24"/>
        </w:rPr>
        <w:t>Hartford Fire Ins. Co.</w:t>
      </w:r>
      <w:r w:rsidRPr="007D198E">
        <w:rPr>
          <w:rFonts w:eastAsia="Times New Roman"/>
          <w:sz w:val="24"/>
          <w:szCs w:val="24"/>
        </w:rPr>
        <w:t xml:space="preserve">, 676 P.2d at 27. In addition, “an attempt to prove [a specific act of] negligence does not negate the applicability of [the doctrine] so long as the evidence of [such] specific negligence does not conclusively establish the facts surrounding the accident.” </w:t>
      </w:r>
      <w:r w:rsidRPr="007D198E">
        <w:rPr>
          <w:rFonts w:eastAsia="Times New Roman"/>
          <w:i/>
          <w:sz w:val="24"/>
          <w:szCs w:val="24"/>
        </w:rPr>
        <w:t>Id</w:t>
      </w:r>
      <w:r w:rsidRPr="007D198E">
        <w:rPr>
          <w:rFonts w:eastAsia="Times New Roman"/>
          <w:sz w:val="24"/>
          <w:szCs w:val="24"/>
        </w:rPr>
        <w:t xml:space="preserve">.;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Zimmer</w:t>
      </w:r>
      <w:r w:rsidRPr="007D198E">
        <w:rPr>
          <w:rFonts w:eastAsia="Times New Roman"/>
          <w:sz w:val="24"/>
          <w:szCs w:val="24"/>
        </w:rPr>
        <w:t xml:space="preserve">, 44 Colo. App. at 518, 615 P.2d at 79. However, in a medical malpractice claim the doctrine does not apply if the evidence establishes that a “specific act of negligence was the only likely cause for the harm.” </w:t>
      </w:r>
      <w:r w:rsidRPr="007D198E">
        <w:rPr>
          <w:rFonts w:eastAsia="Times New Roman"/>
          <w:b/>
          <w:sz w:val="24"/>
          <w:szCs w:val="24"/>
        </w:rPr>
        <w:t>Kitto</w:t>
      </w:r>
      <w:r w:rsidRPr="007D198E">
        <w:rPr>
          <w:rFonts w:eastAsia="Times New Roman"/>
          <w:sz w:val="24"/>
          <w:szCs w:val="24"/>
        </w:rPr>
        <w:t xml:space="preserve">, 39 Colo. App. at 380, 570 P.2d at 548; </w:t>
      </w:r>
      <w:r w:rsidRPr="007D198E">
        <w:rPr>
          <w:rFonts w:eastAsia="Times New Roman"/>
          <w:i/>
          <w:sz w:val="24"/>
          <w:szCs w:val="24"/>
        </w:rPr>
        <w:t xml:space="preserve">accord </w:t>
      </w:r>
      <w:r w:rsidRPr="007D198E">
        <w:rPr>
          <w:rFonts w:eastAsia="Times New Roman"/>
          <w:b/>
          <w:sz w:val="24"/>
          <w:szCs w:val="24"/>
        </w:rPr>
        <w:t>Shelton v. Penrose-St. Francis Healthcare Sys.</w:t>
      </w:r>
      <w:r w:rsidRPr="007D198E">
        <w:rPr>
          <w:rFonts w:eastAsia="Times New Roman"/>
          <w:sz w:val="24"/>
          <w:szCs w:val="24"/>
        </w:rPr>
        <w:t xml:space="preserve">, 968 P.2d 132 (Colo. App. 1998), </w:t>
      </w:r>
      <w:r w:rsidRPr="007D198E">
        <w:rPr>
          <w:rFonts w:eastAsia="Times New Roman"/>
          <w:i/>
          <w:sz w:val="24"/>
          <w:szCs w:val="24"/>
        </w:rPr>
        <w:t>rev’d on other grounds</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984 P.2d 623 (Colo. 1999).</w:t>
      </w:r>
    </w:p>
    <w:p w14:paraId="75232DEF"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14. Whether there is sufficient evidence for a reasonable jury to find the requirements of the doctrine have been established, and therefore whether this instruction should be given, is a question of law for the court. </w:t>
      </w:r>
      <w:r w:rsidRPr="007D198E">
        <w:rPr>
          <w:rFonts w:eastAsia="Times New Roman"/>
          <w:b/>
          <w:sz w:val="24"/>
          <w:szCs w:val="24"/>
        </w:rPr>
        <w:t>Miller</w:t>
      </w:r>
      <w:r w:rsidRPr="007D198E">
        <w:rPr>
          <w:rFonts w:eastAsia="Times New Roman"/>
          <w:sz w:val="24"/>
          <w:szCs w:val="24"/>
        </w:rPr>
        <w:t xml:space="preserve">, 628 P.2d at 146; </w:t>
      </w:r>
      <w:r w:rsidRPr="007D198E">
        <w:rPr>
          <w:rFonts w:eastAsia="Times New Roman"/>
          <w:b/>
          <w:sz w:val="24"/>
          <w:szCs w:val="24"/>
        </w:rPr>
        <w:t>Zimmer</w:t>
      </w:r>
      <w:r w:rsidRPr="007D198E">
        <w:rPr>
          <w:rFonts w:eastAsia="Times New Roman"/>
          <w:sz w:val="24"/>
          <w:szCs w:val="24"/>
        </w:rPr>
        <w:t xml:space="preserve">, 44 Colo. App. at 517, 615 P.2d at 78. In determining the sufficiency of the evidence, the court should not weigh the evidence nor apply a preponderance of the evidence test, but rather should apply the standard directed verdict test to each of the elements of the doctrine. </w:t>
      </w:r>
      <w:r w:rsidRPr="007D198E">
        <w:rPr>
          <w:rFonts w:eastAsia="Times New Roman"/>
          <w:b/>
          <w:sz w:val="24"/>
          <w:szCs w:val="24"/>
        </w:rPr>
        <w:t>Holmes</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655 P.2d at 409.</w:t>
      </w:r>
    </w:p>
    <w:p w14:paraId="61A60FB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15. In a medical malpractice action, the doctrine of res ipsa loquitur does not apply if expert testimony is required to establish that the defendant caused the injury and that the injury would not have occurred in the absence of negligence. </w:t>
      </w:r>
      <w:r w:rsidRPr="007D198E">
        <w:rPr>
          <w:rFonts w:eastAsia="Times New Roman"/>
          <w:b/>
          <w:sz w:val="24"/>
          <w:szCs w:val="24"/>
        </w:rPr>
        <w:t>Williams v. Boyle</w:t>
      </w:r>
      <w:r w:rsidRPr="007D198E">
        <w:rPr>
          <w:rFonts w:eastAsia="Times New Roman"/>
          <w:sz w:val="24"/>
          <w:szCs w:val="24"/>
        </w:rPr>
        <w:t>, 72 P.3d 392 (Colo. App. 2003).</w:t>
      </w:r>
    </w:p>
    <w:p w14:paraId="3AB62D9C" w14:textId="77777777" w:rsidR="007D198E" w:rsidRPr="0054263B" w:rsidRDefault="007D198E" w:rsidP="007D198E">
      <w:pPr>
        <w:keepNext/>
        <w:spacing w:after="240"/>
        <w:jc w:val="center"/>
        <w:rPr>
          <w:rFonts w:eastAsia="Times New Roman"/>
          <w:b/>
          <w:sz w:val="24"/>
          <w:szCs w:val="24"/>
        </w:rPr>
      </w:pPr>
      <w:r>
        <w:rPr>
          <w:rFonts w:eastAsia="Times New Roman"/>
          <w:b/>
          <w:sz w:val="24"/>
          <w:szCs w:val="24"/>
        </w:rPr>
        <w:t>Source and Authority</w:t>
      </w:r>
    </w:p>
    <w:p w14:paraId="7A0087BE" w14:textId="77777777" w:rsidR="007D198E" w:rsidRPr="007D198E" w:rsidRDefault="007D198E" w:rsidP="007D198E">
      <w:pPr>
        <w:spacing w:after="240"/>
        <w:ind w:firstLine="720"/>
        <w:rPr>
          <w:rFonts w:eastAsia="Times New Roman"/>
          <w:bCs/>
          <w:sz w:val="24"/>
          <w:szCs w:val="24"/>
        </w:rPr>
      </w:pPr>
      <w:r w:rsidRPr="007D198E">
        <w:rPr>
          <w:rFonts w:eastAsia="Times New Roman"/>
          <w:bCs/>
          <w:sz w:val="24"/>
          <w:szCs w:val="24"/>
        </w:rPr>
        <w:t xml:space="preserve">This instruction is supported by </w:t>
      </w:r>
      <w:r w:rsidRPr="007D198E">
        <w:rPr>
          <w:rFonts w:eastAsia="Times New Roman"/>
          <w:b/>
          <w:bCs/>
          <w:sz w:val="24"/>
          <w:szCs w:val="24"/>
        </w:rPr>
        <w:t>Chapman</w:t>
      </w:r>
      <w:r w:rsidRPr="007D198E">
        <w:rPr>
          <w:rFonts w:eastAsia="Times New Roman"/>
          <w:bCs/>
          <w:sz w:val="24"/>
          <w:szCs w:val="24"/>
        </w:rPr>
        <w:t xml:space="preserve">, 2014 CO 78, ¶¶ 25-26; </w:t>
      </w:r>
      <w:r w:rsidRPr="007D198E">
        <w:rPr>
          <w:rFonts w:eastAsia="Times New Roman"/>
          <w:b/>
          <w:bCs/>
          <w:sz w:val="24"/>
          <w:szCs w:val="24"/>
        </w:rPr>
        <w:t>Kendrick</w:t>
      </w:r>
      <w:r w:rsidRPr="007D198E">
        <w:rPr>
          <w:rFonts w:eastAsia="Times New Roman"/>
          <w:bCs/>
          <w:sz w:val="24"/>
          <w:szCs w:val="24"/>
        </w:rPr>
        <w:t xml:space="preserve">, 252 P.3d at 1061; and </w:t>
      </w:r>
      <w:r w:rsidRPr="007D198E">
        <w:rPr>
          <w:rFonts w:eastAsia="Times New Roman"/>
          <w:b/>
          <w:bCs/>
          <w:sz w:val="24"/>
          <w:szCs w:val="24"/>
        </w:rPr>
        <w:t>Ravin v. Gambrell</w:t>
      </w:r>
      <w:r w:rsidRPr="007D198E">
        <w:rPr>
          <w:rFonts w:eastAsia="Times New Roman"/>
          <w:bCs/>
          <w:sz w:val="24"/>
          <w:szCs w:val="24"/>
        </w:rPr>
        <w:t xml:space="preserve">, 788 P.2d 817 (Colo. 1990). </w:t>
      </w:r>
      <w:r w:rsidRPr="007D198E">
        <w:rPr>
          <w:rFonts w:eastAsia="Times New Roman"/>
          <w:b/>
          <w:bCs/>
          <w:sz w:val="24"/>
          <w:szCs w:val="24"/>
        </w:rPr>
        <w:t>Home Public Market v. Newrock</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111 Colo. 428, 142 P.2d 272 (1943), supports the first part of the instruction as to the elements required for res ipsa loquitur. </w:t>
      </w:r>
      <w:r w:rsidRPr="007D198E">
        <w:rPr>
          <w:rFonts w:eastAsia="Times New Roman"/>
          <w:bCs/>
          <w:i/>
          <w:sz w:val="24"/>
          <w:szCs w:val="24"/>
        </w:rPr>
        <w:t xml:space="preserve">See </w:t>
      </w:r>
      <w:r w:rsidRPr="007D198E">
        <w:rPr>
          <w:rFonts w:eastAsia="Times New Roman"/>
          <w:b/>
          <w:bCs/>
          <w:sz w:val="24"/>
          <w:szCs w:val="24"/>
        </w:rPr>
        <w:t>Bloxsom v. San Luis Valley Crop Care, Inc.</w:t>
      </w:r>
      <w:r w:rsidRPr="007D198E">
        <w:rPr>
          <w:rFonts w:eastAsia="Times New Roman"/>
          <w:bCs/>
          <w:sz w:val="24"/>
          <w:szCs w:val="24"/>
        </w:rPr>
        <w:t xml:space="preserve">, 198 Colo. 113, 596 P.2d 1189 (1979); </w:t>
      </w:r>
      <w:r w:rsidRPr="007D198E">
        <w:rPr>
          <w:rFonts w:eastAsia="Times New Roman"/>
          <w:b/>
          <w:bCs/>
          <w:sz w:val="24"/>
          <w:szCs w:val="24"/>
        </w:rPr>
        <w:t>Leffler</w:t>
      </w:r>
      <w:r w:rsidRPr="007D198E">
        <w:rPr>
          <w:rFonts w:eastAsia="Times New Roman"/>
          <w:bCs/>
          <w:sz w:val="24"/>
          <w:szCs w:val="24"/>
        </w:rPr>
        <w:t xml:space="preserve">, 173 Colo. at 435-36, 482 P.2d at 367-68; </w:t>
      </w:r>
      <w:r w:rsidRPr="007D198E">
        <w:rPr>
          <w:rFonts w:eastAsia="Times New Roman"/>
          <w:b/>
          <w:bCs/>
          <w:sz w:val="24"/>
          <w:szCs w:val="24"/>
        </w:rPr>
        <w:t>Hamilton v. Smith</w:t>
      </w:r>
      <w:r w:rsidRPr="007D198E">
        <w:rPr>
          <w:rFonts w:eastAsia="Times New Roman"/>
          <w:bCs/>
          <w:sz w:val="24"/>
          <w:szCs w:val="24"/>
        </w:rPr>
        <w:t xml:space="preserve">, 163 Colo. 88, 428 P.2d 706 (1967); </w:t>
      </w:r>
      <w:r w:rsidRPr="007D198E">
        <w:rPr>
          <w:rFonts w:eastAsia="Times New Roman"/>
          <w:b/>
          <w:bCs/>
          <w:sz w:val="24"/>
          <w:szCs w:val="24"/>
        </w:rPr>
        <w:t>Zimmerman v. Franzen</w:t>
      </w:r>
      <w:r w:rsidRPr="007D198E">
        <w:rPr>
          <w:rFonts w:eastAsia="Times New Roman"/>
          <w:bCs/>
          <w:sz w:val="24"/>
          <w:szCs w:val="24"/>
        </w:rPr>
        <w:t xml:space="preserve">, 121 Colo. 574, 220 P.2d 344 (1950); </w:t>
      </w:r>
      <w:r w:rsidRPr="007D198E">
        <w:rPr>
          <w:rFonts w:eastAsia="Times New Roman"/>
          <w:b/>
          <w:bCs/>
          <w:sz w:val="24"/>
          <w:szCs w:val="24"/>
        </w:rPr>
        <w:t>Minto v. Sprague</w:t>
      </w:r>
      <w:r w:rsidRPr="007D198E">
        <w:rPr>
          <w:rFonts w:eastAsia="Times New Roman"/>
          <w:bCs/>
          <w:sz w:val="24"/>
          <w:szCs w:val="24"/>
        </w:rPr>
        <w:t xml:space="preserve">, 124 P.3d 881 (Colo. App. 2005); </w:t>
      </w:r>
      <w:r w:rsidRPr="007D198E">
        <w:rPr>
          <w:rFonts w:eastAsia="Times New Roman"/>
          <w:b/>
          <w:bCs/>
          <w:sz w:val="24"/>
          <w:szCs w:val="24"/>
        </w:rPr>
        <w:t>Canape v. Peterson</w:t>
      </w:r>
      <w:r w:rsidRPr="007D198E">
        <w:rPr>
          <w:rFonts w:eastAsia="Times New Roman"/>
          <w:bCs/>
          <w:sz w:val="24"/>
          <w:szCs w:val="24"/>
        </w:rPr>
        <w:t xml:space="preserve">, 878 P.2d 83 (Colo. App. 1994), </w:t>
      </w:r>
      <w:r w:rsidRPr="007D198E">
        <w:rPr>
          <w:rFonts w:eastAsia="Times New Roman"/>
          <w:bCs/>
          <w:i/>
          <w:sz w:val="24"/>
          <w:szCs w:val="24"/>
        </w:rPr>
        <w:t>aff’d on other grounds</w:t>
      </w:r>
      <w:r w:rsidRPr="007D198E">
        <w:rPr>
          <w:rFonts w:eastAsia="Times New Roman"/>
          <w:bCs/>
          <w:sz w:val="24"/>
          <w:szCs w:val="24"/>
        </w:rPr>
        <w:t xml:space="preserve">, 897 P.2d 762 (Colo. 1995); </w:t>
      </w:r>
      <w:r w:rsidRPr="007D198E">
        <w:rPr>
          <w:rFonts w:eastAsia="Times New Roman"/>
          <w:b/>
          <w:bCs/>
          <w:sz w:val="24"/>
          <w:szCs w:val="24"/>
        </w:rPr>
        <w:t>U.S. Fid. &amp; Guar. Co. v. Salida Gas Serv. Co.</w:t>
      </w:r>
      <w:r w:rsidRPr="007D198E">
        <w:rPr>
          <w:rFonts w:eastAsia="Times New Roman"/>
          <w:bCs/>
          <w:sz w:val="24"/>
          <w:szCs w:val="24"/>
        </w:rPr>
        <w:t xml:space="preserve">, 793 P.2d 602 (Colo. App. 1989); </w:t>
      </w:r>
      <w:r w:rsidRPr="007D198E">
        <w:rPr>
          <w:rFonts w:eastAsia="Times New Roman"/>
          <w:b/>
          <w:bCs/>
          <w:sz w:val="24"/>
          <w:szCs w:val="24"/>
        </w:rPr>
        <w:t>Mudd</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40 Colo. App. at 77, 574 P.2d at 100; </w:t>
      </w:r>
      <w:r w:rsidRPr="007D198E">
        <w:rPr>
          <w:rFonts w:eastAsia="Times New Roman"/>
          <w:b/>
          <w:bCs/>
          <w:sz w:val="24"/>
          <w:szCs w:val="24"/>
        </w:rPr>
        <w:t>Kitto</w:t>
      </w:r>
      <w:r w:rsidRPr="007D198E">
        <w:rPr>
          <w:rFonts w:eastAsia="Times New Roman"/>
          <w:bCs/>
          <w:sz w:val="24"/>
          <w:szCs w:val="24"/>
        </w:rPr>
        <w:t xml:space="preserve">, 39 Colo. App. at 379-80, 570 P.2d 548; </w:t>
      </w:r>
      <w:r w:rsidRPr="007D198E">
        <w:rPr>
          <w:rFonts w:eastAsia="Times New Roman"/>
          <w:b/>
          <w:bCs/>
          <w:sz w:val="24"/>
          <w:szCs w:val="24"/>
        </w:rPr>
        <w:t>Majors v. J.C. Penney Co., Inc.</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31 </w:t>
      </w:r>
      <w:r w:rsidRPr="007D198E">
        <w:rPr>
          <w:rFonts w:eastAsia="Times New Roman"/>
          <w:bCs/>
          <w:sz w:val="24"/>
          <w:szCs w:val="24"/>
        </w:rPr>
        <w:lastRenderedPageBreak/>
        <w:t xml:space="preserve">Colo. App. 568, 506 P.2d 399 (1972) (error to instruct on res ipsa loquitur where accident was one that could have occurred in the absence of any negligence on the defendant’s part and, further, could have been caused by plaintiff’s voluntary act, negligence or otherwise); </w:t>
      </w:r>
      <w:r w:rsidRPr="007D198E">
        <w:rPr>
          <w:rFonts w:eastAsia="Times New Roman"/>
          <w:b/>
          <w:bCs/>
          <w:sz w:val="24"/>
          <w:szCs w:val="24"/>
        </w:rPr>
        <w:t>Oil Bldg. Corp. v. Hermann</w:t>
      </w:r>
      <w:r w:rsidRPr="007D198E">
        <w:rPr>
          <w:rFonts w:eastAsia="Times New Roman"/>
          <w:bCs/>
          <w:sz w:val="24"/>
          <w:szCs w:val="24"/>
        </w:rPr>
        <w:t xml:space="preserve">, 29 Colo. App. 564, 488 P.2d 1126 (1971); </w:t>
      </w:r>
      <w:r w:rsidRPr="007D198E">
        <w:rPr>
          <w:rFonts w:eastAsia="Times New Roman"/>
          <w:b/>
          <w:bCs/>
          <w:sz w:val="24"/>
          <w:szCs w:val="24"/>
        </w:rPr>
        <w:t>Smith v. Curran</w:t>
      </w:r>
      <w:r w:rsidRPr="007D198E">
        <w:rPr>
          <w:rFonts w:eastAsia="Times New Roman"/>
          <w:bCs/>
          <w:sz w:val="24"/>
          <w:szCs w:val="24"/>
        </w:rPr>
        <w:t xml:space="preserve">, 28 Colo. App. 358, 472 P.2d 769 (1970); </w:t>
      </w:r>
      <w:r w:rsidRPr="007D198E">
        <w:rPr>
          <w:rFonts w:eastAsia="Times New Roman"/>
          <w:bCs/>
          <w:i/>
          <w:sz w:val="24"/>
          <w:szCs w:val="24"/>
        </w:rPr>
        <w:t xml:space="preserve">see also </w:t>
      </w:r>
      <w:r w:rsidRPr="007D198E">
        <w:rPr>
          <w:rFonts w:eastAsia="Times New Roman"/>
          <w:b/>
          <w:bCs/>
          <w:sz w:val="24"/>
          <w:szCs w:val="24"/>
        </w:rPr>
        <w:t>Krueger</w:t>
      </w:r>
      <w:r w:rsidRPr="007D198E">
        <w:rPr>
          <w:rFonts w:eastAsia="Times New Roman"/>
          <w:bCs/>
          <w:sz w:val="24"/>
          <w:szCs w:val="24"/>
        </w:rPr>
        <w:t>, 205 P.3d 1154-56 (procedure for applying rebuttable presumption of undue influence in will contest).</w:t>
      </w:r>
    </w:p>
    <w:p w14:paraId="01648E92" w14:textId="77777777" w:rsidR="007D198E" w:rsidRDefault="007D198E">
      <w:pPr>
        <w:rPr>
          <w:rFonts w:eastAsia="Times New Roman"/>
          <w:sz w:val="24"/>
          <w:szCs w:val="24"/>
        </w:rPr>
      </w:pPr>
      <w:r>
        <w:rPr>
          <w:rFonts w:eastAsia="Times New Roman"/>
          <w:sz w:val="24"/>
          <w:szCs w:val="24"/>
        </w:rPr>
        <w:br w:type="page"/>
      </w:r>
    </w:p>
    <w:p w14:paraId="09BE24F9" w14:textId="77777777" w:rsidR="008D609F" w:rsidRDefault="008D609F" w:rsidP="008D609F">
      <w:pPr>
        <w:spacing w:after="240"/>
        <w:jc w:val="center"/>
        <w:rPr>
          <w:rFonts w:eastAsia="Times New Roman"/>
          <w:b/>
          <w:sz w:val="24"/>
          <w:szCs w:val="24"/>
        </w:rPr>
      </w:pPr>
      <w:r w:rsidRPr="008D609F">
        <w:rPr>
          <w:rFonts w:eastAsia="Times New Roman"/>
          <w:b/>
          <w:sz w:val="24"/>
          <w:szCs w:val="24"/>
        </w:rPr>
        <w:lastRenderedPageBreak/>
        <w:t>B. CAUSATION</w:t>
      </w:r>
    </w:p>
    <w:p w14:paraId="5E9D2532" w14:textId="77777777" w:rsidR="007D198E" w:rsidRPr="0054263B" w:rsidRDefault="008D609F" w:rsidP="007D198E">
      <w:pPr>
        <w:keepNext/>
        <w:spacing w:after="240"/>
        <w:jc w:val="center"/>
        <w:rPr>
          <w:rFonts w:eastAsia="Times New Roman"/>
          <w:b/>
          <w:sz w:val="24"/>
          <w:szCs w:val="24"/>
        </w:rPr>
      </w:pPr>
      <w:bookmarkStart w:id="20" w:name="SpecialNoteB"/>
      <w:bookmarkEnd w:id="20"/>
      <w:r>
        <w:rPr>
          <w:rFonts w:eastAsia="Times New Roman"/>
          <w:b/>
          <w:sz w:val="24"/>
          <w:szCs w:val="24"/>
        </w:rPr>
        <w:t>Special Note</w:t>
      </w:r>
    </w:p>
    <w:p w14:paraId="4DA8D21B"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Committ</w:t>
      </w:r>
      <w:smartTag w:uri="urn:schemas-microsoft-com:office:smarttags" w:element="PersonName">
        <w:r w:rsidRPr="008D609F">
          <w:rPr>
            <w:rFonts w:eastAsia="Times New Roman"/>
            <w:sz w:val="24"/>
            <w:szCs w:val="24"/>
          </w:rPr>
          <w:t>e</w:t>
        </w:r>
      </w:smartTag>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has int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ntionally </w:t>
      </w:r>
      <w:smartTag w:uri="urn:schemas-microsoft-com:office:smarttags" w:element="PersonName">
        <w:r w:rsidRPr="008D609F">
          <w:rPr>
            <w:rFonts w:eastAsia="Times New Roman"/>
            <w:sz w:val="24"/>
            <w:szCs w:val="24"/>
          </w:rPr>
          <w:t>e</w:t>
        </w:r>
      </w:smartTag>
      <w:r w:rsidRPr="008D609F">
        <w:rPr>
          <w:rFonts w:eastAsia="Times New Roman"/>
          <w:sz w:val="24"/>
          <w:szCs w:val="24"/>
        </w:rPr>
        <w:t>liminat</w:t>
      </w:r>
      <w:smartTag w:uri="urn:schemas-microsoft-com:office:smarttags" w:element="PersonName">
        <w:r w:rsidRPr="008D609F">
          <w:rPr>
            <w:rFonts w:eastAsia="Times New Roman"/>
            <w:sz w:val="24"/>
            <w:szCs w:val="24"/>
          </w:rPr>
          <w:t>e</w:t>
        </w:r>
      </w:smartTag>
      <w:r w:rsidRPr="008D609F">
        <w:rPr>
          <w:rFonts w:eastAsia="Times New Roman"/>
          <w:sz w:val="24"/>
          <w:szCs w:val="24"/>
        </w:rPr>
        <w:t>d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of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wh</w:t>
      </w:r>
      <w:smartTag w:uri="urn:schemas-microsoft-com:office:smarttags" w:element="PersonName">
        <w:r w:rsidRPr="008D609F">
          <w:rPr>
            <w:rFonts w:eastAsia="Times New Roman"/>
            <w:sz w:val="24"/>
            <w:szCs w:val="24"/>
          </w:rPr>
          <w:t>e</w:t>
        </w:r>
      </w:smartTag>
      <w:r w:rsidRPr="008D609F">
        <w:rPr>
          <w:rFonts w:eastAsia="Times New Roman"/>
          <w:sz w:val="24"/>
          <w:szCs w:val="24"/>
        </w:rPr>
        <w:t>n instructing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 on causation issu</w:t>
      </w:r>
      <w:smartTag w:uri="urn:schemas-microsoft-com:office:smarttags" w:element="PersonName">
        <w:r w:rsidRPr="008D609F">
          <w:rPr>
            <w:rFonts w:eastAsia="Times New Roman"/>
            <w:sz w:val="24"/>
            <w:szCs w:val="24"/>
          </w:rPr>
          <w:t>e</w:t>
        </w:r>
      </w:smartTag>
      <w:r w:rsidRPr="008D609F">
        <w:rPr>
          <w:rFonts w:eastAsia="Times New Roman"/>
          <w:sz w:val="24"/>
          <w:szCs w:val="24"/>
        </w:rPr>
        <w:t>s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conc</w:t>
      </w:r>
      <w:smartTag w:uri="urn:schemas-microsoft-com:office:smarttags" w:element="PersonName">
        <w:r w:rsidRPr="008D609F">
          <w:rPr>
            <w:rFonts w:eastAsia="Times New Roman"/>
            <w:sz w:val="24"/>
            <w:szCs w:val="24"/>
          </w:rPr>
          <w:t>e</w:t>
        </w:r>
      </w:smartTag>
      <w:r w:rsidRPr="008D609F">
        <w:rPr>
          <w:rFonts w:eastAsia="Times New Roman"/>
          <w:sz w:val="24"/>
          <w:szCs w:val="24"/>
        </w:rPr>
        <w:t>pt of proximat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is ad</w:t>
      </w:r>
      <w:smartTag w:uri="urn:schemas-microsoft-com:office:smarttags" w:element="PersonName">
        <w:r w:rsidRPr="008D609F">
          <w:rPr>
            <w:rFonts w:eastAsia="Times New Roman"/>
            <w:sz w:val="24"/>
            <w:szCs w:val="24"/>
          </w:rPr>
          <w:t>e</w:t>
        </w:r>
      </w:smartTag>
      <w:r w:rsidRPr="008D609F">
        <w:rPr>
          <w:rFonts w:eastAsia="Times New Roman"/>
          <w:sz w:val="24"/>
          <w:szCs w:val="24"/>
        </w:rPr>
        <w:t>quat</w:t>
      </w:r>
      <w:smartTag w:uri="urn:schemas-microsoft-com:office:smarttags" w:element="PersonName">
        <w:r w:rsidRPr="008D609F">
          <w:rPr>
            <w:rFonts w:eastAsia="Times New Roman"/>
            <w:sz w:val="24"/>
            <w:szCs w:val="24"/>
          </w:rPr>
          <w:t>e</w:t>
        </w:r>
      </w:smartTag>
      <w:r w:rsidRPr="008D609F">
        <w:rPr>
          <w:rFonts w:eastAsia="Times New Roman"/>
          <w:sz w:val="24"/>
          <w:szCs w:val="24"/>
        </w:rPr>
        <w:t>ly includ</w:t>
      </w:r>
      <w:smartTag w:uri="urn:schemas-microsoft-com:office:smarttags" w:element="PersonName">
        <w:r w:rsidRPr="008D609F">
          <w:rPr>
            <w:rFonts w:eastAsia="Times New Roman"/>
            <w:sz w:val="24"/>
            <w:szCs w:val="24"/>
          </w:rPr>
          <w:t>e</w:t>
        </w:r>
      </w:smartTag>
      <w:r w:rsidRPr="008D609F">
        <w:rPr>
          <w:rFonts w:eastAsia="Times New Roman"/>
          <w:sz w:val="24"/>
          <w:szCs w:val="24"/>
        </w:rPr>
        <w:t>d in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instructions in this Part B and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t</w:t>
      </w:r>
      <w:smartTag w:uri="urn:schemas-microsoft-com:office:smarttags" w:element="PersonName">
        <w:r w:rsidRPr="008D609F">
          <w:rPr>
            <w:rFonts w:eastAsia="Times New Roman"/>
            <w:sz w:val="24"/>
            <w:szCs w:val="24"/>
          </w:rPr>
          <w:t>e</w:t>
        </w:r>
      </w:smartTag>
      <w:r w:rsidRPr="008D609F">
        <w:rPr>
          <w:rFonts w:eastAsia="Times New Roman"/>
          <w:sz w:val="24"/>
          <w:szCs w:val="24"/>
        </w:rPr>
        <w:t>nds to b</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confusing to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w:t>
      </w:r>
    </w:p>
    <w:p w14:paraId="60913D5C" w14:textId="77777777" w:rsidR="008D609F" w:rsidRDefault="008D609F">
      <w:pPr>
        <w:rPr>
          <w:rFonts w:eastAsia="Times New Roman"/>
          <w:sz w:val="24"/>
          <w:szCs w:val="24"/>
        </w:rPr>
      </w:pPr>
      <w:r>
        <w:rPr>
          <w:rFonts w:eastAsia="Times New Roman"/>
          <w:sz w:val="24"/>
          <w:szCs w:val="24"/>
        </w:rPr>
        <w:br w:type="page"/>
      </w:r>
    </w:p>
    <w:p w14:paraId="3EEBCD4F" w14:textId="77777777" w:rsidR="008D609F" w:rsidRPr="009E3DA4" w:rsidRDefault="008D609F" w:rsidP="008D609F">
      <w:pPr>
        <w:spacing w:after="240"/>
        <w:ind w:left="720" w:hanging="720"/>
        <w:rPr>
          <w:rFonts w:eastAsia="Times New Roman"/>
          <w:b/>
          <w:sz w:val="24"/>
          <w:szCs w:val="24"/>
        </w:rPr>
      </w:pPr>
      <w:bookmarkStart w:id="21" w:name="a9_18"/>
      <w:bookmarkEnd w:id="21"/>
      <w:r w:rsidRPr="008D609F">
        <w:rPr>
          <w:rFonts w:eastAsia="Times New Roman"/>
          <w:b/>
          <w:sz w:val="24"/>
          <w:szCs w:val="24"/>
        </w:rPr>
        <w:lastRenderedPageBreak/>
        <w:t xml:space="preserve">9:18 </w:t>
      </w:r>
      <w:r w:rsidRPr="008D609F">
        <w:rPr>
          <w:rFonts w:eastAsia="Times New Roman"/>
          <w:b/>
          <w:sz w:val="24"/>
          <w:szCs w:val="24"/>
        </w:rPr>
        <w:tab/>
        <w:t>CAUSE WHEN ONLY ONE CAUSE IS ALLEGED — DEFINED</w:t>
      </w:r>
    </w:p>
    <w:p w14:paraId="77303633" w14:textId="77777777" w:rsidR="008D609F" w:rsidRPr="008D609F" w:rsidRDefault="008D609F" w:rsidP="008D609F">
      <w:pPr>
        <w:spacing w:after="240"/>
        <w:ind w:firstLine="720"/>
        <w:rPr>
          <w:rFonts w:eastAsia="Times New Roman"/>
          <w:b/>
          <w:sz w:val="24"/>
          <w:szCs w:val="24"/>
        </w:rPr>
      </w:pPr>
      <w:r w:rsidRPr="008D609F">
        <w:rPr>
          <w:rFonts w:eastAsia="Times New Roman"/>
          <w:b/>
          <w:sz w:val="24"/>
          <w:szCs w:val="24"/>
        </w:rPr>
        <w:t>The word “cause” as used in these instructions means an act or failure to act which in natural and probable sequence produced the claimed injury. It is a cause without which the claimed injury would not have happened.</w:t>
      </w:r>
    </w:p>
    <w:p w14:paraId="0F9C2EF4" w14:textId="77777777" w:rsidR="008D609F" w:rsidRDefault="008D609F" w:rsidP="008D609F">
      <w:pPr>
        <w:jc w:val="center"/>
        <w:rPr>
          <w:rFonts w:eastAsia="Times New Roman"/>
          <w:sz w:val="24"/>
          <w:szCs w:val="24"/>
        </w:rPr>
      </w:pPr>
    </w:p>
    <w:p w14:paraId="75C1F3D2" w14:textId="77777777" w:rsidR="008D609F" w:rsidRPr="0054263B" w:rsidRDefault="008D609F" w:rsidP="008D609F">
      <w:pPr>
        <w:keepNext/>
        <w:spacing w:after="240"/>
        <w:jc w:val="center"/>
        <w:rPr>
          <w:rFonts w:eastAsia="Times New Roman"/>
          <w:b/>
          <w:sz w:val="24"/>
          <w:szCs w:val="24"/>
        </w:rPr>
      </w:pPr>
      <w:r w:rsidRPr="0054263B">
        <w:rPr>
          <w:rFonts w:eastAsia="Times New Roman"/>
          <w:b/>
          <w:sz w:val="24"/>
          <w:szCs w:val="24"/>
        </w:rPr>
        <w:t>Notes on Use</w:t>
      </w:r>
    </w:p>
    <w:p w14:paraId="2CB3AD6F"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1. Depending on the evidence in the particular case, when concurrent or succeeding causes are involved, additional instructions should be given with, or in lieu of, this instruction. </w:t>
      </w:r>
      <w:r w:rsidRPr="008D609F">
        <w:rPr>
          <w:rFonts w:eastAsia="Times New Roman"/>
          <w:i/>
          <w:sz w:val="24"/>
          <w:szCs w:val="24"/>
        </w:rPr>
        <w:t>See</w:t>
      </w:r>
      <w:r w:rsidRPr="008D609F">
        <w:rPr>
          <w:rFonts w:eastAsia="Times New Roman"/>
          <w:sz w:val="24"/>
          <w:szCs w:val="24"/>
        </w:rPr>
        <w:t xml:space="preserve"> Instructions 9:19 and 9:20.</w:t>
      </w:r>
    </w:p>
    <w:p w14:paraId="041155C4"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2. This instruction is not necessary and should not be given when Instruction 9:20 (intervening causes) is given. </w:t>
      </w:r>
      <w:r w:rsidRPr="008D609F">
        <w:rPr>
          <w:rFonts w:eastAsia="Times New Roman"/>
          <w:b/>
          <w:sz w:val="24"/>
          <w:szCs w:val="24"/>
        </w:rPr>
        <w:t>Reaves v. Horton</w:t>
      </w:r>
      <w:r w:rsidRPr="008D609F">
        <w:rPr>
          <w:rFonts w:eastAsia="Times New Roman"/>
          <w:sz w:val="24"/>
          <w:szCs w:val="24"/>
        </w:rPr>
        <w:t xml:space="preserve">, 33 Colo. App. 186, 518 P.2d 1380 (1973), </w:t>
      </w:r>
      <w:r w:rsidRPr="008D609F">
        <w:rPr>
          <w:rFonts w:eastAsia="Times New Roman"/>
          <w:i/>
          <w:sz w:val="24"/>
          <w:szCs w:val="24"/>
        </w:rPr>
        <w:t>aff’d in part, rev’d in part on other grounds</w:t>
      </w:r>
      <w:r w:rsidRPr="008D609F">
        <w:rPr>
          <w:rFonts w:eastAsia="Times New Roman"/>
          <w:sz w:val="24"/>
          <w:szCs w:val="24"/>
        </w:rPr>
        <w:t>,</w:t>
      </w:r>
      <w:r w:rsidRPr="008D609F">
        <w:rPr>
          <w:rFonts w:eastAsia="Times New Roman"/>
          <w:i/>
          <w:sz w:val="24"/>
          <w:szCs w:val="24"/>
        </w:rPr>
        <w:t xml:space="preserve"> </w:t>
      </w:r>
      <w:r w:rsidRPr="008D609F">
        <w:rPr>
          <w:rFonts w:eastAsia="Times New Roman"/>
          <w:sz w:val="24"/>
          <w:szCs w:val="24"/>
        </w:rPr>
        <w:t>186 Colo. 149, 526 P.2d 304 (1974).</w:t>
      </w:r>
    </w:p>
    <w:p w14:paraId="2813FCE6" w14:textId="45AB978B"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3.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p>
    <w:p w14:paraId="21D9BBFA" w14:textId="77777777" w:rsidR="008D609F" w:rsidRPr="0054263B" w:rsidRDefault="008D609F" w:rsidP="008D609F">
      <w:pPr>
        <w:keepNext/>
        <w:spacing w:after="240"/>
        <w:jc w:val="center"/>
        <w:rPr>
          <w:rFonts w:eastAsia="Times New Roman"/>
          <w:b/>
          <w:sz w:val="24"/>
          <w:szCs w:val="24"/>
        </w:rPr>
      </w:pPr>
      <w:r>
        <w:rPr>
          <w:rFonts w:eastAsia="Times New Roman"/>
          <w:b/>
          <w:sz w:val="24"/>
          <w:szCs w:val="24"/>
        </w:rPr>
        <w:t>Source and Authority</w:t>
      </w:r>
    </w:p>
    <w:p w14:paraId="390D370B" w14:textId="62E18D14" w:rsidR="008D609F" w:rsidRPr="008D609F" w:rsidRDefault="008D609F" w:rsidP="008D609F">
      <w:pPr>
        <w:spacing w:after="240"/>
        <w:ind w:firstLine="720"/>
        <w:rPr>
          <w:rFonts w:eastAsia="Times New Roman"/>
          <w:bCs/>
          <w:sz w:val="24"/>
          <w:szCs w:val="24"/>
        </w:rPr>
      </w:pPr>
      <w:r w:rsidRPr="008D609F">
        <w:rPr>
          <w:rFonts w:eastAsia="Times New Roman"/>
          <w:bCs/>
          <w:sz w:val="24"/>
          <w:szCs w:val="24"/>
        </w:rPr>
        <w:t xml:space="preserve">1. This instruction is supported by </w:t>
      </w:r>
      <w:r w:rsidRPr="008D609F">
        <w:rPr>
          <w:rFonts w:eastAsia="Times New Roman"/>
          <w:b/>
          <w:bCs/>
          <w:sz w:val="24"/>
          <w:szCs w:val="24"/>
        </w:rPr>
        <w:t>Kaiser Foundation Health Plan v. Sharp</w:t>
      </w:r>
      <w:r w:rsidRPr="008D609F">
        <w:rPr>
          <w:rFonts w:eastAsia="Times New Roman"/>
          <w:bCs/>
          <w:sz w:val="24"/>
          <w:szCs w:val="24"/>
        </w:rPr>
        <w:t xml:space="preserve">, 741 P.2d 714 (Colo. 1987); </w:t>
      </w:r>
      <w:r w:rsidRPr="008D609F">
        <w:rPr>
          <w:rFonts w:eastAsia="Times New Roman"/>
          <w:b/>
          <w:bCs/>
          <w:sz w:val="24"/>
          <w:szCs w:val="24"/>
        </w:rPr>
        <w:t>Hook v. Lakeside Park Co.</w:t>
      </w:r>
      <w:r w:rsidRPr="008D609F">
        <w:rPr>
          <w:rFonts w:eastAsia="Times New Roman"/>
          <w:bCs/>
          <w:sz w:val="24"/>
          <w:szCs w:val="24"/>
        </w:rPr>
        <w:t xml:space="preserve">, 142 Colo. 277, 351 P.2d 261 (1960); </w:t>
      </w:r>
      <w:r w:rsidRPr="008D609F">
        <w:rPr>
          <w:rFonts w:eastAsia="Times New Roman"/>
          <w:b/>
          <w:bCs/>
          <w:sz w:val="24"/>
          <w:szCs w:val="24"/>
        </w:rPr>
        <w:t>Stout v. Denver Park &amp; Amusement Co.</w:t>
      </w:r>
      <w:r w:rsidRPr="008D609F">
        <w:rPr>
          <w:rFonts w:eastAsia="Times New Roman"/>
          <w:bCs/>
          <w:sz w:val="24"/>
          <w:szCs w:val="24"/>
        </w:rPr>
        <w:t xml:space="preserve">, 87 Colo. 294, 287 P. 650 (1930); </w:t>
      </w:r>
      <w:r w:rsidRPr="008D609F">
        <w:rPr>
          <w:rFonts w:eastAsia="Times New Roman"/>
          <w:b/>
          <w:bCs/>
          <w:sz w:val="24"/>
          <w:szCs w:val="24"/>
        </w:rPr>
        <w:t>Colorado Springs &amp; Interurban Railway v. Allen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55 Colo. 391, 135 P. 790 (1913); </w:t>
      </w:r>
      <w:r w:rsidRPr="008D609F">
        <w:rPr>
          <w:rFonts w:eastAsia="Times New Roman"/>
          <w:b/>
          <w:bCs/>
          <w:sz w:val="24"/>
          <w:szCs w:val="24"/>
        </w:rPr>
        <w:t>Smith v. State Compensation Insurance Fund</w:t>
      </w:r>
      <w:r w:rsidRPr="008D609F">
        <w:rPr>
          <w:rFonts w:eastAsia="Times New Roman"/>
          <w:bCs/>
          <w:sz w:val="24"/>
          <w:szCs w:val="24"/>
        </w:rPr>
        <w:t xml:space="preserve">, 749 P.2d 462 (Colo. App. 1987); and </w:t>
      </w:r>
      <w:r w:rsidRPr="008D609F">
        <w:rPr>
          <w:rFonts w:eastAsia="Times New Roman"/>
          <w:b/>
          <w:bCs/>
          <w:sz w:val="24"/>
          <w:szCs w:val="24"/>
        </w:rPr>
        <w:t>Colorado Coal &amp; Iron Co. v. Lamb</w:t>
      </w:r>
      <w:r w:rsidRPr="008D609F">
        <w:rPr>
          <w:rFonts w:eastAsia="Times New Roman"/>
          <w:bCs/>
          <w:sz w:val="24"/>
          <w:szCs w:val="24"/>
        </w:rPr>
        <w:t xml:space="preserve">, 6 Colo. App. 255, 40 P. 251 (1895). </w:t>
      </w:r>
      <w:r w:rsidRPr="008D609F">
        <w:rPr>
          <w:rFonts w:eastAsia="Times New Roman"/>
          <w:bCs/>
          <w:i/>
          <w:sz w:val="24"/>
          <w:szCs w:val="24"/>
        </w:rPr>
        <w:t>See also</w:t>
      </w:r>
      <w:r w:rsidRPr="008D609F">
        <w:rPr>
          <w:rFonts w:eastAsia="Times New Roman"/>
          <w:bCs/>
          <w:sz w:val="24"/>
          <w:szCs w:val="24"/>
        </w:rPr>
        <w:t xml:space="preserve"> </w:t>
      </w:r>
      <w:r w:rsidRPr="008D609F">
        <w:rPr>
          <w:rFonts w:eastAsia="Times New Roman"/>
          <w:b/>
          <w:bCs/>
          <w:sz w:val="24"/>
          <w:szCs w:val="24"/>
        </w:rPr>
        <w:t>Reigel</w:t>
      </w:r>
      <w:r w:rsidRPr="008D609F">
        <w:rPr>
          <w:rFonts w:eastAsia="Times New Roman"/>
          <w:bCs/>
          <w:sz w:val="24"/>
          <w:szCs w:val="24"/>
        </w:rPr>
        <w:t xml:space="preserve">, 292 P.3d at 988 (approving Instruction 9:18 language as a correct statement of Colorado law); </w:t>
      </w:r>
      <w:r w:rsidRPr="008D609F">
        <w:rPr>
          <w:rFonts w:eastAsia="Times New Roman"/>
          <w:bCs/>
          <w:smallCaps/>
          <w:sz w:val="24"/>
          <w:szCs w:val="24"/>
        </w:rPr>
        <w:t>Restatement (Second) of Torts</w:t>
      </w:r>
      <w:r w:rsidRPr="008D609F">
        <w:rPr>
          <w:rFonts w:eastAsia="Times New Roman"/>
          <w:bCs/>
          <w:sz w:val="24"/>
          <w:szCs w:val="24"/>
        </w:rPr>
        <w:t xml:space="preserve"> §§ 431-33 (1965).</w:t>
      </w:r>
      <w:r w:rsidR="001B1779">
        <w:rPr>
          <w:rFonts w:eastAsia="Times New Roman"/>
          <w:bCs/>
          <w:sz w:val="24"/>
          <w:szCs w:val="24"/>
        </w:rPr>
        <w:t xml:space="preserve"> </w:t>
      </w:r>
      <w:r w:rsidR="001B1779">
        <w:rPr>
          <w:rFonts w:eastAsia="Times New Roman"/>
          <w:bCs/>
          <w:i/>
          <w:iCs/>
          <w:sz w:val="24"/>
          <w:szCs w:val="24"/>
        </w:rPr>
        <w:t>See generally</w:t>
      </w:r>
      <w:r w:rsidR="001B1779">
        <w:rPr>
          <w:rFonts w:eastAsia="Times New Roman"/>
          <w:bCs/>
          <w:sz w:val="24"/>
          <w:szCs w:val="24"/>
        </w:rPr>
        <w:t xml:space="preserve"> </w:t>
      </w:r>
      <w:r w:rsidR="00FB347A" w:rsidRPr="00981EFD">
        <w:rPr>
          <w:rFonts w:eastAsia="Times New Roman"/>
          <w:b/>
          <w:sz w:val="24"/>
          <w:szCs w:val="24"/>
        </w:rPr>
        <w:t>LeHouillier v. Gallegos</w:t>
      </w:r>
      <w:r w:rsidR="00FB347A" w:rsidRPr="00B305B7">
        <w:rPr>
          <w:rFonts w:eastAsia="Times New Roman"/>
          <w:bCs/>
          <w:sz w:val="24"/>
          <w:szCs w:val="24"/>
        </w:rPr>
        <w:t>, 2019 CO 8, ¶ 32, 434 P.3d 156</w:t>
      </w:r>
      <w:r w:rsidR="00FB347A">
        <w:rPr>
          <w:rFonts w:eastAsia="Times New Roman"/>
          <w:bCs/>
          <w:sz w:val="24"/>
          <w:szCs w:val="24"/>
        </w:rPr>
        <w:t xml:space="preserve"> (citing </w:t>
      </w:r>
      <w:r w:rsidR="00FB347A" w:rsidRPr="001B1779">
        <w:rPr>
          <w:rFonts w:eastAsia="Times New Roman"/>
          <w:bCs/>
          <w:smallCaps/>
          <w:sz w:val="24"/>
          <w:szCs w:val="24"/>
        </w:rPr>
        <w:t>Restatement (Second) of Torts</w:t>
      </w:r>
      <w:r w:rsidR="00FB347A" w:rsidRPr="00B305B7">
        <w:rPr>
          <w:rFonts w:eastAsia="Times New Roman"/>
          <w:bCs/>
          <w:sz w:val="24"/>
          <w:szCs w:val="24"/>
        </w:rPr>
        <w:t xml:space="preserve"> § 431 cmt.</w:t>
      </w:r>
      <w:r w:rsidR="00FB347A">
        <w:rPr>
          <w:rFonts w:eastAsia="Times New Roman"/>
          <w:bCs/>
          <w:sz w:val="24"/>
          <w:szCs w:val="24"/>
        </w:rPr>
        <w:t xml:space="preserve"> a (1965)) (“</w:t>
      </w:r>
      <w:r w:rsidR="00FB347A" w:rsidRPr="00B305B7">
        <w:rPr>
          <w:rFonts w:eastAsia="Times New Roman"/>
          <w:bCs/>
          <w:sz w:val="24"/>
          <w:szCs w:val="24"/>
        </w:rPr>
        <w:t xml:space="preserve">a necessary condition of legal causation is that the </w:t>
      </w:r>
      <w:r w:rsidR="00FB347A">
        <w:rPr>
          <w:rFonts w:eastAsia="Times New Roman"/>
          <w:bCs/>
          <w:sz w:val="24"/>
          <w:szCs w:val="24"/>
        </w:rPr>
        <w:t>‘</w:t>
      </w:r>
      <w:r w:rsidR="00FB347A" w:rsidRPr="00B305B7">
        <w:rPr>
          <w:rFonts w:eastAsia="Times New Roman"/>
          <w:bCs/>
          <w:sz w:val="24"/>
          <w:szCs w:val="24"/>
        </w:rPr>
        <w:t>harm would not have occurred had the actor not been negligent</w:t>
      </w:r>
      <w:r w:rsidR="00FB347A">
        <w:rPr>
          <w:rFonts w:eastAsia="Times New Roman"/>
          <w:bCs/>
          <w:sz w:val="24"/>
          <w:szCs w:val="24"/>
        </w:rPr>
        <w:t xml:space="preserve">’”); </w:t>
      </w:r>
      <w:r w:rsidR="001B1779" w:rsidRPr="00981EFD">
        <w:rPr>
          <w:rFonts w:eastAsia="Times New Roman"/>
          <w:b/>
          <w:sz w:val="24"/>
          <w:szCs w:val="24"/>
        </w:rPr>
        <w:t>Lorenzen v. Pinnacol Assurance</w:t>
      </w:r>
      <w:r w:rsidR="001B1779" w:rsidRPr="005F70BA">
        <w:rPr>
          <w:rFonts w:eastAsia="Times New Roman"/>
          <w:bCs/>
          <w:sz w:val="24"/>
          <w:szCs w:val="24"/>
        </w:rPr>
        <w:t>, 2019 COA 54, ¶¶ 28</w:t>
      </w:r>
      <w:r w:rsidR="001B1779">
        <w:rPr>
          <w:rFonts w:eastAsia="Times New Roman"/>
          <w:bCs/>
          <w:sz w:val="24"/>
          <w:szCs w:val="24"/>
        </w:rPr>
        <w:t xml:space="preserve">-29 (citing </w:t>
      </w:r>
      <w:r w:rsidR="001B1779" w:rsidRPr="001B1779">
        <w:rPr>
          <w:rFonts w:eastAsia="Times New Roman"/>
          <w:bCs/>
          <w:smallCaps/>
          <w:sz w:val="24"/>
          <w:szCs w:val="24"/>
        </w:rPr>
        <w:t>Restatement (Second) of Torts</w:t>
      </w:r>
      <w:r w:rsidR="001B1779">
        <w:rPr>
          <w:rFonts w:eastAsia="Times New Roman"/>
          <w:bCs/>
          <w:sz w:val="24"/>
          <w:szCs w:val="24"/>
        </w:rPr>
        <w:t xml:space="preserve"> § 432 (1965)) (the but-for test is the standard applicable for determinin</w:t>
      </w:r>
      <w:r w:rsidR="00FB347A">
        <w:rPr>
          <w:rFonts w:eastAsia="Times New Roman"/>
          <w:bCs/>
          <w:sz w:val="24"/>
          <w:szCs w:val="24"/>
        </w:rPr>
        <w:t>g causation under Colorado law)</w:t>
      </w:r>
      <w:r w:rsidR="001B1779">
        <w:rPr>
          <w:rFonts w:eastAsia="Times New Roman"/>
          <w:bCs/>
          <w:sz w:val="24"/>
          <w:szCs w:val="24"/>
        </w:rPr>
        <w:t>.</w:t>
      </w:r>
    </w:p>
    <w:p w14:paraId="4B0576F0" w14:textId="380B7131" w:rsidR="00550AFD" w:rsidRDefault="008D609F" w:rsidP="00550AFD">
      <w:pPr>
        <w:spacing w:after="240"/>
        <w:ind w:firstLine="720"/>
      </w:pPr>
      <w:r w:rsidRPr="008D609F">
        <w:rPr>
          <w:rFonts w:eastAsia="Times New Roman"/>
          <w:bCs/>
          <w:sz w:val="24"/>
          <w:szCs w:val="24"/>
        </w:rPr>
        <w:t>2. As to the sufficiency of evidence on the issue of caus</w:t>
      </w:r>
      <w:r w:rsidR="001B1779">
        <w:rPr>
          <w:rFonts w:eastAsia="Times New Roman"/>
          <w:bCs/>
          <w:sz w:val="24"/>
          <w:szCs w:val="24"/>
        </w:rPr>
        <w:t>ation</w:t>
      </w:r>
      <w:r w:rsidRPr="008D609F">
        <w:rPr>
          <w:rFonts w:eastAsia="Times New Roman"/>
          <w:bCs/>
          <w:sz w:val="24"/>
          <w:szCs w:val="24"/>
        </w:rPr>
        <w:t xml:space="preserve">, see </w:t>
      </w:r>
      <w:r w:rsidRPr="008D609F">
        <w:rPr>
          <w:rFonts w:eastAsia="Times New Roman"/>
          <w:b/>
          <w:bCs/>
          <w:sz w:val="24"/>
          <w:szCs w:val="24"/>
        </w:rPr>
        <w:t>Gibbons v. Ludlow</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2013 CO 49, ¶ 2, 304 P.3d 239 (evidence insufficient to establish cause of economic damages beyond mere possibility or speculation); </w:t>
      </w:r>
      <w:r w:rsidRPr="008D609F">
        <w:rPr>
          <w:rFonts w:eastAsia="Times New Roman"/>
          <w:b/>
          <w:bCs/>
          <w:sz w:val="24"/>
          <w:szCs w:val="24"/>
        </w:rPr>
        <w:t>Lyons v. Nasby</w:t>
      </w:r>
      <w:r w:rsidRPr="008D609F">
        <w:rPr>
          <w:rFonts w:eastAsia="Times New Roman"/>
          <w:bCs/>
          <w:sz w:val="24"/>
          <w:szCs w:val="24"/>
        </w:rPr>
        <w:t xml:space="preserve">, 770 P.2d 1250 (Colo. 1989) (evidence of proximate cause sufficient); </w:t>
      </w:r>
      <w:r w:rsidRPr="008D609F">
        <w:rPr>
          <w:rFonts w:eastAsia="Times New Roman"/>
          <w:b/>
          <w:bCs/>
          <w:sz w:val="24"/>
          <w:szCs w:val="24"/>
        </w:rPr>
        <w:t>Kaiser</w:t>
      </w:r>
      <w:r w:rsidRPr="008D609F">
        <w:rPr>
          <w:rFonts w:eastAsia="Times New Roman"/>
          <w:bCs/>
          <w:sz w:val="24"/>
          <w:szCs w:val="24"/>
        </w:rPr>
        <w:t xml:space="preserve"> </w:t>
      </w:r>
      <w:r w:rsidRPr="008D609F">
        <w:rPr>
          <w:rFonts w:eastAsia="Times New Roman"/>
          <w:b/>
          <w:bCs/>
          <w:sz w:val="24"/>
          <w:szCs w:val="24"/>
        </w:rPr>
        <w:t>Foundation Health Plan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741 P.2d at 719 (cause need not be proved with absolute certainty, nor need defendant’s conduct be proved the only cause); </w:t>
      </w:r>
      <w:r w:rsidRPr="008D609F">
        <w:rPr>
          <w:rFonts w:eastAsia="Times New Roman"/>
          <w:b/>
          <w:bCs/>
          <w:sz w:val="24"/>
          <w:szCs w:val="24"/>
        </w:rPr>
        <w:lastRenderedPageBreak/>
        <w:t>Bayly, Martin &amp; Fay, Inc. v. Pete’s Satire, Inc.</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739 P.2d 239 (Colo. 1987) (proof of cause when insurance agent negligently fails to obtain requested insurance coverage); and </w:t>
      </w:r>
      <w:r w:rsidRPr="008D609F">
        <w:rPr>
          <w:rFonts w:eastAsia="Times New Roman"/>
          <w:b/>
          <w:bCs/>
          <w:sz w:val="24"/>
          <w:szCs w:val="24"/>
        </w:rPr>
        <w:t>Reigel</w:t>
      </w:r>
      <w:r w:rsidRPr="008D609F">
        <w:rPr>
          <w:rFonts w:eastAsia="Times New Roman"/>
          <w:bCs/>
          <w:sz w:val="24"/>
          <w:szCs w:val="24"/>
        </w:rPr>
        <w:t xml:space="preserve">, 292 P.3d at 988 (plaintiff must establish causation beyond mere possibility or speculation). For the general test for determining the sufficiency of evidence, see </w:t>
      </w:r>
      <w:r w:rsidRPr="008D609F">
        <w:rPr>
          <w:rFonts w:eastAsia="Times New Roman"/>
          <w:b/>
          <w:bCs/>
          <w:sz w:val="24"/>
          <w:szCs w:val="24"/>
        </w:rPr>
        <w:t>Gossard v. Watson</w:t>
      </w:r>
      <w:r w:rsidRPr="008D609F">
        <w:rPr>
          <w:rFonts w:eastAsia="Times New Roman"/>
          <w:bCs/>
          <w:sz w:val="24"/>
          <w:szCs w:val="24"/>
        </w:rPr>
        <w:t>, 122 Colo. 271, 221 P.2d 353 (1950).</w:t>
      </w:r>
      <w:r w:rsidR="00550AFD">
        <w:br w:type="page"/>
      </w:r>
    </w:p>
    <w:p w14:paraId="2BB0BC24" w14:textId="77777777" w:rsidR="00550AFD" w:rsidRPr="009E3DA4" w:rsidRDefault="00550AFD" w:rsidP="00550AFD">
      <w:pPr>
        <w:spacing w:after="240"/>
        <w:ind w:left="720" w:hanging="720"/>
        <w:rPr>
          <w:rFonts w:eastAsia="Times New Roman"/>
          <w:b/>
          <w:sz w:val="24"/>
          <w:szCs w:val="24"/>
        </w:rPr>
      </w:pPr>
      <w:bookmarkStart w:id="22" w:name="a9_19"/>
      <w:bookmarkEnd w:id="22"/>
      <w:r w:rsidRPr="00550AFD">
        <w:rPr>
          <w:rFonts w:eastAsia="Times New Roman"/>
          <w:b/>
          <w:sz w:val="24"/>
          <w:szCs w:val="24"/>
        </w:rPr>
        <w:lastRenderedPageBreak/>
        <w:t xml:space="preserve">9:19 </w:t>
      </w:r>
      <w:r w:rsidRPr="00550AFD">
        <w:rPr>
          <w:rFonts w:eastAsia="Times New Roman"/>
          <w:b/>
          <w:sz w:val="24"/>
          <w:szCs w:val="24"/>
        </w:rPr>
        <w:tab/>
        <w:t>CONCURRENT CAUSES (EXCLUDING DESIGNATED NONPARTY FAULT CASES)</w:t>
      </w:r>
    </w:p>
    <w:p w14:paraId="362E7A95" w14:textId="77777777" w:rsidR="00550AFD" w:rsidRPr="00550AFD" w:rsidRDefault="00550AFD" w:rsidP="00550AFD">
      <w:pPr>
        <w:spacing w:after="240"/>
        <w:ind w:firstLine="720"/>
        <w:rPr>
          <w:rFonts w:eastAsia="Times New Roman"/>
          <w:b/>
          <w:sz w:val="24"/>
          <w:szCs w:val="24"/>
        </w:rPr>
      </w:pPr>
      <w:r w:rsidRPr="00550AFD">
        <w:rPr>
          <w:rFonts w:eastAsia="Times New Roman"/>
          <w:b/>
          <w:sz w:val="24"/>
          <w:szCs w:val="24"/>
        </w:rPr>
        <w:t xml:space="preserve">More than one person may be responsible for causing (injuries) (damages) (losses). If you find that the defendant, </w:t>
      </w:r>
      <w:r w:rsidRPr="00550AFD">
        <w:rPr>
          <w:rFonts w:eastAsia="Times New Roman"/>
          <w:i/>
          <w:sz w:val="24"/>
          <w:szCs w:val="24"/>
        </w:rPr>
        <w:t>(name)</w:t>
      </w:r>
      <w:r w:rsidRPr="00550AFD">
        <w:rPr>
          <w:rFonts w:eastAsia="Times New Roman"/>
          <w:b/>
          <w:sz w:val="24"/>
          <w:szCs w:val="24"/>
        </w:rPr>
        <w:t>, was negligent and that (his) (her) negligence caused (injury) (damage) (loss) to the plaintiff, it is not a defense that some third person’s negligence might also have been a cause of the (injuries) (damages) (losses).</w:t>
      </w:r>
    </w:p>
    <w:p w14:paraId="3021873D" w14:textId="77777777" w:rsidR="00550AFD" w:rsidRDefault="00550AFD" w:rsidP="00550AFD">
      <w:pPr>
        <w:jc w:val="center"/>
        <w:rPr>
          <w:rFonts w:eastAsia="Times New Roman"/>
          <w:sz w:val="24"/>
          <w:szCs w:val="24"/>
        </w:rPr>
      </w:pPr>
    </w:p>
    <w:p w14:paraId="114DF239" w14:textId="77777777" w:rsidR="00550AFD" w:rsidRPr="0054263B" w:rsidRDefault="00550AFD" w:rsidP="00550AFD">
      <w:pPr>
        <w:keepNext/>
        <w:spacing w:after="240"/>
        <w:jc w:val="center"/>
        <w:rPr>
          <w:rFonts w:eastAsia="Times New Roman"/>
          <w:b/>
          <w:sz w:val="24"/>
          <w:szCs w:val="24"/>
        </w:rPr>
      </w:pPr>
      <w:r w:rsidRPr="0054263B">
        <w:rPr>
          <w:rFonts w:eastAsia="Times New Roman"/>
          <w:b/>
          <w:sz w:val="24"/>
          <w:szCs w:val="24"/>
        </w:rPr>
        <w:t>Notes on Use</w:t>
      </w:r>
    </w:p>
    <w:p w14:paraId="76523DFC"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1. Use whichever parenthesized words are appropriate.</w:t>
      </w:r>
    </w:p>
    <w:p w14:paraId="4C20DF1D"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2. This instruction should be given when there might be a basis for contending that a third person, not a party to the action, was in whole or in part responsible for causing the plaintiff’s losses.</w:t>
      </w:r>
    </w:p>
    <w:p w14:paraId="241C2B09"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3. It should not, however, be used in cases in which the negligence or fault of a designated nonparty has been properly put in issue under section 13-21-111.5(2) and (3)(b), C.R.S., as a cause, in whole or part, of the plaintiff’s claimed damages. Instead, Instruction 9:20 (intervening causes) should be used.</w:t>
      </w:r>
    </w:p>
    <w:p w14:paraId="67ABC764" w14:textId="77777777" w:rsidR="00550AFD" w:rsidRPr="0054263B" w:rsidRDefault="00550AFD" w:rsidP="00550AFD">
      <w:pPr>
        <w:keepNext/>
        <w:spacing w:after="240"/>
        <w:jc w:val="center"/>
        <w:rPr>
          <w:rFonts w:eastAsia="Times New Roman"/>
          <w:b/>
          <w:sz w:val="24"/>
          <w:szCs w:val="24"/>
        </w:rPr>
      </w:pPr>
      <w:r>
        <w:rPr>
          <w:rFonts w:eastAsia="Times New Roman"/>
          <w:b/>
          <w:sz w:val="24"/>
          <w:szCs w:val="24"/>
        </w:rPr>
        <w:t>Source and Authority</w:t>
      </w:r>
    </w:p>
    <w:p w14:paraId="440D4056" w14:textId="77777777" w:rsidR="00550AFD" w:rsidRPr="00550AFD" w:rsidRDefault="00550AFD">
      <w:pPr>
        <w:spacing w:after="240"/>
        <w:ind w:firstLine="720"/>
        <w:rPr>
          <w:rFonts w:eastAsia="Times New Roman"/>
          <w:bCs/>
          <w:sz w:val="24"/>
          <w:szCs w:val="24"/>
        </w:rPr>
      </w:pPr>
      <w:r w:rsidRPr="00550AFD">
        <w:rPr>
          <w:rFonts w:eastAsia="Times New Roman"/>
          <w:bCs/>
          <w:sz w:val="24"/>
          <w:szCs w:val="24"/>
        </w:rPr>
        <w:t xml:space="preserve">This instruction is supported by </w:t>
      </w:r>
      <w:r w:rsidRPr="00550AFD">
        <w:rPr>
          <w:rFonts w:eastAsia="Times New Roman"/>
          <w:b/>
          <w:bCs/>
          <w:sz w:val="24"/>
          <w:szCs w:val="24"/>
        </w:rPr>
        <w:t>Colorado Mortgage &amp; Investment Co. v. Giacomini</w:t>
      </w:r>
      <w:r w:rsidRPr="00550AFD">
        <w:rPr>
          <w:rFonts w:eastAsia="Times New Roman"/>
          <w:bCs/>
          <w:sz w:val="24"/>
          <w:szCs w:val="24"/>
        </w:rPr>
        <w:t xml:space="preserve">, 55 Colo. 540, 136 P. 1039 (1913); </w:t>
      </w:r>
      <w:r w:rsidRPr="00550AFD">
        <w:rPr>
          <w:rFonts w:eastAsia="Times New Roman"/>
          <w:b/>
          <w:bCs/>
          <w:sz w:val="24"/>
          <w:szCs w:val="24"/>
        </w:rPr>
        <w:t>Carlock v. Denver &amp; Rio Grande Railroad</w:t>
      </w:r>
      <w:r w:rsidRPr="00550AFD">
        <w:rPr>
          <w:rFonts w:eastAsia="Times New Roman"/>
          <w:bCs/>
          <w:sz w:val="24"/>
          <w:szCs w:val="24"/>
        </w:rPr>
        <w:t xml:space="preserve">, 55 Colo. 146, 133 P. 1103 (1913); and </w:t>
      </w:r>
      <w:r w:rsidRPr="00550AFD">
        <w:rPr>
          <w:rFonts w:eastAsia="Times New Roman"/>
          <w:b/>
          <w:bCs/>
          <w:sz w:val="24"/>
          <w:szCs w:val="24"/>
        </w:rPr>
        <w:t>Colorado Mortgage &amp; Investment Co. v. Rees</w:t>
      </w:r>
      <w:r w:rsidRPr="00550AFD">
        <w:rPr>
          <w:rFonts w:eastAsia="Times New Roman"/>
          <w:bCs/>
          <w:sz w:val="24"/>
          <w:szCs w:val="24"/>
        </w:rPr>
        <w:t>,</w:t>
      </w:r>
      <w:r w:rsidRPr="00550AFD">
        <w:rPr>
          <w:rFonts w:eastAsia="Times New Roman"/>
          <w:b/>
          <w:bCs/>
          <w:sz w:val="24"/>
          <w:szCs w:val="24"/>
        </w:rPr>
        <w:t xml:space="preserve"> </w:t>
      </w:r>
      <w:r w:rsidRPr="00550AFD">
        <w:rPr>
          <w:rFonts w:eastAsia="Times New Roman"/>
          <w:bCs/>
          <w:sz w:val="24"/>
          <w:szCs w:val="24"/>
        </w:rPr>
        <w:t xml:space="preserve">21 Colo. 435, 42 P. 42 (1895). </w:t>
      </w:r>
      <w:r w:rsidRPr="00550AFD">
        <w:rPr>
          <w:rFonts w:eastAsia="Times New Roman"/>
          <w:bCs/>
          <w:i/>
          <w:sz w:val="24"/>
          <w:szCs w:val="24"/>
        </w:rPr>
        <w:t>See also</w:t>
      </w:r>
      <w:r w:rsidRPr="00550AFD">
        <w:rPr>
          <w:rFonts w:eastAsia="Times New Roman"/>
          <w:bCs/>
          <w:sz w:val="24"/>
          <w:szCs w:val="24"/>
        </w:rPr>
        <w:t xml:space="preserve"> </w:t>
      </w:r>
      <w:r w:rsidRPr="00550AFD">
        <w:rPr>
          <w:rFonts w:eastAsia="Times New Roman"/>
          <w:bCs/>
          <w:smallCaps/>
          <w:sz w:val="24"/>
          <w:szCs w:val="24"/>
        </w:rPr>
        <w:t>Restatement (Second) of Torts</w:t>
      </w:r>
      <w:r w:rsidRPr="00550AFD">
        <w:rPr>
          <w:rFonts w:eastAsia="Times New Roman"/>
          <w:bCs/>
          <w:sz w:val="24"/>
          <w:szCs w:val="24"/>
        </w:rPr>
        <w:t xml:space="preserve"> § 439 (1965); </w:t>
      </w:r>
      <w:r w:rsidRPr="00550AFD">
        <w:rPr>
          <w:rFonts w:eastAsia="Times New Roman"/>
          <w:bCs/>
          <w:smallCaps/>
          <w:sz w:val="24"/>
          <w:szCs w:val="24"/>
        </w:rPr>
        <w:t>W. Page Keeton et al., Prosser and Keeton on the Law of Torts</w:t>
      </w:r>
      <w:r w:rsidRPr="00550AFD">
        <w:rPr>
          <w:rFonts w:eastAsia="Times New Roman"/>
          <w:bCs/>
          <w:sz w:val="24"/>
          <w:szCs w:val="24"/>
        </w:rPr>
        <w:t xml:space="preserve"> § 41, at 268 (5th ed. 1984).</w:t>
      </w:r>
      <w:r w:rsidR="004520DB">
        <w:rPr>
          <w:rFonts w:eastAsia="Times New Roman"/>
          <w:bCs/>
          <w:sz w:val="24"/>
          <w:szCs w:val="24"/>
        </w:rPr>
        <w:t xml:space="preserve"> The supreme court quoted with approval an instruction based on this pattern instruction in </w:t>
      </w:r>
      <w:r w:rsidR="004520DB" w:rsidRPr="00441A42">
        <w:rPr>
          <w:rFonts w:eastAsia="Times New Roman"/>
          <w:b/>
          <w:bCs/>
          <w:sz w:val="24"/>
          <w:szCs w:val="24"/>
        </w:rPr>
        <w:t>Rains v. Barber</w:t>
      </w:r>
      <w:r w:rsidR="004520DB" w:rsidRPr="004520DB">
        <w:rPr>
          <w:rFonts w:eastAsia="Times New Roman"/>
          <w:bCs/>
          <w:sz w:val="24"/>
          <w:szCs w:val="24"/>
        </w:rPr>
        <w:t>, 2018 CO 61, ¶ 18, 420 P.3d 969</w:t>
      </w:r>
      <w:r w:rsidR="004520DB">
        <w:rPr>
          <w:rFonts w:eastAsia="Times New Roman"/>
          <w:bCs/>
          <w:sz w:val="24"/>
          <w:szCs w:val="24"/>
        </w:rPr>
        <w:t xml:space="preserve">. </w:t>
      </w:r>
    </w:p>
    <w:p w14:paraId="4B6A0A7E" w14:textId="77777777" w:rsidR="002D163D" w:rsidRDefault="002D163D">
      <w:pPr>
        <w:rPr>
          <w:rFonts w:eastAsia="Times New Roman"/>
          <w:bCs/>
          <w:sz w:val="24"/>
          <w:szCs w:val="24"/>
        </w:rPr>
      </w:pPr>
      <w:r>
        <w:rPr>
          <w:rFonts w:eastAsia="Times New Roman"/>
          <w:bCs/>
          <w:sz w:val="24"/>
          <w:szCs w:val="24"/>
        </w:rPr>
        <w:br w:type="page"/>
      </w:r>
    </w:p>
    <w:p w14:paraId="3E216927" w14:textId="77777777" w:rsidR="002D163D" w:rsidRPr="009E3DA4" w:rsidRDefault="002D163D" w:rsidP="002D163D">
      <w:pPr>
        <w:spacing w:after="240"/>
        <w:ind w:left="720" w:hanging="720"/>
        <w:rPr>
          <w:rFonts w:eastAsia="Times New Roman"/>
          <w:b/>
          <w:sz w:val="24"/>
          <w:szCs w:val="24"/>
        </w:rPr>
      </w:pPr>
      <w:bookmarkStart w:id="23" w:name="a9_20"/>
      <w:bookmarkEnd w:id="23"/>
      <w:r w:rsidRPr="002D163D">
        <w:rPr>
          <w:rFonts w:eastAsia="Times New Roman"/>
          <w:b/>
          <w:sz w:val="24"/>
          <w:szCs w:val="24"/>
        </w:rPr>
        <w:lastRenderedPageBreak/>
        <w:t xml:space="preserve">9:20 </w:t>
      </w:r>
      <w:r w:rsidRPr="002D163D">
        <w:rPr>
          <w:rFonts w:eastAsia="Times New Roman"/>
          <w:b/>
          <w:sz w:val="24"/>
          <w:szCs w:val="24"/>
        </w:rPr>
        <w:tab/>
        <w:t>CAUSE — CONCURRENT CAUSES — INTERVENING CAUSES</w:t>
      </w:r>
    </w:p>
    <w:p w14:paraId="22CBCDCB"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The word “cause” as used in these instructions means an act or failure to act that in natural and probable sequence produced the claimed injury. It is a cause without which the claimed injury would not have happened.</w:t>
      </w:r>
    </w:p>
    <w:p w14:paraId="7FA2A94D"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If more than one act or failure to act contributed to the claimed injury, then each act or failure to act may have been a cause of the injury. A cause does not have to be the only cause or the last or nearest cause. It is enough if the act or failure to act joins in a natural and probable way with some other act or failure to act to cause some or all of the claimed injury.</w:t>
      </w:r>
    </w:p>
    <w:p w14:paraId="1E45F6E5"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(One’s conduct is not a cause of another’s injuries, however, if, in order to bring about such injuries, it was necessary that his or her conduct combine or join with an intervening cause that also contributed to cause the injuries. An intervening cause is a cause that would not have been reasonably foreseen by a reasonably careful person under the same or similar circumstances.)</w:t>
      </w:r>
    </w:p>
    <w:p w14:paraId="7D1D75D8" w14:textId="77777777" w:rsidR="002D163D" w:rsidRDefault="002D163D" w:rsidP="002D163D">
      <w:pPr>
        <w:jc w:val="center"/>
        <w:rPr>
          <w:rFonts w:eastAsia="Times New Roman"/>
          <w:sz w:val="24"/>
          <w:szCs w:val="24"/>
        </w:rPr>
      </w:pPr>
    </w:p>
    <w:p w14:paraId="6E3EEAAF" w14:textId="77777777" w:rsidR="002D163D" w:rsidRPr="0054263B" w:rsidRDefault="002D163D" w:rsidP="002D163D">
      <w:pPr>
        <w:keepNext/>
        <w:spacing w:after="240"/>
        <w:jc w:val="center"/>
        <w:rPr>
          <w:rFonts w:eastAsia="Times New Roman"/>
          <w:b/>
          <w:sz w:val="24"/>
          <w:szCs w:val="24"/>
        </w:rPr>
      </w:pPr>
      <w:r w:rsidRPr="0054263B">
        <w:rPr>
          <w:rFonts w:eastAsia="Times New Roman"/>
          <w:b/>
          <w:sz w:val="24"/>
          <w:szCs w:val="24"/>
        </w:rPr>
        <w:t>Notes on Use</w:t>
      </w:r>
    </w:p>
    <w:p w14:paraId="7EBE284B"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1. This instruction should be used when there is sufficient evidence that the defendant’s negligence was a proximate cause even though such negligence may not have been the most immediate cause and, to bring about the plaintiff’s losses, such negligence had to operate in conjunction with other causes.</w:t>
      </w:r>
    </w:p>
    <w:p w14:paraId="601CB4AA" w14:textId="3D4A0D20"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2. When another concurrent actual cause may not have been sufficiently foreseeable so that it might constitute an intervening cause, thereby relieving the defendant of liability, the last parenthesized paragraph of this instruction setting forth the doctrine of intervening cause must be given. </w:t>
      </w:r>
      <w:r w:rsidRPr="002D163D">
        <w:rPr>
          <w:rFonts w:eastAsia="Times New Roman"/>
          <w:b/>
          <w:sz w:val="24"/>
          <w:szCs w:val="24"/>
        </w:rPr>
        <w:t>Jones v. Caterpillar Tractor Co.</w:t>
      </w:r>
      <w:r w:rsidRPr="002D163D">
        <w:rPr>
          <w:rFonts w:eastAsia="Times New Roman"/>
          <w:sz w:val="24"/>
          <w:szCs w:val="24"/>
        </w:rPr>
        <w:t xml:space="preserve">, 701 P.2d 84 (Colo. App. 1984);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Albo v. Shamrock Oil &amp; Gas Corp.</w:t>
      </w:r>
      <w:r w:rsidRPr="002D163D">
        <w:rPr>
          <w:rFonts w:eastAsia="Times New Roman"/>
          <w:sz w:val="24"/>
          <w:szCs w:val="24"/>
        </w:rPr>
        <w:t xml:space="preserve">, 160 Colo. 144, 415 P.2d 536 (1966); </w:t>
      </w:r>
      <w:r w:rsidRPr="002D163D">
        <w:rPr>
          <w:rFonts w:eastAsia="Times New Roman"/>
          <w:b/>
          <w:sz w:val="24"/>
          <w:szCs w:val="24"/>
        </w:rPr>
        <w:t>Estate of Newton v. McNew</w:t>
      </w:r>
      <w:r w:rsidRPr="002D163D">
        <w:rPr>
          <w:rFonts w:eastAsia="Times New Roman"/>
          <w:sz w:val="24"/>
          <w:szCs w:val="24"/>
        </w:rPr>
        <w:t xml:space="preserve">, 698 P.2d 835, 837 (Colo. App. 1984) (holding that “[a]n intervening cause relieves a defendant of liability for negligence only if the intervening cause is not reasonably foreseeable,” and concluding that the intentional intervening acts of third persons were sufficiently foreseeable); </w:t>
      </w:r>
      <w:r w:rsidRPr="002D163D">
        <w:rPr>
          <w:rFonts w:eastAsia="Times New Roman"/>
          <w:smallCaps/>
          <w:sz w:val="24"/>
          <w:szCs w:val="24"/>
        </w:rPr>
        <w:t>Restatement (Second) of Torts</w:t>
      </w:r>
      <w:r w:rsidRPr="002D163D">
        <w:rPr>
          <w:rFonts w:eastAsia="Times New Roman"/>
          <w:sz w:val="24"/>
          <w:szCs w:val="24"/>
        </w:rPr>
        <w:t xml:space="preserve"> §§ 440-53 (1965); </w:t>
      </w:r>
      <w:r w:rsidRPr="002D163D">
        <w:rPr>
          <w:rFonts w:eastAsia="Times New Roman"/>
          <w:smallCaps/>
          <w:sz w:val="24"/>
          <w:szCs w:val="24"/>
        </w:rPr>
        <w:t>W. Page Keeton et al., Prosser and Keeton on the Law of Torts</w:t>
      </w:r>
      <w:r w:rsidRPr="002D163D">
        <w:rPr>
          <w:rFonts w:eastAsia="Times New Roman"/>
          <w:sz w:val="24"/>
          <w:szCs w:val="24"/>
        </w:rPr>
        <w:t xml:space="preserve"> § 44 (5th ed. 1984). The fact that a third person’s concurrent act was intentionally tortious or criminal does not necessarily render that act an intervening cause. It is sufficient “if that act [was] reasonably and generally foreseeable.” </w:t>
      </w:r>
      <w:r w:rsidRPr="002D163D">
        <w:rPr>
          <w:rFonts w:eastAsia="Times New Roman"/>
          <w:b/>
          <w:sz w:val="24"/>
          <w:szCs w:val="24"/>
        </w:rPr>
        <w:t>Ekberg v. Greene</w:t>
      </w:r>
      <w:r w:rsidRPr="002D163D">
        <w:rPr>
          <w:rFonts w:eastAsia="Times New Roman"/>
          <w:sz w:val="24"/>
          <w:szCs w:val="24"/>
        </w:rPr>
        <w:t xml:space="preserve">, 196 Colo. 494, 497, 588 P.2d 375, 377 (1978);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Taco Bell, Inc. v. Lannon</w:t>
      </w:r>
      <w:r w:rsidRPr="002D163D">
        <w:rPr>
          <w:rFonts w:eastAsia="Times New Roman"/>
          <w:sz w:val="24"/>
          <w:szCs w:val="24"/>
        </w:rPr>
        <w:t xml:space="preserve">, 744 P.2d 43 (Colo. 1987); </w:t>
      </w:r>
      <w:r w:rsidRPr="002D163D">
        <w:rPr>
          <w:rFonts w:eastAsia="Times New Roman"/>
          <w:b/>
          <w:sz w:val="24"/>
          <w:szCs w:val="24"/>
        </w:rPr>
        <w:t>Largo Corp. v. Crespin</w:t>
      </w:r>
      <w:r w:rsidRPr="002D163D">
        <w:rPr>
          <w:rFonts w:eastAsia="Times New Roman"/>
          <w:sz w:val="24"/>
          <w:szCs w:val="24"/>
        </w:rPr>
        <w:t xml:space="preserve">, 727 P.2d 1098 (Colo. 1986); </w:t>
      </w:r>
      <w:r w:rsidRPr="002D163D">
        <w:rPr>
          <w:rFonts w:eastAsia="Times New Roman"/>
          <w:b/>
          <w:sz w:val="24"/>
          <w:szCs w:val="24"/>
        </w:rPr>
        <w:t>Sewell v. Pub. Serv. Co.</w:t>
      </w:r>
      <w:r w:rsidRPr="002D163D">
        <w:rPr>
          <w:rFonts w:eastAsia="Times New Roman"/>
          <w:sz w:val="24"/>
          <w:szCs w:val="24"/>
        </w:rPr>
        <w:t>, 832 P.2d 994 (Colo. App. 1991); Source and Authority to Instruction 9:27 (comparative negligence of the plaintiff with multiple defendants).</w:t>
      </w:r>
    </w:p>
    <w:p w14:paraId="484BBB7E"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3. When a case is submitted to the jury on more than one theory of negligence and on the basis of the evidence the last parenthetical paragraph of this instruction would be appropriate as to one or more of the theories of negligence but not to all, the paragraph must be modified to make clear to the jury the theory or theories to which the rule stated in the paragraph may be </w:t>
      </w:r>
      <w:r w:rsidRPr="002D163D">
        <w:rPr>
          <w:rFonts w:eastAsia="Times New Roman"/>
          <w:sz w:val="24"/>
          <w:szCs w:val="24"/>
        </w:rPr>
        <w:lastRenderedPageBreak/>
        <w:t xml:space="preserve">applicable and the theory or theories to which it would not. </w:t>
      </w:r>
      <w:r w:rsidRPr="002D163D">
        <w:rPr>
          <w:rFonts w:eastAsia="Times New Roman"/>
          <w:b/>
          <w:sz w:val="24"/>
          <w:szCs w:val="24"/>
        </w:rPr>
        <w:t>Kerby v. Flamingo Club, Inc.</w:t>
      </w:r>
      <w:r w:rsidRPr="002D163D">
        <w:rPr>
          <w:rFonts w:eastAsia="Times New Roman"/>
          <w:sz w:val="24"/>
          <w:szCs w:val="24"/>
        </w:rPr>
        <w:t>, 35 Colo. App. 127, 532 P.2d 975 (1974).</w:t>
      </w:r>
    </w:p>
    <w:p w14:paraId="1C64B388" w14:textId="77777777" w:rsidR="00E95BDE" w:rsidRPr="002D163D" w:rsidRDefault="002D163D">
      <w:pPr>
        <w:spacing w:after="240"/>
        <w:ind w:firstLine="720"/>
        <w:rPr>
          <w:rFonts w:eastAsia="Times New Roman"/>
          <w:sz w:val="24"/>
          <w:szCs w:val="24"/>
        </w:rPr>
      </w:pPr>
      <w:r w:rsidRPr="002D163D">
        <w:rPr>
          <w:rFonts w:eastAsia="Times New Roman"/>
          <w:sz w:val="24"/>
          <w:szCs w:val="24"/>
        </w:rPr>
        <w:t>4. In civil actions in which the negligence or fault of a designated nonparty has been properly put in issue under sections 13-21-111.5(2) and (3)(b), C.R.S., as a cause, in whole or in part, of the plaintiff’s claimed damages, this instruction should be used rather than Instruction 9:19. In addition, in those cases, Instruction 9:24 (negligence or fault of designated nonparty) should also be given.</w:t>
      </w:r>
    </w:p>
    <w:p w14:paraId="5E482B51" w14:textId="77777777" w:rsidR="002D163D" w:rsidRPr="0054263B" w:rsidRDefault="002D163D" w:rsidP="002D163D">
      <w:pPr>
        <w:keepNext/>
        <w:spacing w:after="240"/>
        <w:jc w:val="center"/>
        <w:rPr>
          <w:rFonts w:eastAsia="Times New Roman"/>
          <w:b/>
          <w:sz w:val="24"/>
          <w:szCs w:val="24"/>
        </w:rPr>
      </w:pPr>
      <w:r>
        <w:rPr>
          <w:rFonts w:eastAsia="Times New Roman"/>
          <w:b/>
          <w:sz w:val="24"/>
          <w:szCs w:val="24"/>
        </w:rPr>
        <w:t>Source and Authority</w:t>
      </w:r>
    </w:p>
    <w:p w14:paraId="11B2A423"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1. This instruction is supported by the authorities cited in Source and Authority to Instruction 9:19. Additional cases support the second paragraph of this instruction. </w:t>
      </w:r>
      <w:r w:rsidRPr="002D163D">
        <w:rPr>
          <w:rFonts w:eastAsia="Times New Roman"/>
          <w:bCs/>
          <w:i/>
          <w:sz w:val="24"/>
          <w:szCs w:val="24"/>
        </w:rPr>
        <w:t>See</w:t>
      </w:r>
      <w:r w:rsidRPr="002D163D">
        <w:rPr>
          <w:rFonts w:eastAsia="Times New Roman"/>
          <w:bCs/>
          <w:sz w:val="24"/>
          <w:szCs w:val="24"/>
        </w:rPr>
        <w:t xml:space="preserve"> </w:t>
      </w:r>
      <w:r w:rsidRPr="002D163D">
        <w:rPr>
          <w:rFonts w:eastAsia="Times New Roman"/>
          <w:b/>
          <w:bCs/>
          <w:sz w:val="24"/>
          <w:szCs w:val="24"/>
        </w:rPr>
        <w:t>Moore v. Standard Paint &amp; Glass Co.</w:t>
      </w:r>
      <w:r w:rsidRPr="002D163D">
        <w:rPr>
          <w:rFonts w:eastAsia="Times New Roman"/>
          <w:bCs/>
          <w:sz w:val="24"/>
          <w:szCs w:val="24"/>
        </w:rPr>
        <w:t xml:space="preserve">, 145 Colo. 151, 358 P.2d 33 (1960) (acts of others and act of God concurring with defendant’s negligence); </w:t>
      </w:r>
      <w:r w:rsidRPr="002D163D">
        <w:rPr>
          <w:rFonts w:eastAsia="Times New Roman"/>
          <w:b/>
          <w:bCs/>
          <w:sz w:val="24"/>
          <w:szCs w:val="24"/>
        </w:rPr>
        <w:t>Barlow v. N. Sterling Irrigation Dist.</w:t>
      </w:r>
      <w:r w:rsidRPr="002D163D">
        <w:rPr>
          <w:rFonts w:eastAsia="Times New Roman"/>
          <w:bCs/>
          <w:sz w:val="24"/>
          <w:szCs w:val="24"/>
        </w:rPr>
        <w:t xml:space="preserve">, 85 Colo. 488, 277 P. 469 (1929) (concurring act of God); </w:t>
      </w:r>
      <w:r w:rsidRPr="002D163D">
        <w:rPr>
          <w:rFonts w:eastAsia="Times New Roman"/>
          <w:b/>
          <w:bCs/>
          <w:sz w:val="24"/>
          <w:szCs w:val="24"/>
        </w:rPr>
        <w:t>Ryan Gulch Reservoir Co. v. Swartz</w:t>
      </w:r>
      <w:r w:rsidRPr="002D163D">
        <w:rPr>
          <w:rFonts w:eastAsia="Times New Roman"/>
          <w:bCs/>
          <w:sz w:val="24"/>
          <w:szCs w:val="24"/>
        </w:rPr>
        <w:t xml:space="preserve">, 83 Colo. 225, 263 P. 728 (1928) (same); </w:t>
      </w:r>
      <w:r w:rsidRPr="002D163D">
        <w:rPr>
          <w:rFonts w:eastAsia="Times New Roman"/>
          <w:b/>
          <w:bCs/>
          <w:sz w:val="24"/>
          <w:szCs w:val="24"/>
        </w:rPr>
        <w:t>Bradley v. Guess</w:t>
      </w:r>
      <w:r w:rsidRPr="002D163D">
        <w:rPr>
          <w:rFonts w:eastAsia="Times New Roman"/>
          <w:bCs/>
          <w:sz w:val="24"/>
          <w:szCs w:val="24"/>
        </w:rPr>
        <w:t xml:space="preserve">, 797 P.2d 749 (Colo. App. 1989), </w:t>
      </w:r>
      <w:r w:rsidRPr="002D163D">
        <w:rPr>
          <w:rFonts w:eastAsia="Times New Roman"/>
          <w:bCs/>
          <w:i/>
          <w:sz w:val="24"/>
          <w:szCs w:val="24"/>
        </w:rPr>
        <w:t>rev’d on other grounds sub nom.</w:t>
      </w:r>
      <w:r w:rsidRPr="002D163D">
        <w:rPr>
          <w:rFonts w:eastAsia="Times New Roman"/>
          <w:bCs/>
          <w:sz w:val="24"/>
          <w:szCs w:val="24"/>
        </w:rPr>
        <w:t xml:space="preserve"> </w:t>
      </w:r>
      <w:r w:rsidRPr="002D163D">
        <w:rPr>
          <w:rFonts w:eastAsia="Times New Roman"/>
          <w:b/>
          <w:bCs/>
          <w:sz w:val="24"/>
          <w:szCs w:val="24"/>
        </w:rPr>
        <w:t>Seaward Constr. Co. v. Bradley</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817 P.2d 971 (Colo. 1991).</w:t>
      </w:r>
    </w:p>
    <w:p w14:paraId="0D4F80CD"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2. “‘An intervening act of a human being . . . which is a normal response to the stimulus of a situation created by [the actor’s] negligent conduct, is not a superseding cause of harm to another which the actor’s conduct is a substantial factor in bringing about.’” </w:t>
      </w:r>
      <w:r w:rsidRPr="002D163D">
        <w:rPr>
          <w:rFonts w:eastAsia="Times New Roman"/>
          <w:b/>
          <w:bCs/>
          <w:sz w:val="24"/>
          <w:szCs w:val="24"/>
        </w:rPr>
        <w:t>Calkins v. Albi</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163 Colo. 370, 377, 431 P.2d 17, 20 (1967) (quoting </w:t>
      </w:r>
      <w:r w:rsidRPr="009931B9">
        <w:rPr>
          <w:rFonts w:eastAsia="Times New Roman"/>
          <w:bCs/>
          <w:smallCaps/>
          <w:sz w:val="24"/>
          <w:szCs w:val="24"/>
        </w:rPr>
        <w:t>Restatement (Second) of Torts</w:t>
      </w:r>
      <w:r w:rsidRPr="002D163D">
        <w:rPr>
          <w:rFonts w:eastAsia="Times New Roman"/>
          <w:bCs/>
          <w:sz w:val="24"/>
          <w:szCs w:val="24"/>
        </w:rPr>
        <w:t xml:space="preserve"> § 443 (1965)); </w:t>
      </w:r>
      <w:r w:rsidRPr="002D163D">
        <w:rPr>
          <w:rFonts w:eastAsia="Times New Roman"/>
          <w:bCs/>
          <w:i/>
          <w:sz w:val="24"/>
          <w:szCs w:val="24"/>
        </w:rPr>
        <w:t>see also</w:t>
      </w:r>
      <w:r w:rsidRPr="002D163D">
        <w:rPr>
          <w:rFonts w:eastAsia="Times New Roman"/>
          <w:bCs/>
          <w:sz w:val="24"/>
          <w:szCs w:val="24"/>
        </w:rPr>
        <w:t xml:space="preserve"> </w:t>
      </w:r>
      <w:r w:rsidRPr="002D163D">
        <w:rPr>
          <w:rFonts w:eastAsia="Times New Roman"/>
          <w:b/>
          <w:bCs/>
          <w:sz w:val="24"/>
          <w:szCs w:val="24"/>
        </w:rPr>
        <w:t>Webb v. Dessert Seed Co.</w:t>
      </w:r>
      <w:r w:rsidRPr="002D163D">
        <w:rPr>
          <w:rFonts w:eastAsia="Times New Roman"/>
          <w:bCs/>
          <w:sz w:val="24"/>
          <w:szCs w:val="24"/>
        </w:rPr>
        <w:t>, 718 P.2d 1057 (Colo. 1986) (the precise manner in which the injuries were caused need not have been foreseeable).</w:t>
      </w:r>
    </w:p>
    <w:p w14:paraId="3E0CE0C9"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3. Cases supporting the third parenthesized paragraph include </w:t>
      </w:r>
      <w:r w:rsidRPr="002D163D">
        <w:rPr>
          <w:rFonts w:eastAsia="Times New Roman"/>
          <w:b/>
          <w:bCs/>
          <w:sz w:val="24"/>
          <w:szCs w:val="24"/>
        </w:rPr>
        <w:t>Farmers Mutual Insurance Co. v. Chief Industries, Inc.</w:t>
      </w:r>
      <w:r w:rsidRPr="002D163D">
        <w:rPr>
          <w:rFonts w:eastAsia="Times New Roman"/>
          <w:bCs/>
          <w:sz w:val="24"/>
          <w:szCs w:val="24"/>
        </w:rPr>
        <w:t xml:space="preserve">, 170 P.3d 832 (Colo. App. 2007) (defendant who seeks to assert defense of intervening cause must request optional instruction language from the third parenthesized paragraph or the issue of intervening cause is deemed to be waived); and </w:t>
      </w:r>
      <w:r w:rsidRPr="002D163D">
        <w:rPr>
          <w:rFonts w:eastAsia="Times New Roman"/>
          <w:b/>
          <w:bCs/>
          <w:sz w:val="24"/>
          <w:szCs w:val="24"/>
        </w:rPr>
        <w:t>Smith v. State Compensation Insurance Fund</w:t>
      </w:r>
      <w:r w:rsidRPr="002D163D">
        <w:rPr>
          <w:rFonts w:eastAsia="Times New Roman"/>
          <w:bCs/>
          <w:sz w:val="24"/>
          <w:szCs w:val="24"/>
        </w:rPr>
        <w:t>, 749 P.2d 462 (Colo. App. 1987) (subsequent motorcycle accident an independent, intervening cause because not a foreseeable consequence of the defendant’s claimed negligence).</w:t>
      </w:r>
    </w:p>
    <w:p w14:paraId="0F184E39" w14:textId="05BDEC7C" w:rsidR="00E95BDE" w:rsidRDefault="002D163D" w:rsidP="002D163D">
      <w:pPr>
        <w:spacing w:after="240"/>
        <w:ind w:firstLine="720"/>
        <w:rPr>
          <w:rFonts w:eastAsia="Times New Roman"/>
          <w:bCs/>
          <w:sz w:val="24"/>
          <w:szCs w:val="24"/>
        </w:rPr>
      </w:pPr>
      <w:r w:rsidRPr="002D163D">
        <w:rPr>
          <w:rFonts w:eastAsia="Times New Roman"/>
          <w:bCs/>
          <w:sz w:val="24"/>
          <w:szCs w:val="24"/>
        </w:rPr>
        <w:t xml:space="preserve">4. In </w:t>
      </w:r>
      <w:r w:rsidRPr="002D163D">
        <w:rPr>
          <w:rFonts w:eastAsia="Times New Roman"/>
          <w:b/>
          <w:bCs/>
          <w:sz w:val="24"/>
          <w:szCs w:val="24"/>
        </w:rPr>
        <w:t>Webb</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718 P.2d at 1063-64, the court adopted the test that is set forth in the </w:t>
      </w:r>
      <w:r w:rsidRPr="00F573CF">
        <w:rPr>
          <w:rFonts w:eastAsia="Times New Roman"/>
          <w:bCs/>
          <w:smallCaps/>
          <w:sz w:val="24"/>
          <w:szCs w:val="24"/>
        </w:rPr>
        <w:t>Restatement (Second) of Torts</w:t>
      </w:r>
      <w:r w:rsidRPr="002D163D">
        <w:rPr>
          <w:rFonts w:eastAsia="Times New Roman"/>
          <w:bCs/>
          <w:sz w:val="24"/>
          <w:szCs w:val="24"/>
        </w:rPr>
        <w:t xml:space="preserve"> § 442B (1965), for determining the existence of an intervening cause. </w:t>
      </w:r>
      <w:r w:rsidRPr="002D163D">
        <w:rPr>
          <w:rFonts w:eastAsia="Times New Roman"/>
          <w:bCs/>
          <w:i/>
          <w:sz w:val="24"/>
          <w:szCs w:val="24"/>
        </w:rPr>
        <w:t>Accord</w:t>
      </w:r>
      <w:r w:rsidRPr="002D163D">
        <w:rPr>
          <w:rFonts w:eastAsia="Times New Roman"/>
          <w:bCs/>
          <w:sz w:val="24"/>
          <w:szCs w:val="24"/>
        </w:rPr>
        <w:t xml:space="preserve"> </w:t>
      </w:r>
      <w:r w:rsidRPr="002D163D">
        <w:rPr>
          <w:rFonts w:eastAsia="Times New Roman"/>
          <w:b/>
          <w:bCs/>
          <w:sz w:val="24"/>
          <w:szCs w:val="24"/>
        </w:rPr>
        <w:t>Groh v. Westin Operator, LLC</w:t>
      </w:r>
      <w:r w:rsidRPr="002D163D">
        <w:rPr>
          <w:rFonts w:eastAsia="Times New Roman"/>
          <w:bCs/>
          <w:sz w:val="24"/>
          <w:szCs w:val="24"/>
        </w:rPr>
        <w:t xml:space="preserve">, 2013 COA 39, </w:t>
      </w:r>
      <w:r w:rsidR="004432D9">
        <w:rPr>
          <w:rFonts w:eastAsia="Times New Roman"/>
          <w:bCs/>
          <w:sz w:val="24"/>
          <w:szCs w:val="24"/>
        </w:rPr>
        <w:t xml:space="preserve">¶ 49, </w:t>
      </w:r>
      <w:r w:rsidRPr="002D163D">
        <w:rPr>
          <w:rFonts w:eastAsia="Times New Roman"/>
          <w:bCs/>
          <w:sz w:val="24"/>
          <w:szCs w:val="24"/>
        </w:rPr>
        <w:t xml:space="preserve">352 P.3d 472, </w:t>
      </w:r>
      <w:r w:rsidRPr="002D163D">
        <w:rPr>
          <w:rFonts w:eastAsia="Times New Roman"/>
          <w:bCs/>
          <w:i/>
          <w:sz w:val="24"/>
          <w:szCs w:val="24"/>
        </w:rPr>
        <w:t>aff’d</w:t>
      </w:r>
      <w:r w:rsidRPr="002D163D">
        <w:rPr>
          <w:rFonts w:eastAsia="Times New Roman"/>
          <w:bCs/>
          <w:sz w:val="24"/>
          <w:szCs w:val="24"/>
        </w:rPr>
        <w:t xml:space="preserve">, 2015 CO 25, 347 P.3d 606; </w:t>
      </w:r>
      <w:r w:rsidRPr="002D163D">
        <w:rPr>
          <w:rFonts w:eastAsia="Times New Roman"/>
          <w:b/>
          <w:bCs/>
          <w:sz w:val="24"/>
          <w:szCs w:val="24"/>
        </w:rPr>
        <w:t>Scharrel v. Wal-Mart Stores, Inc.</w:t>
      </w:r>
      <w:r w:rsidRPr="002D163D">
        <w:rPr>
          <w:rFonts w:eastAsia="Times New Roman"/>
          <w:bCs/>
          <w:sz w:val="24"/>
          <w:szCs w:val="24"/>
        </w:rPr>
        <w:t xml:space="preserve">, 949 P.2d 89 (Colo. App. 1997); </w:t>
      </w:r>
      <w:r w:rsidRPr="002D163D">
        <w:rPr>
          <w:rFonts w:eastAsia="Times New Roman"/>
          <w:b/>
          <w:bCs/>
          <w:sz w:val="24"/>
          <w:szCs w:val="24"/>
        </w:rPr>
        <w:t>Voight v. Colo. Mtn. Club</w:t>
      </w:r>
      <w:r w:rsidRPr="002D163D">
        <w:rPr>
          <w:rFonts w:eastAsia="Times New Roman"/>
          <w:bCs/>
          <w:sz w:val="24"/>
          <w:szCs w:val="24"/>
        </w:rPr>
        <w:t xml:space="preserve">, 819 P.2d 1088 (Colo. App. 1991). Intervening cause principles apply in situations in which the defendant’s negligence is alleged to have caused the plaintiff’s decedent to commit suicide. In such cases, the test set forth in the </w:t>
      </w:r>
      <w:r w:rsidRPr="00F573CF">
        <w:rPr>
          <w:rFonts w:eastAsia="Times New Roman"/>
          <w:bCs/>
          <w:smallCaps/>
          <w:sz w:val="24"/>
          <w:szCs w:val="24"/>
        </w:rPr>
        <w:t>Restatement (Second) of Torts</w:t>
      </w:r>
      <w:r w:rsidRPr="002D163D">
        <w:rPr>
          <w:rFonts w:eastAsia="Times New Roman"/>
          <w:bCs/>
          <w:sz w:val="24"/>
          <w:szCs w:val="24"/>
        </w:rPr>
        <w:t xml:space="preserve"> § 455 (1965), is relevant in determining causation. </w:t>
      </w:r>
      <w:r w:rsidRPr="002D163D">
        <w:rPr>
          <w:rFonts w:eastAsia="Times New Roman"/>
          <w:b/>
          <w:bCs/>
          <w:sz w:val="24"/>
          <w:szCs w:val="24"/>
        </w:rPr>
        <w:t>Moore v. W. Forge Corp.</w:t>
      </w:r>
      <w:r w:rsidRPr="002D163D">
        <w:rPr>
          <w:rFonts w:eastAsia="Times New Roman"/>
          <w:bCs/>
          <w:sz w:val="24"/>
          <w:szCs w:val="24"/>
        </w:rPr>
        <w:t>, 1</w:t>
      </w:r>
      <w:r w:rsidR="00F573CF">
        <w:rPr>
          <w:rFonts w:eastAsia="Times New Roman"/>
          <w:bCs/>
          <w:sz w:val="24"/>
          <w:szCs w:val="24"/>
        </w:rPr>
        <w:t>92 P.3d 427 (Colo. App. 2007).</w:t>
      </w:r>
    </w:p>
    <w:p w14:paraId="327D93F6" w14:textId="71F47E96" w:rsidR="002D163D" w:rsidRPr="002D163D" w:rsidRDefault="00E95BDE" w:rsidP="002D163D">
      <w:pPr>
        <w:spacing w:after="240"/>
        <w:ind w:firstLine="720"/>
        <w:rPr>
          <w:rFonts w:eastAsia="Times New Roman"/>
          <w:bCs/>
          <w:sz w:val="24"/>
          <w:szCs w:val="24"/>
        </w:rPr>
      </w:pPr>
      <w:r>
        <w:rPr>
          <w:rFonts w:eastAsia="Times New Roman"/>
          <w:bCs/>
          <w:sz w:val="24"/>
          <w:szCs w:val="24"/>
        </w:rPr>
        <w:t xml:space="preserve">5. </w:t>
      </w:r>
      <w:r>
        <w:rPr>
          <w:rFonts w:eastAsia="Times New Roman"/>
          <w:sz w:val="24"/>
          <w:szCs w:val="24"/>
        </w:rPr>
        <w:t xml:space="preserve">In a medical malpractice case, </w:t>
      </w:r>
      <w:r w:rsidRPr="00E95BDE">
        <w:rPr>
          <w:rFonts w:eastAsia="Times New Roman"/>
          <w:sz w:val="24"/>
          <w:szCs w:val="24"/>
        </w:rPr>
        <w:t xml:space="preserve">treatment by subsequent providers that </w:t>
      </w:r>
      <w:r w:rsidR="00017CD9">
        <w:rPr>
          <w:rFonts w:eastAsia="Times New Roman"/>
          <w:sz w:val="24"/>
          <w:szCs w:val="24"/>
        </w:rPr>
        <w:t>constitutes ordinary negligence is not</w:t>
      </w:r>
      <w:r w:rsidRPr="00E95BDE">
        <w:rPr>
          <w:rFonts w:eastAsia="Times New Roman"/>
          <w:sz w:val="24"/>
          <w:szCs w:val="24"/>
        </w:rPr>
        <w:t xml:space="preserve"> </w:t>
      </w:r>
      <w:r>
        <w:rPr>
          <w:rFonts w:eastAsia="Times New Roman"/>
          <w:sz w:val="24"/>
          <w:szCs w:val="24"/>
        </w:rPr>
        <w:t>an intervening</w:t>
      </w:r>
      <w:r w:rsidRPr="00E95BDE">
        <w:rPr>
          <w:rFonts w:eastAsia="Times New Roman"/>
          <w:sz w:val="24"/>
          <w:szCs w:val="24"/>
        </w:rPr>
        <w:t xml:space="preserve"> cause.</w:t>
      </w:r>
      <w:r>
        <w:rPr>
          <w:rFonts w:eastAsia="Times New Roman"/>
          <w:sz w:val="24"/>
          <w:szCs w:val="24"/>
        </w:rPr>
        <w:t xml:space="preserve"> </w:t>
      </w:r>
      <w:r w:rsidRPr="00413E69">
        <w:rPr>
          <w:rFonts w:eastAsia="Times New Roman"/>
          <w:b/>
          <w:sz w:val="24"/>
          <w:szCs w:val="24"/>
        </w:rPr>
        <w:t>Danko v. Conyer</w:t>
      </w:r>
      <w:r w:rsidRPr="00E95BDE">
        <w:rPr>
          <w:rFonts w:eastAsia="Times New Roman"/>
          <w:sz w:val="24"/>
          <w:szCs w:val="24"/>
        </w:rPr>
        <w:t>s, 2018 COA 14, ¶ 63</w:t>
      </w:r>
      <w:r w:rsidR="00E83B20">
        <w:rPr>
          <w:rFonts w:eastAsia="Times New Roman"/>
          <w:sz w:val="24"/>
          <w:szCs w:val="24"/>
        </w:rPr>
        <w:t xml:space="preserve">, 432 </w:t>
      </w:r>
      <w:r w:rsidR="00E83B20">
        <w:rPr>
          <w:rFonts w:eastAsia="Times New Roman"/>
          <w:sz w:val="24"/>
          <w:szCs w:val="24"/>
        </w:rPr>
        <w:lastRenderedPageBreak/>
        <w:t>P.3d 958</w:t>
      </w:r>
      <w:r>
        <w:rPr>
          <w:rFonts w:eastAsia="Times New Roman"/>
          <w:sz w:val="24"/>
          <w:szCs w:val="24"/>
        </w:rPr>
        <w:t xml:space="preserve">. But </w:t>
      </w:r>
      <w:r w:rsidRPr="00E95BDE">
        <w:rPr>
          <w:rFonts w:eastAsia="Times New Roman"/>
          <w:sz w:val="24"/>
          <w:szCs w:val="24"/>
        </w:rPr>
        <w:t xml:space="preserve">misconduct </w:t>
      </w:r>
      <w:r>
        <w:rPr>
          <w:rFonts w:eastAsia="Times New Roman"/>
          <w:sz w:val="24"/>
          <w:szCs w:val="24"/>
        </w:rPr>
        <w:t>by a</w:t>
      </w:r>
      <w:r w:rsidR="006943C6">
        <w:rPr>
          <w:rFonts w:eastAsia="Times New Roman"/>
          <w:sz w:val="24"/>
          <w:szCs w:val="24"/>
        </w:rPr>
        <w:t xml:space="preserve"> later</w:t>
      </w:r>
      <w:r>
        <w:rPr>
          <w:rFonts w:eastAsia="Times New Roman"/>
          <w:sz w:val="24"/>
          <w:szCs w:val="24"/>
        </w:rPr>
        <w:t xml:space="preserve"> provider that is </w:t>
      </w:r>
      <w:r w:rsidRPr="00E95BDE">
        <w:rPr>
          <w:rFonts w:eastAsia="Times New Roman"/>
          <w:sz w:val="24"/>
          <w:szCs w:val="24"/>
        </w:rPr>
        <w:t>extraordinary</w:t>
      </w:r>
      <w:r>
        <w:rPr>
          <w:rFonts w:eastAsia="Times New Roman"/>
          <w:sz w:val="24"/>
          <w:szCs w:val="24"/>
        </w:rPr>
        <w:t xml:space="preserve"> constitutes an intervening cause. </w:t>
      </w:r>
      <w:r>
        <w:rPr>
          <w:rFonts w:eastAsia="Times New Roman"/>
          <w:i/>
          <w:sz w:val="24"/>
          <w:szCs w:val="24"/>
        </w:rPr>
        <w:t>Id.</w:t>
      </w:r>
      <w:r>
        <w:rPr>
          <w:rFonts w:eastAsia="Times New Roman"/>
          <w:sz w:val="24"/>
          <w:szCs w:val="24"/>
        </w:rPr>
        <w:t xml:space="preserve"> </w:t>
      </w:r>
      <w:r w:rsidR="006943C6">
        <w:rPr>
          <w:rFonts w:eastAsia="Times New Roman"/>
          <w:sz w:val="24"/>
          <w:szCs w:val="24"/>
        </w:rPr>
        <w:t xml:space="preserve">at </w:t>
      </w:r>
      <w:r w:rsidRPr="00E95BDE">
        <w:rPr>
          <w:rFonts w:eastAsia="Times New Roman"/>
          <w:sz w:val="24"/>
          <w:szCs w:val="24"/>
        </w:rPr>
        <w:t>¶ 31</w:t>
      </w:r>
      <w:r>
        <w:rPr>
          <w:rFonts w:eastAsia="Times New Roman"/>
          <w:sz w:val="24"/>
          <w:szCs w:val="24"/>
        </w:rPr>
        <w:t xml:space="preserve"> (citing </w:t>
      </w:r>
      <w:r w:rsidRPr="00441A42">
        <w:rPr>
          <w:rFonts w:eastAsia="Times New Roman"/>
          <w:smallCaps/>
          <w:sz w:val="24"/>
          <w:szCs w:val="24"/>
        </w:rPr>
        <w:t>Restatement (Second) of Torts</w:t>
      </w:r>
      <w:r>
        <w:rPr>
          <w:rFonts w:eastAsia="Times New Roman"/>
          <w:sz w:val="24"/>
          <w:szCs w:val="24"/>
        </w:rPr>
        <w:t xml:space="preserve"> § 457 c</w:t>
      </w:r>
      <w:r w:rsidR="006943C6">
        <w:rPr>
          <w:rFonts w:eastAsia="Times New Roman"/>
          <w:sz w:val="24"/>
          <w:szCs w:val="24"/>
        </w:rPr>
        <w:t>mt.</w:t>
      </w:r>
      <w:r>
        <w:rPr>
          <w:rFonts w:eastAsia="Times New Roman"/>
          <w:sz w:val="24"/>
          <w:szCs w:val="24"/>
        </w:rPr>
        <w:t xml:space="preserve"> d</w:t>
      </w:r>
      <w:r w:rsidR="006943C6">
        <w:rPr>
          <w:rFonts w:eastAsia="Times New Roman"/>
          <w:sz w:val="24"/>
          <w:szCs w:val="24"/>
        </w:rPr>
        <w:t xml:space="preserve"> </w:t>
      </w:r>
      <w:r>
        <w:rPr>
          <w:rFonts w:eastAsia="Times New Roman"/>
          <w:sz w:val="24"/>
          <w:szCs w:val="24"/>
        </w:rPr>
        <w:t>(1979)</w:t>
      </w:r>
      <w:r w:rsidR="00017CD9">
        <w:rPr>
          <w:rFonts w:eastAsia="Times New Roman"/>
          <w:sz w:val="24"/>
          <w:szCs w:val="24"/>
        </w:rPr>
        <w:t>)</w:t>
      </w:r>
      <w:r>
        <w:rPr>
          <w:rFonts w:eastAsia="Times New Roman"/>
          <w:sz w:val="24"/>
          <w:szCs w:val="24"/>
        </w:rPr>
        <w:t>.</w:t>
      </w:r>
      <w:r w:rsidR="00F573CF">
        <w:rPr>
          <w:rFonts w:eastAsia="Times New Roman"/>
          <w:bCs/>
          <w:sz w:val="24"/>
          <w:szCs w:val="24"/>
        </w:rPr>
        <w:t xml:space="preserve"> </w:t>
      </w:r>
    </w:p>
    <w:p w14:paraId="16A20123" w14:textId="01B99472" w:rsidR="002D163D" w:rsidRPr="002D163D" w:rsidRDefault="00E95BDE" w:rsidP="002D163D">
      <w:pPr>
        <w:spacing w:after="240"/>
        <w:ind w:firstLine="720"/>
        <w:rPr>
          <w:rFonts w:eastAsia="Times New Roman"/>
          <w:bCs/>
          <w:sz w:val="24"/>
          <w:szCs w:val="24"/>
        </w:rPr>
      </w:pPr>
      <w:r>
        <w:rPr>
          <w:rFonts w:eastAsia="Times New Roman"/>
          <w:bCs/>
          <w:sz w:val="24"/>
          <w:szCs w:val="24"/>
        </w:rPr>
        <w:t>6</w:t>
      </w:r>
      <w:r w:rsidR="002D163D" w:rsidRPr="002D163D">
        <w:rPr>
          <w:rFonts w:eastAsia="Times New Roman"/>
          <w:bCs/>
          <w:sz w:val="24"/>
          <w:szCs w:val="24"/>
        </w:rPr>
        <w:t xml:space="preserve">. As to the sufficiency of evidence on the issue of cause, see </w:t>
      </w:r>
      <w:r w:rsidR="002D163D" w:rsidRPr="002D163D">
        <w:rPr>
          <w:rFonts w:eastAsia="Times New Roman"/>
          <w:b/>
          <w:bCs/>
          <w:sz w:val="24"/>
          <w:szCs w:val="24"/>
        </w:rPr>
        <w:t>Kaiser Foundation Health Plan v. Sharp</w:t>
      </w:r>
      <w:r w:rsidR="002D163D" w:rsidRPr="002D163D">
        <w:rPr>
          <w:rFonts w:eastAsia="Times New Roman"/>
          <w:bCs/>
          <w:sz w:val="24"/>
          <w:szCs w:val="24"/>
        </w:rPr>
        <w:t>,</w:t>
      </w:r>
      <w:r w:rsidR="002D163D" w:rsidRPr="002D163D">
        <w:rPr>
          <w:rFonts w:eastAsia="Times New Roman"/>
          <w:b/>
          <w:bCs/>
          <w:sz w:val="24"/>
          <w:szCs w:val="24"/>
        </w:rPr>
        <w:t xml:space="preserve"> </w:t>
      </w:r>
      <w:r w:rsidR="002D163D" w:rsidRPr="002D163D">
        <w:rPr>
          <w:rFonts w:eastAsia="Times New Roman"/>
          <w:bCs/>
          <w:sz w:val="24"/>
          <w:szCs w:val="24"/>
        </w:rPr>
        <w:t xml:space="preserve">741 P.2d 714 (Colo. 1987) (cause need not be proved with absolute certainty, nor need defendant’s conduct be proved the only cause). </w:t>
      </w:r>
      <w:r w:rsidR="002D163D" w:rsidRPr="002D163D">
        <w:rPr>
          <w:rFonts w:eastAsia="Times New Roman"/>
          <w:bCs/>
          <w:i/>
          <w:sz w:val="24"/>
          <w:szCs w:val="24"/>
        </w:rPr>
        <w:t>See also</w:t>
      </w:r>
      <w:r w:rsidR="002D163D" w:rsidRPr="002D163D">
        <w:rPr>
          <w:rFonts w:eastAsia="Times New Roman"/>
          <w:bCs/>
          <w:sz w:val="24"/>
          <w:szCs w:val="24"/>
        </w:rPr>
        <w:t xml:space="preserve"> </w:t>
      </w:r>
      <w:r w:rsidR="002D163D" w:rsidRPr="002D163D">
        <w:rPr>
          <w:rFonts w:eastAsia="Times New Roman"/>
          <w:b/>
          <w:bCs/>
          <w:sz w:val="24"/>
          <w:szCs w:val="24"/>
        </w:rPr>
        <w:t>Gossard v. Watson</w:t>
      </w:r>
      <w:r w:rsidR="002D163D" w:rsidRPr="002D163D">
        <w:rPr>
          <w:rFonts w:eastAsia="Times New Roman"/>
          <w:bCs/>
          <w:sz w:val="24"/>
          <w:szCs w:val="24"/>
        </w:rPr>
        <w:t>, 122 Colo. 271, 221 P.2d 353 (1950).</w:t>
      </w:r>
    </w:p>
    <w:p w14:paraId="60125B1A" w14:textId="77777777" w:rsidR="005065E6" w:rsidRDefault="005065E6">
      <w:pPr>
        <w:rPr>
          <w:rFonts w:eastAsia="Times New Roman"/>
          <w:bCs/>
          <w:sz w:val="24"/>
          <w:szCs w:val="24"/>
        </w:rPr>
      </w:pPr>
      <w:r>
        <w:rPr>
          <w:rFonts w:eastAsia="Times New Roman"/>
          <w:bCs/>
          <w:sz w:val="24"/>
          <w:szCs w:val="24"/>
        </w:rPr>
        <w:br w:type="page"/>
      </w:r>
    </w:p>
    <w:p w14:paraId="3B3DE7E9" w14:textId="77777777" w:rsidR="005065E6" w:rsidRPr="009E3DA4" w:rsidRDefault="005065E6" w:rsidP="005065E6">
      <w:pPr>
        <w:spacing w:after="240"/>
        <w:ind w:left="720" w:hanging="720"/>
        <w:rPr>
          <w:rFonts w:eastAsia="Times New Roman"/>
          <w:b/>
          <w:sz w:val="24"/>
          <w:szCs w:val="24"/>
        </w:rPr>
      </w:pPr>
      <w:bookmarkStart w:id="24" w:name="a9_21"/>
      <w:bookmarkEnd w:id="24"/>
      <w:r w:rsidRPr="005065E6">
        <w:rPr>
          <w:rFonts w:eastAsia="Times New Roman"/>
          <w:b/>
          <w:sz w:val="24"/>
          <w:szCs w:val="24"/>
        </w:rPr>
        <w:lastRenderedPageBreak/>
        <w:t xml:space="preserve">9:21 </w:t>
      </w:r>
      <w:r w:rsidRPr="005065E6">
        <w:rPr>
          <w:rFonts w:eastAsia="Times New Roman"/>
          <w:b/>
          <w:sz w:val="24"/>
          <w:szCs w:val="24"/>
        </w:rPr>
        <w:tab/>
        <w:t>CAUSE — FORESEEABILITY LIMITATION</w:t>
      </w:r>
    </w:p>
    <w:p w14:paraId="50F6ABF6"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The negligence, if any, of the defendant, </w:t>
      </w:r>
      <w:r w:rsidRPr="005065E6">
        <w:rPr>
          <w:rFonts w:eastAsia="Times New Roman"/>
          <w:i/>
          <w:sz w:val="24"/>
          <w:szCs w:val="24"/>
        </w:rPr>
        <w:t>(name)</w:t>
      </w:r>
      <w:r w:rsidRPr="005065E6">
        <w:rPr>
          <w:rFonts w:eastAsia="Times New Roman"/>
          <w:b/>
          <w:sz w:val="24"/>
          <w:szCs w:val="24"/>
        </w:rPr>
        <w:t xml:space="preserve">, is not a cause of any (injuries) (damages) (losses) to the plaintiff, </w:t>
      </w:r>
      <w:r w:rsidRPr="005065E6">
        <w:rPr>
          <w:rFonts w:eastAsia="Times New Roman"/>
          <w:i/>
          <w:sz w:val="24"/>
          <w:szCs w:val="24"/>
        </w:rPr>
        <w:t>(name)</w:t>
      </w:r>
      <w:r w:rsidRPr="005065E6">
        <w:rPr>
          <w:rFonts w:eastAsia="Times New Roman"/>
          <w:b/>
          <w:sz w:val="24"/>
          <w:szCs w:val="24"/>
        </w:rPr>
        <w:t>, unless injury to a person in the plaintiff’s situation was a reasonably foreseeable result of that negligence. The specific injury need not have been foreseeable. It is enough if a reasonably careful person, under the same or similar circumstances, would have anticipated that injury to a person in the plaintiff’s situation might result from the defendant’s conduct.</w:t>
      </w:r>
    </w:p>
    <w:p w14:paraId="222FDFCD" w14:textId="77777777" w:rsidR="005065E6" w:rsidRDefault="005065E6" w:rsidP="005065E6">
      <w:pPr>
        <w:jc w:val="center"/>
        <w:rPr>
          <w:rFonts w:eastAsia="Times New Roman"/>
          <w:sz w:val="24"/>
          <w:szCs w:val="24"/>
        </w:rPr>
      </w:pPr>
    </w:p>
    <w:p w14:paraId="21A97060"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7C48CF7D"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 This instruction is not applicable to unique or extensive unforeseeable injuries the plaintiff may have sustained because of some physical or mental peculiarity of the plaintiff, as long as some physical impact with the plaintiff was foreseeable. For example, a negligent driver who collides with another’s car cannot avoid liability for all the other person’s damages even though, because of personal peculiarities, the plaintiff’s injuries or damages may be greatly in excess of what a reasonable person might expect a typical plaintiff to sustain.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smallCaps/>
          <w:sz w:val="24"/>
          <w:szCs w:val="24"/>
        </w:rPr>
        <w:t>W. Page Keeton et al., Prosser and Keeton on the Law of Torts</w:t>
      </w:r>
      <w:r w:rsidRPr="005065E6">
        <w:rPr>
          <w:rFonts w:eastAsia="Times New Roman"/>
          <w:sz w:val="24"/>
          <w:szCs w:val="24"/>
        </w:rPr>
        <w:t xml:space="preserve"> § 43, at 291-92 (5th ed. 1984); </w:t>
      </w:r>
      <w:r w:rsidRPr="005065E6">
        <w:rPr>
          <w:rFonts w:eastAsia="Times New Roman"/>
          <w:i/>
          <w:sz w:val="24"/>
          <w:szCs w:val="24"/>
        </w:rPr>
        <w:t>see also</w:t>
      </w:r>
      <w:r w:rsidRPr="005065E6">
        <w:rPr>
          <w:rFonts w:eastAsia="Times New Roman"/>
          <w:sz w:val="24"/>
          <w:szCs w:val="24"/>
        </w:rPr>
        <w:t xml:space="preserve"> Instruction 6:7 (“thin skull” doctrine).</w:t>
      </w:r>
    </w:p>
    <w:p w14:paraId="104CEC98" w14:textId="47808B3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This instruction should be used “only when the evidence presents a jury question on whether the injured party was a person within the foreseeable zone of danger created by defendant’s negligence and thus was owed a duty by defendant.” </w:t>
      </w:r>
      <w:r w:rsidRPr="005065E6">
        <w:rPr>
          <w:rFonts w:eastAsia="Times New Roman"/>
          <w:b/>
          <w:sz w:val="24"/>
          <w:szCs w:val="24"/>
        </w:rPr>
        <w:t>Chutich v. Samuelson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33 Colo. App. 195, 201, 518 P.2d 1363, 1367 (1973), </w:t>
      </w:r>
      <w:r w:rsidRPr="005065E6">
        <w:rPr>
          <w:rFonts w:eastAsia="Times New Roman"/>
          <w:i/>
          <w:sz w:val="24"/>
          <w:szCs w:val="24"/>
        </w:rPr>
        <w:t>aff’d in part, rev’d in part on other grounds</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187 Colo. 155, 529 P.2d 631 (1974);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Walcott v. Total Petroleum, Inc.</w:t>
      </w:r>
      <w:r w:rsidRPr="005065E6">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5065E6">
        <w:rPr>
          <w:rFonts w:eastAsia="Times New Roman"/>
          <w:b/>
          <w:sz w:val="24"/>
          <w:szCs w:val="24"/>
        </w:rPr>
        <w:t>Scharrel v. Wal-Mart Stores, Inc.</w:t>
      </w:r>
      <w:r w:rsidRPr="005065E6">
        <w:rPr>
          <w:rFonts w:eastAsia="Times New Roman"/>
          <w:sz w:val="24"/>
          <w:szCs w:val="24"/>
        </w:rPr>
        <w:t xml:space="preserve">, 949 P.2d 89 (Colo. App. 1997); </w:t>
      </w:r>
      <w:r w:rsidRPr="005065E6">
        <w:rPr>
          <w:rFonts w:eastAsia="Times New Roman"/>
          <w:b/>
          <w:sz w:val="24"/>
          <w:szCs w:val="24"/>
        </w:rPr>
        <w:t>Cooley v. Paraho Dev. Corp.</w:t>
      </w:r>
      <w:r w:rsidRPr="005065E6">
        <w:rPr>
          <w:rFonts w:eastAsia="Times New Roman"/>
          <w:sz w:val="24"/>
          <w:szCs w:val="24"/>
        </w:rPr>
        <w:t xml:space="preserve">, 851 P.2d 207 (Colo. App. 1992), </w:t>
      </w:r>
      <w:r w:rsidRPr="005065E6">
        <w:rPr>
          <w:rFonts w:eastAsia="Times New Roman"/>
          <w:i/>
          <w:sz w:val="24"/>
          <w:szCs w:val="24"/>
        </w:rPr>
        <w:t>aff’d on other grounds sub nom.</w:t>
      </w:r>
      <w:r w:rsidRPr="005065E6">
        <w:rPr>
          <w:rFonts w:eastAsia="Times New Roman"/>
          <w:sz w:val="24"/>
          <w:szCs w:val="24"/>
        </w:rPr>
        <w:t xml:space="preserve"> </w:t>
      </w:r>
      <w:r w:rsidRPr="005065E6">
        <w:rPr>
          <w:rFonts w:eastAsia="Times New Roman"/>
          <w:b/>
          <w:sz w:val="24"/>
          <w:szCs w:val="24"/>
        </w:rPr>
        <w:t>Gen. Elec. Co. v. Niemet</w:t>
      </w:r>
      <w:r w:rsidRPr="005065E6">
        <w:rPr>
          <w:rFonts w:eastAsia="Times New Roman"/>
          <w:sz w:val="24"/>
          <w:szCs w:val="24"/>
        </w:rPr>
        <w:t xml:space="preserve">, 866 P.2d 1361 (Colo. 1994); </w:t>
      </w:r>
      <w:r w:rsidRPr="005065E6">
        <w:rPr>
          <w:rFonts w:eastAsia="Times New Roman"/>
          <w:b/>
          <w:sz w:val="24"/>
          <w:szCs w:val="24"/>
        </w:rPr>
        <w:t>Sewell v. Pub. Serv. Co.</w:t>
      </w:r>
      <w:r w:rsidRPr="005065E6">
        <w:rPr>
          <w:rFonts w:eastAsia="Times New Roman"/>
          <w:sz w:val="24"/>
          <w:szCs w:val="24"/>
        </w:rPr>
        <w:t>, 832 P.2d 994 (Colo. App. 1991).</w:t>
      </w:r>
    </w:p>
    <w:p w14:paraId="721D3232"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651BA418"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1. This instruction is supported by </w:t>
      </w:r>
      <w:r w:rsidRPr="005065E6">
        <w:rPr>
          <w:rFonts w:eastAsia="Times New Roman"/>
          <w:b/>
          <w:bCs/>
          <w:sz w:val="24"/>
          <w:szCs w:val="24"/>
        </w:rPr>
        <w:t>Aikens v. George W. Clayton Trust Commission</w:t>
      </w:r>
      <w:r w:rsidRPr="005065E6">
        <w:rPr>
          <w:rFonts w:eastAsia="Times New Roman"/>
          <w:bCs/>
          <w:sz w:val="24"/>
          <w:szCs w:val="24"/>
        </w:rPr>
        <w:t xml:space="preserve">, 132 Colo. 374, 288 P.2d 349 (1955) (defendants could not reasonably foresee the accident); </w:t>
      </w:r>
      <w:r w:rsidRPr="005065E6">
        <w:rPr>
          <w:rFonts w:eastAsia="Times New Roman"/>
          <w:b/>
          <w:bCs/>
          <w:sz w:val="24"/>
          <w:szCs w:val="24"/>
        </w:rPr>
        <w:t>Stout v. Denver Park &amp; Amusement Co.</w:t>
      </w:r>
      <w:r w:rsidRPr="005065E6">
        <w:rPr>
          <w:rFonts w:eastAsia="Times New Roman"/>
          <w:bCs/>
          <w:sz w:val="24"/>
          <w:szCs w:val="24"/>
        </w:rPr>
        <w:t xml:space="preserve">, 87 Colo. 294, 287 P. 650 (1930) (intervening cause could not reasonably have been anticipated); and </w:t>
      </w:r>
      <w:r w:rsidRPr="005065E6">
        <w:rPr>
          <w:rFonts w:eastAsia="Times New Roman"/>
          <w:b/>
          <w:bCs/>
          <w:sz w:val="24"/>
          <w:szCs w:val="24"/>
        </w:rPr>
        <w:t>Town of Lyons v. Watt</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43 Colo. 238, 95 P. 949 (1908) (same).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Webb v. Dessert Seed Co.</w:t>
      </w:r>
      <w:r w:rsidRPr="005065E6">
        <w:rPr>
          <w:rFonts w:eastAsia="Times New Roman"/>
          <w:bCs/>
          <w:sz w:val="24"/>
          <w:szCs w:val="24"/>
        </w:rPr>
        <w:t xml:space="preserve">, 718 P.2d 1057 (Colo. 1986) (the precise manner in which the injuries were caused need not have been foreseeable); </w:t>
      </w:r>
      <w:r w:rsidRPr="005065E6">
        <w:rPr>
          <w:rFonts w:eastAsia="Times New Roman"/>
          <w:b/>
          <w:bCs/>
          <w:sz w:val="24"/>
          <w:szCs w:val="24"/>
        </w:rPr>
        <w:t>Smith v. State Comp. Ins. Fund</w:t>
      </w:r>
      <w:r w:rsidRPr="005065E6">
        <w:rPr>
          <w:rFonts w:eastAsia="Times New Roman"/>
          <w:bCs/>
          <w:sz w:val="24"/>
          <w:szCs w:val="24"/>
        </w:rPr>
        <w:t xml:space="preserve">, 749 P.2d 462 (Colo. App. 1987) (subsequent motorcycle accident not foreseeable); </w:t>
      </w:r>
      <w:r w:rsidRPr="005065E6">
        <w:rPr>
          <w:rFonts w:eastAsia="Times New Roman"/>
          <w:b/>
          <w:bCs/>
          <w:sz w:val="24"/>
          <w:szCs w:val="24"/>
        </w:rPr>
        <w:t>Wesley v. United Servs. Auto. Ass’n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694 P.2d 855 (Colo. App. 1984) (quoting this instruction with approval).</w:t>
      </w:r>
    </w:p>
    <w:p w14:paraId="70731757"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2. The fact that it may not have been foreseeable that an injury to the plaintiff as a particular individual person might result from the defendant’s conduct does not necessarily absolve the defendant from liability. It is sufficient if the plaintiff was within a group of </w:t>
      </w:r>
      <w:r w:rsidRPr="005065E6">
        <w:rPr>
          <w:rFonts w:eastAsia="Times New Roman"/>
          <w:bCs/>
          <w:sz w:val="24"/>
          <w:szCs w:val="24"/>
        </w:rPr>
        <w:lastRenderedPageBreak/>
        <w:t xml:space="preserve">foreseeable persons who might have been endangered by the defendant’s conduct. </w:t>
      </w:r>
      <w:r w:rsidRPr="005065E6">
        <w:rPr>
          <w:rFonts w:eastAsia="Times New Roman"/>
          <w:b/>
          <w:bCs/>
          <w:sz w:val="24"/>
          <w:szCs w:val="24"/>
        </w:rPr>
        <w:t>Moore v. Standard Paint &amp; Glass Co.</w:t>
      </w:r>
      <w:r w:rsidRPr="005065E6">
        <w:rPr>
          <w:rFonts w:eastAsia="Times New Roman"/>
          <w:bCs/>
          <w:sz w:val="24"/>
          <w:szCs w:val="24"/>
        </w:rPr>
        <w:t xml:space="preserve">, 145 Colo. 151, 358 P.2d 33 (1960) (by implication); </w:t>
      </w:r>
      <w:r w:rsidRPr="005065E6">
        <w:rPr>
          <w:rFonts w:eastAsia="Times New Roman"/>
          <w:b/>
          <w:bCs/>
          <w:sz w:val="24"/>
          <w:szCs w:val="24"/>
        </w:rPr>
        <w:t>Estate of Newton v. McNew</w:t>
      </w:r>
      <w:r w:rsidRPr="005065E6">
        <w:rPr>
          <w:rFonts w:eastAsia="Times New Roman"/>
          <w:bCs/>
          <w:sz w:val="24"/>
          <w:szCs w:val="24"/>
        </w:rPr>
        <w:t xml:space="preserve">, 698 P.2d 835 (Colo. App. 1984); </w:t>
      </w:r>
      <w:r w:rsidRPr="005065E6">
        <w:rPr>
          <w:rFonts w:eastAsia="Times New Roman"/>
          <w:b/>
          <w:bCs/>
          <w:sz w:val="24"/>
          <w:szCs w:val="24"/>
        </w:rPr>
        <w:t>Bartley v. Floyd</w:t>
      </w:r>
      <w:r w:rsidRPr="005065E6">
        <w:rPr>
          <w:rFonts w:eastAsia="Times New Roman"/>
          <w:bCs/>
          <w:sz w:val="24"/>
          <w:szCs w:val="24"/>
        </w:rPr>
        <w:t xml:space="preserve">, 695 P.2d 781 (Colo. App. 1984), </w:t>
      </w:r>
      <w:r w:rsidRPr="005065E6">
        <w:rPr>
          <w:rFonts w:eastAsia="Times New Roman"/>
          <w:bCs/>
          <w:i/>
          <w:sz w:val="24"/>
          <w:szCs w:val="24"/>
        </w:rPr>
        <w:t>aff’d on other grounds</w:t>
      </w:r>
      <w:r w:rsidRPr="005065E6">
        <w:rPr>
          <w:rFonts w:eastAsia="Times New Roman"/>
          <w:bCs/>
          <w:sz w:val="24"/>
          <w:szCs w:val="24"/>
        </w:rPr>
        <w:t>,</w:t>
      </w:r>
      <w:r w:rsidRPr="005065E6">
        <w:rPr>
          <w:rFonts w:eastAsia="Times New Roman"/>
          <w:bCs/>
          <w:i/>
          <w:sz w:val="24"/>
          <w:szCs w:val="24"/>
        </w:rPr>
        <w:t xml:space="preserve"> </w:t>
      </w:r>
      <w:r w:rsidRPr="005065E6">
        <w:rPr>
          <w:rFonts w:eastAsia="Times New Roman"/>
          <w:bCs/>
          <w:sz w:val="24"/>
          <w:szCs w:val="24"/>
        </w:rPr>
        <w:t>727 P.2d 1109 (Colo. 1986).</w:t>
      </w:r>
    </w:p>
    <w:p w14:paraId="0A5350A8" w14:textId="54158B3A"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3. Foreseeability in the context of determining proximate cause involves policy considerations as to whether a defendant’s responsibility should extend to the results in question. </w:t>
      </w:r>
      <w:r w:rsidRPr="005065E6">
        <w:rPr>
          <w:rFonts w:eastAsia="Times New Roman"/>
          <w:b/>
          <w:bCs/>
          <w:sz w:val="24"/>
          <w:szCs w:val="24"/>
        </w:rPr>
        <w:t>Keller v. Koca</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111 P.3d 445 (Colo. 2005) (employer owed no duty to twelve-year-old sexually assaulted by employee on business premises on day that business was closed as risk was unforeseeable);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Build It &amp; They Will Drink, Inc. v. Strauch</w:t>
      </w:r>
      <w:r w:rsidRPr="005065E6">
        <w:rPr>
          <w:rFonts w:eastAsia="Times New Roman"/>
          <w:bCs/>
          <w:sz w:val="24"/>
          <w:szCs w:val="24"/>
        </w:rPr>
        <w:t xml:space="preserve">, 253 P.3d 302 (Colo. 2011) (under dram shop liability statute, injury need not be foreseeable by vendor who serves obviously intoxicated person, and vendor could be liable when the intoxicated patron stabbed another one-and-a-half blocks from nightclub); </w:t>
      </w:r>
      <w:r w:rsidRPr="005065E6">
        <w:rPr>
          <w:rFonts w:eastAsia="Times New Roman"/>
          <w:b/>
          <w:bCs/>
          <w:sz w:val="24"/>
          <w:szCs w:val="24"/>
        </w:rPr>
        <w:t>Lyons v. Nasby</w:t>
      </w:r>
      <w:r w:rsidRPr="005065E6">
        <w:rPr>
          <w:rFonts w:eastAsia="Times New Roman"/>
          <w:bCs/>
          <w:sz w:val="24"/>
          <w:szCs w:val="24"/>
        </w:rPr>
        <w:t xml:space="preserve">, 770 P.2d 1250 (Colo. 1989); </w:t>
      </w:r>
      <w:r w:rsidRPr="005065E6">
        <w:rPr>
          <w:rFonts w:eastAsia="Times New Roman"/>
          <w:b/>
          <w:bCs/>
          <w:sz w:val="24"/>
          <w:szCs w:val="24"/>
        </w:rPr>
        <w:t>Largo Corp. v. Crespin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727 P.2d 1098 (Colo. 1986).</w:t>
      </w:r>
      <w:r w:rsidR="001B1779" w:rsidRPr="001B1779">
        <w:rPr>
          <w:rFonts w:eastAsia="Times New Roman"/>
          <w:bCs/>
          <w:i/>
          <w:iCs/>
          <w:sz w:val="24"/>
          <w:szCs w:val="24"/>
        </w:rPr>
        <w:t xml:space="preserve"> </w:t>
      </w:r>
      <w:r w:rsidR="001B1779">
        <w:rPr>
          <w:rFonts w:eastAsia="Times New Roman"/>
          <w:bCs/>
          <w:i/>
          <w:iCs/>
          <w:sz w:val="24"/>
          <w:szCs w:val="24"/>
        </w:rPr>
        <w:t xml:space="preserve">See generally </w:t>
      </w:r>
      <w:r w:rsidR="001B1779" w:rsidRPr="00981EFD">
        <w:rPr>
          <w:rFonts w:eastAsia="Times New Roman"/>
          <w:b/>
          <w:sz w:val="24"/>
          <w:szCs w:val="24"/>
        </w:rPr>
        <w:t>Wagner v. Planned Parenthood Fed</w:t>
      </w:r>
      <w:r w:rsidR="001B1779">
        <w:rPr>
          <w:rFonts w:eastAsia="Times New Roman"/>
          <w:b/>
          <w:sz w:val="24"/>
          <w:szCs w:val="24"/>
        </w:rPr>
        <w:t>’</w:t>
      </w:r>
      <w:r w:rsidR="001B1779" w:rsidRPr="00981EFD">
        <w:rPr>
          <w:rFonts w:eastAsia="Times New Roman"/>
          <w:b/>
          <w:sz w:val="24"/>
          <w:szCs w:val="24"/>
        </w:rPr>
        <w:t>n of Am., Inc.</w:t>
      </w:r>
      <w:r w:rsidR="001B1779" w:rsidRPr="00981EFD">
        <w:rPr>
          <w:rFonts w:eastAsia="Times New Roman"/>
          <w:bCs/>
          <w:sz w:val="24"/>
          <w:szCs w:val="24"/>
        </w:rPr>
        <w:t>, 2019 COA 26, ¶</w:t>
      </w:r>
      <w:r w:rsidR="001B1779" w:rsidRPr="008D52BF">
        <w:rPr>
          <w:rFonts w:eastAsia="Times New Roman"/>
          <w:bCs/>
          <w:sz w:val="24"/>
          <w:szCs w:val="24"/>
        </w:rPr>
        <w:t>¶</w:t>
      </w:r>
      <w:r w:rsidR="001B1779" w:rsidRPr="00981EFD">
        <w:rPr>
          <w:rFonts w:eastAsia="Times New Roman"/>
          <w:bCs/>
          <w:sz w:val="24"/>
          <w:szCs w:val="24"/>
        </w:rPr>
        <w:t xml:space="preserve"> </w:t>
      </w:r>
      <w:r w:rsidR="001B1779">
        <w:rPr>
          <w:rFonts w:eastAsia="Times New Roman"/>
          <w:bCs/>
          <w:sz w:val="24"/>
          <w:szCs w:val="24"/>
        </w:rPr>
        <w:t>18-43 (discussing foreseeability as an element of proximate cause in premises lia</w:t>
      </w:r>
      <w:r w:rsidR="00FB347A">
        <w:rPr>
          <w:rFonts w:eastAsia="Times New Roman"/>
          <w:bCs/>
          <w:sz w:val="24"/>
          <w:szCs w:val="24"/>
        </w:rPr>
        <w:t xml:space="preserve">bility case arising out of mass </w:t>
      </w:r>
      <w:r w:rsidR="001B1779">
        <w:rPr>
          <w:rFonts w:eastAsia="Times New Roman"/>
          <w:bCs/>
          <w:sz w:val="24"/>
          <w:szCs w:val="24"/>
        </w:rPr>
        <w:t>shooting)</w:t>
      </w:r>
      <w:r w:rsidR="00381584">
        <w:rPr>
          <w:rFonts w:eastAsia="Times New Roman"/>
          <w:bCs/>
          <w:sz w:val="24"/>
          <w:szCs w:val="24"/>
        </w:rPr>
        <w:t xml:space="preserve"> </w:t>
      </w:r>
      <w:r w:rsidR="00381584">
        <w:rPr>
          <w:rFonts w:eastAsia="Times New Roman"/>
          <w:sz w:val="24"/>
          <w:szCs w:val="24"/>
        </w:rPr>
        <w:t>(</w:t>
      </w:r>
      <w:r w:rsidR="00381584">
        <w:rPr>
          <w:rFonts w:eastAsia="Times New Roman"/>
          <w:i/>
          <w:iCs/>
          <w:sz w:val="24"/>
          <w:szCs w:val="24"/>
        </w:rPr>
        <w:t xml:space="preserve">cert. granted </w:t>
      </w:r>
      <w:r w:rsidR="00381584">
        <w:rPr>
          <w:rFonts w:eastAsia="Times New Roman"/>
          <w:iCs/>
          <w:sz w:val="24"/>
          <w:szCs w:val="24"/>
        </w:rPr>
        <w:t>Sept. 9, 2019)</w:t>
      </w:r>
      <w:r w:rsidR="001B1779">
        <w:rPr>
          <w:rFonts w:eastAsia="Times New Roman"/>
          <w:bCs/>
          <w:sz w:val="24"/>
          <w:szCs w:val="24"/>
        </w:rPr>
        <w:t>.</w:t>
      </w:r>
    </w:p>
    <w:p w14:paraId="3949EDCF"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4. For cases discussing foreseeability in the context of determining whether a duty of care exists, see the Introductory Note to Chapter 9 and the Source and Authority to Instruction 9:1, under the subtopic “Existence and Scope of a Legal Duty.” “A negligence claim requires two distinct and separate foreseeability analyses. First, foreseeability is an integral element of duty. Second, foreseeability is the touchstone of proximate cause. The former is a question of law for the court; the latter is a question of fact for the jury at trial.” </w:t>
      </w:r>
      <w:r w:rsidRPr="005065E6">
        <w:rPr>
          <w:rFonts w:eastAsia="Times New Roman"/>
          <w:b/>
          <w:bCs/>
          <w:sz w:val="24"/>
          <w:szCs w:val="24"/>
        </w:rPr>
        <w:t>P.W. v. Children’s Hosp. Colo.</w:t>
      </w:r>
      <w:r w:rsidRPr="005065E6">
        <w:rPr>
          <w:rFonts w:eastAsia="Times New Roman"/>
          <w:bCs/>
          <w:sz w:val="24"/>
          <w:szCs w:val="24"/>
        </w:rPr>
        <w:t xml:space="preserve">, 2016 CO 6, ¶ 24 n.7, 364 P.3d 891 (quoting </w:t>
      </w:r>
      <w:r w:rsidRPr="005065E6">
        <w:rPr>
          <w:rFonts w:eastAsia="Times New Roman"/>
          <w:b/>
          <w:bCs/>
          <w:sz w:val="24"/>
          <w:szCs w:val="24"/>
        </w:rPr>
        <w:t>Westin Operator, LLC v. Groh</w:t>
      </w:r>
      <w:r w:rsidRPr="005065E6">
        <w:rPr>
          <w:rFonts w:eastAsia="Times New Roman"/>
          <w:bCs/>
          <w:sz w:val="24"/>
          <w:szCs w:val="24"/>
        </w:rPr>
        <w:t>, 2015 C</w:t>
      </w:r>
      <w:r>
        <w:rPr>
          <w:rFonts w:eastAsia="Times New Roman"/>
          <w:bCs/>
          <w:sz w:val="24"/>
          <w:szCs w:val="24"/>
        </w:rPr>
        <w:t>O 25, ¶ 33 n.5, 347 P.3d 606).</w:t>
      </w:r>
    </w:p>
    <w:p w14:paraId="6435018D" w14:textId="77777777" w:rsidR="005065E6" w:rsidRDefault="005065E6">
      <w:pPr>
        <w:rPr>
          <w:rFonts w:eastAsia="Times New Roman"/>
          <w:bCs/>
          <w:sz w:val="24"/>
          <w:szCs w:val="24"/>
        </w:rPr>
      </w:pPr>
      <w:r>
        <w:rPr>
          <w:rFonts w:eastAsia="Times New Roman"/>
          <w:bCs/>
          <w:sz w:val="24"/>
          <w:szCs w:val="24"/>
        </w:rPr>
        <w:br w:type="page"/>
      </w:r>
    </w:p>
    <w:p w14:paraId="608978E1" w14:textId="77777777" w:rsidR="005065E6" w:rsidRDefault="005065E6" w:rsidP="005065E6">
      <w:pPr>
        <w:spacing w:after="240"/>
        <w:jc w:val="center"/>
        <w:rPr>
          <w:rFonts w:eastAsia="Times New Roman"/>
          <w:b/>
          <w:sz w:val="24"/>
          <w:szCs w:val="24"/>
        </w:rPr>
      </w:pPr>
      <w:r w:rsidRPr="005065E6">
        <w:rPr>
          <w:rFonts w:eastAsia="Times New Roman"/>
          <w:b/>
          <w:sz w:val="24"/>
          <w:szCs w:val="24"/>
        </w:rPr>
        <w:lastRenderedPageBreak/>
        <w:t>C. COMPARATIVE NEGLIGENCE AND COMPARATIVE FAULT</w:t>
      </w:r>
    </w:p>
    <w:p w14:paraId="14EF36D8" w14:textId="77777777" w:rsidR="005065E6" w:rsidRPr="0054263B" w:rsidRDefault="005065E6" w:rsidP="005065E6">
      <w:pPr>
        <w:keepNext/>
        <w:spacing w:after="240"/>
        <w:jc w:val="center"/>
        <w:rPr>
          <w:rFonts w:eastAsia="Times New Roman"/>
          <w:b/>
          <w:sz w:val="24"/>
          <w:szCs w:val="24"/>
        </w:rPr>
      </w:pPr>
      <w:bookmarkStart w:id="25" w:name="SpecialNoteC"/>
      <w:bookmarkEnd w:id="25"/>
      <w:r>
        <w:rPr>
          <w:rFonts w:eastAsia="Times New Roman"/>
          <w:b/>
          <w:sz w:val="24"/>
          <w:szCs w:val="24"/>
        </w:rPr>
        <w:t>Special Note</w:t>
      </w:r>
    </w:p>
    <w:p w14:paraId="3817AD8C"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The comparative negligence statute, section 13-21-111(2), C.R.S., could be construed to require that in all cases where the issue of plaintiff’s comparative negligence is submitted to the jury for its determination, “the jury shall return a special verdict which shall state: (a) The amount of damages which would have been recoverable if there had been no contributory negligence; and (b) The degree of negligence of each party, expressed as a percentage.” Under this interpretation, the statute would require that the jury determine the amount of plaintiff’s damages in cases where the plaintiff is denied any recovery because the jury determines either (1) that the defendant was not negligent or (2) that the plaintiff’s negligence is equal to or greater than that of the defendant. However, since subsection (2) of section 13-21-111 only applies to “. . . any action to which subsection (1) of this section applies . . .” and subsection (1) of the statute applies only to actions in which the plaintiff’s “negligence was not as great as the negligence of the person against whom recovery is sought. . . ,” the statute can also be construed to require a determination of damages only in those cases where the negligence of the plaintiff is “not as great as the negligence” of the defendant. In drafting the special verdict forms set forth in this Part C, the Committee has not endorsed either of these interpretations of the statute.</w:t>
      </w:r>
    </w:p>
    <w:p w14:paraId="7F69ACB9"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In cases where the comparative negligence or fault of the plaintiff is in issue, Instruction 9:26, 9:27, or 9:28 should be used in conjunction with the accompanying special verdict forms. The special verdict forms set forth in 9:26A and B, 9:27A and B, and 9:28A and B require the jury to determine the amount of plaintiff’s damages, regardless of whether the jury also determines that the negligence of the plaintiff was equal to or greater than that of the defendant or defendants. On the other hand, special verdict forms 9:26C and D, 9:27C and D, and 9:28C and D require the jury to determine the amount of plaintiff’s damages only when the jury has determined that the negligence of the plaintiff was less than the negligence of the defendant or defendants. Neither set of special verdict forms require the jury to determine the amount of plaintiff’s damages in cases where the jury has determined that there was no negligence on the part of the defendant or defendants.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b/>
          <w:sz w:val="24"/>
          <w:szCs w:val="24"/>
        </w:rPr>
        <w:t>Dickinson v. Lincoln Bldg. Corp.</w:t>
      </w:r>
      <w:r w:rsidRPr="005065E6">
        <w:rPr>
          <w:rFonts w:eastAsia="Times New Roman"/>
          <w:sz w:val="24"/>
          <w:szCs w:val="24"/>
        </w:rPr>
        <w:t>, 2015 COA 170M, ¶ 27</w:t>
      </w:r>
      <w:r w:rsidR="002E1D11">
        <w:rPr>
          <w:rFonts w:eastAsia="Times New Roman"/>
          <w:sz w:val="24"/>
          <w:szCs w:val="24"/>
        </w:rPr>
        <w:t>, 378 P.3d 797</w:t>
      </w:r>
      <w:r w:rsidRPr="005065E6">
        <w:rPr>
          <w:rFonts w:eastAsia="Times New Roman"/>
          <w:sz w:val="24"/>
          <w:szCs w:val="24"/>
        </w:rPr>
        <w:t xml:space="preserve"> (A plaintiff’s comparative negligence and another’s pro rata liability are substantive defenses that function only to decrease the defendant’s percentage of liability; comparative fault defenses are applicable only when there is first substantiated evidence that both parties are at fault.).</w:t>
      </w:r>
    </w:p>
    <w:p w14:paraId="14141F6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3. In cases involving multiple claims, Instruction 4:20 (model unified verdict form) may be used in lieu of or in conjunction with the special verdict forms in this chapter. However, under section 13-21-111.5(5), C.R.S., the trial court is required to “instruct the jury on the effect of its finding as to the degree or percentage of negligence or fault as between the plaintiff or plaintiffs and the defendant or defendants.” Therefore, regardless of which special verdict form is used, in negligence actions, where the comparative negligence or fault of the plaintiff is in issue, the jury must be instructed in accordance with either Instruction 9:26, 9:27, or 9:28.</w:t>
      </w:r>
    </w:p>
    <w:p w14:paraId="6304B4E9" w14:textId="77777777" w:rsidR="005065E6" w:rsidRDefault="005065E6">
      <w:pPr>
        <w:rPr>
          <w:rFonts w:eastAsia="Times New Roman"/>
          <w:bCs/>
          <w:sz w:val="24"/>
          <w:szCs w:val="24"/>
        </w:rPr>
      </w:pPr>
      <w:r>
        <w:rPr>
          <w:rFonts w:eastAsia="Times New Roman"/>
          <w:bCs/>
          <w:sz w:val="24"/>
          <w:szCs w:val="24"/>
        </w:rPr>
        <w:br w:type="page"/>
      </w:r>
    </w:p>
    <w:p w14:paraId="469D4555" w14:textId="77777777" w:rsidR="005065E6" w:rsidRPr="009E3DA4" w:rsidRDefault="005065E6" w:rsidP="005065E6">
      <w:pPr>
        <w:spacing w:after="240"/>
        <w:ind w:left="720" w:hanging="720"/>
        <w:rPr>
          <w:rFonts w:eastAsia="Times New Roman"/>
          <w:b/>
          <w:sz w:val="24"/>
          <w:szCs w:val="24"/>
        </w:rPr>
      </w:pPr>
      <w:bookmarkStart w:id="26" w:name="a9_22"/>
      <w:bookmarkEnd w:id="26"/>
      <w:r w:rsidRPr="005065E6">
        <w:rPr>
          <w:rFonts w:eastAsia="Times New Roman"/>
          <w:b/>
          <w:sz w:val="24"/>
          <w:szCs w:val="24"/>
        </w:rPr>
        <w:lastRenderedPageBreak/>
        <w:t xml:space="preserve">9:22 </w:t>
      </w:r>
      <w:r w:rsidRPr="005065E6">
        <w:rPr>
          <w:rFonts w:eastAsia="Times New Roman"/>
          <w:b/>
          <w:sz w:val="24"/>
          <w:szCs w:val="24"/>
        </w:rPr>
        <w:tab/>
        <w:t>ELEMENTS OF LIABILITY — COMPARATIVE NEGLIGENCE</w:t>
      </w:r>
    </w:p>
    <w:p w14:paraId="1A799CE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For the plaintiff, </w:t>
      </w:r>
      <w:r w:rsidRPr="005065E6">
        <w:rPr>
          <w:rFonts w:eastAsia="Times New Roman"/>
          <w:i/>
          <w:sz w:val="24"/>
          <w:szCs w:val="24"/>
        </w:rPr>
        <w:t>(name)</w:t>
      </w:r>
      <w:r w:rsidRPr="005065E6">
        <w:rPr>
          <w:rFonts w:eastAsia="Times New Roman"/>
          <w:b/>
          <w:sz w:val="24"/>
          <w:szCs w:val="24"/>
        </w:rPr>
        <w:t xml:space="preserve">, to recover from the defendant, </w:t>
      </w:r>
      <w:r w:rsidRPr="005065E6">
        <w:rPr>
          <w:rFonts w:eastAsia="Times New Roman"/>
          <w:i/>
          <w:sz w:val="24"/>
          <w:szCs w:val="24"/>
        </w:rPr>
        <w:t>(name)</w:t>
      </w:r>
      <w:r w:rsidRPr="005065E6">
        <w:rPr>
          <w:rFonts w:eastAsia="Times New Roman"/>
          <w:b/>
          <w:sz w:val="24"/>
          <w:szCs w:val="24"/>
        </w:rPr>
        <w:t>, on (his) (her) claim of negligence, you must find that all of the following have been proved by a preponderance of the evidence:</w:t>
      </w:r>
    </w:p>
    <w:p w14:paraId="46862223"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1. The plaintiff had (injuries) (damages) (losses);</w:t>
      </w:r>
    </w:p>
    <w:p w14:paraId="22D88417"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2. The defendant was negligent; and</w:t>
      </w:r>
    </w:p>
    <w:p w14:paraId="675024F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3. The defendant’s negligence was a cause of the plaintiff’s (injuries) (damages) (losses).</w:t>
      </w:r>
    </w:p>
    <w:p w14:paraId="08A81EC9"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If you find that any one or more of these </w:t>
      </w:r>
      <w:r w:rsidRPr="005065E6">
        <w:rPr>
          <w:rFonts w:eastAsia="Times New Roman"/>
          <w:i/>
          <w:sz w:val="24"/>
          <w:szCs w:val="24"/>
        </w:rPr>
        <w:t>(number)</w:t>
      </w:r>
      <w:r w:rsidRPr="005065E6">
        <w:rPr>
          <w:rFonts w:eastAsia="Times New Roman"/>
          <w:b/>
          <w:sz w:val="24"/>
          <w:szCs w:val="24"/>
        </w:rPr>
        <w:t xml:space="preserve"> statements has not been proved, then your foreperson shall complete only Special Verdict Form A, and all jurors shall sign it.</w:t>
      </w:r>
    </w:p>
    <w:p w14:paraId="34B1B7D2"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On the other hand, if you find that all of these </w:t>
      </w:r>
      <w:r w:rsidRPr="005065E6">
        <w:rPr>
          <w:rFonts w:eastAsia="Times New Roman"/>
          <w:i/>
          <w:sz w:val="24"/>
          <w:szCs w:val="24"/>
        </w:rPr>
        <w:t>(number)</w:t>
      </w:r>
      <w:r w:rsidRPr="005065E6">
        <w:rPr>
          <w:rFonts w:eastAsia="Times New Roman"/>
          <w:b/>
          <w:sz w:val="24"/>
          <w:szCs w:val="24"/>
        </w:rPr>
        <w:t xml:space="preserve"> statements have been proved, then your foreperson shall complete only Special Verdict Form B and he or she and all jurors shall sign it.</w:t>
      </w:r>
    </w:p>
    <w:p w14:paraId="20E5D2FA" w14:textId="77777777" w:rsidR="005065E6" w:rsidRDefault="005065E6" w:rsidP="005065E6">
      <w:pPr>
        <w:jc w:val="center"/>
        <w:rPr>
          <w:rFonts w:eastAsia="Times New Roman"/>
          <w:sz w:val="24"/>
          <w:szCs w:val="24"/>
        </w:rPr>
      </w:pPr>
    </w:p>
    <w:p w14:paraId="2BDB7293"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1CC73C4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Omit any numbered paragraphs, the facts of which are not in dispute.</w:t>
      </w:r>
    </w:p>
    <w:p w14:paraId="225F7510"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2. Whenever this instruction is given, Instruction 9:23 and Instruction 9:26, 9:27, or 9:28, together with the corresponding special verdict forms, must also be given.</w:t>
      </w:r>
    </w:p>
    <w:p w14:paraId="431AAC6C" w14:textId="598B2243"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3. The comparative negligence statute, § 13-21-111, C.R.S., applies “in any action by any person or his legal representative to recover damages for negligence resulting in death or in injury to person or property” in which the comparative negligence of the plaintiff has been raised as a defense and there is evidence that would support a finding that both the plaintiff and the defendant were negligent and that such negligence caused the plaintiff’s injuries. </w:t>
      </w:r>
      <w:r w:rsidRPr="005065E6">
        <w:rPr>
          <w:rFonts w:eastAsia="Times New Roman"/>
          <w:b/>
          <w:sz w:val="24"/>
          <w:szCs w:val="24"/>
        </w:rPr>
        <w:t>DeBose v. Bear Valley Church of Christ</w:t>
      </w:r>
      <w:r w:rsidRPr="005065E6">
        <w:rPr>
          <w:rFonts w:eastAsia="Times New Roman"/>
          <w:sz w:val="24"/>
          <w:szCs w:val="24"/>
        </w:rPr>
        <w:t>, 890 P.2d 214 (Colo.</w:t>
      </w:r>
      <w:r w:rsidR="00112FF9">
        <w:rPr>
          <w:rFonts w:eastAsia="Times New Roman"/>
          <w:sz w:val="24"/>
          <w:szCs w:val="24"/>
        </w:rPr>
        <w:t xml:space="preserve"> </w:t>
      </w:r>
      <w:r w:rsidRPr="005065E6">
        <w:rPr>
          <w:rFonts w:eastAsia="Times New Roman"/>
          <w:sz w:val="24"/>
          <w:szCs w:val="24"/>
        </w:rPr>
        <w:t xml:space="preserve">App. 1994), </w:t>
      </w:r>
      <w:r w:rsidRPr="005065E6">
        <w:rPr>
          <w:rFonts w:eastAsia="Times New Roman"/>
          <w:i/>
          <w:sz w:val="24"/>
          <w:szCs w:val="24"/>
        </w:rPr>
        <w:t>rev’d on other grounds</w:t>
      </w:r>
      <w:r w:rsidRPr="005065E6">
        <w:rPr>
          <w:rFonts w:eastAsia="Times New Roman"/>
          <w:sz w:val="24"/>
          <w:szCs w:val="24"/>
        </w:rPr>
        <w:t xml:space="preserve">, 928 P.2d 1315 (Colo. 1996);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Reid v. Berkowitz</w:t>
      </w:r>
      <w:r w:rsidRPr="005065E6">
        <w:rPr>
          <w:rFonts w:eastAsia="Times New Roman"/>
          <w:sz w:val="24"/>
          <w:szCs w:val="24"/>
        </w:rPr>
        <w:t xml:space="preserve">, 2013 COA 110M, ¶ 52, 315 P.3d 185. When such evidence is lacking, comparative negligence instructions should not be given. </w:t>
      </w:r>
      <w:r w:rsidRPr="005065E6">
        <w:rPr>
          <w:rFonts w:eastAsia="Times New Roman"/>
          <w:b/>
          <w:sz w:val="24"/>
          <w:szCs w:val="24"/>
        </w:rPr>
        <w:t>Kildahl v. Tagge</w:t>
      </w:r>
      <w:r w:rsidRPr="005065E6">
        <w:rPr>
          <w:rFonts w:eastAsia="Times New Roman"/>
          <w:sz w:val="24"/>
          <w:szCs w:val="24"/>
        </w:rPr>
        <w:t xml:space="preserve">, 942 P.2d 1283 (Colo. App. 1997); </w:t>
      </w:r>
      <w:r w:rsidRPr="005065E6">
        <w:rPr>
          <w:rFonts w:eastAsia="Times New Roman"/>
          <w:b/>
          <w:sz w:val="24"/>
          <w:szCs w:val="24"/>
        </w:rPr>
        <w:t>Morgan v. Bd. of Water Works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837 P.2d 300 (Colo. App. 1992); </w:t>
      </w:r>
      <w:r w:rsidRPr="005065E6">
        <w:rPr>
          <w:rFonts w:eastAsia="Times New Roman"/>
          <w:b/>
          <w:sz w:val="24"/>
          <w:szCs w:val="24"/>
        </w:rPr>
        <w:t>Powell v. City of Ouray</w:t>
      </w:r>
      <w:r w:rsidRPr="005065E6">
        <w:rPr>
          <w:rFonts w:eastAsia="Times New Roman"/>
          <w:sz w:val="24"/>
          <w:szCs w:val="24"/>
        </w:rPr>
        <w:t>, 32 Colo. App. 44, 507 P.2d 1101 (1973).</w:t>
      </w:r>
    </w:p>
    <w:p w14:paraId="71557B4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4. In a comparative negligence case, if the court directs a finding or verdict of negligence against one or more of the parties, the court must also instruct the jury as to the conduct on which the finding is based as well as any other conduct the jury could reasonably find constituted negligence, in order to permit the jury to make a proper comparison of such negligence with any negligence of other parties the jury may find. </w:t>
      </w:r>
      <w:r w:rsidRPr="005065E6">
        <w:rPr>
          <w:rFonts w:eastAsia="Times New Roman"/>
          <w:b/>
          <w:sz w:val="24"/>
          <w:szCs w:val="24"/>
        </w:rPr>
        <w:t>Ricklin v. Smith</w:t>
      </w:r>
      <w:r w:rsidRPr="005065E6">
        <w:rPr>
          <w:rFonts w:eastAsia="Times New Roman"/>
          <w:sz w:val="24"/>
          <w:szCs w:val="24"/>
        </w:rPr>
        <w:t xml:space="preserve">, 670 P.2d 1239 (Colo. App. 1983). Also in such cases, the applicable “mechanics for submitting” instruction and special verdict forms, </w:t>
      </w:r>
      <w:r w:rsidRPr="005065E6">
        <w:rPr>
          <w:rFonts w:eastAsia="Times New Roman"/>
          <w:i/>
          <w:sz w:val="24"/>
          <w:szCs w:val="24"/>
        </w:rPr>
        <w:t>see</w:t>
      </w:r>
      <w:r w:rsidRPr="005065E6">
        <w:rPr>
          <w:rFonts w:eastAsia="Times New Roman"/>
          <w:sz w:val="24"/>
          <w:szCs w:val="24"/>
        </w:rPr>
        <w:t xml:space="preserve"> Instructions 9:26A-9:28D, must be appropriately modified.</w:t>
      </w:r>
    </w:p>
    <w:p w14:paraId="77666C83"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lastRenderedPageBreak/>
        <w:t>5. To the extent one or more forms of contributory negligence may be a partial defense to a product liability claim based on negligence, the “comparative fault” statute applies rather than the comparative negligence statute. § 13-21-406(4), C.R.S.</w:t>
      </w:r>
    </w:p>
    <w:p w14:paraId="2F5DE03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6. Comparative negligence is a defense to willful and wanton negligence. </w:t>
      </w:r>
      <w:r w:rsidRPr="005065E6">
        <w:rPr>
          <w:rFonts w:eastAsia="Times New Roman"/>
          <w:b/>
          <w:sz w:val="24"/>
          <w:szCs w:val="24"/>
        </w:rPr>
        <w:t>White v. Hansen</w:t>
      </w:r>
      <w:r w:rsidRPr="005065E6">
        <w:rPr>
          <w:rFonts w:eastAsia="Times New Roman"/>
          <w:sz w:val="24"/>
          <w:szCs w:val="24"/>
        </w:rPr>
        <w:t xml:space="preserve">, 837 P.2d 1229 (Colo. 1992); </w:t>
      </w:r>
      <w:r w:rsidRPr="005065E6">
        <w:rPr>
          <w:rFonts w:eastAsia="Times New Roman"/>
          <w:b/>
          <w:sz w:val="24"/>
          <w:szCs w:val="24"/>
        </w:rPr>
        <w:t>G.E.C. Minerals, Inc. v. Harrison W. Corp.</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781 P.2d 115 (Colo. App. 1989). It is not, however, a defense to an intentional tort. </w:t>
      </w:r>
      <w:r w:rsidRPr="005065E6">
        <w:rPr>
          <w:rFonts w:eastAsia="Times New Roman"/>
          <w:b/>
          <w:sz w:val="24"/>
          <w:szCs w:val="24"/>
        </w:rPr>
        <w:t>Carman v. Heber</w:t>
      </w:r>
      <w:r w:rsidRPr="005065E6">
        <w:rPr>
          <w:rFonts w:eastAsia="Times New Roman"/>
          <w:sz w:val="24"/>
          <w:szCs w:val="24"/>
        </w:rPr>
        <w:t xml:space="preserve">, 43 Colo. App. 5, 601 P.2d 646 (1979);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Finnigan v. Sandoval</w:t>
      </w:r>
      <w:r w:rsidRPr="005065E6">
        <w:rPr>
          <w:rFonts w:eastAsia="Times New Roman"/>
          <w:sz w:val="24"/>
          <w:szCs w:val="24"/>
        </w:rPr>
        <w:t>, 43 Colo. App. 219, 600 P.2d 123 (1979).</w:t>
      </w:r>
    </w:p>
    <w:p w14:paraId="3F6E825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7. Generally, when there is evidence of negligence on the part of both the plaintiff and the defendant, the jury is responsible for deciding their comparative negligence. </w:t>
      </w:r>
      <w:r w:rsidRPr="005065E6">
        <w:rPr>
          <w:rFonts w:eastAsia="Times New Roman"/>
          <w:b/>
          <w:sz w:val="24"/>
          <w:szCs w:val="24"/>
        </w:rPr>
        <w:t>Gordon v. Benson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925 P.2d 775 (Colo. 1996) (trial court must instruct on comparative negligence when evidence would support finding that both parties were at fault); </w:t>
      </w:r>
      <w:r w:rsidRPr="005065E6">
        <w:rPr>
          <w:rFonts w:eastAsia="Times New Roman"/>
          <w:b/>
          <w:sz w:val="24"/>
          <w:szCs w:val="24"/>
        </w:rPr>
        <w:t>Holmes v. Gamble</w:t>
      </w:r>
      <w:r w:rsidRPr="005065E6">
        <w:rPr>
          <w:rFonts w:eastAsia="Times New Roman"/>
          <w:sz w:val="24"/>
          <w:szCs w:val="24"/>
        </w:rPr>
        <w:t xml:space="preserve">, 655 P.2d 405 (Colo. 1982); </w:t>
      </w:r>
      <w:r w:rsidRPr="005065E6">
        <w:rPr>
          <w:rFonts w:eastAsia="Times New Roman"/>
          <w:b/>
          <w:sz w:val="24"/>
          <w:szCs w:val="24"/>
        </w:rPr>
        <w:t>Reid</w:t>
      </w:r>
      <w:r w:rsidRPr="005065E6">
        <w:rPr>
          <w:rFonts w:eastAsia="Times New Roman"/>
          <w:sz w:val="24"/>
          <w:szCs w:val="24"/>
        </w:rPr>
        <w:t xml:space="preserve">, 2013 COA 110M, ¶ 57 (comparative negligence instruction required where plaintiff, a veteran construction worker, worked on a dimly lit construction site, fell over debris, broke through stair railing, and landed three stories below, stating that “[a] plaintiff must be cognizant of the physical conditions and surroundings present when he or she acts or fails to act”); </w:t>
      </w:r>
      <w:r w:rsidRPr="005065E6">
        <w:rPr>
          <w:rFonts w:eastAsia="Times New Roman"/>
          <w:b/>
          <w:sz w:val="24"/>
          <w:szCs w:val="24"/>
        </w:rPr>
        <w:t>Wark v. McClellan</w:t>
      </w:r>
      <w:r w:rsidRPr="005065E6">
        <w:rPr>
          <w:rFonts w:eastAsia="Times New Roman"/>
          <w:sz w:val="24"/>
          <w:szCs w:val="24"/>
        </w:rPr>
        <w:t xml:space="preserve">, 68 P.3d 574 (Colo. App. 2003) (comparative negligence instruction proper where plaintiffs and their children were injured in accident while passengers in an automobile driven by someone that plaintiffs knew or should have known was intoxicated, however, comparative negligence instruction based on theory that plaintiffs should have interfered with driver was not warranted); </w:t>
      </w:r>
      <w:r w:rsidRPr="005065E6">
        <w:rPr>
          <w:rFonts w:eastAsia="Times New Roman"/>
          <w:b/>
          <w:sz w:val="24"/>
          <w:szCs w:val="24"/>
        </w:rPr>
        <w:t>Carlson v. Ferris</w:t>
      </w:r>
      <w:r w:rsidRPr="005065E6">
        <w:rPr>
          <w:rFonts w:eastAsia="Times New Roman"/>
          <w:sz w:val="24"/>
          <w:szCs w:val="24"/>
        </w:rPr>
        <w:t xml:space="preserve">, 58 P.3d 1055 (Colo. App. 2002) (failure to fully use safety belt system not a proper consideration in determining comparative negligence), </w:t>
      </w:r>
      <w:r w:rsidRPr="005065E6">
        <w:rPr>
          <w:rFonts w:eastAsia="Times New Roman"/>
          <w:i/>
          <w:sz w:val="24"/>
          <w:szCs w:val="24"/>
        </w:rPr>
        <w:t>aff’d on other grounds</w:t>
      </w:r>
      <w:r w:rsidRPr="005065E6">
        <w:rPr>
          <w:rFonts w:eastAsia="Times New Roman"/>
          <w:sz w:val="24"/>
          <w:szCs w:val="24"/>
        </w:rPr>
        <w:t xml:space="preserve">, 85 P.3d 504 (Colo. 2003), and </w:t>
      </w:r>
      <w:r w:rsidRPr="005065E6">
        <w:rPr>
          <w:rFonts w:eastAsia="Times New Roman"/>
          <w:i/>
          <w:sz w:val="24"/>
          <w:szCs w:val="24"/>
        </w:rPr>
        <w:t>overruled on other grounds by</w:t>
      </w:r>
      <w:r w:rsidRPr="005065E6">
        <w:rPr>
          <w:rFonts w:eastAsia="Times New Roman"/>
          <w:sz w:val="24"/>
          <w:szCs w:val="24"/>
        </w:rPr>
        <w:t xml:space="preserve"> </w:t>
      </w:r>
      <w:r w:rsidRPr="005065E6">
        <w:rPr>
          <w:rFonts w:eastAsia="Times New Roman"/>
          <w:b/>
          <w:sz w:val="24"/>
          <w:szCs w:val="24"/>
        </w:rPr>
        <w:t>Trattler v. Citron</w:t>
      </w:r>
      <w:r w:rsidRPr="005065E6">
        <w:rPr>
          <w:rFonts w:eastAsia="Times New Roman"/>
          <w:sz w:val="24"/>
          <w:szCs w:val="24"/>
        </w:rPr>
        <w:t xml:space="preserve">, 182 P.3d 674 (Colo. 2008); </w:t>
      </w:r>
      <w:r w:rsidRPr="005065E6">
        <w:rPr>
          <w:rFonts w:eastAsia="Times New Roman"/>
          <w:b/>
          <w:sz w:val="24"/>
          <w:szCs w:val="24"/>
        </w:rPr>
        <w:t>Sheron v. Lutheran Med. Ctr.</w:t>
      </w:r>
      <w:r w:rsidRPr="005065E6">
        <w:rPr>
          <w:rFonts w:eastAsia="Times New Roman"/>
          <w:sz w:val="24"/>
          <w:szCs w:val="24"/>
        </w:rPr>
        <w:t xml:space="preserve">, 18 P.3d 796 (Colo. App. 2000) (patient who committed suicide after being discharged from hospital could be found comparatively negligent in wrongful death action against health care providers); </w:t>
      </w:r>
      <w:r w:rsidRPr="005065E6">
        <w:rPr>
          <w:rFonts w:eastAsia="Times New Roman"/>
          <w:b/>
          <w:sz w:val="24"/>
          <w:szCs w:val="24"/>
        </w:rPr>
        <w:t>Bennett v. Greeley Gas Co.</w:t>
      </w:r>
      <w:r w:rsidRPr="005065E6">
        <w:rPr>
          <w:rFonts w:eastAsia="Times New Roman"/>
          <w:sz w:val="24"/>
          <w:szCs w:val="24"/>
        </w:rPr>
        <w:t xml:space="preserve">, 969 P.2d 754 (Colo. App. 1998) (trial court erred in not submitting issue of comparative negligence to jury); </w:t>
      </w:r>
      <w:r w:rsidRPr="005065E6">
        <w:rPr>
          <w:rFonts w:eastAsia="Times New Roman"/>
          <w:b/>
          <w:sz w:val="24"/>
          <w:szCs w:val="24"/>
        </w:rPr>
        <w:t>Voight v. Colo. Mtn. Club</w:t>
      </w:r>
      <w:r w:rsidRPr="005065E6">
        <w:rPr>
          <w:rFonts w:eastAsia="Times New Roman"/>
          <w:sz w:val="24"/>
          <w:szCs w:val="24"/>
        </w:rPr>
        <w:t xml:space="preserve">, 819 P.2d 1088 (Colo. App. 1991) (trial court erred in setting aside jury verdict and determining as a matter of law that plaintiff was as negligent as defendant). </w:t>
      </w:r>
      <w:r w:rsidRPr="005065E6">
        <w:rPr>
          <w:rFonts w:eastAsia="Times New Roman"/>
          <w:i/>
          <w:sz w:val="24"/>
          <w:szCs w:val="24"/>
        </w:rPr>
        <w:t xml:space="preserve">But see </w:t>
      </w:r>
      <w:r w:rsidRPr="005065E6">
        <w:rPr>
          <w:rFonts w:eastAsia="Times New Roman"/>
          <w:b/>
          <w:sz w:val="24"/>
          <w:szCs w:val="24"/>
        </w:rPr>
        <w:t>Huntoon v. TCI Cablevision of Colo., Inc.</w:t>
      </w:r>
      <w:r w:rsidRPr="005065E6">
        <w:rPr>
          <w:rFonts w:eastAsia="Times New Roman"/>
          <w:sz w:val="24"/>
          <w:szCs w:val="24"/>
        </w:rPr>
        <w:t>, 969 P.2d 681 (Colo. 1998) (trial court acted properly in refusing to submit issue of comparative negligence to jury).</w:t>
      </w:r>
    </w:p>
    <w:p w14:paraId="0D8BACA3" w14:textId="4C1FB9C1"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8. “[A] plaintiff’s comparative fault should not be reduced based on the number of defendants liable for damages.” </w:t>
      </w:r>
      <w:r w:rsidRPr="005065E6">
        <w:rPr>
          <w:rFonts w:eastAsia="Times New Roman"/>
          <w:b/>
          <w:sz w:val="24"/>
          <w:szCs w:val="24"/>
        </w:rPr>
        <w:t>Ferrer v. Okbamicael</w:t>
      </w:r>
      <w:r w:rsidRPr="005065E6">
        <w:rPr>
          <w:rFonts w:eastAsia="Times New Roman"/>
          <w:sz w:val="24"/>
          <w:szCs w:val="24"/>
        </w:rPr>
        <w:t>, 2017 CO 14M, ¶ 38, 390 P.3d 836, 846-47. For example, “</w:t>
      </w:r>
      <w:r w:rsidR="0024597C">
        <w:rPr>
          <w:rFonts w:eastAsia="Times New Roman"/>
          <w:sz w:val="24"/>
          <w:szCs w:val="24"/>
        </w:rPr>
        <w:t>[</w:t>
      </w:r>
      <w:r w:rsidRPr="005065E6">
        <w:rPr>
          <w:rFonts w:eastAsia="Times New Roman"/>
          <w:sz w:val="24"/>
          <w:szCs w:val="24"/>
        </w:rPr>
        <w:t>i</w:t>
      </w:r>
      <w:r w:rsidR="0024597C">
        <w:rPr>
          <w:rFonts w:eastAsia="Times New Roman"/>
          <w:sz w:val="24"/>
          <w:szCs w:val="24"/>
        </w:rPr>
        <w:t>]</w:t>
      </w:r>
      <w:r w:rsidRPr="005065E6">
        <w:rPr>
          <w:rFonts w:eastAsia="Times New Roman"/>
          <w:sz w:val="24"/>
          <w:szCs w:val="24"/>
        </w:rPr>
        <w:t>n a motor vehicle accident, comparative fault as it applies to the plaintiff should end with the parties to the accident. A plaintiff’s comparative negligence remains the same, regardless of whether the remaining fault can be allocated in part to the employer based on negligent entrustment.</w:t>
      </w:r>
      <w:r w:rsidR="0024597C">
        <w:rPr>
          <w:rFonts w:eastAsia="Times New Roman"/>
          <w:sz w:val="24"/>
          <w:szCs w:val="24"/>
        </w:rPr>
        <w:t>”</w:t>
      </w:r>
      <w:r w:rsidRPr="005065E6">
        <w:rPr>
          <w:rFonts w:eastAsia="Times New Roman"/>
          <w:sz w:val="24"/>
          <w:szCs w:val="24"/>
        </w:rPr>
        <w:t xml:space="preserve"> </w:t>
      </w:r>
      <w:r w:rsidRPr="005065E6">
        <w:rPr>
          <w:rFonts w:eastAsia="Times New Roman"/>
          <w:i/>
          <w:sz w:val="24"/>
          <w:szCs w:val="24"/>
        </w:rPr>
        <w:t>Id</w:t>
      </w:r>
      <w:r w:rsidRPr="005065E6">
        <w:rPr>
          <w:rFonts w:eastAsia="Times New Roman"/>
          <w:sz w:val="24"/>
          <w:szCs w:val="24"/>
        </w:rPr>
        <w:t xml:space="preserve">. </w:t>
      </w:r>
      <w:r w:rsidR="0024597C">
        <w:rPr>
          <w:rFonts w:eastAsia="Times New Roman"/>
          <w:sz w:val="24"/>
          <w:szCs w:val="24"/>
        </w:rPr>
        <w:t xml:space="preserve">(alteration in original) </w:t>
      </w:r>
      <w:r w:rsidRPr="005065E6">
        <w:rPr>
          <w:rFonts w:eastAsia="Times New Roman"/>
          <w:sz w:val="24"/>
          <w:szCs w:val="24"/>
        </w:rPr>
        <w:t>(</w:t>
      </w:r>
      <w:r w:rsidR="0024597C">
        <w:rPr>
          <w:rFonts w:eastAsia="Times New Roman"/>
          <w:sz w:val="24"/>
          <w:szCs w:val="24"/>
        </w:rPr>
        <w:t xml:space="preserve">quoting </w:t>
      </w:r>
      <w:r w:rsidR="0024597C" w:rsidRPr="0024597C">
        <w:rPr>
          <w:rFonts w:eastAsia="Times New Roman"/>
          <w:b/>
          <w:sz w:val="24"/>
          <w:szCs w:val="24"/>
        </w:rPr>
        <w:t>Gant v. L.U. Transp</w:t>
      </w:r>
      <w:r w:rsidR="0024597C">
        <w:rPr>
          <w:rFonts w:eastAsia="Times New Roman"/>
          <w:b/>
          <w:sz w:val="24"/>
          <w:szCs w:val="24"/>
        </w:rPr>
        <w:t>.</w:t>
      </w:r>
      <w:r w:rsidR="0024597C" w:rsidRPr="0024597C">
        <w:rPr>
          <w:rFonts w:eastAsia="Times New Roman"/>
          <w:b/>
          <w:sz w:val="24"/>
          <w:szCs w:val="24"/>
        </w:rPr>
        <w:t>, Inc.</w:t>
      </w:r>
      <w:r w:rsidR="0024597C">
        <w:rPr>
          <w:rFonts w:eastAsia="Times New Roman"/>
          <w:sz w:val="24"/>
          <w:szCs w:val="24"/>
        </w:rPr>
        <w:t>, 770 N.E.2d 1155, 1159 (Ill. App. Ct. 2002)</w:t>
      </w:r>
      <w:r w:rsidRPr="005065E6">
        <w:rPr>
          <w:rFonts w:eastAsia="Times New Roman"/>
          <w:sz w:val="24"/>
          <w:szCs w:val="24"/>
        </w:rPr>
        <w:t xml:space="preserve">). “Thus, if a plaintiff is fifty percent at fault in an accident, her comparative negligence should not be diminished simply because the portion of fault for which she is not responsible may be attributed to two defendants instead of one.” </w:t>
      </w:r>
      <w:r w:rsidRPr="005065E6">
        <w:rPr>
          <w:rFonts w:eastAsia="Times New Roman"/>
          <w:i/>
          <w:sz w:val="24"/>
          <w:szCs w:val="24"/>
        </w:rPr>
        <w:t>Id.</w:t>
      </w:r>
    </w:p>
    <w:p w14:paraId="426A98F2" w14:textId="52C57085" w:rsidR="005065E6" w:rsidRPr="005065E6" w:rsidRDefault="00343F53" w:rsidP="005065E6">
      <w:pPr>
        <w:spacing w:after="240"/>
        <w:ind w:firstLine="720"/>
        <w:rPr>
          <w:rFonts w:eastAsia="Times New Roman"/>
          <w:sz w:val="24"/>
          <w:szCs w:val="24"/>
        </w:rPr>
      </w:pPr>
      <w:r>
        <w:rPr>
          <w:rFonts w:eastAsia="Times New Roman"/>
          <w:sz w:val="24"/>
          <w:szCs w:val="24"/>
        </w:rPr>
        <w:t xml:space="preserve">9. </w:t>
      </w:r>
      <w:r w:rsidR="005065E6" w:rsidRPr="005065E6">
        <w:rPr>
          <w:rFonts w:eastAsia="Times New Roman"/>
          <w:sz w:val="24"/>
          <w:szCs w:val="24"/>
        </w:rPr>
        <w:t xml:space="preserve">An employer who acknowledges vicarious liability for an employee’s negligence is strictly liable for the employee’s negligence “regardless of the ‘percentage of fault’ as between </w:t>
      </w:r>
      <w:r w:rsidR="005065E6" w:rsidRPr="005065E6">
        <w:rPr>
          <w:rFonts w:eastAsia="Times New Roman"/>
          <w:sz w:val="24"/>
          <w:szCs w:val="24"/>
        </w:rPr>
        <w:lastRenderedPageBreak/>
        <w:t xml:space="preserve">the party whose negligence directly caused the injury and the one whose liability for negligence is derivative.” </w:t>
      </w:r>
      <w:r w:rsidR="005065E6" w:rsidRPr="005065E6">
        <w:rPr>
          <w:rFonts w:eastAsia="Times New Roman"/>
          <w:b/>
          <w:sz w:val="24"/>
          <w:szCs w:val="24"/>
        </w:rPr>
        <w:t>Ferrer</w:t>
      </w:r>
      <w:r w:rsidR="005065E6" w:rsidRPr="005065E6">
        <w:rPr>
          <w:rFonts w:eastAsia="Times New Roman"/>
          <w:sz w:val="24"/>
          <w:szCs w:val="24"/>
        </w:rPr>
        <w:t xml:space="preserve">, 2017 CO 14M, ¶ 37, 390 P.3d at 846 (citation omitted). The employer is “responsible for </w:t>
      </w:r>
      <w:r w:rsidR="005065E6" w:rsidRPr="005065E6">
        <w:rPr>
          <w:rFonts w:eastAsia="Times New Roman"/>
          <w:i/>
          <w:sz w:val="24"/>
          <w:szCs w:val="24"/>
        </w:rPr>
        <w:t>all</w:t>
      </w:r>
      <w:r w:rsidR="005065E6" w:rsidRPr="005065E6">
        <w:rPr>
          <w:rFonts w:eastAsia="Times New Roman"/>
          <w:sz w:val="24"/>
          <w:szCs w:val="24"/>
        </w:rPr>
        <w:t xml:space="preserve"> the fault attributed to the negligent employee, but </w:t>
      </w:r>
      <w:r w:rsidR="005065E6" w:rsidRPr="005065E6">
        <w:rPr>
          <w:rFonts w:eastAsia="Times New Roman"/>
          <w:i/>
          <w:sz w:val="24"/>
          <w:szCs w:val="24"/>
        </w:rPr>
        <w:t>only</w:t>
      </w:r>
      <w:r w:rsidR="005065E6" w:rsidRPr="005065E6">
        <w:rPr>
          <w:rFonts w:eastAsia="Times New Roman"/>
          <w:sz w:val="24"/>
          <w:szCs w:val="24"/>
        </w:rPr>
        <w:t xml:space="preserve"> the fault attributed to the negligent employee as compared to the other parties to the accident.” </w:t>
      </w:r>
      <w:r w:rsidR="005065E6" w:rsidRPr="005065E6">
        <w:rPr>
          <w:rFonts w:eastAsia="Times New Roman"/>
          <w:i/>
          <w:sz w:val="24"/>
          <w:szCs w:val="24"/>
        </w:rPr>
        <w:t>Id.</w:t>
      </w:r>
      <w:r w:rsidR="005065E6" w:rsidRPr="005065E6">
        <w:rPr>
          <w:rFonts w:eastAsia="Times New Roman"/>
          <w:sz w:val="24"/>
          <w:szCs w:val="24"/>
        </w:rPr>
        <w:t xml:space="preserve"> (citation</w:t>
      </w:r>
      <w:r w:rsidR="00981B2C">
        <w:rPr>
          <w:rFonts w:eastAsia="Times New Roman"/>
          <w:sz w:val="24"/>
          <w:szCs w:val="24"/>
        </w:rPr>
        <w:t xml:space="preserve"> omitted)</w:t>
      </w:r>
      <w:r w:rsidR="00227D3A">
        <w:rPr>
          <w:rFonts w:eastAsia="Times New Roman"/>
          <w:sz w:val="24"/>
          <w:szCs w:val="24"/>
        </w:rPr>
        <w:t>.</w:t>
      </w:r>
    </w:p>
    <w:p w14:paraId="0E7A4A7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10. If a hospital admits a person into its custody who the hospital knows is actively suicidal for the purpose of preventing that person’s self-destructive behavior, the hospital assumes a duty to use reasonable care in preventing the patient from engaging in self-harm, and the patient is not comparatively negligent for engaging in self-harm. </w:t>
      </w:r>
      <w:r w:rsidRPr="005065E6">
        <w:rPr>
          <w:rFonts w:eastAsia="Times New Roman"/>
          <w:b/>
          <w:sz w:val="24"/>
          <w:szCs w:val="24"/>
        </w:rPr>
        <w:t>P.W. v. Children’s Hosp. Colo.</w:t>
      </w:r>
      <w:r w:rsidRPr="005065E6">
        <w:rPr>
          <w:rFonts w:eastAsia="Times New Roman"/>
          <w:sz w:val="24"/>
          <w:szCs w:val="24"/>
        </w:rPr>
        <w:t xml:space="preserve">, 2016 CO 6, ¶ 25, 364 P.3d 891. A defendant may not raise a defense of comparative negligence as a matter of law if, under the circumstances, the plaintiff “did all he was legally required to do,” and had no duty to do more. </w:t>
      </w:r>
      <w:r w:rsidRPr="005065E6">
        <w:rPr>
          <w:rFonts w:eastAsia="Times New Roman"/>
          <w:b/>
          <w:sz w:val="24"/>
          <w:szCs w:val="24"/>
        </w:rPr>
        <w:t>Ringsby Truck Lines, Inc. v. Bradfield</w:t>
      </w:r>
      <w:r w:rsidRPr="005065E6">
        <w:rPr>
          <w:rFonts w:eastAsia="Times New Roman"/>
          <w:sz w:val="24"/>
          <w:szCs w:val="24"/>
        </w:rPr>
        <w:t>, 193 Colo. 151, 154, 563 P.2d 939, 942 (1977).</w:t>
      </w:r>
    </w:p>
    <w:p w14:paraId="0486925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11. Punitive damages are not subject to reduction on the basis of assigned fault under comparative negligence and pro rata liability statutes. </w:t>
      </w:r>
      <w:r w:rsidRPr="005065E6">
        <w:rPr>
          <w:rFonts w:eastAsia="Times New Roman"/>
          <w:b/>
          <w:sz w:val="24"/>
          <w:szCs w:val="24"/>
        </w:rPr>
        <w:t>Lira v. Davis</w:t>
      </w:r>
      <w:r w:rsidRPr="005065E6">
        <w:rPr>
          <w:rFonts w:eastAsia="Times New Roman"/>
          <w:sz w:val="24"/>
          <w:szCs w:val="24"/>
        </w:rPr>
        <w:t>, 832 P.2d 240 (Colo. 1992).</w:t>
      </w:r>
    </w:p>
    <w:p w14:paraId="39A7E8EB" w14:textId="0E56013C" w:rsidR="005065E6" w:rsidRPr="005065E6" w:rsidRDefault="005065E6" w:rsidP="005065E6">
      <w:pPr>
        <w:spacing w:after="240"/>
        <w:ind w:firstLine="720"/>
        <w:rPr>
          <w:rFonts w:eastAsia="Times New Roman"/>
          <w:sz w:val="24"/>
          <w:szCs w:val="24"/>
        </w:rPr>
      </w:pPr>
      <w:r w:rsidRPr="005065E6">
        <w:rPr>
          <w:rFonts w:eastAsia="Times New Roman"/>
          <w:sz w:val="24"/>
          <w:szCs w:val="24"/>
        </w:rPr>
        <w:t>12. In cases under the Federal Employers Liability Act, 45 U.S.C.A. §§ 51 to -60</w:t>
      </w:r>
      <w:r w:rsidR="00A833C4">
        <w:rPr>
          <w:rFonts w:eastAsia="Times New Roman"/>
          <w:sz w:val="24"/>
          <w:szCs w:val="24"/>
        </w:rPr>
        <w:t xml:space="preserve"> (2018)</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a special verdict dealing with comparative negligence is not required by statute or necessity, though a special verdict or interrogatories accompanying a general verdict may be used. If used, the forms should be specifically prepared to conform to the applicable federal law. </w:t>
      </w:r>
      <w:r w:rsidRPr="005065E6">
        <w:rPr>
          <w:rFonts w:eastAsia="Times New Roman"/>
          <w:b/>
          <w:sz w:val="24"/>
          <w:szCs w:val="24"/>
        </w:rPr>
        <w:t>Felder v. Union Pac. R.R.</w:t>
      </w:r>
      <w:r w:rsidRPr="005065E6">
        <w:rPr>
          <w:rFonts w:eastAsia="Times New Roman"/>
          <w:sz w:val="24"/>
          <w:szCs w:val="24"/>
        </w:rPr>
        <w:t>, 660 P.2d 911 (Colo. App. 1982).</w:t>
      </w:r>
    </w:p>
    <w:p w14:paraId="799F61C0" w14:textId="77777777" w:rsidR="005065E6" w:rsidRPr="005065E6" w:rsidRDefault="00227D3A" w:rsidP="005065E6">
      <w:pPr>
        <w:spacing w:after="240"/>
        <w:ind w:firstLine="720"/>
        <w:rPr>
          <w:rFonts w:eastAsia="Times New Roman"/>
          <w:sz w:val="24"/>
          <w:szCs w:val="24"/>
        </w:rPr>
      </w:pPr>
      <w:r>
        <w:rPr>
          <w:rFonts w:eastAsia="Times New Roman"/>
          <w:sz w:val="24"/>
          <w:szCs w:val="24"/>
        </w:rPr>
        <w:t>1</w:t>
      </w:r>
      <w:r w:rsidR="005065E6" w:rsidRPr="005065E6">
        <w:rPr>
          <w:rFonts w:eastAsia="Times New Roman"/>
          <w:sz w:val="24"/>
          <w:szCs w:val="24"/>
        </w:rPr>
        <w:t xml:space="preserve">3. Notwithstanding the provisions of the comparative negligence statute, § 13-21-111, and the proportionate liability statute, § 13-21-111.5, C.R.S., the assumption of inherent risks by a spectator of a professional baseball game may be a complete defense against liability in an action for injuries by a spectator against an owner of a professional baseball team or stadium. </w:t>
      </w:r>
      <w:r w:rsidR="005065E6" w:rsidRPr="005065E6">
        <w:rPr>
          <w:rFonts w:eastAsia="Times New Roman"/>
          <w:i/>
          <w:sz w:val="24"/>
          <w:szCs w:val="24"/>
        </w:rPr>
        <w:t>See</w:t>
      </w:r>
      <w:r w:rsidR="005065E6" w:rsidRPr="005065E6">
        <w:rPr>
          <w:rFonts w:eastAsia="Times New Roman"/>
          <w:sz w:val="24"/>
          <w:szCs w:val="24"/>
        </w:rPr>
        <w:t xml:space="preserve"> § 13-21-120, C.R.S. Whenever, in light of the evidence in the case, this complete defense might be applicable, an instruction based on the provisions of section 13-21-120 should be given if supported by sufficient evidence. And, if the defense of comparative negligence might be applicable to a claim of negligence not covered by this complete defense, then the instruction covering this defense and the instructions covering the defense of comparative negligence must be worded so as to avoid confusing the jury.</w:t>
      </w:r>
    </w:p>
    <w:p w14:paraId="7275EF8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14. To be effective as a defense, any negligence on the plaintiff’s part must have been a proximate cause of his injuries or losses. </w:t>
      </w:r>
      <w:r w:rsidRPr="005065E6">
        <w:rPr>
          <w:rFonts w:eastAsia="Times New Roman"/>
          <w:b/>
          <w:sz w:val="24"/>
          <w:szCs w:val="24"/>
        </w:rPr>
        <w:t>Roberts v. Fisher</w:t>
      </w:r>
      <w:r w:rsidRPr="005065E6">
        <w:rPr>
          <w:rFonts w:eastAsia="Times New Roman"/>
          <w:sz w:val="24"/>
          <w:szCs w:val="24"/>
        </w:rPr>
        <w:t xml:space="preserve">, 169 Colo. 288, 455 P.2d 871 (1969); </w:t>
      </w:r>
      <w:r w:rsidRPr="005065E6">
        <w:rPr>
          <w:rFonts w:eastAsia="Times New Roman"/>
          <w:b/>
          <w:sz w:val="24"/>
          <w:szCs w:val="24"/>
        </w:rPr>
        <w:t>Matt Skorey Packard Co. v. Canino</w:t>
      </w:r>
      <w:r w:rsidRPr="005065E6">
        <w:rPr>
          <w:rFonts w:eastAsia="Times New Roman"/>
          <w:sz w:val="24"/>
          <w:szCs w:val="24"/>
        </w:rPr>
        <w:t>, 142 Colo. 411, 350 P.2d 1069 (1960).</w:t>
      </w:r>
    </w:p>
    <w:p w14:paraId="31739DCF"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15. The principles of comparative negligence apply as a defense to a claim for damages under the Drug Dealer Liability Act, §§ 13-21-801 to -813, C.R.S., from a defendant who made illegal drugs available to an illegal user when the use of such drugs caused damages to the plaintiff. </w:t>
      </w:r>
      <w:r w:rsidRPr="005065E6">
        <w:rPr>
          <w:rFonts w:eastAsia="Times New Roman"/>
          <w:i/>
          <w:sz w:val="24"/>
          <w:szCs w:val="24"/>
        </w:rPr>
        <w:t>See</w:t>
      </w:r>
      <w:r w:rsidRPr="005065E6">
        <w:rPr>
          <w:rFonts w:eastAsia="Times New Roman"/>
          <w:sz w:val="24"/>
          <w:szCs w:val="24"/>
        </w:rPr>
        <w:t xml:space="preserve"> § 13-21-806(1), C.R.S. Under section 13-21-806(2), however, that defense must be established by clear and convincing evidence. In such cases, this instruction and related comparative negligence instructions, appropriately modified as necessary, may be used.</w:t>
      </w:r>
    </w:p>
    <w:p w14:paraId="3B79E0D9"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16. A defendant who is negligent per se is not precluded from raising comparative negligence as a defense. </w:t>
      </w:r>
      <w:r w:rsidRPr="005065E6">
        <w:rPr>
          <w:rFonts w:eastAsia="Times New Roman"/>
          <w:b/>
          <w:sz w:val="24"/>
          <w:szCs w:val="24"/>
        </w:rPr>
        <w:t>Lyons v. Nasby</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770 P. 2d 1250 (Colo. 1989); </w:t>
      </w:r>
      <w:r w:rsidRPr="005065E6">
        <w:rPr>
          <w:rFonts w:eastAsia="Times New Roman"/>
          <w:i/>
          <w:sz w:val="24"/>
          <w:szCs w:val="24"/>
        </w:rPr>
        <w:t>accord</w:t>
      </w:r>
      <w:r w:rsidRPr="005065E6">
        <w:rPr>
          <w:rFonts w:eastAsia="Times New Roman"/>
          <w:b/>
          <w:i/>
          <w:sz w:val="24"/>
          <w:szCs w:val="24"/>
        </w:rPr>
        <w:t xml:space="preserve"> </w:t>
      </w:r>
      <w:r w:rsidRPr="005065E6">
        <w:rPr>
          <w:rFonts w:eastAsia="Times New Roman"/>
          <w:b/>
          <w:sz w:val="24"/>
          <w:szCs w:val="24"/>
        </w:rPr>
        <w:t xml:space="preserve">McCall v. </w:t>
      </w:r>
      <w:r w:rsidRPr="005065E6">
        <w:rPr>
          <w:rFonts w:eastAsia="Times New Roman"/>
          <w:b/>
          <w:sz w:val="24"/>
          <w:szCs w:val="24"/>
        </w:rPr>
        <w:lastRenderedPageBreak/>
        <w:t>Meyers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94 P.3d 1271 (Colo. App. 2004) (section 42-4-808, C.R.S., which directs motor vehicle drivers to stop and take necessary precautions to avoid accidents with disabled pedestrians, did not eliminate comparative negligence as a defense in negligence action by injured pedestrian against driver of motor vehicle).</w:t>
      </w:r>
    </w:p>
    <w:p w14:paraId="4DB3A5B8"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7FE96938" w14:textId="49AE3749"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This instruction is supported by section 13-21-111</w:t>
      </w:r>
      <w:r w:rsidR="00F21681">
        <w:rPr>
          <w:rFonts w:eastAsia="Times New Roman"/>
          <w:bCs/>
          <w:sz w:val="24"/>
          <w:szCs w:val="24"/>
        </w:rPr>
        <w:t>,</w:t>
      </w:r>
      <w:r w:rsidRPr="005065E6">
        <w:rPr>
          <w:rFonts w:eastAsia="Times New Roman"/>
          <w:bCs/>
          <w:sz w:val="24"/>
          <w:szCs w:val="24"/>
        </w:rPr>
        <w:t xml:space="preserve"> and the authorities cited above.</w:t>
      </w:r>
    </w:p>
    <w:p w14:paraId="38768055" w14:textId="77777777" w:rsidR="00932723" w:rsidRDefault="00932723">
      <w:pPr>
        <w:rPr>
          <w:rFonts w:eastAsia="Times New Roman"/>
          <w:bCs/>
          <w:sz w:val="24"/>
          <w:szCs w:val="24"/>
        </w:rPr>
      </w:pPr>
      <w:r>
        <w:rPr>
          <w:rFonts w:eastAsia="Times New Roman"/>
          <w:bCs/>
          <w:sz w:val="24"/>
          <w:szCs w:val="24"/>
        </w:rPr>
        <w:br w:type="page"/>
      </w:r>
    </w:p>
    <w:p w14:paraId="35260170" w14:textId="77777777" w:rsidR="00932723" w:rsidRPr="009E3DA4" w:rsidRDefault="00932723" w:rsidP="00932723">
      <w:pPr>
        <w:spacing w:after="240"/>
        <w:ind w:left="720" w:hanging="720"/>
        <w:rPr>
          <w:rFonts w:eastAsia="Times New Roman"/>
          <w:b/>
          <w:sz w:val="24"/>
          <w:szCs w:val="24"/>
        </w:rPr>
      </w:pPr>
      <w:bookmarkStart w:id="27" w:name="a9_23"/>
      <w:bookmarkEnd w:id="27"/>
      <w:r w:rsidRPr="00932723">
        <w:rPr>
          <w:rFonts w:eastAsia="Times New Roman"/>
          <w:b/>
          <w:sz w:val="24"/>
          <w:szCs w:val="24"/>
        </w:rPr>
        <w:lastRenderedPageBreak/>
        <w:t xml:space="preserve">9:23 </w:t>
      </w:r>
      <w:r w:rsidRPr="00932723">
        <w:rPr>
          <w:rFonts w:eastAsia="Times New Roman"/>
          <w:b/>
          <w:sz w:val="24"/>
          <w:szCs w:val="24"/>
        </w:rPr>
        <w:tab/>
        <w:t>AFFIRMATIVE DEFENSE — COMPARATIVE NEGLIGENCE OF THE PLAINTIFF</w:t>
      </w:r>
    </w:p>
    <w:p w14:paraId="0E12073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comparative negligence of the plaintiff, </w:t>
      </w:r>
      <w:r w:rsidRPr="00932723">
        <w:rPr>
          <w:rFonts w:eastAsia="Times New Roman"/>
          <w:i/>
          <w:sz w:val="24"/>
          <w:szCs w:val="24"/>
        </w:rPr>
        <w:t>(name)</w:t>
      </w:r>
      <w:r w:rsidRPr="00932723">
        <w:rPr>
          <w:rFonts w:eastAsia="Times New Roman"/>
          <w:b/>
          <w:sz w:val="24"/>
          <w:szCs w:val="24"/>
        </w:rPr>
        <w:t>, is proved if you find all of the following:</w:t>
      </w:r>
    </w:p>
    <w:p w14:paraId="64ACC264"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1. The plaintiff was negligent; and</w:t>
      </w:r>
    </w:p>
    <w:p w14:paraId="52AA7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2. The negligence of the plaintiff was a cause of the plaintiff’s own claimed (injuries) (damages) (losses).</w:t>
      </w:r>
    </w:p>
    <w:p w14:paraId="7021F61F" w14:textId="77777777" w:rsidR="00932723" w:rsidRDefault="00932723" w:rsidP="00932723">
      <w:pPr>
        <w:jc w:val="center"/>
        <w:rPr>
          <w:rFonts w:eastAsia="Times New Roman"/>
          <w:sz w:val="24"/>
          <w:szCs w:val="24"/>
        </w:rPr>
      </w:pPr>
    </w:p>
    <w:p w14:paraId="61EBE3E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193948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w:t>
      </w:r>
    </w:p>
    <w:p w14:paraId="05B4BC15"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Contributory or comparative negligence is an affirmative defense. C.R.C.P. 8(c); </w:t>
      </w:r>
      <w:r w:rsidRPr="00932723">
        <w:rPr>
          <w:rFonts w:eastAsia="Times New Roman"/>
          <w:b/>
          <w:sz w:val="24"/>
          <w:szCs w:val="24"/>
        </w:rPr>
        <w:t>Stevens v. Strauss</w:t>
      </w:r>
      <w:r w:rsidRPr="00932723">
        <w:rPr>
          <w:rFonts w:eastAsia="Times New Roman"/>
          <w:sz w:val="24"/>
          <w:szCs w:val="24"/>
        </w:rPr>
        <w:t xml:space="preserve">, 147 Colo. 547, 364 P.2d 382 (1961) (citing earlier cases); </w:t>
      </w:r>
      <w:r w:rsidRPr="00932723">
        <w:rPr>
          <w:rFonts w:eastAsia="Times New Roman"/>
          <w:b/>
          <w:sz w:val="24"/>
          <w:szCs w:val="24"/>
        </w:rPr>
        <w:t>Dickinson v. Lincoln Bldg. Corp.</w:t>
      </w:r>
      <w:r w:rsidRPr="00932723">
        <w:rPr>
          <w:rFonts w:eastAsia="Times New Roman"/>
          <w:sz w:val="24"/>
          <w:szCs w:val="24"/>
        </w:rPr>
        <w:t>, 2015 COA 170M, ¶ 25, 378 P.3d 797.</w:t>
      </w:r>
    </w:p>
    <w:p w14:paraId="01A03358"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DE75E8"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665E354C" w14:textId="77777777" w:rsidR="00932723" w:rsidRDefault="00932723">
      <w:pPr>
        <w:rPr>
          <w:rFonts w:eastAsia="Times New Roman"/>
          <w:bCs/>
          <w:sz w:val="24"/>
          <w:szCs w:val="24"/>
        </w:rPr>
      </w:pPr>
      <w:r>
        <w:rPr>
          <w:rFonts w:eastAsia="Times New Roman"/>
          <w:bCs/>
          <w:sz w:val="24"/>
          <w:szCs w:val="24"/>
        </w:rPr>
        <w:br w:type="page"/>
      </w:r>
    </w:p>
    <w:p w14:paraId="472F9F44" w14:textId="77777777" w:rsidR="00932723" w:rsidRPr="009E3DA4" w:rsidRDefault="00932723" w:rsidP="00932723">
      <w:pPr>
        <w:spacing w:after="240"/>
        <w:ind w:left="720" w:hanging="720"/>
        <w:rPr>
          <w:rFonts w:eastAsia="Times New Roman"/>
          <w:b/>
          <w:sz w:val="24"/>
          <w:szCs w:val="24"/>
        </w:rPr>
      </w:pPr>
      <w:bookmarkStart w:id="28" w:name="a9_24"/>
      <w:bookmarkEnd w:id="28"/>
      <w:r w:rsidRPr="00932723">
        <w:rPr>
          <w:rFonts w:eastAsia="Times New Roman"/>
          <w:b/>
          <w:sz w:val="24"/>
          <w:szCs w:val="24"/>
        </w:rPr>
        <w:lastRenderedPageBreak/>
        <w:t xml:space="preserve">9:24 </w:t>
      </w:r>
      <w:r w:rsidRPr="00932723">
        <w:rPr>
          <w:rFonts w:eastAsia="Times New Roman"/>
          <w:b/>
          <w:sz w:val="24"/>
          <w:szCs w:val="24"/>
        </w:rPr>
        <w:tab/>
        <w:t>AFFIRMATIVE DEFENSE — NEGLIGENCE OR FAULT OF DESIGNATED NONPARTY</w:t>
      </w:r>
    </w:p>
    <w:p w14:paraId="08FDDAC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(negligence) (or) (fault) of the nonparty, </w:t>
      </w:r>
      <w:r w:rsidRPr="00932723">
        <w:rPr>
          <w:rFonts w:eastAsia="Times New Roman"/>
          <w:i/>
          <w:sz w:val="24"/>
          <w:szCs w:val="24"/>
        </w:rPr>
        <w:t>(insert name or other appropriate description)</w:t>
      </w:r>
      <w:r w:rsidRPr="00932723">
        <w:rPr>
          <w:rFonts w:eastAsia="Times New Roman"/>
          <w:b/>
          <w:sz w:val="24"/>
          <w:szCs w:val="24"/>
        </w:rPr>
        <w:t>, is proved if you find all of the following:</w:t>
      </w:r>
    </w:p>
    <w:p w14:paraId="0DBFE84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w:t>
      </w:r>
      <w:r w:rsidRPr="00932723">
        <w:rPr>
          <w:rFonts w:eastAsia="Times New Roman"/>
          <w:i/>
          <w:sz w:val="24"/>
          <w:szCs w:val="24"/>
        </w:rPr>
        <w:t>(insert name or other appropriate description of the nonparty)</w:t>
      </w:r>
      <w:r w:rsidRPr="00932723">
        <w:rPr>
          <w:rFonts w:eastAsia="Times New Roman"/>
          <w:b/>
          <w:sz w:val="24"/>
          <w:szCs w:val="24"/>
        </w:rPr>
        <w:t xml:space="preserve"> was (negligent) (or) (at fault); and</w:t>
      </w:r>
    </w:p>
    <w:p w14:paraId="163EC4A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The (negligence) (or) (fault) of </w:t>
      </w:r>
      <w:r w:rsidRPr="00932723">
        <w:rPr>
          <w:rFonts w:eastAsia="Times New Roman"/>
          <w:i/>
          <w:sz w:val="24"/>
          <w:szCs w:val="24"/>
        </w:rPr>
        <w:t>(insert name or other appropriate description of the nonparty)</w:t>
      </w:r>
      <w:r w:rsidRPr="00932723">
        <w:rPr>
          <w:rFonts w:eastAsia="Times New Roman"/>
          <w:b/>
          <w:sz w:val="24"/>
          <w:szCs w:val="24"/>
        </w:rPr>
        <w:t xml:space="preserve"> was a cause of the plaintiff’s claimed (injuries) (damages) (losses).</w:t>
      </w:r>
    </w:p>
    <w:p w14:paraId="010B4B35" w14:textId="77777777" w:rsidR="00932723" w:rsidRDefault="00932723" w:rsidP="00932723">
      <w:pPr>
        <w:jc w:val="center"/>
        <w:rPr>
          <w:rFonts w:eastAsia="Times New Roman"/>
          <w:sz w:val="24"/>
          <w:szCs w:val="24"/>
        </w:rPr>
      </w:pPr>
    </w:p>
    <w:p w14:paraId="2950F27E"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21739522"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1. This instruction must be given whenever Instruction 9:28 or Instruction 9:29 is given and either instruction includes references to a nonparty properly identified or designated under section 13-21-111.5(3)(b), C.R.S. The negligence or fault of a nonparty cannot be considered unless the nonparty has been properly designated by the defendant in a pleading that complies with the requirements of section 13-21-111.5(3). </w:t>
      </w:r>
      <w:r w:rsidRPr="00932723">
        <w:rPr>
          <w:rFonts w:eastAsia="Times New Roman"/>
          <w:b/>
          <w:sz w:val="24"/>
          <w:szCs w:val="24"/>
        </w:rPr>
        <w:t>Thompson v. Colorado &amp; E. R.R.</w:t>
      </w:r>
      <w:r w:rsidRPr="00932723">
        <w:rPr>
          <w:rFonts w:eastAsia="Times New Roman"/>
          <w:sz w:val="24"/>
          <w:szCs w:val="24"/>
        </w:rPr>
        <w:t xml:space="preserve">, 852 P.2d 1328 (Colo. App. 1993). Nonparties need not have been engaged in the same kind of tortious conduct as the defendant in order to be properly designated. </w:t>
      </w:r>
      <w:r w:rsidRPr="00932723">
        <w:rPr>
          <w:rFonts w:eastAsia="Times New Roman"/>
          <w:b/>
          <w:sz w:val="24"/>
          <w:szCs w:val="24"/>
        </w:rPr>
        <w:t>Moody v. A.G. Edwards &amp; Sons, Inc.</w:t>
      </w:r>
      <w:r w:rsidRPr="00932723">
        <w:rPr>
          <w:rFonts w:eastAsia="Times New Roman"/>
          <w:sz w:val="24"/>
          <w:szCs w:val="24"/>
        </w:rPr>
        <w:t xml:space="preserve">, 847 P.2d 215 (Colo. App. 1992). Generally, a person or entity designated under section 13-21-111.5, must have owed a duty recognized by law to the injured party. </w:t>
      </w:r>
      <w:r w:rsidRPr="00932723">
        <w:rPr>
          <w:rFonts w:eastAsia="Times New Roman"/>
          <w:b/>
          <w:sz w:val="24"/>
          <w:szCs w:val="24"/>
        </w:rPr>
        <w:t>Miller v. Byrne</w:t>
      </w:r>
      <w:r w:rsidRPr="00932723">
        <w:rPr>
          <w:rFonts w:eastAsia="Times New Roman"/>
          <w:sz w:val="24"/>
          <w:szCs w:val="24"/>
        </w:rPr>
        <w:t>, 916 P.2d 566 (Colo. App. 1995).</w:t>
      </w:r>
    </w:p>
    <w:p w14:paraId="6A2CF1A8" w14:textId="36C88B4E" w:rsidR="00932723" w:rsidRPr="00932723" w:rsidRDefault="00932723">
      <w:pPr>
        <w:spacing w:after="240"/>
        <w:ind w:firstLine="720"/>
        <w:rPr>
          <w:rFonts w:eastAsia="Times New Roman"/>
          <w:sz w:val="24"/>
          <w:szCs w:val="24"/>
        </w:rPr>
      </w:pPr>
      <w:r w:rsidRPr="00932723">
        <w:rPr>
          <w:rFonts w:eastAsia="Times New Roman"/>
          <w:sz w:val="24"/>
          <w:szCs w:val="24"/>
        </w:rPr>
        <w:t xml:space="preserve">2. If a defendant properly identifies a nonparty under section 13-21-111.5(3)(b), and the plaintiff does not bring that nonparty into the lawsuit, the defendant bears the burden of proving the nonparty’s negligence and causation. The defendant’s failure to give proper statutory notice of the nonparty does not preclude a defendant, however, from contending at trial that the defendant was not negligent or that the plaintiff’s damages were not caused, actually or proximately, by the defendant’s negligence. </w:t>
      </w:r>
      <w:r w:rsidRPr="00932723">
        <w:rPr>
          <w:rFonts w:eastAsia="Times New Roman"/>
          <w:b/>
          <w:sz w:val="24"/>
          <w:szCs w:val="24"/>
        </w:rPr>
        <w:t>Redden v. SCI Colo. Funeral Servs.,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38 P.3d 75 (Colo. 2001)</w:t>
      </w:r>
      <w:r w:rsidR="001468C7">
        <w:rPr>
          <w:rFonts w:eastAsia="Times New Roman"/>
          <w:sz w:val="24"/>
          <w:szCs w:val="24"/>
        </w:rPr>
        <w:t xml:space="preserve">; </w:t>
      </w:r>
      <w:r w:rsidR="001468C7" w:rsidRPr="009266FB">
        <w:rPr>
          <w:rFonts w:eastAsia="Times New Roman"/>
          <w:i/>
          <w:sz w:val="24"/>
          <w:szCs w:val="24"/>
        </w:rPr>
        <w:t>see also</w:t>
      </w:r>
      <w:r w:rsidR="001468C7">
        <w:rPr>
          <w:rFonts w:eastAsia="Times New Roman"/>
          <w:sz w:val="24"/>
          <w:szCs w:val="24"/>
        </w:rPr>
        <w:t xml:space="preserve"> </w:t>
      </w:r>
      <w:r w:rsidR="001468C7" w:rsidRPr="00441A42">
        <w:rPr>
          <w:rFonts w:eastAsia="Times New Roman"/>
          <w:b/>
          <w:sz w:val="24"/>
          <w:szCs w:val="24"/>
        </w:rPr>
        <w:t>Danko v. Conyers</w:t>
      </w:r>
      <w:r w:rsidR="001468C7" w:rsidRPr="009E15AE">
        <w:rPr>
          <w:rFonts w:eastAsia="Times New Roman"/>
          <w:sz w:val="24"/>
          <w:szCs w:val="24"/>
        </w:rPr>
        <w:t>, 2018 COA 14, ¶ 21</w:t>
      </w:r>
      <w:r w:rsidR="00A833C4">
        <w:rPr>
          <w:rFonts w:eastAsia="Times New Roman"/>
          <w:sz w:val="24"/>
          <w:szCs w:val="24"/>
        </w:rPr>
        <w:t>, 432 P.3d 958</w:t>
      </w:r>
      <w:r w:rsidR="001468C7">
        <w:rPr>
          <w:rFonts w:eastAsia="Times New Roman"/>
          <w:sz w:val="24"/>
          <w:szCs w:val="24"/>
        </w:rPr>
        <w:t>. I</w:t>
      </w:r>
      <w:r w:rsidRPr="00932723">
        <w:rPr>
          <w:rFonts w:eastAsia="Times New Roman"/>
          <w:sz w:val="24"/>
          <w:szCs w:val="24"/>
        </w:rPr>
        <w:t xml:space="preserve">n these circumstances the name or other identification of any nonparty whose conduct may be involved will not appear on the verdict form for an allocation of negligence or fault, and this instruction should not be given.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sz w:val="24"/>
          <w:szCs w:val="24"/>
        </w:rPr>
        <w:t>Thompson</w:t>
      </w:r>
      <w:r w:rsidRPr="00932723">
        <w:rPr>
          <w:rFonts w:eastAsia="Times New Roman"/>
          <w:sz w:val="24"/>
          <w:szCs w:val="24"/>
        </w:rPr>
        <w:t>, 852 P.2d at 1330.</w:t>
      </w:r>
    </w:p>
    <w:p w14:paraId="593FBA5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Whenever this instruction is given, numbered paragraph 2 of Instruction 3:1 (defining preponderance of evidence) must be retained in that instruction when it is given.</w:t>
      </w:r>
    </w:p>
    <w:p w14:paraId="7CDCB14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Use whichever parenthesized words are appropriate. When the parenthesized word “fault” is used, another instruction defining what that term means in the context of the case must be given.</w:t>
      </w:r>
    </w:p>
    <w:p w14:paraId="398B20C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5. Even when a defendant is vicariously liable for the acts or omissions of another defendant or designated nonparty at fault under the nondelegable-duty doctrine, the jury should be instructed to determine the respective shares of fault of the vicariously liable defendant and </w:t>
      </w:r>
      <w:r w:rsidRPr="00932723">
        <w:rPr>
          <w:rFonts w:eastAsia="Times New Roman"/>
          <w:sz w:val="24"/>
          <w:szCs w:val="24"/>
        </w:rPr>
        <w:lastRenderedPageBreak/>
        <w:t xml:space="preserve">any other defendants and/or nonparties at fault. However, in entering judgment, the court should aggregate the fault of the vicariously liable defendant and any other defendants and/or nonparties at fault for whom the defendant is vicariously liable. </w:t>
      </w:r>
      <w:r w:rsidRPr="00932723">
        <w:rPr>
          <w:rFonts w:eastAsia="Times New Roman"/>
          <w:b/>
          <w:sz w:val="24"/>
          <w:szCs w:val="24"/>
        </w:rPr>
        <w:t>Reid v. Berkowitz</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 xml:space="preserve">2013 COA 110M, ¶ 39, 315 P.3d 185; </w:t>
      </w:r>
      <w:r w:rsidRPr="00932723">
        <w:rPr>
          <w:rFonts w:eastAsia="Times New Roman"/>
          <w:i/>
          <w:iCs/>
          <w:sz w:val="24"/>
          <w:szCs w:val="24"/>
        </w:rPr>
        <w:t>see</w:t>
      </w:r>
      <w:r w:rsidRPr="00932723">
        <w:rPr>
          <w:rFonts w:eastAsia="Times New Roman"/>
          <w:sz w:val="24"/>
          <w:szCs w:val="24"/>
        </w:rPr>
        <w:t xml:space="preserve"> </w:t>
      </w:r>
      <w:r w:rsidRPr="00932723">
        <w:rPr>
          <w:rFonts w:eastAsia="Times New Roman"/>
          <w:i/>
          <w:sz w:val="24"/>
          <w:szCs w:val="24"/>
        </w:rPr>
        <w:t>also</w:t>
      </w:r>
      <w:r w:rsidRPr="00932723">
        <w:rPr>
          <w:rFonts w:eastAsia="Times New Roman"/>
          <w:sz w:val="24"/>
          <w:szCs w:val="24"/>
        </w:rPr>
        <w:t xml:space="preserve"> </w:t>
      </w:r>
      <w:r w:rsidRPr="00932723">
        <w:rPr>
          <w:rFonts w:eastAsia="Times New Roman"/>
          <w:b/>
          <w:iCs/>
          <w:sz w:val="24"/>
          <w:szCs w:val="24"/>
        </w:rPr>
        <w:t>Kidwell v. K-Mart Corp</w:t>
      </w:r>
      <w:r w:rsidRPr="00932723">
        <w:rPr>
          <w:rFonts w:eastAsia="Times New Roman"/>
          <w:b/>
          <w:sz w:val="24"/>
          <w:szCs w:val="24"/>
        </w:rPr>
        <w:t>.</w:t>
      </w:r>
      <w:r w:rsidRPr="00932723">
        <w:rPr>
          <w:rFonts w:eastAsia="Times New Roman"/>
          <w:sz w:val="24"/>
          <w:szCs w:val="24"/>
        </w:rPr>
        <w:t>, 942 P.2d 1280 (Colo. App. 1996)</w:t>
      </w:r>
      <w:r w:rsidRPr="00932723">
        <w:rPr>
          <w:rFonts w:eastAsia="Times New Roman"/>
          <w:i/>
          <w:iCs/>
          <w:sz w:val="24"/>
          <w:szCs w:val="24"/>
        </w:rPr>
        <w:t xml:space="preserve"> </w:t>
      </w:r>
      <w:r w:rsidRPr="00932723">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liability may be imputed under various legal theories, including respondeat superior, </w:t>
      </w:r>
      <w:r w:rsidRPr="00932723">
        <w:rPr>
          <w:rFonts w:eastAsia="Times New Roman"/>
          <w:i/>
          <w:sz w:val="24"/>
          <w:szCs w:val="24"/>
        </w:rPr>
        <w:t>see</w:t>
      </w:r>
      <w:r w:rsidRPr="00932723">
        <w:rPr>
          <w:rFonts w:eastAsia="Times New Roman"/>
          <w:sz w:val="24"/>
          <w:szCs w:val="24"/>
        </w:rPr>
        <w:t xml:space="preserve"> Chapter 8 (Liability Based on Agency and Respondeat Superior), the inherently dangerous activity doctrine, </w:t>
      </w:r>
      <w:r w:rsidRPr="00932723">
        <w:rPr>
          <w:rFonts w:eastAsia="Times New Roman"/>
          <w:i/>
          <w:sz w:val="24"/>
          <w:szCs w:val="24"/>
        </w:rPr>
        <w:t xml:space="preserve">see </w:t>
      </w:r>
      <w:r w:rsidRPr="00932723">
        <w:rPr>
          <w:rFonts w:eastAsia="Times New Roman"/>
          <w:b/>
          <w:bCs/>
          <w:iCs/>
          <w:sz w:val="24"/>
          <w:szCs w:val="24"/>
        </w:rPr>
        <w:t>Huddleston v. Union Rural Elec. Ass’n</w:t>
      </w:r>
      <w:r w:rsidRPr="00932723">
        <w:rPr>
          <w:rFonts w:eastAsia="Times New Roman"/>
          <w:bCs/>
          <w:sz w:val="24"/>
          <w:szCs w:val="24"/>
        </w:rPr>
        <w:t>, 841 P.2d 282 (Colo. 1992); Instruction 9:7 (</w:t>
      </w:r>
      <w:r w:rsidRPr="00932723">
        <w:rPr>
          <w:rFonts w:eastAsia="Times New Roman"/>
          <w:sz w:val="24"/>
          <w:szCs w:val="24"/>
        </w:rPr>
        <w:t xml:space="preserve">inherently dangerous activities), and the nondelegable or independent duty doctrine,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bCs/>
          <w:iCs/>
          <w:sz w:val="24"/>
          <w:szCs w:val="24"/>
        </w:rPr>
        <w:t>Springer v. City &amp; Cty. of Denver</w:t>
      </w:r>
      <w:r w:rsidRPr="00932723">
        <w:rPr>
          <w:rFonts w:eastAsia="Times New Roman"/>
          <w:bCs/>
          <w:sz w:val="24"/>
          <w:szCs w:val="24"/>
        </w:rPr>
        <w:t>, 13 P.3d 794 (Colo. 2000).</w:t>
      </w:r>
    </w:p>
    <w:p w14:paraId="29746C1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A defendant is not entitled to a nonparty at fault instruction identifying a nonparty who, if brought into the action, would be liable only vicariously for the negligence or fault of another. </w:t>
      </w:r>
      <w:r w:rsidRPr="00932723">
        <w:rPr>
          <w:rFonts w:eastAsia="Times New Roman"/>
          <w:b/>
          <w:sz w:val="24"/>
          <w:szCs w:val="24"/>
        </w:rPr>
        <w:t>Just In Case Bus. Lighthouse, LLC v. Murray</w:t>
      </w:r>
      <w:r w:rsidRPr="00932723">
        <w:rPr>
          <w:rFonts w:eastAsia="Times New Roman"/>
          <w:sz w:val="24"/>
          <w:szCs w:val="24"/>
        </w:rPr>
        <w:t xml:space="preserve">, 2013 COA 112M, </w:t>
      </w:r>
      <w:r w:rsidR="002E1D11">
        <w:rPr>
          <w:rFonts w:eastAsia="Times New Roman"/>
          <w:sz w:val="24"/>
          <w:szCs w:val="24"/>
        </w:rPr>
        <w:t xml:space="preserve">383 P.3d 1, </w:t>
      </w:r>
      <w:r w:rsidRPr="00932723">
        <w:rPr>
          <w:rFonts w:eastAsia="Times New Roman"/>
          <w:i/>
          <w:sz w:val="24"/>
          <w:szCs w:val="24"/>
        </w:rPr>
        <w:t>rev’d in part on other grounds</w:t>
      </w:r>
      <w:r w:rsidRPr="00932723">
        <w:rPr>
          <w:rFonts w:eastAsia="Times New Roman"/>
          <w:sz w:val="24"/>
          <w:szCs w:val="24"/>
        </w:rPr>
        <w:t xml:space="preserve">, 2016 CO 47M, 374 P.3d 443; </w:t>
      </w:r>
      <w:r w:rsidRPr="00932723">
        <w:rPr>
          <w:rFonts w:eastAsia="Times New Roman"/>
          <w:i/>
          <w:sz w:val="24"/>
          <w:szCs w:val="24"/>
        </w:rPr>
        <w:t>see also</w:t>
      </w:r>
      <w:r w:rsidRPr="00932723">
        <w:rPr>
          <w:rFonts w:eastAsia="Times New Roman"/>
          <w:sz w:val="24"/>
          <w:szCs w:val="24"/>
        </w:rPr>
        <w:t xml:space="preserve"> </w:t>
      </w:r>
      <w:r w:rsidRPr="00932723">
        <w:rPr>
          <w:rFonts w:eastAsia="Times New Roman"/>
          <w:b/>
          <w:iCs/>
          <w:sz w:val="24"/>
          <w:szCs w:val="24"/>
        </w:rPr>
        <w:t>Ochoa v. Vered</w:t>
      </w:r>
      <w:r w:rsidRPr="00932723">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7263C8B4"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17A87C"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This instruction is supported by section 13-21-111.5(1), (2), and (3)(b).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Union Pac. R.R. v. Martin</w:t>
      </w:r>
      <w:r w:rsidRPr="00932723">
        <w:rPr>
          <w:rFonts w:eastAsia="Times New Roman"/>
          <w:bCs/>
          <w:sz w:val="24"/>
          <w:szCs w:val="24"/>
        </w:rPr>
        <w:t>, 209 P.3d 185, 189 n.3 (Colo. 2009).</w:t>
      </w:r>
      <w:r w:rsidRPr="00932723">
        <w:rPr>
          <w:rFonts w:eastAsia="Times New Roman"/>
          <w:bCs/>
          <w:sz w:val="24"/>
          <w:szCs w:val="24"/>
        </w:rPr>
        <w:tab/>
      </w:r>
    </w:p>
    <w:p w14:paraId="1BA78A12" w14:textId="77777777" w:rsidR="00932723" w:rsidRDefault="00932723">
      <w:pPr>
        <w:rPr>
          <w:rFonts w:eastAsia="Times New Roman"/>
          <w:bCs/>
          <w:sz w:val="24"/>
          <w:szCs w:val="24"/>
        </w:rPr>
      </w:pPr>
      <w:r>
        <w:rPr>
          <w:rFonts w:eastAsia="Times New Roman"/>
          <w:bCs/>
          <w:sz w:val="24"/>
          <w:szCs w:val="24"/>
        </w:rPr>
        <w:br w:type="page"/>
      </w:r>
    </w:p>
    <w:p w14:paraId="0568931C" w14:textId="77777777" w:rsidR="00932723" w:rsidRPr="009E3DA4" w:rsidRDefault="00932723" w:rsidP="00932723">
      <w:pPr>
        <w:spacing w:after="240"/>
        <w:ind w:left="720" w:hanging="720"/>
        <w:rPr>
          <w:rFonts w:eastAsia="Times New Roman"/>
          <w:b/>
          <w:sz w:val="24"/>
          <w:szCs w:val="24"/>
        </w:rPr>
      </w:pPr>
      <w:bookmarkStart w:id="29" w:name="a9_25"/>
      <w:bookmarkEnd w:id="29"/>
      <w:r w:rsidRPr="00932723">
        <w:rPr>
          <w:rFonts w:eastAsia="Times New Roman"/>
          <w:b/>
          <w:sz w:val="24"/>
          <w:szCs w:val="24"/>
        </w:rPr>
        <w:lastRenderedPageBreak/>
        <w:t xml:space="preserve">9:25 </w:t>
      </w:r>
      <w:r w:rsidRPr="00932723">
        <w:rPr>
          <w:rFonts w:eastAsia="Times New Roman"/>
          <w:b/>
          <w:sz w:val="24"/>
          <w:szCs w:val="24"/>
        </w:rPr>
        <w:tab/>
        <w:t>NEGLIGENCE OF PARENTS NOT IMPUTABLE TO CHILDREN</w:t>
      </w:r>
    </w:p>
    <w:p w14:paraId="17E03FF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The negligence, if any, of a parent, as a parent, cannot be charged to his or her child.</w:t>
      </w:r>
    </w:p>
    <w:p w14:paraId="110383D6" w14:textId="77777777" w:rsidR="00932723" w:rsidRDefault="00932723" w:rsidP="00932723">
      <w:pPr>
        <w:jc w:val="center"/>
        <w:rPr>
          <w:rFonts w:eastAsia="Times New Roman"/>
          <w:sz w:val="24"/>
          <w:szCs w:val="24"/>
        </w:rPr>
      </w:pPr>
    </w:p>
    <w:p w14:paraId="4EE561B0"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50E17893" w14:textId="3B8BC848"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This instruction does not apply and should not be given or should not be given without being appropriately modified when there is sufficient evidence of another relationship on the basis of which the parent’s negligence may be imputable to the child, for example, joint venture. </w:t>
      </w:r>
      <w:r w:rsidRPr="00932723">
        <w:rPr>
          <w:rFonts w:eastAsia="Times New Roman"/>
          <w:i/>
          <w:sz w:val="24"/>
          <w:szCs w:val="24"/>
        </w:rPr>
        <w:t>See</w:t>
      </w:r>
      <w:r w:rsidRPr="00932723">
        <w:rPr>
          <w:rFonts w:eastAsia="Times New Roman"/>
          <w:sz w:val="24"/>
          <w:szCs w:val="24"/>
        </w:rPr>
        <w:t xml:space="preserve"> Instructions in Chapter </w:t>
      </w:r>
      <w:r w:rsidR="00B12707">
        <w:rPr>
          <w:rFonts w:eastAsia="Times New Roman"/>
          <w:sz w:val="24"/>
          <w:szCs w:val="24"/>
        </w:rPr>
        <w:t>7</w:t>
      </w:r>
      <w:r w:rsidRPr="00932723">
        <w:rPr>
          <w:rFonts w:eastAsia="Times New Roman"/>
          <w:sz w:val="24"/>
          <w:szCs w:val="24"/>
        </w:rPr>
        <w:t xml:space="preserve"> and in Chapter 11, Part C.</w:t>
      </w:r>
    </w:p>
    <w:p w14:paraId="74DB7EDC"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239EA77F" w14:textId="2ACD6C88"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1. This instruction is supported by</w:t>
      </w:r>
      <w:r w:rsidRPr="00932723">
        <w:rPr>
          <w:rFonts w:eastAsia="Times New Roman"/>
          <w:b/>
          <w:bCs/>
          <w:sz w:val="24"/>
          <w:szCs w:val="24"/>
        </w:rPr>
        <w:t xml:space="preserve"> Public Service Co. v. Petty</w:t>
      </w:r>
      <w:r w:rsidRPr="00932723">
        <w:rPr>
          <w:rFonts w:eastAsia="Times New Roman"/>
          <w:bCs/>
          <w:sz w:val="24"/>
          <w:szCs w:val="24"/>
        </w:rPr>
        <w:t xml:space="preserve">, 75 Colo. 454, 226 P. 297 (1924) (citing </w:t>
      </w:r>
      <w:r w:rsidRPr="00932723">
        <w:rPr>
          <w:rFonts w:eastAsia="Times New Roman"/>
          <w:b/>
          <w:bCs/>
          <w:sz w:val="24"/>
          <w:szCs w:val="24"/>
        </w:rPr>
        <w:t>Denver City Tramway Co. v. Brown</w:t>
      </w:r>
      <w:r w:rsidRPr="00932723">
        <w:rPr>
          <w:rFonts w:eastAsia="Times New Roman"/>
          <w:bCs/>
          <w:sz w:val="24"/>
          <w:szCs w:val="24"/>
        </w:rPr>
        <w:t xml:space="preserve">, 57 Colo. 484, 143 P. 364 (1914)).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Francis v. Dahl</w:t>
      </w:r>
      <w:r w:rsidRPr="00932723">
        <w:rPr>
          <w:rFonts w:eastAsia="Times New Roman"/>
          <w:bCs/>
          <w:sz w:val="24"/>
          <w:szCs w:val="24"/>
        </w:rPr>
        <w:t>,</w:t>
      </w:r>
      <w:r w:rsidRPr="00932723">
        <w:rPr>
          <w:rFonts w:eastAsia="Times New Roman"/>
          <w:b/>
          <w:bCs/>
          <w:sz w:val="24"/>
          <w:szCs w:val="24"/>
        </w:rPr>
        <w:t xml:space="preserve"> </w:t>
      </w:r>
      <w:r w:rsidRPr="00932723">
        <w:rPr>
          <w:rFonts w:eastAsia="Times New Roman"/>
          <w:bCs/>
          <w:sz w:val="24"/>
          <w:szCs w:val="24"/>
        </w:rPr>
        <w:t xml:space="preserve">107 P.3d 1171 (Colo. App. 2005); </w:t>
      </w:r>
      <w:r w:rsidRPr="00932723">
        <w:rPr>
          <w:rFonts w:eastAsia="Times New Roman"/>
          <w:b/>
          <w:bCs/>
          <w:sz w:val="24"/>
          <w:szCs w:val="24"/>
        </w:rPr>
        <w:t>Fletcher v. Porter</w:t>
      </w:r>
      <w:r w:rsidRPr="00932723">
        <w:rPr>
          <w:rFonts w:eastAsia="Times New Roman"/>
          <w:bCs/>
          <w:sz w:val="24"/>
          <w:szCs w:val="24"/>
        </w:rPr>
        <w:t>, 754 P.2d 788 (Colo. App. 1988).</w:t>
      </w:r>
    </w:p>
    <w:p w14:paraId="188C8A6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2. However, the fact that a parent’s negligence cannot be imputed to his or her child does not preclude a defendant from designating a child-plaintiff’s parent as a nonparty at fault under section 13-21-111.5, C.R.S. </w:t>
      </w:r>
      <w:r w:rsidRPr="00932723">
        <w:rPr>
          <w:rFonts w:eastAsia="Times New Roman"/>
          <w:b/>
          <w:bCs/>
          <w:sz w:val="24"/>
          <w:szCs w:val="24"/>
        </w:rPr>
        <w:t>Paris ex rel. Paris v. Dance</w:t>
      </w:r>
      <w:r w:rsidRPr="00932723">
        <w:rPr>
          <w:rFonts w:eastAsia="Times New Roman"/>
          <w:bCs/>
          <w:sz w:val="24"/>
          <w:szCs w:val="24"/>
        </w:rPr>
        <w:t>, 194 P.3d 404 (Colo. App.</w:t>
      </w:r>
      <w:r w:rsidRPr="00932723" w:rsidDel="00BB077A">
        <w:rPr>
          <w:rFonts w:eastAsia="Times New Roman"/>
          <w:bCs/>
          <w:sz w:val="24"/>
          <w:szCs w:val="24"/>
        </w:rPr>
        <w:t xml:space="preserve"> </w:t>
      </w:r>
      <w:r w:rsidRPr="00932723">
        <w:rPr>
          <w:rFonts w:eastAsia="Times New Roman"/>
          <w:bCs/>
          <w:sz w:val="24"/>
          <w:szCs w:val="24"/>
        </w:rPr>
        <w:t>2008) (defendant may designate minor plaintiff’s parent as nonparty at fault notwithstanding parental immunity).</w:t>
      </w:r>
    </w:p>
    <w:p w14:paraId="62A768E3" w14:textId="77777777" w:rsidR="00932723" w:rsidRDefault="00932723">
      <w:pPr>
        <w:rPr>
          <w:rFonts w:eastAsia="Times New Roman"/>
          <w:bCs/>
          <w:sz w:val="24"/>
          <w:szCs w:val="24"/>
        </w:rPr>
      </w:pPr>
      <w:r>
        <w:rPr>
          <w:rFonts w:eastAsia="Times New Roman"/>
          <w:bCs/>
          <w:sz w:val="24"/>
          <w:szCs w:val="24"/>
        </w:rPr>
        <w:br w:type="page"/>
      </w:r>
    </w:p>
    <w:p w14:paraId="4B6FBEE1" w14:textId="77777777" w:rsidR="00932723" w:rsidRPr="009E3DA4" w:rsidRDefault="00932723" w:rsidP="00932723">
      <w:pPr>
        <w:spacing w:after="240"/>
        <w:ind w:left="720" w:hanging="720"/>
        <w:rPr>
          <w:rFonts w:eastAsia="Times New Roman"/>
          <w:b/>
          <w:sz w:val="24"/>
          <w:szCs w:val="24"/>
        </w:rPr>
      </w:pPr>
      <w:bookmarkStart w:id="30" w:name="a9_26"/>
      <w:bookmarkEnd w:id="30"/>
      <w:r w:rsidRPr="00932723">
        <w:rPr>
          <w:rFonts w:eastAsia="Times New Roman"/>
          <w:b/>
          <w:sz w:val="24"/>
          <w:szCs w:val="24"/>
        </w:rPr>
        <w:lastRenderedPageBreak/>
        <w:t xml:space="preserve">9:26 </w:t>
      </w:r>
      <w:r w:rsidRPr="00932723">
        <w:rPr>
          <w:rFonts w:eastAsia="Times New Roman"/>
          <w:b/>
          <w:sz w:val="24"/>
          <w:szCs w:val="24"/>
        </w:rPr>
        <w:tab/>
        <w:t>COMPARATIVE NEGLIGENCE OF PLAINTIFF — SINGLE DEFENDANT — NO DESIGNATED NONPARTY INVOLVED</w:t>
      </w:r>
    </w:p>
    <w:p w14:paraId="18FAA597"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If you find the plaintiff, </w:t>
      </w:r>
      <w:r w:rsidRPr="00932723">
        <w:rPr>
          <w:rFonts w:eastAsia="Times New Roman"/>
          <w:i/>
          <w:sz w:val="24"/>
          <w:szCs w:val="24"/>
        </w:rPr>
        <w:t>(name)</w:t>
      </w:r>
      <w:r w:rsidRPr="00932723">
        <w:rPr>
          <w:rFonts w:eastAsia="Times New Roman"/>
          <w:b/>
          <w:sz w:val="24"/>
          <w:szCs w:val="24"/>
        </w:rPr>
        <w:t xml:space="preserve">, was damaged and that the plaintiff’s damages were caused by both the negligence of the plaintiff, </w:t>
      </w:r>
      <w:r w:rsidRPr="00932723">
        <w:rPr>
          <w:rFonts w:eastAsia="Times New Roman"/>
          <w:i/>
          <w:sz w:val="24"/>
          <w:szCs w:val="24"/>
        </w:rPr>
        <w:t>(name)</w:t>
      </w:r>
      <w:r w:rsidRPr="00932723">
        <w:rPr>
          <w:rFonts w:eastAsia="Times New Roman"/>
          <w:b/>
          <w:sz w:val="24"/>
          <w:szCs w:val="24"/>
        </w:rPr>
        <w:t xml:space="preserve">, and the defendant, </w:t>
      </w:r>
      <w:r w:rsidRPr="00932723">
        <w:rPr>
          <w:rFonts w:eastAsia="Times New Roman"/>
          <w:i/>
          <w:sz w:val="24"/>
          <w:szCs w:val="24"/>
        </w:rPr>
        <w:t>(name)</w:t>
      </w:r>
      <w:r w:rsidRPr="00932723">
        <w:rPr>
          <w:rFonts w:eastAsia="Times New Roman"/>
          <w:b/>
          <w:sz w:val="24"/>
          <w:szCs w:val="24"/>
        </w:rPr>
        <w:t>, then you must determine to what extent the negligent conduct of each contributed to the damages of the plaintiff, expressed as a percentage of 100 percent.</w:t>
      </w:r>
    </w:p>
    <w:p w14:paraId="62AF624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 find that both the plaintiff and the defendant were negligent and that the negligence of the plaintiff was equal to or greater than the negligence of the defendant, then the plaintiff will not be allowed to recover.</w:t>
      </w:r>
    </w:p>
    <w:p w14:paraId="7D592DA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 find that both the plaintiff and the defendant were negligent and that the negligence of the defendant was greater than the negligence of the plaintiff, then the plaintiff will be allowed to recover.</w:t>
      </w:r>
    </w:p>
    <w:p w14:paraId="6138676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the plaintiff is allowed to recover, the total damages you award will be reduced by the Court by the percentage of the plaintiff’s negligence.</w:t>
      </w:r>
    </w:p>
    <w:p w14:paraId="4BE3EC9A" w14:textId="77777777" w:rsidR="00932723" w:rsidRDefault="00932723" w:rsidP="00932723">
      <w:pPr>
        <w:jc w:val="center"/>
        <w:rPr>
          <w:rFonts w:eastAsia="Times New Roman"/>
          <w:sz w:val="24"/>
          <w:szCs w:val="24"/>
        </w:rPr>
      </w:pPr>
    </w:p>
    <w:p w14:paraId="01F8B866"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DC6DC7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 and Special Note to Part C of this Chapter 9.</w:t>
      </w:r>
    </w:p>
    <w:p w14:paraId="1104E96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In cases involving a single defendant and no counterclaim, this instruction should be preceded by Instruction 9:22 and given in conjunction with either Instructions 9:26A and B or Instructions 9:26C and D. </w:t>
      </w:r>
      <w:r w:rsidRPr="00932723">
        <w:rPr>
          <w:rFonts w:eastAsia="Times New Roman"/>
          <w:i/>
          <w:sz w:val="24"/>
          <w:szCs w:val="24"/>
        </w:rPr>
        <w:t>See</w:t>
      </w:r>
      <w:r w:rsidRPr="00932723">
        <w:rPr>
          <w:rFonts w:eastAsia="Times New Roman"/>
          <w:sz w:val="24"/>
          <w:szCs w:val="24"/>
        </w:rPr>
        <w:t xml:space="preserve"> Special Note to Part C of this Chapter 9. If there is a counterclaim, a separate set of similar instructions, with plaintiff and defendant reversed, should be given.</w:t>
      </w:r>
    </w:p>
    <w:p w14:paraId="0479C313"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In actions involving multiple defendants but not involving a designated nonparty, Instructions 9:27 and either 9:27A and B or 9:27C and D should be used in conjunction with Instruction 9:22, appropriately modified. In actions involving either a single defendant or multiple defendants and one or more nonparties of whom notice has been properly given under section 13-21-111.5, C.R.S., Instruction 9:28, in conjunction with Instructions 9:28A and B or Instructions 9:28C and D and Instruction 9:22, appropriately modified, should be used rather than this instruction.</w:t>
      </w:r>
    </w:p>
    <w:p w14:paraId="4E3D500C"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4. Section 13-21-111.5(5) requires the trial court to “instruct the jury on the effect of its finding as to the degree or percentage of negligence or fault as between the plaintiff or plaintiffs and the defendant or defendants. However, the jury shall not be informed as to the effect of its finding as the allocation of fault among two or more defendants. . . .” Under an earlier version of this statute, it was reversible error for the trial court to not instruct the jury on the effect of its finding as to the relative negligence of the parties, even though no such instruction was requested by counsel. </w:t>
      </w:r>
      <w:r w:rsidRPr="00932723">
        <w:rPr>
          <w:rFonts w:eastAsia="Times New Roman"/>
          <w:b/>
          <w:sz w:val="24"/>
          <w:szCs w:val="24"/>
        </w:rPr>
        <w:t>Appelgren v. Agri Chem,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39 Colo. App. 158, 562 P.2d 766 (1977).</w:t>
      </w:r>
    </w:p>
    <w:p w14:paraId="2134B347" w14:textId="45B7148D" w:rsidR="00932723" w:rsidRPr="00932723" w:rsidRDefault="00932723" w:rsidP="00932723">
      <w:pPr>
        <w:spacing w:after="240"/>
        <w:ind w:firstLine="720"/>
        <w:rPr>
          <w:rFonts w:eastAsia="Times New Roman"/>
          <w:sz w:val="24"/>
          <w:szCs w:val="24"/>
        </w:rPr>
      </w:pPr>
      <w:r w:rsidRPr="00932723">
        <w:rPr>
          <w:rFonts w:eastAsia="Times New Roman"/>
          <w:sz w:val="24"/>
          <w:szCs w:val="24"/>
        </w:rPr>
        <w:t>5. In any case in which (a) there is more than one plaintiff, or (b) a cross-claim is also being litigated, or (c) any negligence on the plaintiff’s part could only be found by the jury to have been a proximate cause of part</w:t>
      </w:r>
      <w:r w:rsidRPr="00932723">
        <w:rPr>
          <w:rFonts w:eastAsia="Times New Roman"/>
          <w:i/>
          <w:sz w:val="24"/>
          <w:szCs w:val="24"/>
        </w:rPr>
        <w:t xml:space="preserve"> </w:t>
      </w:r>
      <w:r w:rsidRPr="00932723">
        <w:rPr>
          <w:rFonts w:eastAsia="Times New Roman"/>
          <w:sz w:val="24"/>
          <w:szCs w:val="24"/>
        </w:rPr>
        <w:t xml:space="preserve">of his or her damages, the otherwise applicable comparative </w:t>
      </w:r>
      <w:r w:rsidRPr="00932723">
        <w:rPr>
          <w:rFonts w:eastAsia="Times New Roman"/>
          <w:sz w:val="24"/>
          <w:szCs w:val="24"/>
        </w:rPr>
        <w:lastRenderedPageBreak/>
        <w:t>negligence instructions must be appropriately modified. In particular, where there are two or more plaintiffs and (1) there is sufficient evidence for a reasonable jury to find contributory negligence on the part of one plaintiff, but not the other, and (2) there is no basis for imputing such possible contributory negligence of the one plaintiff to the other, this instruction, as well as the appropriate special verdict instructions, must be modified to make it clear to the jury that they are to consider (and compare if they find it to exist) only the possib</w:t>
      </w:r>
      <w:r w:rsidR="00343F53">
        <w:rPr>
          <w:rFonts w:eastAsia="Times New Roman"/>
          <w:sz w:val="24"/>
          <w:szCs w:val="24"/>
        </w:rPr>
        <w:t xml:space="preserve">le negligence of the plaintiff </w:t>
      </w:r>
      <w:r w:rsidRPr="00932723">
        <w:rPr>
          <w:rFonts w:eastAsia="Times New Roman"/>
          <w:sz w:val="24"/>
          <w:szCs w:val="24"/>
        </w:rPr>
        <w:t>whose conduct constitutes sufficient evidence of contributory negligence.</w:t>
      </w:r>
    </w:p>
    <w:p w14:paraId="7DCE793D"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Only the negligence of those who have been made parties or those properly designated as nonparties should be compared; the negligence of a tortfeasor who has not been made a party or properly designated as a nonparty should not be included. </w:t>
      </w:r>
      <w:r w:rsidRPr="00932723">
        <w:rPr>
          <w:rFonts w:eastAsia="Times New Roman"/>
          <w:i/>
          <w:sz w:val="24"/>
          <w:szCs w:val="24"/>
        </w:rPr>
        <w:t>See, e.g.</w:t>
      </w:r>
      <w:r w:rsidRPr="00932723">
        <w:rPr>
          <w:rFonts w:eastAsia="Times New Roman"/>
          <w:sz w:val="24"/>
          <w:szCs w:val="24"/>
        </w:rPr>
        <w:t xml:space="preserve">, </w:t>
      </w:r>
      <w:r w:rsidRPr="00932723">
        <w:rPr>
          <w:rFonts w:eastAsia="Times New Roman"/>
          <w:b/>
          <w:sz w:val="24"/>
          <w:szCs w:val="24"/>
        </w:rPr>
        <w:t>Nat’l Farmers Union Prop. &amp; Cas. Co. v. Frackelton</w:t>
      </w:r>
      <w:r w:rsidRPr="00932723">
        <w:rPr>
          <w:rFonts w:eastAsia="Times New Roman"/>
          <w:sz w:val="24"/>
          <w:szCs w:val="24"/>
        </w:rPr>
        <w:t xml:space="preserve">, 662 P.2d 1056 (Colo. 1983); </w:t>
      </w:r>
      <w:r w:rsidRPr="00932723">
        <w:rPr>
          <w:rFonts w:eastAsia="Times New Roman"/>
          <w:b/>
          <w:sz w:val="24"/>
          <w:szCs w:val="24"/>
        </w:rPr>
        <w:t>Thompson v. Colo. &amp; E. R.R.</w:t>
      </w:r>
      <w:r w:rsidRPr="00932723">
        <w:rPr>
          <w:rFonts w:eastAsia="Times New Roman"/>
          <w:sz w:val="24"/>
          <w:szCs w:val="24"/>
        </w:rPr>
        <w:t>, 852 P.2d 1328 (Colo. App. 1993) (negligence of nonparty cannot be considered unless nonparty is properly designated in pleading that complies with section 13-21-111.5(3)).</w:t>
      </w:r>
    </w:p>
    <w:p w14:paraId="750E202E"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39F56AD7"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sections 13-21-111 and 13-21-111.5.</w:t>
      </w:r>
    </w:p>
    <w:p w14:paraId="171083C3" w14:textId="77777777" w:rsidR="00932723" w:rsidRDefault="00932723">
      <w:pPr>
        <w:rPr>
          <w:rFonts w:eastAsia="Times New Roman"/>
          <w:bCs/>
          <w:sz w:val="24"/>
          <w:szCs w:val="24"/>
        </w:rPr>
      </w:pPr>
      <w:r>
        <w:rPr>
          <w:rFonts w:eastAsia="Times New Roman"/>
          <w:bCs/>
          <w:sz w:val="24"/>
          <w:szCs w:val="24"/>
        </w:rPr>
        <w:br w:type="page"/>
      </w:r>
    </w:p>
    <w:p w14:paraId="6F9B9885" w14:textId="77777777" w:rsidR="00932723" w:rsidRPr="009E3DA4" w:rsidRDefault="00932723" w:rsidP="00932723">
      <w:pPr>
        <w:spacing w:after="240"/>
        <w:ind w:left="720" w:hanging="720"/>
        <w:rPr>
          <w:rFonts w:eastAsia="Times New Roman"/>
          <w:b/>
          <w:sz w:val="24"/>
          <w:szCs w:val="24"/>
        </w:rPr>
      </w:pPr>
      <w:bookmarkStart w:id="31" w:name="a9_26A"/>
      <w:bookmarkEnd w:id="31"/>
      <w:r w:rsidRPr="00932723">
        <w:rPr>
          <w:rFonts w:eastAsia="Times New Roman"/>
          <w:b/>
          <w:sz w:val="24"/>
          <w:szCs w:val="24"/>
        </w:rPr>
        <w:lastRenderedPageBreak/>
        <w:t xml:space="preserve">9:26A </w:t>
      </w:r>
      <w:r w:rsidRPr="00932723">
        <w:rPr>
          <w:rFonts w:eastAsia="Times New Roman"/>
          <w:b/>
          <w:sz w:val="24"/>
          <w:szCs w:val="24"/>
        </w:rPr>
        <w:tab/>
        <w:t>SPECIAL VERDICT QUESTIONS — MECHANICS FOR SUBMITTING — COMPARATIVE NEGLIGENCE OF THE PLAINTIFF — SINGLE DEFENDANT — NO DESIGNATED NONPARTY</w:t>
      </w:r>
    </w:p>
    <w:p w14:paraId="3F37078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You are instructed to answer the following questions. You must all agree on your answers to each question for which an answer is required.</w:t>
      </w:r>
    </w:p>
    <w:p w14:paraId="3D278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w:t>
      </w:r>
    </w:p>
    <w:p w14:paraId="2FF09D7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w:t>
      </w:r>
    </w:p>
    <w:p w14:paraId="3CD49A25"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w:t>
      </w:r>
    </w:p>
    <w:p w14:paraId="432A49B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any one or more of the above three questions is “no,” then your foreperson shall complete only Special Verdict Form A and all jurors shall sign it.</w:t>
      </w:r>
    </w:p>
    <w:p w14:paraId="485AEE3C"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63725E3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w:t>
      </w:r>
    </w:p>
    <w:p w14:paraId="35947B4E"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w:t>
      </w:r>
    </w:p>
    <w:p w14:paraId="1C4B42B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0E4A5499"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xml:space="preserve"> You should answer “0” if you determine there were none.</w:t>
      </w:r>
    </w:p>
    <w:p w14:paraId="549C3252"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07434B3C"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(c. What is the total amount of plaintiff’s damages, if any, for [physical impairment] [or] [disfigurement]? You should answer “0” if you determine there were none.)</w:t>
      </w:r>
    </w:p>
    <w:p w14:paraId="3BA9EF4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all five questions 1, 2, 3, 4, and 5 is “yes,” then you shall also answer the following question 7 on Special Verdict Form B.</w:t>
      </w:r>
    </w:p>
    <w:p w14:paraId="014E20C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lastRenderedPageBreak/>
        <w:t>7. Taking as 100 percent the combined negligence of the defendant and the plaintiff that caused the plaintiff’s (injuries) (damages) (losses), what percentage of the negligence was the defendant’s and what percentage was the plaintiff’s?</w:t>
      </w:r>
    </w:p>
    <w:p w14:paraId="2D4C8142" w14:textId="77777777" w:rsidR="00932723" w:rsidRDefault="00932723" w:rsidP="00932723">
      <w:pPr>
        <w:jc w:val="center"/>
        <w:rPr>
          <w:rFonts w:eastAsia="Times New Roman"/>
          <w:sz w:val="24"/>
          <w:szCs w:val="24"/>
        </w:rPr>
      </w:pPr>
    </w:p>
    <w:p w14:paraId="6B078A55"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B52BD8E"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Instructions 6:1 (personal injuries) and 9:22 should be used with this instruction. The Notes on Use to Instructions 4:4 (verdict form), 6:1, and 9:22 are applicable to this instruction, along with the Special Note to Part C of this Chapter 9.</w:t>
      </w:r>
    </w:p>
    <w:p w14:paraId="503EA436"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The parenthesized language in the first sentences of paragraphs 6a, 6b, and 6c of this instruction should only be given if there is sufficient evidence from which it can be inferred with a reasonable degree of probability that physical impairment or disfigurement has been sustained. </w:t>
      </w:r>
    </w:p>
    <w:p w14:paraId="0E2E8B3B"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Omit the parenthesized clause in numbered question 6 unless some evidence of negligent conduct on the part of a person other than the plaintiff or the defendant has been brought into the case.</w:t>
      </w:r>
    </w:p>
    <w:p w14:paraId="2AA0013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Whenever this instruction is given, the two verdict forms set out in Instruction 9:26B must also be used.</w:t>
      </w:r>
    </w:p>
    <w:p w14:paraId="575B905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5. Insert any other questions which may be necessary to resolve properly any other claims of the plaintiff or affirmative defenses of the defendant.</w:t>
      </w:r>
    </w:p>
    <w:p w14:paraId="6EBC5E7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6. If, in a district court case, the parties have stipulated to a verdict or finding by some stated majority pursuant to C.R.C.P. 48, this instruction should be modified accordingly.</w:t>
      </w:r>
    </w:p>
    <w:p w14:paraId="4B821DA1"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59B78E1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71D3EC90" w14:textId="77777777" w:rsidR="00932723" w:rsidRDefault="00932723">
      <w:pPr>
        <w:rPr>
          <w:rFonts w:eastAsia="Times New Roman"/>
          <w:bCs/>
          <w:sz w:val="24"/>
          <w:szCs w:val="24"/>
        </w:rPr>
      </w:pPr>
      <w:r>
        <w:rPr>
          <w:rFonts w:eastAsia="Times New Roman"/>
          <w:bCs/>
          <w:sz w:val="24"/>
          <w:szCs w:val="24"/>
        </w:rPr>
        <w:br w:type="page"/>
      </w:r>
    </w:p>
    <w:p w14:paraId="6A273E15" w14:textId="77777777" w:rsidR="00932723" w:rsidRPr="009E3DA4" w:rsidRDefault="00932723" w:rsidP="00932723">
      <w:pPr>
        <w:spacing w:after="240"/>
        <w:ind w:left="720" w:hanging="720"/>
        <w:rPr>
          <w:rFonts w:eastAsia="Times New Roman"/>
          <w:b/>
          <w:sz w:val="24"/>
          <w:szCs w:val="24"/>
        </w:rPr>
      </w:pPr>
      <w:bookmarkStart w:id="32" w:name="a9_26B"/>
      <w:bookmarkEnd w:id="32"/>
      <w:r w:rsidRPr="00932723">
        <w:rPr>
          <w:rFonts w:eastAsia="Times New Roman"/>
          <w:b/>
          <w:sz w:val="24"/>
          <w:szCs w:val="24"/>
        </w:rPr>
        <w:lastRenderedPageBreak/>
        <w:t xml:space="preserve">9:26B </w:t>
      </w:r>
      <w:r w:rsidRPr="00932723">
        <w:rPr>
          <w:rFonts w:eastAsia="Times New Roman"/>
          <w:b/>
          <w:sz w:val="24"/>
          <w:szCs w:val="24"/>
        </w:rPr>
        <w:tab/>
        <w:t>SPECIAL VERDICT FORMS — COMPARATIVE NEGLIGENCE OF THE PLAINTIFF — NO COUNTERCLAIM — SINGLE DEFENDANT — NO DESIGNATED NONPARTY — FORMS A AND B</w:t>
      </w:r>
    </w:p>
    <w:p w14:paraId="7E858983"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A:</w:t>
      </w:r>
    </w:p>
    <w:p w14:paraId="63F95748" w14:textId="77777777" w:rsidR="00932723" w:rsidRPr="00932723" w:rsidRDefault="00932723" w:rsidP="00932723">
      <w:pPr>
        <w:rPr>
          <w:rFonts w:eastAsia="Times New Roman"/>
          <w:b/>
          <w:sz w:val="24"/>
          <w:szCs w:val="24"/>
        </w:rPr>
      </w:pPr>
    </w:p>
    <w:p w14:paraId="6F964630"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730F81E4"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34F6FBBE" w14:textId="77777777" w:rsidR="00932723" w:rsidRPr="00932723" w:rsidRDefault="00932723" w:rsidP="00932723">
      <w:pPr>
        <w:rPr>
          <w:rFonts w:eastAsia="Times New Roman"/>
          <w:b/>
          <w:sz w:val="24"/>
          <w:szCs w:val="24"/>
        </w:rPr>
      </w:pPr>
    </w:p>
    <w:p w14:paraId="022481DE"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4D96CCF5" w14:textId="77777777" w:rsidR="00932723" w:rsidRPr="00932723" w:rsidRDefault="00932723" w:rsidP="00932723">
      <w:pPr>
        <w:rPr>
          <w:rFonts w:eastAsia="Times New Roman"/>
          <w:b/>
          <w:sz w:val="24"/>
          <w:szCs w:val="24"/>
        </w:rPr>
      </w:pPr>
    </w:p>
    <w:p w14:paraId="2D41AC66" w14:textId="77777777" w:rsidR="00932723" w:rsidRPr="00932723" w:rsidRDefault="00932723" w:rsidP="00932723">
      <w:pPr>
        <w:rPr>
          <w:rFonts w:eastAsia="Times New Roman"/>
          <w:b/>
          <w:sz w:val="24"/>
          <w:szCs w:val="24"/>
        </w:rPr>
      </w:pPr>
    </w:p>
    <w:p w14:paraId="4B7F83EB" w14:textId="77777777" w:rsidR="00932723" w:rsidRPr="00932723" w:rsidRDefault="00932723" w:rsidP="00932723">
      <w:pPr>
        <w:rPr>
          <w:rFonts w:eastAsia="Times New Roman"/>
          <w:b/>
          <w:sz w:val="24"/>
          <w:szCs w:val="24"/>
        </w:rPr>
      </w:pPr>
    </w:p>
    <w:p w14:paraId="75F4B76B"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482D7709"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w:t>
      </w:r>
      <w:r w:rsidRPr="00932723">
        <w:rPr>
          <w:rFonts w:eastAsia="Times New Roman"/>
          <w:b/>
          <w:sz w:val="24"/>
          <w:szCs w:val="24"/>
        </w:rPr>
        <w:tab/>
      </w:r>
      <w:r w:rsidRPr="00932723">
        <w:rPr>
          <w:rFonts w:eastAsia="Times New Roman"/>
          <w:b/>
          <w:sz w:val="24"/>
          <w:szCs w:val="24"/>
        </w:rPr>
        <w:tab/>
        <w:t xml:space="preserve">    )</w:t>
      </w:r>
    </w:p>
    <w:p w14:paraId="133C7528"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11672DB1"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3E508E95"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A</w:t>
      </w:r>
    </w:p>
    <w:p w14:paraId="337AB53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05868C3F"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15BF0623" w14:textId="77777777" w:rsidR="00932723" w:rsidRPr="00932723" w:rsidRDefault="00932723" w:rsidP="00932723">
      <w:pPr>
        <w:rPr>
          <w:rFonts w:eastAsia="Times New Roman"/>
          <w:b/>
          <w:sz w:val="24"/>
          <w:szCs w:val="24"/>
        </w:rPr>
      </w:pPr>
    </w:p>
    <w:p w14:paraId="5C5B177F" w14:textId="77777777" w:rsidR="00932723" w:rsidRPr="00932723" w:rsidRDefault="00932723" w:rsidP="00932723">
      <w:pPr>
        <w:rPr>
          <w:rFonts w:eastAsia="Times New Roman"/>
          <w:b/>
          <w:sz w:val="24"/>
          <w:szCs w:val="24"/>
        </w:rPr>
      </w:pPr>
    </w:p>
    <w:p w14:paraId="2DA1587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A IF YOUR FOREPERSON HAS COMPLETED AND ALL JURORS HAVE SIGNED SPECIAL VERDICT FORM B.</w:t>
      </w:r>
    </w:p>
    <w:p w14:paraId="21CC0508" w14:textId="77777777" w:rsidR="00932723" w:rsidRPr="00932723" w:rsidRDefault="00932723" w:rsidP="00932723">
      <w:pPr>
        <w:ind w:firstLine="720"/>
        <w:rPr>
          <w:rFonts w:eastAsia="Times New Roman"/>
          <w:b/>
          <w:sz w:val="24"/>
          <w:szCs w:val="24"/>
        </w:rPr>
      </w:pPr>
    </w:p>
    <w:p w14:paraId="2AE9CD0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666BB6E5" w14:textId="77777777" w:rsidR="00932723" w:rsidRPr="00932723" w:rsidRDefault="00932723" w:rsidP="00932723">
      <w:pPr>
        <w:ind w:firstLine="720"/>
        <w:rPr>
          <w:rFonts w:eastAsia="Times New Roman"/>
          <w:b/>
          <w:sz w:val="24"/>
          <w:szCs w:val="24"/>
        </w:rPr>
      </w:pPr>
    </w:p>
    <w:p w14:paraId="4D546D3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3AEEEB1D" w14:textId="77777777" w:rsidR="00932723" w:rsidRPr="00932723" w:rsidRDefault="00932723" w:rsidP="00932723">
      <w:pPr>
        <w:ind w:firstLine="720"/>
        <w:rPr>
          <w:rFonts w:eastAsia="Times New Roman"/>
          <w:b/>
          <w:sz w:val="24"/>
          <w:szCs w:val="24"/>
        </w:rPr>
      </w:pPr>
    </w:p>
    <w:p w14:paraId="7ABE955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7C743AB0" w14:textId="77777777" w:rsidR="00932723" w:rsidRPr="00932723" w:rsidRDefault="00932723" w:rsidP="00932723">
      <w:pPr>
        <w:ind w:firstLine="720"/>
        <w:rPr>
          <w:rFonts w:eastAsia="Times New Roman"/>
          <w:b/>
          <w:sz w:val="24"/>
          <w:szCs w:val="24"/>
        </w:rPr>
      </w:pPr>
    </w:p>
    <w:p w14:paraId="11FC7D8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1E688D2B" w14:textId="77777777" w:rsidR="00932723" w:rsidRPr="00932723" w:rsidRDefault="00932723" w:rsidP="00932723">
      <w:pPr>
        <w:ind w:firstLine="720"/>
        <w:rPr>
          <w:rFonts w:eastAsia="Times New Roman"/>
          <w:b/>
          <w:sz w:val="24"/>
          <w:szCs w:val="24"/>
        </w:rPr>
      </w:pPr>
    </w:p>
    <w:p w14:paraId="2BFC7E64"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0899F05" w14:textId="77777777" w:rsidR="00932723" w:rsidRPr="00932723" w:rsidRDefault="00932723" w:rsidP="00932723">
      <w:pPr>
        <w:ind w:firstLine="720"/>
        <w:rPr>
          <w:rFonts w:eastAsia="Times New Roman"/>
          <w:b/>
          <w:sz w:val="24"/>
          <w:szCs w:val="24"/>
        </w:rPr>
      </w:pPr>
    </w:p>
    <w:p w14:paraId="0AA62A6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3B4A17C" w14:textId="77777777" w:rsidR="00932723" w:rsidRPr="00932723" w:rsidRDefault="00932723" w:rsidP="00932723">
      <w:pPr>
        <w:ind w:firstLine="720"/>
        <w:rPr>
          <w:rFonts w:eastAsia="Times New Roman"/>
          <w:b/>
          <w:sz w:val="24"/>
          <w:szCs w:val="24"/>
        </w:rPr>
      </w:pPr>
    </w:p>
    <w:p w14:paraId="63A3C825"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D4212D4" w14:textId="77777777" w:rsidR="00932723" w:rsidRPr="00932723" w:rsidRDefault="00932723" w:rsidP="00932723">
      <w:pPr>
        <w:ind w:firstLine="720"/>
        <w:rPr>
          <w:rFonts w:eastAsia="Times New Roman"/>
          <w:b/>
          <w:sz w:val="24"/>
          <w:szCs w:val="24"/>
        </w:rPr>
      </w:pPr>
    </w:p>
    <w:p w14:paraId="0AD90B4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We, the jury, having answered one or more of the above three questions “no,” find the issues for the defendant, </w:t>
      </w:r>
      <w:r w:rsidRPr="00932723">
        <w:rPr>
          <w:rFonts w:eastAsia="Times New Roman"/>
          <w:i/>
          <w:sz w:val="24"/>
          <w:szCs w:val="24"/>
        </w:rPr>
        <w:t>(name)</w:t>
      </w:r>
      <w:r w:rsidRPr="00932723">
        <w:rPr>
          <w:rFonts w:eastAsia="Times New Roman"/>
          <w:b/>
          <w:sz w:val="24"/>
          <w:szCs w:val="24"/>
        </w:rPr>
        <w:t>.</w:t>
      </w:r>
    </w:p>
    <w:p w14:paraId="4391BE50" w14:textId="77777777" w:rsidR="00932723" w:rsidRPr="00932723" w:rsidRDefault="00932723" w:rsidP="00932723">
      <w:pPr>
        <w:rPr>
          <w:rFonts w:eastAsia="Times New Roman"/>
          <w:b/>
          <w:sz w:val="24"/>
          <w:szCs w:val="24"/>
        </w:rPr>
      </w:pPr>
    </w:p>
    <w:p w14:paraId="493EED03" w14:textId="77777777" w:rsidR="00932723" w:rsidRPr="00932723" w:rsidRDefault="00932723" w:rsidP="00932723">
      <w:pPr>
        <w:rPr>
          <w:rFonts w:eastAsia="Times New Roman"/>
          <w:b/>
          <w:sz w:val="24"/>
          <w:szCs w:val="24"/>
        </w:rPr>
      </w:pPr>
    </w:p>
    <w:p w14:paraId="0E175F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lastRenderedPageBreak/>
        <w:t>Signatures of all jurors:</w:t>
      </w:r>
    </w:p>
    <w:p w14:paraId="31C277BD" w14:textId="77777777" w:rsidR="00932723" w:rsidRPr="00932723" w:rsidRDefault="00932723" w:rsidP="00932723">
      <w:pPr>
        <w:rPr>
          <w:rFonts w:eastAsia="Times New Roman"/>
          <w:b/>
          <w:sz w:val="24"/>
          <w:szCs w:val="24"/>
        </w:rPr>
      </w:pPr>
    </w:p>
    <w:p w14:paraId="0C785FB6"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00FC78A0"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70AC4BBE"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1CE2AC04" w14:textId="77777777" w:rsidR="00932723" w:rsidRPr="00932723" w:rsidRDefault="00932723" w:rsidP="00932723">
      <w:pPr>
        <w:rPr>
          <w:rFonts w:eastAsia="Times New Roman"/>
          <w:b/>
          <w:sz w:val="24"/>
          <w:szCs w:val="24"/>
        </w:rPr>
      </w:pPr>
    </w:p>
    <w:p w14:paraId="3EEDDB5D"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6054452" w14:textId="77777777" w:rsidR="00932723" w:rsidRPr="00932723" w:rsidRDefault="00932723" w:rsidP="00932723">
      <w:pPr>
        <w:rPr>
          <w:rFonts w:eastAsia="Times New Roman"/>
          <w:b/>
          <w:sz w:val="24"/>
          <w:szCs w:val="24"/>
        </w:rPr>
      </w:pPr>
    </w:p>
    <w:p w14:paraId="531AC6D8" w14:textId="77777777" w:rsidR="00932723" w:rsidRPr="00932723" w:rsidRDefault="00932723" w:rsidP="00932723">
      <w:pPr>
        <w:rPr>
          <w:rFonts w:eastAsia="Times New Roman"/>
          <w:b/>
          <w:sz w:val="24"/>
          <w:szCs w:val="24"/>
        </w:rPr>
      </w:pPr>
    </w:p>
    <w:p w14:paraId="454B2A21"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B:</w:t>
      </w:r>
    </w:p>
    <w:p w14:paraId="6F9C0FC6" w14:textId="77777777" w:rsidR="00932723" w:rsidRPr="00932723" w:rsidRDefault="00932723" w:rsidP="00932723">
      <w:pPr>
        <w:rPr>
          <w:rFonts w:eastAsia="Times New Roman"/>
          <w:b/>
          <w:sz w:val="24"/>
          <w:szCs w:val="24"/>
        </w:rPr>
      </w:pPr>
    </w:p>
    <w:p w14:paraId="51160C53"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55E3AD7C"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1A834604" w14:textId="77777777" w:rsidR="00932723" w:rsidRPr="00932723" w:rsidRDefault="00932723" w:rsidP="00932723">
      <w:pPr>
        <w:rPr>
          <w:rFonts w:eastAsia="Times New Roman"/>
          <w:b/>
          <w:sz w:val="24"/>
          <w:szCs w:val="24"/>
        </w:rPr>
      </w:pPr>
    </w:p>
    <w:p w14:paraId="3921C45F"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5F773DD6" w14:textId="77777777" w:rsidR="00932723" w:rsidRPr="00932723" w:rsidRDefault="00932723" w:rsidP="00932723">
      <w:pPr>
        <w:jc w:val="center"/>
        <w:rPr>
          <w:rFonts w:eastAsia="Times New Roman"/>
          <w:b/>
          <w:sz w:val="24"/>
          <w:szCs w:val="24"/>
        </w:rPr>
      </w:pPr>
    </w:p>
    <w:p w14:paraId="7C8C25F6" w14:textId="77777777" w:rsidR="00932723" w:rsidRPr="00932723" w:rsidRDefault="00932723" w:rsidP="00932723">
      <w:pPr>
        <w:rPr>
          <w:rFonts w:eastAsia="Times New Roman"/>
          <w:b/>
          <w:sz w:val="24"/>
          <w:szCs w:val="24"/>
        </w:rPr>
      </w:pPr>
    </w:p>
    <w:p w14:paraId="27994BCD" w14:textId="77777777" w:rsidR="00932723" w:rsidRPr="00932723" w:rsidRDefault="00932723" w:rsidP="00932723">
      <w:pPr>
        <w:rPr>
          <w:rFonts w:eastAsia="Times New Roman"/>
          <w:b/>
          <w:sz w:val="24"/>
          <w:szCs w:val="24"/>
        </w:rPr>
      </w:pPr>
    </w:p>
    <w:p w14:paraId="3EFDADA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24FB794C"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                      )</w:t>
      </w:r>
    </w:p>
    <w:p w14:paraId="5E6910BB"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7FB3B1A4"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2BB2ED5F"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B</w:t>
      </w:r>
    </w:p>
    <w:p w14:paraId="0A4914AE"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30AB0F69"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2D7AEB77" w14:textId="77777777" w:rsidR="00932723" w:rsidRPr="00932723" w:rsidRDefault="00932723" w:rsidP="00932723">
      <w:pPr>
        <w:rPr>
          <w:rFonts w:eastAsia="Times New Roman"/>
          <w:b/>
          <w:sz w:val="24"/>
          <w:szCs w:val="24"/>
        </w:rPr>
      </w:pPr>
    </w:p>
    <w:p w14:paraId="5FA7F02C" w14:textId="77777777" w:rsidR="00932723" w:rsidRPr="00932723" w:rsidRDefault="00932723" w:rsidP="00932723">
      <w:pPr>
        <w:rPr>
          <w:rFonts w:eastAsia="Times New Roman"/>
          <w:b/>
          <w:sz w:val="24"/>
          <w:szCs w:val="24"/>
        </w:rPr>
      </w:pPr>
    </w:p>
    <w:p w14:paraId="48B5ADD0"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B IF YOUR FOREPERSON HAS COMPLETED AND ALL JURORS HAVE SIGNED SPECIAL VERDICT FORM A.</w:t>
      </w:r>
    </w:p>
    <w:p w14:paraId="7CD9D8A1" w14:textId="77777777" w:rsidR="00932723" w:rsidRPr="00932723" w:rsidRDefault="00932723" w:rsidP="00932723">
      <w:pPr>
        <w:ind w:firstLine="720"/>
        <w:rPr>
          <w:rFonts w:eastAsia="Times New Roman"/>
          <w:b/>
          <w:sz w:val="24"/>
          <w:szCs w:val="24"/>
        </w:rPr>
      </w:pPr>
    </w:p>
    <w:p w14:paraId="4C58910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7CC15D3C" w14:textId="77777777" w:rsidR="00932723" w:rsidRPr="00932723" w:rsidRDefault="00932723" w:rsidP="00932723">
      <w:pPr>
        <w:ind w:firstLine="720"/>
        <w:rPr>
          <w:rFonts w:eastAsia="Times New Roman"/>
          <w:b/>
          <w:sz w:val="24"/>
          <w:szCs w:val="24"/>
        </w:rPr>
      </w:pPr>
    </w:p>
    <w:p w14:paraId="2122CBDF"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4EF3F444" w14:textId="77777777" w:rsidR="00932723" w:rsidRPr="00932723" w:rsidRDefault="00932723" w:rsidP="00932723">
      <w:pPr>
        <w:ind w:firstLine="720"/>
        <w:rPr>
          <w:rFonts w:eastAsia="Times New Roman"/>
          <w:b/>
          <w:sz w:val="24"/>
          <w:szCs w:val="24"/>
        </w:rPr>
      </w:pPr>
    </w:p>
    <w:p w14:paraId="7FEEAEC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02B37BC9" w14:textId="77777777" w:rsidR="00932723" w:rsidRPr="00932723" w:rsidRDefault="00932723" w:rsidP="00932723">
      <w:pPr>
        <w:ind w:firstLine="720"/>
        <w:rPr>
          <w:rFonts w:eastAsia="Times New Roman"/>
          <w:b/>
          <w:sz w:val="24"/>
          <w:szCs w:val="24"/>
        </w:rPr>
      </w:pPr>
    </w:p>
    <w:p w14:paraId="3AA074C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38AC0CCC" w14:textId="77777777" w:rsidR="00932723" w:rsidRPr="00932723" w:rsidRDefault="00932723" w:rsidP="00932723">
      <w:pPr>
        <w:ind w:firstLine="720"/>
        <w:rPr>
          <w:rFonts w:eastAsia="Times New Roman"/>
          <w:b/>
          <w:sz w:val="24"/>
          <w:szCs w:val="24"/>
        </w:rPr>
      </w:pPr>
    </w:p>
    <w:p w14:paraId="3B73C22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62ED30E8" w14:textId="77777777" w:rsidR="00932723" w:rsidRPr="00932723" w:rsidRDefault="00932723" w:rsidP="00932723">
      <w:pPr>
        <w:ind w:firstLine="720"/>
        <w:rPr>
          <w:rFonts w:eastAsia="Times New Roman"/>
          <w:b/>
          <w:sz w:val="24"/>
          <w:szCs w:val="24"/>
        </w:rPr>
      </w:pPr>
    </w:p>
    <w:p w14:paraId="407A18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6FADBBC" w14:textId="77777777" w:rsidR="00932723" w:rsidRPr="00932723" w:rsidRDefault="00932723" w:rsidP="00932723">
      <w:pPr>
        <w:ind w:firstLine="720"/>
        <w:rPr>
          <w:rFonts w:eastAsia="Times New Roman"/>
          <w:b/>
          <w:sz w:val="24"/>
          <w:szCs w:val="24"/>
        </w:rPr>
      </w:pPr>
    </w:p>
    <w:p w14:paraId="00CC89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41CA652C" w14:textId="77777777" w:rsidR="00932723" w:rsidRPr="00932723" w:rsidRDefault="00932723" w:rsidP="00932723">
      <w:pPr>
        <w:ind w:firstLine="720"/>
        <w:rPr>
          <w:rFonts w:eastAsia="Times New Roman"/>
          <w:b/>
          <w:sz w:val="24"/>
          <w:szCs w:val="24"/>
        </w:rPr>
      </w:pPr>
    </w:p>
    <w:p w14:paraId="0C9833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 (Yes or No)</w:t>
      </w:r>
    </w:p>
    <w:p w14:paraId="45EC99B9" w14:textId="77777777" w:rsidR="00932723" w:rsidRPr="00932723" w:rsidRDefault="00932723" w:rsidP="00932723">
      <w:pPr>
        <w:ind w:firstLine="720"/>
        <w:rPr>
          <w:rFonts w:eastAsia="Times New Roman"/>
          <w:b/>
          <w:sz w:val="24"/>
          <w:szCs w:val="24"/>
        </w:rPr>
      </w:pPr>
    </w:p>
    <w:p w14:paraId="20D23A0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C0906FE" w14:textId="77777777" w:rsidR="00932723" w:rsidRPr="00932723" w:rsidRDefault="00932723" w:rsidP="00932723">
      <w:pPr>
        <w:ind w:firstLine="720"/>
        <w:rPr>
          <w:rFonts w:eastAsia="Times New Roman"/>
          <w:b/>
          <w:sz w:val="24"/>
          <w:szCs w:val="24"/>
        </w:rPr>
      </w:pPr>
    </w:p>
    <w:p w14:paraId="415E200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 (Yes or No)</w:t>
      </w:r>
    </w:p>
    <w:p w14:paraId="5300947F" w14:textId="77777777" w:rsidR="00932723" w:rsidRPr="00932723" w:rsidRDefault="00932723" w:rsidP="00932723">
      <w:pPr>
        <w:ind w:firstLine="720"/>
        <w:rPr>
          <w:rFonts w:eastAsia="Times New Roman"/>
          <w:b/>
          <w:sz w:val="24"/>
          <w:szCs w:val="24"/>
        </w:rPr>
      </w:pPr>
    </w:p>
    <w:p w14:paraId="584DBD0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95A91A9" w14:textId="77777777" w:rsidR="00932723" w:rsidRPr="00932723" w:rsidRDefault="00932723" w:rsidP="00932723">
      <w:pPr>
        <w:ind w:firstLine="720"/>
        <w:rPr>
          <w:rFonts w:eastAsia="Times New Roman"/>
          <w:b/>
          <w:sz w:val="24"/>
          <w:szCs w:val="24"/>
        </w:rPr>
      </w:pPr>
    </w:p>
    <w:p w14:paraId="6292D67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363B47F0" w14:textId="77777777" w:rsidR="00932723" w:rsidRPr="00932723" w:rsidRDefault="00932723" w:rsidP="00932723">
      <w:pPr>
        <w:rPr>
          <w:rFonts w:eastAsia="Times New Roman"/>
          <w:b/>
          <w:sz w:val="24"/>
          <w:szCs w:val="24"/>
        </w:rPr>
      </w:pPr>
    </w:p>
    <w:p w14:paraId="1B438374" w14:textId="00B356C3" w:rsidR="00932723" w:rsidRPr="00932723" w:rsidRDefault="00932723" w:rsidP="00932723">
      <w:pPr>
        <w:ind w:left="720"/>
        <w:rPr>
          <w:rFonts w:eastAsia="Times New Roman"/>
          <w:b/>
          <w:sz w:val="24"/>
          <w:szCs w:val="24"/>
        </w:rPr>
      </w:pPr>
      <w:r w:rsidRPr="00932723">
        <w:rPr>
          <w:rFonts w:eastAsia="Times New Roman"/>
          <w:b/>
          <w:sz w:val="24"/>
          <w:szCs w:val="24"/>
        </w:rPr>
        <w:t>a. What is the total amount of plaintiff’s damages, if any, for noneconomic losses or injuries (, excluding any damages for [physical impa</w:t>
      </w:r>
      <w:r w:rsidR="00343F53">
        <w:rPr>
          <w:rFonts w:eastAsia="Times New Roman"/>
          <w:b/>
          <w:sz w:val="24"/>
          <w:szCs w:val="24"/>
        </w:rPr>
        <w:t xml:space="preserve">irment] [or] [disfigurement])? </w:t>
      </w:r>
      <w:r w:rsidRPr="00932723">
        <w:rPr>
          <w:rFonts w:eastAsia="Times New Roman"/>
          <w:b/>
          <w:sz w:val="24"/>
          <w:szCs w:val="24"/>
        </w:rPr>
        <w:t xml:space="preserve">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You should answer “0” if you determine there were none.</w:t>
      </w:r>
    </w:p>
    <w:p w14:paraId="0816B4A3" w14:textId="77777777" w:rsidR="00932723" w:rsidRPr="00932723" w:rsidRDefault="00932723" w:rsidP="00932723">
      <w:pPr>
        <w:ind w:left="720"/>
        <w:rPr>
          <w:rFonts w:eastAsia="Times New Roman"/>
          <w:b/>
          <w:sz w:val="24"/>
          <w:szCs w:val="24"/>
        </w:rPr>
      </w:pPr>
    </w:p>
    <w:p w14:paraId="6A1C8D3B"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462FD3A" w14:textId="77777777" w:rsidR="00932723" w:rsidRPr="00932723" w:rsidRDefault="00932723" w:rsidP="00932723">
      <w:pPr>
        <w:ind w:left="720"/>
        <w:rPr>
          <w:rFonts w:eastAsia="Times New Roman"/>
          <w:b/>
          <w:sz w:val="24"/>
          <w:szCs w:val="24"/>
        </w:rPr>
      </w:pPr>
    </w:p>
    <w:p w14:paraId="44999062" w14:textId="77777777" w:rsidR="00932723" w:rsidRPr="00932723" w:rsidRDefault="00932723" w:rsidP="00932723">
      <w:pPr>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5244D22C" w14:textId="77777777" w:rsidR="00932723" w:rsidRPr="00932723" w:rsidRDefault="00932723" w:rsidP="00932723">
      <w:pPr>
        <w:ind w:left="720"/>
        <w:rPr>
          <w:rFonts w:eastAsia="Times New Roman"/>
          <w:b/>
          <w:sz w:val="24"/>
          <w:szCs w:val="24"/>
        </w:rPr>
      </w:pPr>
    </w:p>
    <w:p w14:paraId="353FC245"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A0C9433" w14:textId="77777777" w:rsidR="00932723" w:rsidRPr="00932723" w:rsidRDefault="00932723" w:rsidP="00932723">
      <w:pPr>
        <w:ind w:left="720"/>
        <w:rPr>
          <w:rFonts w:eastAsia="Times New Roman"/>
          <w:b/>
          <w:sz w:val="24"/>
          <w:szCs w:val="24"/>
        </w:rPr>
      </w:pPr>
    </w:p>
    <w:p w14:paraId="7F9E5F23" w14:textId="04BC31B3" w:rsidR="00932723" w:rsidRPr="00932723" w:rsidRDefault="00932723" w:rsidP="00932723">
      <w:pPr>
        <w:ind w:left="720"/>
        <w:rPr>
          <w:rFonts w:eastAsia="Times New Roman"/>
          <w:b/>
          <w:sz w:val="24"/>
          <w:szCs w:val="24"/>
        </w:rPr>
      </w:pPr>
      <w:r w:rsidRPr="00932723">
        <w:rPr>
          <w:rFonts w:eastAsia="Times New Roman"/>
          <w:b/>
          <w:sz w:val="24"/>
          <w:szCs w:val="24"/>
        </w:rPr>
        <w:t>(c. What is the total amount of plaintiff’s damages, if any, for [physical imp</w:t>
      </w:r>
      <w:r w:rsidR="00343F53">
        <w:rPr>
          <w:rFonts w:eastAsia="Times New Roman"/>
          <w:b/>
          <w:sz w:val="24"/>
          <w:szCs w:val="24"/>
        </w:rPr>
        <w:t xml:space="preserve">airment] [or] [disfigurement]? </w:t>
      </w:r>
      <w:r w:rsidRPr="00932723">
        <w:rPr>
          <w:rFonts w:eastAsia="Times New Roman"/>
          <w:b/>
          <w:sz w:val="24"/>
          <w:szCs w:val="24"/>
        </w:rPr>
        <w:t>You should answer “0” if you determine there were none.)</w:t>
      </w:r>
    </w:p>
    <w:p w14:paraId="79B4B028" w14:textId="77777777" w:rsidR="00932723" w:rsidRPr="00932723" w:rsidRDefault="00932723" w:rsidP="00932723">
      <w:pPr>
        <w:ind w:left="720"/>
        <w:rPr>
          <w:rFonts w:eastAsia="Times New Roman"/>
          <w:b/>
          <w:sz w:val="24"/>
          <w:szCs w:val="24"/>
        </w:rPr>
      </w:pPr>
    </w:p>
    <w:p w14:paraId="23D6E4D8"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0616051E" w14:textId="77777777" w:rsidR="00932723" w:rsidRPr="00932723" w:rsidRDefault="00932723" w:rsidP="00932723">
      <w:pPr>
        <w:rPr>
          <w:rFonts w:eastAsia="Times New Roman"/>
          <w:b/>
          <w:sz w:val="24"/>
          <w:szCs w:val="24"/>
        </w:rPr>
      </w:pPr>
    </w:p>
    <w:p w14:paraId="15CF10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Answer the following question 7 only if your answer to all five questions 1, 2, 3, 4, and 5 is “yes.”</w:t>
      </w:r>
    </w:p>
    <w:p w14:paraId="43C3D466" w14:textId="77777777" w:rsidR="00932723" w:rsidRPr="00932723" w:rsidRDefault="00932723" w:rsidP="00932723">
      <w:pPr>
        <w:ind w:firstLine="720"/>
        <w:rPr>
          <w:rFonts w:eastAsia="Times New Roman"/>
          <w:b/>
          <w:sz w:val="24"/>
          <w:szCs w:val="24"/>
        </w:rPr>
      </w:pPr>
    </w:p>
    <w:p w14:paraId="4AB81D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145760C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w:t>
      </w:r>
    </w:p>
    <w:p w14:paraId="7728471F" w14:textId="77777777" w:rsidR="00932723" w:rsidRPr="00932723" w:rsidRDefault="00932723" w:rsidP="00932723">
      <w:pPr>
        <w:rPr>
          <w:rFonts w:eastAsia="Times New Roman"/>
          <w:b/>
          <w:sz w:val="24"/>
          <w:szCs w:val="24"/>
        </w:rPr>
      </w:pPr>
    </w:p>
    <w:p w14:paraId="5F3D5D22"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defendant,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502AB858" w14:textId="77777777" w:rsidR="00932723" w:rsidRPr="00932723" w:rsidRDefault="00932723" w:rsidP="00932723">
      <w:pPr>
        <w:tabs>
          <w:tab w:val="right" w:pos="6480"/>
        </w:tabs>
        <w:rPr>
          <w:rFonts w:eastAsia="Times New Roman"/>
          <w:b/>
          <w:sz w:val="24"/>
          <w:szCs w:val="24"/>
        </w:rPr>
      </w:pPr>
    </w:p>
    <w:p w14:paraId="11EEDD64"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plaintiff,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13AFFB81" w14:textId="77777777" w:rsidR="00932723" w:rsidRPr="00932723" w:rsidRDefault="00932723" w:rsidP="00932723">
      <w:pPr>
        <w:tabs>
          <w:tab w:val="right" w:pos="6480"/>
        </w:tabs>
        <w:rPr>
          <w:rFonts w:eastAsia="Times New Roman"/>
          <w:b/>
          <w:sz w:val="24"/>
          <w:szCs w:val="24"/>
        </w:rPr>
      </w:pPr>
    </w:p>
    <w:p w14:paraId="615043DA"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ab/>
        <w:t>MUST TOTAL:    100%</w:t>
      </w:r>
    </w:p>
    <w:p w14:paraId="5F47E0AE" w14:textId="77777777" w:rsidR="00932723" w:rsidRPr="00932723" w:rsidRDefault="00932723" w:rsidP="00932723">
      <w:pPr>
        <w:rPr>
          <w:rFonts w:eastAsia="Times New Roman"/>
          <w:b/>
          <w:sz w:val="24"/>
          <w:szCs w:val="24"/>
        </w:rPr>
      </w:pPr>
    </w:p>
    <w:p w14:paraId="63834EE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F779A29" w14:textId="77777777" w:rsidR="00932723" w:rsidRPr="00932723" w:rsidRDefault="00932723" w:rsidP="00932723">
      <w:pPr>
        <w:rPr>
          <w:rFonts w:eastAsia="Times New Roman"/>
          <w:b/>
          <w:sz w:val="24"/>
          <w:szCs w:val="24"/>
        </w:rPr>
      </w:pPr>
    </w:p>
    <w:p w14:paraId="6A61FC58"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C1AB9EC"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385B7989"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28525EB4" w14:textId="77777777" w:rsidR="00932723" w:rsidRPr="00932723" w:rsidRDefault="00932723" w:rsidP="00932723">
      <w:pPr>
        <w:rPr>
          <w:rFonts w:eastAsia="Times New Roman"/>
          <w:b/>
          <w:sz w:val="24"/>
          <w:szCs w:val="24"/>
        </w:rPr>
      </w:pPr>
    </w:p>
    <w:p w14:paraId="7B07E260"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7884658C" w14:textId="77777777" w:rsidR="00932723" w:rsidRDefault="00932723" w:rsidP="00932723">
      <w:pPr>
        <w:spacing w:after="240"/>
        <w:ind w:firstLine="720"/>
        <w:rPr>
          <w:rFonts w:eastAsia="Times New Roman"/>
          <w:sz w:val="24"/>
          <w:szCs w:val="24"/>
        </w:rPr>
      </w:pPr>
    </w:p>
    <w:p w14:paraId="0A38A2A0" w14:textId="77777777" w:rsidR="00932723" w:rsidRDefault="00932723" w:rsidP="00932723">
      <w:pPr>
        <w:jc w:val="center"/>
        <w:rPr>
          <w:rFonts w:eastAsia="Times New Roman"/>
          <w:sz w:val="24"/>
          <w:szCs w:val="24"/>
        </w:rPr>
      </w:pPr>
    </w:p>
    <w:p w14:paraId="39C383D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CA63716" w14:textId="25C95455" w:rsidR="00D014AE" w:rsidRPr="00D014AE" w:rsidRDefault="00D014AE" w:rsidP="00D014AE">
      <w:pPr>
        <w:spacing w:after="240"/>
        <w:ind w:firstLine="720"/>
        <w:rPr>
          <w:rFonts w:eastAsia="Times New Roman"/>
          <w:sz w:val="24"/>
          <w:szCs w:val="24"/>
        </w:rPr>
      </w:pPr>
      <w:r w:rsidRPr="00D014AE">
        <w:rPr>
          <w:rFonts w:eastAsia="Times New Roman"/>
          <w:sz w:val="24"/>
          <w:szCs w:val="24"/>
        </w:rPr>
        <w:t xml:space="preserve">See </w:t>
      </w:r>
      <w:r w:rsidR="000C67CA">
        <w:rPr>
          <w:rFonts w:eastAsia="Times New Roman"/>
          <w:sz w:val="24"/>
          <w:szCs w:val="24"/>
        </w:rPr>
        <w:t xml:space="preserve">the </w:t>
      </w:r>
      <w:r w:rsidRPr="00D014AE">
        <w:rPr>
          <w:rFonts w:eastAsia="Times New Roman"/>
          <w:sz w:val="24"/>
          <w:szCs w:val="24"/>
        </w:rPr>
        <w:t xml:space="preserve">Notes on Use to Instruction 9:26A and </w:t>
      </w:r>
      <w:r w:rsidR="000C67CA">
        <w:rPr>
          <w:rFonts w:eastAsia="Times New Roman"/>
          <w:sz w:val="24"/>
          <w:szCs w:val="24"/>
        </w:rPr>
        <w:t xml:space="preserve">the </w:t>
      </w:r>
      <w:r w:rsidRPr="00D014AE">
        <w:rPr>
          <w:rFonts w:eastAsia="Times New Roman"/>
          <w:sz w:val="24"/>
          <w:szCs w:val="24"/>
        </w:rPr>
        <w:t>Special Note to Part C of this Chapter 9.</w:t>
      </w:r>
    </w:p>
    <w:p w14:paraId="2F9C0842"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0FF58779"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9:22.</w:t>
      </w:r>
    </w:p>
    <w:p w14:paraId="595AE8F9" w14:textId="77777777" w:rsidR="00D014AE" w:rsidRDefault="00D014AE">
      <w:pPr>
        <w:rPr>
          <w:rFonts w:eastAsia="Times New Roman"/>
          <w:bCs/>
          <w:sz w:val="24"/>
          <w:szCs w:val="24"/>
        </w:rPr>
      </w:pPr>
      <w:r>
        <w:rPr>
          <w:rFonts w:eastAsia="Times New Roman"/>
          <w:bCs/>
          <w:sz w:val="24"/>
          <w:szCs w:val="24"/>
        </w:rPr>
        <w:br w:type="page"/>
      </w:r>
    </w:p>
    <w:p w14:paraId="0FA88542" w14:textId="77777777" w:rsidR="00D014AE" w:rsidRPr="009E3DA4" w:rsidRDefault="00D014AE" w:rsidP="00D014AE">
      <w:pPr>
        <w:spacing w:after="240"/>
        <w:ind w:left="720" w:hanging="720"/>
        <w:rPr>
          <w:rFonts w:eastAsia="Times New Roman"/>
          <w:b/>
          <w:sz w:val="24"/>
          <w:szCs w:val="24"/>
        </w:rPr>
      </w:pPr>
      <w:bookmarkStart w:id="33" w:name="a9_26C"/>
      <w:bookmarkEnd w:id="33"/>
      <w:r w:rsidRPr="00D014AE">
        <w:rPr>
          <w:rFonts w:eastAsia="Times New Roman"/>
          <w:b/>
          <w:sz w:val="24"/>
          <w:szCs w:val="24"/>
        </w:rPr>
        <w:lastRenderedPageBreak/>
        <w:t xml:space="preserve">9:26C </w:t>
      </w:r>
      <w:r w:rsidRPr="00D014AE">
        <w:rPr>
          <w:rFonts w:eastAsia="Times New Roman"/>
          <w:b/>
          <w:sz w:val="24"/>
          <w:szCs w:val="24"/>
        </w:rPr>
        <w:tab/>
        <w:t>SPECIAL VERDICT QUESTIONS — MECHANICS FOR SUBMITTING — COMPARATIVE NEGLIGENCE OF THE PLAINTIFF — NO COUNTERCLAIM — SINGLE DEFENDANT — NO DESIGNATED NONPARTY (ALTERNATIVE TO INSTRUCTION 9:26A)</w:t>
      </w:r>
    </w:p>
    <w:p w14:paraId="4F0CDE9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You are instructed to answer the following questions. You must all agree on your answers to each question for which an answer is required.</w:t>
      </w:r>
    </w:p>
    <w:p w14:paraId="3BC30CE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w:t>
      </w:r>
    </w:p>
    <w:p w14:paraId="44D21A6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w:t>
      </w:r>
    </w:p>
    <w:p w14:paraId="4B4B0B1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w:t>
      </w:r>
    </w:p>
    <w:p w14:paraId="18F5B4B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any one or more of the above three questions is “no,” then your foreperson shall complete only Special Verdict Form A and all jurors shall sign it.</w:t>
      </w:r>
    </w:p>
    <w:p w14:paraId="2521D8BF"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1E84E73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w:t>
      </w:r>
    </w:p>
    <w:p w14:paraId="6BA5E11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w:t>
      </w:r>
    </w:p>
    <w:p w14:paraId="55B8581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all five questions 1, 2, 3, 4, and 5 is “yes,” then you shall also answer the following question 6 on Special Verdict Form B. Otherwise skip question 6 and go on to question 7.</w:t>
      </w:r>
    </w:p>
    <w:p w14:paraId="1C1746A4"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43FDB97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 determine that the negligence of the plaintiff was equal to or greater than the negligence of the defendant, i.e., 50% or more, then skip question 7.</w:t>
      </w:r>
    </w:p>
    <w:p w14:paraId="77C1442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4C5F726A"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04B530D7"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lastRenderedPageBreak/>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61F63E6"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6D484671" w14:textId="77777777" w:rsidR="00D014AE" w:rsidRDefault="00D014AE" w:rsidP="00D014AE">
      <w:pPr>
        <w:jc w:val="center"/>
        <w:rPr>
          <w:rFonts w:eastAsia="Times New Roman"/>
          <w:sz w:val="24"/>
          <w:szCs w:val="24"/>
        </w:rPr>
      </w:pPr>
    </w:p>
    <w:p w14:paraId="08C35FBB"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4A3C3404"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02A4684E"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78422C8F"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9:26.</w:t>
      </w:r>
    </w:p>
    <w:p w14:paraId="1DB45AF2" w14:textId="77777777" w:rsidR="00D014AE" w:rsidRDefault="00D014AE">
      <w:pPr>
        <w:rPr>
          <w:rFonts w:eastAsia="Times New Roman"/>
          <w:bCs/>
          <w:sz w:val="24"/>
          <w:szCs w:val="24"/>
        </w:rPr>
      </w:pPr>
      <w:r>
        <w:rPr>
          <w:rFonts w:eastAsia="Times New Roman"/>
          <w:bCs/>
          <w:sz w:val="24"/>
          <w:szCs w:val="24"/>
        </w:rPr>
        <w:br w:type="page"/>
      </w:r>
    </w:p>
    <w:p w14:paraId="2B11BD2C" w14:textId="77777777" w:rsidR="00D014AE" w:rsidRPr="009E3DA4" w:rsidRDefault="00D014AE" w:rsidP="00D014AE">
      <w:pPr>
        <w:spacing w:after="240"/>
        <w:ind w:left="720" w:hanging="720"/>
        <w:rPr>
          <w:rFonts w:eastAsia="Times New Roman"/>
          <w:b/>
          <w:sz w:val="24"/>
          <w:szCs w:val="24"/>
        </w:rPr>
      </w:pPr>
      <w:bookmarkStart w:id="34" w:name="a9_26D"/>
      <w:bookmarkEnd w:id="34"/>
      <w:r w:rsidRPr="00D014AE">
        <w:rPr>
          <w:rFonts w:eastAsia="Times New Roman"/>
          <w:b/>
          <w:sz w:val="24"/>
          <w:szCs w:val="24"/>
        </w:rPr>
        <w:lastRenderedPageBreak/>
        <w:t xml:space="preserve">9:26D </w:t>
      </w:r>
      <w:r w:rsidRPr="00D014AE">
        <w:rPr>
          <w:rFonts w:eastAsia="Times New Roman"/>
          <w:b/>
          <w:sz w:val="24"/>
          <w:szCs w:val="24"/>
        </w:rPr>
        <w:tab/>
        <w:t>SPECIAL VERDICT FORMS — COMPARATIVE NEGLIGENCE OF THE PLAINTIFF — NO COUNTERCLAIM — SINGLE DEFENDANT — NO DESIGNATED NONPARTY — FORMS A AND B (ALTERNATIVE TO INSTRUCTION 9:26B)</w:t>
      </w:r>
    </w:p>
    <w:p w14:paraId="629310DB"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A:</w:t>
      </w:r>
    </w:p>
    <w:p w14:paraId="3EFA9386" w14:textId="77777777" w:rsidR="00D014AE" w:rsidRPr="00D014AE" w:rsidRDefault="00D014AE" w:rsidP="00D014AE">
      <w:pPr>
        <w:rPr>
          <w:rFonts w:eastAsia="Times New Roman"/>
          <w:b/>
          <w:sz w:val="24"/>
          <w:szCs w:val="24"/>
        </w:rPr>
      </w:pPr>
    </w:p>
    <w:p w14:paraId="2DFA6016"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944EEC0"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648835E2" w14:textId="77777777" w:rsidR="00D014AE" w:rsidRPr="00D014AE" w:rsidRDefault="00D014AE" w:rsidP="00D014AE">
      <w:pPr>
        <w:rPr>
          <w:rFonts w:eastAsia="Times New Roman"/>
          <w:b/>
          <w:sz w:val="24"/>
          <w:szCs w:val="24"/>
        </w:rPr>
      </w:pPr>
    </w:p>
    <w:p w14:paraId="5887FBF0"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73D9020C" w14:textId="77777777" w:rsidR="00D014AE" w:rsidRPr="00D014AE" w:rsidRDefault="00D014AE" w:rsidP="00D014AE">
      <w:pPr>
        <w:rPr>
          <w:rFonts w:eastAsia="Times New Roman"/>
          <w:b/>
          <w:sz w:val="24"/>
          <w:szCs w:val="24"/>
        </w:rPr>
      </w:pPr>
    </w:p>
    <w:p w14:paraId="67307AB9" w14:textId="77777777" w:rsidR="00D014AE" w:rsidRPr="00D014AE" w:rsidRDefault="00D014AE" w:rsidP="00D014AE">
      <w:pPr>
        <w:rPr>
          <w:rFonts w:eastAsia="Times New Roman"/>
          <w:b/>
          <w:sz w:val="24"/>
          <w:szCs w:val="24"/>
        </w:rPr>
      </w:pPr>
    </w:p>
    <w:p w14:paraId="49E0E87E" w14:textId="77777777" w:rsidR="00D014AE" w:rsidRPr="00D014AE" w:rsidRDefault="00D014AE" w:rsidP="00D014AE">
      <w:pPr>
        <w:rPr>
          <w:rFonts w:eastAsia="Times New Roman"/>
          <w:b/>
          <w:sz w:val="24"/>
          <w:szCs w:val="24"/>
        </w:rPr>
      </w:pPr>
    </w:p>
    <w:p w14:paraId="5444091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511D4644"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6B1D7E29"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657DD477"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274CD6E3"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A</w:t>
      </w:r>
    </w:p>
    <w:p w14:paraId="49DC8D6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2D2927BF"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1EE68BE0" w14:textId="77777777" w:rsidR="00D014AE" w:rsidRPr="00D014AE" w:rsidRDefault="00D014AE" w:rsidP="00D014AE">
      <w:pPr>
        <w:rPr>
          <w:rFonts w:eastAsia="Times New Roman"/>
          <w:b/>
          <w:sz w:val="24"/>
          <w:szCs w:val="24"/>
        </w:rPr>
      </w:pPr>
    </w:p>
    <w:p w14:paraId="0D90E0C7" w14:textId="77777777" w:rsidR="00D014AE" w:rsidRPr="00D014AE" w:rsidRDefault="00D014AE" w:rsidP="00D014AE">
      <w:pPr>
        <w:rPr>
          <w:rFonts w:eastAsia="Times New Roman"/>
          <w:b/>
          <w:sz w:val="24"/>
          <w:szCs w:val="24"/>
        </w:rPr>
      </w:pPr>
    </w:p>
    <w:p w14:paraId="0A0BE1F3"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A IF YOUR FOREPERSON HAS COMPLETED AND ALL JURORS HAVE SIGNED SPECIAL VERDICT FORM B.</w:t>
      </w:r>
    </w:p>
    <w:p w14:paraId="04E7EED6" w14:textId="77777777" w:rsidR="00D014AE" w:rsidRPr="00D014AE" w:rsidRDefault="00D014AE" w:rsidP="00D014AE">
      <w:pPr>
        <w:rPr>
          <w:rFonts w:eastAsia="Times New Roman"/>
          <w:b/>
          <w:sz w:val="24"/>
          <w:szCs w:val="24"/>
        </w:rPr>
      </w:pPr>
    </w:p>
    <w:p w14:paraId="50C24D2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4915A61B" w14:textId="77777777" w:rsidR="00D014AE" w:rsidRPr="00D014AE" w:rsidRDefault="00D014AE" w:rsidP="00D014AE">
      <w:pPr>
        <w:ind w:firstLine="720"/>
        <w:rPr>
          <w:rFonts w:eastAsia="Times New Roman"/>
          <w:b/>
          <w:sz w:val="24"/>
          <w:szCs w:val="24"/>
        </w:rPr>
      </w:pPr>
    </w:p>
    <w:p w14:paraId="5E923FB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2BA30428" w14:textId="77777777" w:rsidR="00D014AE" w:rsidRPr="00D014AE" w:rsidRDefault="00D014AE" w:rsidP="00D014AE">
      <w:pPr>
        <w:ind w:firstLine="720"/>
        <w:rPr>
          <w:rFonts w:eastAsia="Times New Roman"/>
          <w:b/>
          <w:sz w:val="24"/>
          <w:szCs w:val="24"/>
        </w:rPr>
      </w:pPr>
    </w:p>
    <w:p w14:paraId="27E3409C"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4325E7D" w14:textId="77777777" w:rsidR="00D014AE" w:rsidRPr="00D014AE" w:rsidRDefault="00D014AE" w:rsidP="00D014AE">
      <w:pPr>
        <w:ind w:firstLine="720"/>
        <w:rPr>
          <w:rFonts w:eastAsia="Times New Roman"/>
          <w:b/>
          <w:sz w:val="24"/>
          <w:szCs w:val="24"/>
        </w:rPr>
      </w:pPr>
    </w:p>
    <w:p w14:paraId="2B5FB5A2"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11C7C1A0" w14:textId="77777777" w:rsidR="00D014AE" w:rsidRPr="00D014AE" w:rsidRDefault="00D014AE" w:rsidP="00D014AE">
      <w:pPr>
        <w:ind w:firstLine="720"/>
        <w:rPr>
          <w:rFonts w:eastAsia="Times New Roman"/>
          <w:b/>
          <w:sz w:val="24"/>
          <w:szCs w:val="24"/>
        </w:rPr>
      </w:pPr>
    </w:p>
    <w:p w14:paraId="375BCC5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7BA64A4" w14:textId="77777777" w:rsidR="00D014AE" w:rsidRPr="00D014AE" w:rsidRDefault="00D014AE" w:rsidP="00D014AE">
      <w:pPr>
        <w:ind w:firstLine="720"/>
        <w:rPr>
          <w:rFonts w:eastAsia="Times New Roman"/>
          <w:b/>
          <w:sz w:val="24"/>
          <w:szCs w:val="24"/>
        </w:rPr>
      </w:pPr>
    </w:p>
    <w:p w14:paraId="24B3D54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2209B546" w14:textId="77777777" w:rsidR="00D014AE" w:rsidRPr="00D014AE" w:rsidRDefault="00D014AE" w:rsidP="00D014AE">
      <w:pPr>
        <w:ind w:firstLine="720"/>
        <w:rPr>
          <w:rFonts w:eastAsia="Times New Roman"/>
          <w:b/>
          <w:sz w:val="24"/>
          <w:szCs w:val="24"/>
        </w:rPr>
      </w:pPr>
    </w:p>
    <w:p w14:paraId="697C05E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5FBA06C" w14:textId="77777777" w:rsidR="00D014AE" w:rsidRPr="00D014AE" w:rsidRDefault="00D014AE" w:rsidP="00D014AE">
      <w:pPr>
        <w:ind w:firstLine="720"/>
        <w:rPr>
          <w:rFonts w:eastAsia="Times New Roman"/>
          <w:b/>
          <w:sz w:val="24"/>
          <w:szCs w:val="24"/>
        </w:rPr>
      </w:pPr>
    </w:p>
    <w:p w14:paraId="314634D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We, the jury, having answered one or more of the above three questions “no,” find the issues for the defendant, </w:t>
      </w:r>
      <w:r w:rsidRPr="00D014AE">
        <w:rPr>
          <w:rFonts w:eastAsia="Times New Roman"/>
          <w:i/>
          <w:sz w:val="24"/>
          <w:szCs w:val="24"/>
        </w:rPr>
        <w:t>(name)</w:t>
      </w:r>
      <w:r w:rsidRPr="00D014AE">
        <w:rPr>
          <w:rFonts w:eastAsia="Times New Roman"/>
          <w:b/>
          <w:sz w:val="24"/>
          <w:szCs w:val="24"/>
        </w:rPr>
        <w:t>.</w:t>
      </w:r>
    </w:p>
    <w:p w14:paraId="6D65DB44" w14:textId="77777777" w:rsidR="00D014AE" w:rsidRPr="00D014AE" w:rsidRDefault="00D014AE" w:rsidP="00D014AE">
      <w:pPr>
        <w:ind w:firstLine="720"/>
        <w:rPr>
          <w:rFonts w:eastAsia="Times New Roman"/>
          <w:b/>
          <w:sz w:val="24"/>
          <w:szCs w:val="24"/>
        </w:rPr>
      </w:pPr>
    </w:p>
    <w:p w14:paraId="7799C49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Signatures of all jurors:</w:t>
      </w:r>
    </w:p>
    <w:p w14:paraId="611910F4" w14:textId="77777777" w:rsidR="00D014AE" w:rsidRPr="00D014AE" w:rsidRDefault="00D014AE" w:rsidP="00D014AE">
      <w:pPr>
        <w:ind w:firstLine="720"/>
        <w:rPr>
          <w:rFonts w:eastAsia="Times New Roman"/>
          <w:b/>
          <w:sz w:val="24"/>
          <w:szCs w:val="24"/>
        </w:rPr>
      </w:pPr>
    </w:p>
    <w:p w14:paraId="19AC50F6"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02AAAB90"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Foreperson</w:t>
      </w:r>
    </w:p>
    <w:p w14:paraId="68845DA5"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90974D6" w14:textId="77777777" w:rsidR="00D014AE" w:rsidRPr="00D014AE" w:rsidRDefault="00D014AE" w:rsidP="00D014AE">
      <w:pPr>
        <w:rPr>
          <w:rFonts w:eastAsia="Times New Roman"/>
          <w:b/>
          <w:sz w:val="24"/>
          <w:szCs w:val="24"/>
        </w:rPr>
      </w:pPr>
    </w:p>
    <w:p w14:paraId="3AD403D1"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2A34D1A" w14:textId="77777777" w:rsidR="00D014AE" w:rsidRPr="00D014AE" w:rsidRDefault="00D014AE" w:rsidP="00D014AE">
      <w:pPr>
        <w:rPr>
          <w:rFonts w:eastAsia="Times New Roman"/>
          <w:b/>
          <w:sz w:val="24"/>
          <w:szCs w:val="24"/>
        </w:rPr>
      </w:pPr>
    </w:p>
    <w:p w14:paraId="7DD1D906" w14:textId="77777777" w:rsidR="00D014AE" w:rsidRPr="00D014AE" w:rsidRDefault="00D014AE" w:rsidP="00D014AE">
      <w:pPr>
        <w:rPr>
          <w:rFonts w:eastAsia="Times New Roman"/>
          <w:b/>
          <w:sz w:val="24"/>
          <w:szCs w:val="24"/>
        </w:rPr>
      </w:pPr>
    </w:p>
    <w:p w14:paraId="767FC1AC"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B:</w:t>
      </w:r>
    </w:p>
    <w:p w14:paraId="1E35E57D" w14:textId="77777777" w:rsidR="00D014AE" w:rsidRPr="00D014AE" w:rsidRDefault="00D014AE" w:rsidP="00D014AE">
      <w:pPr>
        <w:rPr>
          <w:rFonts w:eastAsia="Times New Roman"/>
          <w:b/>
          <w:sz w:val="24"/>
          <w:szCs w:val="24"/>
        </w:rPr>
      </w:pPr>
    </w:p>
    <w:p w14:paraId="14B1A595"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E2A0F4E"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2E9A1CCC" w14:textId="77777777" w:rsidR="00D014AE" w:rsidRPr="00D014AE" w:rsidRDefault="00D014AE" w:rsidP="00D014AE">
      <w:pPr>
        <w:rPr>
          <w:rFonts w:eastAsia="Times New Roman"/>
          <w:b/>
          <w:sz w:val="24"/>
          <w:szCs w:val="24"/>
        </w:rPr>
      </w:pPr>
    </w:p>
    <w:p w14:paraId="694F8284"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2A4EFBF0" w14:textId="77777777" w:rsidR="00D014AE" w:rsidRPr="00D014AE" w:rsidRDefault="00D014AE" w:rsidP="00D014AE">
      <w:pPr>
        <w:jc w:val="center"/>
        <w:rPr>
          <w:rFonts w:eastAsia="Times New Roman"/>
          <w:b/>
          <w:sz w:val="24"/>
          <w:szCs w:val="24"/>
        </w:rPr>
      </w:pPr>
    </w:p>
    <w:p w14:paraId="3323F4F0" w14:textId="77777777" w:rsidR="00D014AE" w:rsidRPr="00D014AE" w:rsidRDefault="00D014AE" w:rsidP="00D014AE">
      <w:pPr>
        <w:rPr>
          <w:rFonts w:eastAsia="Times New Roman"/>
          <w:b/>
          <w:sz w:val="24"/>
          <w:szCs w:val="24"/>
        </w:rPr>
      </w:pPr>
    </w:p>
    <w:p w14:paraId="0578715C" w14:textId="77777777" w:rsidR="00D014AE" w:rsidRPr="00D014AE" w:rsidRDefault="00D014AE" w:rsidP="00D014AE">
      <w:pPr>
        <w:rPr>
          <w:rFonts w:eastAsia="Times New Roman"/>
          <w:b/>
          <w:sz w:val="24"/>
          <w:szCs w:val="24"/>
        </w:rPr>
      </w:pPr>
    </w:p>
    <w:p w14:paraId="78A1858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678D55BA"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341EA2CD"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16587156"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5A00A211"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B</w:t>
      </w:r>
    </w:p>
    <w:p w14:paraId="65565E5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3D6ED6C0"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603149BB" w14:textId="77777777" w:rsidR="00D014AE" w:rsidRPr="00D014AE" w:rsidRDefault="00D014AE" w:rsidP="00D014AE">
      <w:pPr>
        <w:rPr>
          <w:rFonts w:eastAsia="Times New Roman"/>
          <w:b/>
          <w:sz w:val="24"/>
          <w:szCs w:val="24"/>
        </w:rPr>
      </w:pPr>
    </w:p>
    <w:p w14:paraId="5DE67DCC" w14:textId="77777777" w:rsidR="00D014AE" w:rsidRPr="00D014AE" w:rsidRDefault="00D014AE" w:rsidP="00D014AE">
      <w:pPr>
        <w:rPr>
          <w:rFonts w:eastAsia="Times New Roman"/>
          <w:b/>
          <w:sz w:val="24"/>
          <w:szCs w:val="24"/>
        </w:rPr>
      </w:pPr>
    </w:p>
    <w:p w14:paraId="6E74E667"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B IF YOUR FOREPERSON HAS COMPLETED AND ALL JURORS HAVE SIGNED SPECIAL VERDICT FORM A.</w:t>
      </w:r>
    </w:p>
    <w:p w14:paraId="15B801D2" w14:textId="77777777" w:rsidR="00D014AE" w:rsidRPr="00D014AE" w:rsidRDefault="00D014AE" w:rsidP="00D014AE">
      <w:pPr>
        <w:rPr>
          <w:rFonts w:eastAsia="Times New Roman"/>
          <w:b/>
          <w:sz w:val="24"/>
          <w:szCs w:val="24"/>
        </w:rPr>
      </w:pPr>
    </w:p>
    <w:p w14:paraId="4F2A874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2D941B77" w14:textId="77777777" w:rsidR="00D014AE" w:rsidRPr="00D014AE" w:rsidRDefault="00D014AE" w:rsidP="00D014AE">
      <w:pPr>
        <w:ind w:firstLine="720"/>
        <w:rPr>
          <w:rFonts w:eastAsia="Times New Roman"/>
          <w:b/>
          <w:sz w:val="24"/>
          <w:szCs w:val="24"/>
        </w:rPr>
      </w:pPr>
    </w:p>
    <w:p w14:paraId="25EE5CF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4470C35F" w14:textId="77777777" w:rsidR="00D014AE" w:rsidRPr="00D014AE" w:rsidRDefault="00D014AE" w:rsidP="00D014AE">
      <w:pPr>
        <w:ind w:firstLine="720"/>
        <w:rPr>
          <w:rFonts w:eastAsia="Times New Roman"/>
          <w:b/>
          <w:sz w:val="24"/>
          <w:szCs w:val="24"/>
        </w:rPr>
      </w:pPr>
    </w:p>
    <w:p w14:paraId="3503FF5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5674853" w14:textId="77777777" w:rsidR="00D014AE" w:rsidRPr="00D014AE" w:rsidRDefault="00D014AE" w:rsidP="00D014AE">
      <w:pPr>
        <w:ind w:firstLine="720"/>
        <w:rPr>
          <w:rFonts w:eastAsia="Times New Roman"/>
          <w:b/>
          <w:sz w:val="24"/>
          <w:szCs w:val="24"/>
        </w:rPr>
      </w:pPr>
    </w:p>
    <w:p w14:paraId="164EA0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61685F18" w14:textId="77777777" w:rsidR="00D014AE" w:rsidRPr="00D014AE" w:rsidRDefault="00D014AE" w:rsidP="00D014AE">
      <w:pPr>
        <w:ind w:firstLine="720"/>
        <w:rPr>
          <w:rFonts w:eastAsia="Times New Roman"/>
          <w:b/>
          <w:sz w:val="24"/>
          <w:szCs w:val="24"/>
        </w:rPr>
      </w:pPr>
    </w:p>
    <w:p w14:paraId="7C15139A"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F9DECC3" w14:textId="77777777" w:rsidR="00D014AE" w:rsidRPr="00D014AE" w:rsidRDefault="00D014AE" w:rsidP="00D014AE">
      <w:pPr>
        <w:ind w:firstLine="720"/>
        <w:rPr>
          <w:rFonts w:eastAsia="Times New Roman"/>
          <w:b/>
          <w:sz w:val="24"/>
          <w:szCs w:val="24"/>
        </w:rPr>
      </w:pPr>
    </w:p>
    <w:p w14:paraId="7890CB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65D74092" w14:textId="77777777" w:rsidR="00D014AE" w:rsidRPr="00D014AE" w:rsidRDefault="00D014AE" w:rsidP="00D014AE">
      <w:pPr>
        <w:ind w:firstLine="720"/>
        <w:rPr>
          <w:rFonts w:eastAsia="Times New Roman"/>
          <w:b/>
          <w:sz w:val="24"/>
          <w:szCs w:val="24"/>
        </w:rPr>
      </w:pPr>
    </w:p>
    <w:p w14:paraId="0DD51675"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2CB2BD1" w14:textId="77777777" w:rsidR="00D014AE" w:rsidRPr="00D014AE" w:rsidRDefault="00D014AE" w:rsidP="00D014AE">
      <w:pPr>
        <w:ind w:firstLine="720"/>
        <w:rPr>
          <w:rFonts w:eastAsia="Times New Roman"/>
          <w:b/>
          <w:sz w:val="24"/>
          <w:szCs w:val="24"/>
        </w:rPr>
      </w:pPr>
    </w:p>
    <w:p w14:paraId="075CDC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 (Yes or No)</w:t>
      </w:r>
    </w:p>
    <w:p w14:paraId="107C349E" w14:textId="77777777" w:rsidR="00D014AE" w:rsidRPr="00D014AE" w:rsidRDefault="00D014AE" w:rsidP="00D014AE">
      <w:pPr>
        <w:ind w:firstLine="720"/>
        <w:rPr>
          <w:rFonts w:eastAsia="Times New Roman"/>
          <w:b/>
          <w:sz w:val="24"/>
          <w:szCs w:val="24"/>
        </w:rPr>
      </w:pPr>
    </w:p>
    <w:p w14:paraId="07FB3F2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CB3A0E0" w14:textId="77777777" w:rsidR="00D014AE" w:rsidRPr="00D014AE" w:rsidRDefault="00D014AE" w:rsidP="00D014AE">
      <w:pPr>
        <w:ind w:firstLine="720"/>
        <w:rPr>
          <w:rFonts w:eastAsia="Times New Roman"/>
          <w:b/>
          <w:sz w:val="24"/>
          <w:szCs w:val="24"/>
        </w:rPr>
      </w:pPr>
    </w:p>
    <w:p w14:paraId="222F911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 (Yes or No)</w:t>
      </w:r>
    </w:p>
    <w:p w14:paraId="15DCC491" w14:textId="77777777" w:rsidR="00D014AE" w:rsidRPr="00D014AE" w:rsidRDefault="00D014AE" w:rsidP="00D014AE">
      <w:pPr>
        <w:ind w:firstLine="720"/>
        <w:rPr>
          <w:rFonts w:eastAsia="Times New Roman"/>
          <w:b/>
          <w:sz w:val="24"/>
          <w:szCs w:val="24"/>
        </w:rPr>
      </w:pPr>
    </w:p>
    <w:p w14:paraId="516DB98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9735B7D" w14:textId="77777777" w:rsidR="00D014AE" w:rsidRPr="00D014AE" w:rsidRDefault="00D014AE" w:rsidP="00D014AE">
      <w:pPr>
        <w:ind w:firstLine="720"/>
        <w:rPr>
          <w:rFonts w:eastAsia="Times New Roman"/>
          <w:b/>
          <w:sz w:val="24"/>
          <w:szCs w:val="24"/>
        </w:rPr>
      </w:pPr>
    </w:p>
    <w:p w14:paraId="5989B6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6 only if your answer to all five questions 1, 2, 3, 4, and 5 is “yes.” Otherwise, skip question 6 and go on to question 7.</w:t>
      </w:r>
    </w:p>
    <w:p w14:paraId="13269DB4" w14:textId="77777777" w:rsidR="00D014AE" w:rsidRPr="00D014AE" w:rsidRDefault="00D014AE" w:rsidP="00D014AE">
      <w:pPr>
        <w:ind w:firstLine="720"/>
        <w:rPr>
          <w:rFonts w:eastAsia="Times New Roman"/>
          <w:b/>
          <w:sz w:val="24"/>
          <w:szCs w:val="24"/>
        </w:rPr>
      </w:pPr>
    </w:p>
    <w:p w14:paraId="4B7CBC8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0B59ABD0" w14:textId="77777777" w:rsidR="00D014AE" w:rsidRPr="00D014AE" w:rsidRDefault="00D014AE" w:rsidP="00D014AE">
      <w:pPr>
        <w:ind w:firstLine="720"/>
        <w:rPr>
          <w:rFonts w:eastAsia="Times New Roman"/>
          <w:b/>
          <w:sz w:val="24"/>
          <w:szCs w:val="24"/>
        </w:rPr>
      </w:pPr>
    </w:p>
    <w:p w14:paraId="0A210E7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w:t>
      </w:r>
    </w:p>
    <w:p w14:paraId="31341AFC" w14:textId="77777777" w:rsidR="00D014AE" w:rsidRPr="00D014AE" w:rsidRDefault="00D014AE" w:rsidP="00D014AE">
      <w:pPr>
        <w:rPr>
          <w:rFonts w:eastAsia="Times New Roman"/>
          <w:b/>
          <w:sz w:val="24"/>
          <w:szCs w:val="24"/>
        </w:rPr>
      </w:pPr>
    </w:p>
    <w:p w14:paraId="36FBFAC8"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defendant,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7BD09E33" w14:textId="77777777" w:rsidR="00D014AE" w:rsidRPr="00D014AE" w:rsidRDefault="00D014AE" w:rsidP="00D014AE">
      <w:pPr>
        <w:tabs>
          <w:tab w:val="right" w:pos="6480"/>
        </w:tabs>
        <w:rPr>
          <w:rFonts w:eastAsia="Times New Roman"/>
          <w:b/>
          <w:sz w:val="24"/>
          <w:szCs w:val="24"/>
        </w:rPr>
      </w:pPr>
    </w:p>
    <w:p w14:paraId="0D51F8AD"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plaintiff,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1CBDB8ED" w14:textId="77777777" w:rsidR="00D014AE" w:rsidRPr="00D014AE" w:rsidRDefault="00D014AE" w:rsidP="00D014AE">
      <w:pPr>
        <w:tabs>
          <w:tab w:val="right" w:pos="6480"/>
        </w:tabs>
        <w:rPr>
          <w:rFonts w:eastAsia="Times New Roman"/>
          <w:b/>
          <w:sz w:val="24"/>
          <w:szCs w:val="24"/>
        </w:rPr>
      </w:pPr>
    </w:p>
    <w:p w14:paraId="356C18CA"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ab/>
        <w:t>MUST TOTAL:    100%</w:t>
      </w:r>
    </w:p>
    <w:p w14:paraId="0EFFDC2C" w14:textId="77777777" w:rsidR="00D014AE" w:rsidRPr="00D014AE" w:rsidRDefault="00D014AE" w:rsidP="00D014AE">
      <w:pPr>
        <w:rPr>
          <w:rFonts w:eastAsia="Times New Roman"/>
          <w:b/>
          <w:sz w:val="24"/>
          <w:szCs w:val="24"/>
        </w:rPr>
      </w:pPr>
    </w:p>
    <w:p w14:paraId="08AE2ED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7 only if you have determined that the negligence of the plaintiff was less than that of the defendant, i.e., under 50%.</w:t>
      </w:r>
    </w:p>
    <w:p w14:paraId="1D47EA6A" w14:textId="77777777" w:rsidR="00D014AE" w:rsidRPr="00D014AE" w:rsidRDefault="00D014AE" w:rsidP="00D014AE">
      <w:pPr>
        <w:ind w:firstLine="720"/>
        <w:rPr>
          <w:rFonts w:eastAsia="Times New Roman"/>
          <w:b/>
          <w:sz w:val="24"/>
          <w:szCs w:val="24"/>
        </w:rPr>
      </w:pPr>
    </w:p>
    <w:p w14:paraId="6AF8A518" w14:textId="77777777" w:rsidR="00D014AE" w:rsidRPr="00D014AE" w:rsidRDefault="00D014AE" w:rsidP="00D014AE">
      <w:pPr>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5FE27996" w14:textId="77777777" w:rsidR="00D014AE" w:rsidRPr="00D014AE" w:rsidRDefault="00D014AE" w:rsidP="00D014AE">
      <w:pPr>
        <w:ind w:firstLine="720"/>
        <w:rPr>
          <w:rFonts w:eastAsia="Times New Roman"/>
          <w:b/>
          <w:sz w:val="24"/>
          <w:szCs w:val="24"/>
        </w:rPr>
      </w:pPr>
    </w:p>
    <w:p w14:paraId="0E5F50AD"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79A6C6E0" w14:textId="77777777" w:rsidR="00D014AE" w:rsidRPr="00D014AE" w:rsidRDefault="00D014AE" w:rsidP="00D014AE">
      <w:pPr>
        <w:ind w:left="720"/>
        <w:rPr>
          <w:rFonts w:eastAsia="Times New Roman"/>
          <w:b/>
          <w:sz w:val="24"/>
          <w:szCs w:val="24"/>
        </w:rPr>
      </w:pPr>
    </w:p>
    <w:p w14:paraId="0E286AE7"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3F99C635" w14:textId="77777777" w:rsidR="00D014AE" w:rsidRPr="00D014AE" w:rsidRDefault="00D014AE" w:rsidP="00D014AE">
      <w:pPr>
        <w:ind w:left="720"/>
        <w:rPr>
          <w:rFonts w:eastAsia="Times New Roman"/>
          <w:b/>
          <w:sz w:val="24"/>
          <w:szCs w:val="24"/>
        </w:rPr>
      </w:pPr>
    </w:p>
    <w:p w14:paraId="0955B221"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79F4B6B" w14:textId="77777777" w:rsidR="00D014AE" w:rsidRPr="00D014AE" w:rsidRDefault="00D014AE" w:rsidP="00D014AE">
      <w:pPr>
        <w:ind w:left="720"/>
        <w:rPr>
          <w:rFonts w:eastAsia="Times New Roman"/>
          <w:b/>
          <w:sz w:val="24"/>
          <w:szCs w:val="24"/>
        </w:rPr>
      </w:pPr>
    </w:p>
    <w:p w14:paraId="751D20E2"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79837635" w14:textId="77777777" w:rsidR="00D014AE" w:rsidRPr="00D014AE" w:rsidRDefault="00D014AE" w:rsidP="00D014AE">
      <w:pPr>
        <w:ind w:left="720"/>
        <w:rPr>
          <w:rFonts w:eastAsia="Times New Roman"/>
          <w:b/>
          <w:sz w:val="24"/>
          <w:szCs w:val="24"/>
        </w:rPr>
      </w:pPr>
    </w:p>
    <w:p w14:paraId="435AD60D" w14:textId="77777777" w:rsidR="00D014AE" w:rsidRPr="00D014AE" w:rsidRDefault="00D014AE" w:rsidP="00D014AE">
      <w:pPr>
        <w:ind w:left="720"/>
        <w:rPr>
          <w:rFonts w:eastAsia="Times New Roman"/>
          <w:b/>
          <w:sz w:val="24"/>
          <w:szCs w:val="24"/>
        </w:rPr>
      </w:pPr>
      <w:r w:rsidRPr="00D014AE">
        <w:rPr>
          <w:rFonts w:eastAsia="Times New Roman"/>
          <w:b/>
          <w:sz w:val="24"/>
          <w:szCs w:val="24"/>
        </w:rPr>
        <w:lastRenderedPageBreak/>
        <w:t>(c. What is the total amount of plaintiff’s damages, if any, for [physical impairment] [or] [disfigurement]? You should answer “0” if you determine there were none.)</w:t>
      </w:r>
    </w:p>
    <w:p w14:paraId="0ED281E0" w14:textId="77777777" w:rsidR="00D014AE" w:rsidRPr="00D014AE" w:rsidRDefault="00D014AE" w:rsidP="00D014AE">
      <w:pPr>
        <w:ind w:left="720"/>
        <w:rPr>
          <w:rFonts w:eastAsia="Times New Roman"/>
          <w:b/>
          <w:sz w:val="24"/>
          <w:szCs w:val="24"/>
        </w:rPr>
      </w:pPr>
    </w:p>
    <w:p w14:paraId="3CCD16FD"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22F7AC9F" w14:textId="77777777" w:rsidR="00D014AE" w:rsidRPr="00D014AE" w:rsidRDefault="00D014AE" w:rsidP="00D014AE">
      <w:pPr>
        <w:ind w:left="720"/>
        <w:rPr>
          <w:rFonts w:eastAsia="Times New Roman"/>
          <w:b/>
          <w:sz w:val="24"/>
          <w:szCs w:val="24"/>
        </w:rPr>
      </w:pPr>
    </w:p>
    <w:p w14:paraId="12A618E5" w14:textId="77777777" w:rsidR="00D014AE" w:rsidRPr="00D014AE" w:rsidRDefault="00D014AE" w:rsidP="00D014AE">
      <w:pPr>
        <w:ind w:left="720"/>
        <w:rPr>
          <w:rFonts w:eastAsia="Times New Roman"/>
          <w:b/>
          <w:sz w:val="24"/>
          <w:szCs w:val="24"/>
        </w:rPr>
      </w:pPr>
      <w:r w:rsidRPr="00D014AE">
        <w:rPr>
          <w:rFonts w:eastAsia="Times New Roman"/>
          <w:b/>
          <w:sz w:val="24"/>
          <w:szCs w:val="24"/>
        </w:rPr>
        <w:t>Signatures of all jurors:</w:t>
      </w:r>
    </w:p>
    <w:p w14:paraId="0915C776" w14:textId="77777777" w:rsidR="00D014AE" w:rsidRPr="00D014AE" w:rsidRDefault="00D014AE" w:rsidP="00D014AE">
      <w:pPr>
        <w:ind w:left="720"/>
        <w:rPr>
          <w:rFonts w:eastAsia="Times New Roman"/>
          <w:b/>
          <w:sz w:val="24"/>
          <w:szCs w:val="24"/>
        </w:rPr>
      </w:pPr>
    </w:p>
    <w:p w14:paraId="2391AB2C"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26607E65"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 xml:space="preserve">   Foreperson</w:t>
      </w:r>
    </w:p>
    <w:p w14:paraId="5EDDA023"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7554870" w14:textId="77777777" w:rsidR="00D014AE" w:rsidRPr="00D014AE" w:rsidRDefault="00D014AE" w:rsidP="00D014AE">
      <w:pPr>
        <w:rPr>
          <w:rFonts w:eastAsia="Times New Roman"/>
          <w:b/>
          <w:sz w:val="24"/>
          <w:szCs w:val="24"/>
        </w:rPr>
      </w:pPr>
    </w:p>
    <w:p w14:paraId="1DC8D5D8"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CC07B56" w14:textId="77777777" w:rsidR="00D014AE" w:rsidRDefault="00D014AE" w:rsidP="00D014AE">
      <w:pPr>
        <w:spacing w:after="240"/>
        <w:ind w:firstLine="720"/>
        <w:rPr>
          <w:rFonts w:eastAsia="Times New Roman"/>
          <w:sz w:val="24"/>
          <w:szCs w:val="24"/>
        </w:rPr>
      </w:pPr>
    </w:p>
    <w:p w14:paraId="3F48711A" w14:textId="77777777" w:rsidR="00D014AE" w:rsidRDefault="00D014AE" w:rsidP="00D014AE">
      <w:pPr>
        <w:jc w:val="center"/>
        <w:rPr>
          <w:rFonts w:eastAsia="Times New Roman"/>
          <w:sz w:val="24"/>
          <w:szCs w:val="24"/>
        </w:rPr>
      </w:pPr>
    </w:p>
    <w:p w14:paraId="5927CAA2"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6695A109"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154FBD99"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2F295C91"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 Notes on Use to Instruction 9:26.</w:t>
      </w:r>
    </w:p>
    <w:p w14:paraId="60D0F32D" w14:textId="77777777" w:rsidR="00D014AE" w:rsidRDefault="00D014AE">
      <w:pPr>
        <w:rPr>
          <w:rFonts w:eastAsia="Times New Roman"/>
          <w:bCs/>
          <w:sz w:val="24"/>
          <w:szCs w:val="24"/>
        </w:rPr>
      </w:pPr>
      <w:r>
        <w:rPr>
          <w:rFonts w:eastAsia="Times New Roman"/>
          <w:bCs/>
          <w:sz w:val="24"/>
          <w:szCs w:val="24"/>
        </w:rPr>
        <w:br w:type="page"/>
      </w:r>
    </w:p>
    <w:p w14:paraId="4B0DF0A5" w14:textId="77777777" w:rsidR="00D014AE" w:rsidRPr="009E3DA4" w:rsidRDefault="00F86F49" w:rsidP="00D014AE">
      <w:pPr>
        <w:spacing w:after="240"/>
        <w:ind w:left="720" w:hanging="720"/>
        <w:rPr>
          <w:rFonts w:eastAsia="Times New Roman"/>
          <w:b/>
          <w:sz w:val="24"/>
          <w:szCs w:val="24"/>
        </w:rPr>
      </w:pPr>
      <w:bookmarkStart w:id="35" w:name="a9_27"/>
      <w:bookmarkEnd w:id="35"/>
      <w:r w:rsidRPr="00F86F49">
        <w:rPr>
          <w:rFonts w:eastAsia="Times New Roman"/>
          <w:b/>
          <w:sz w:val="24"/>
          <w:szCs w:val="24"/>
        </w:rPr>
        <w:lastRenderedPageBreak/>
        <w:t xml:space="preserve">9:27 </w:t>
      </w:r>
      <w:r w:rsidRPr="00F86F49">
        <w:rPr>
          <w:rFonts w:eastAsia="Times New Roman"/>
          <w:b/>
          <w:sz w:val="24"/>
          <w:szCs w:val="24"/>
        </w:rPr>
        <w:tab/>
        <w:t>COMPARATIVE NEGLIGENCE OF THE PLAINTIFF — MULTIPLE DEFENDANTS — NO DESIGNATED NONPARTY INVOLVED</w:t>
      </w:r>
    </w:p>
    <w:p w14:paraId="70D5C7F9"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 xml:space="preserve">If you find the plaintiff, </w:t>
      </w:r>
      <w:r w:rsidRPr="00F86F49">
        <w:rPr>
          <w:rFonts w:eastAsia="Times New Roman"/>
          <w:i/>
          <w:sz w:val="24"/>
          <w:szCs w:val="24"/>
        </w:rPr>
        <w:t>(name)</w:t>
      </w:r>
      <w:r w:rsidRPr="00F86F49">
        <w:rPr>
          <w:rFonts w:eastAsia="Times New Roman"/>
          <w:b/>
          <w:sz w:val="24"/>
          <w:szCs w:val="24"/>
        </w:rPr>
        <w:t xml:space="preserve">, was damaged and that the plaintiff’s damages were caused by the negligence of the plaintiff and one or more of the defendants, </w:t>
      </w:r>
      <w:r w:rsidRPr="00F86F49">
        <w:rPr>
          <w:rFonts w:eastAsia="Times New Roman"/>
          <w:i/>
          <w:sz w:val="24"/>
          <w:szCs w:val="24"/>
        </w:rPr>
        <w:t>(names)</w:t>
      </w:r>
      <w:r w:rsidRPr="00F86F49">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54659A16"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the plaintiff was equal to or greater than the combined negligence of all the defendants, then the plaintiff will not be allowed to recover.</w:t>
      </w:r>
    </w:p>
    <w:p w14:paraId="58D516EE"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any one defendant or the combined negligence of more than one of the defendants was greater than the negligence of the plaintiff, then the plaintiff will be allowed to recover as against each of the defendants found negligent.</w:t>
      </w:r>
    </w:p>
    <w:p w14:paraId="01DD999B"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the plaintiff is allowed to recover, the total damages you award will be reduced by the Court by the percentage of the plaintiff’s negligence.</w:t>
      </w:r>
    </w:p>
    <w:p w14:paraId="2D5A8D6D" w14:textId="77777777" w:rsidR="00D014AE" w:rsidRDefault="00D014AE" w:rsidP="00D014AE">
      <w:pPr>
        <w:jc w:val="center"/>
        <w:rPr>
          <w:rFonts w:eastAsia="Times New Roman"/>
          <w:sz w:val="24"/>
          <w:szCs w:val="24"/>
        </w:rPr>
      </w:pPr>
    </w:p>
    <w:p w14:paraId="05F05855"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7079752A" w14:textId="77777777" w:rsidR="00F86F49" w:rsidRPr="00F86F49" w:rsidRDefault="00F86F49" w:rsidP="00F86F49">
      <w:pPr>
        <w:spacing w:after="240"/>
        <w:ind w:firstLine="720"/>
        <w:rPr>
          <w:rFonts w:eastAsia="Times New Roman"/>
          <w:sz w:val="24"/>
          <w:szCs w:val="24"/>
        </w:rPr>
      </w:pPr>
      <w:r w:rsidRPr="00F86F49">
        <w:rPr>
          <w:rFonts w:eastAsia="Times New Roman"/>
          <w:sz w:val="24"/>
          <w:szCs w:val="24"/>
        </w:rPr>
        <w:t xml:space="preserve">The Notes on Use to Instructions 9:22 and 9:23 are generally applicable to this instruction. </w:t>
      </w:r>
      <w:r w:rsidRPr="00F86F49">
        <w:rPr>
          <w:rFonts w:eastAsia="Times New Roman"/>
          <w:i/>
          <w:sz w:val="24"/>
          <w:szCs w:val="24"/>
        </w:rPr>
        <w:t>See also</w:t>
      </w:r>
      <w:r w:rsidRPr="00F86F49">
        <w:rPr>
          <w:rFonts w:eastAsia="Times New Roman"/>
          <w:sz w:val="24"/>
          <w:szCs w:val="24"/>
        </w:rPr>
        <w:t xml:space="preserve"> Special Note to Part C of this Chapter 9.</w:t>
      </w:r>
    </w:p>
    <w:p w14:paraId="7E90C69D"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132066B4"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1. This instruction is supported by </w:t>
      </w:r>
      <w:r w:rsidRPr="00F86F49">
        <w:rPr>
          <w:rFonts w:eastAsia="Times New Roman"/>
          <w:b/>
          <w:bCs/>
          <w:sz w:val="24"/>
          <w:szCs w:val="24"/>
        </w:rPr>
        <w:t>Mountain Mobile Mix, Inc. v. Gifford</w:t>
      </w:r>
      <w:r w:rsidRPr="00F86F49">
        <w:rPr>
          <w:rFonts w:eastAsia="Times New Roman"/>
          <w:bCs/>
          <w:sz w:val="24"/>
          <w:szCs w:val="24"/>
        </w:rPr>
        <w:t>, 660 P.2d 883 (Colo. 1983) (negligence of multiple defendants is to be combined and compared with negligence of plaintiff); and sections 13-21-111 and 13-21-111.5, C.R.S.</w:t>
      </w:r>
    </w:p>
    <w:p w14:paraId="5D10CFFF"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2. As to the rights of joint tortfeasors, as between themselves, see the Uniform Contribution Among Tortfeasors Act, §§ 13-50.5-101 to -106, C.R.S. </w:t>
      </w:r>
      <w:r w:rsidRPr="00F86F49">
        <w:rPr>
          <w:rFonts w:eastAsia="Times New Roman"/>
          <w:bCs/>
          <w:i/>
          <w:sz w:val="24"/>
          <w:szCs w:val="24"/>
        </w:rPr>
        <w:t xml:space="preserve">See also </w:t>
      </w:r>
      <w:r w:rsidRPr="00F86F49">
        <w:rPr>
          <w:rFonts w:eastAsia="Times New Roman"/>
          <w:b/>
          <w:bCs/>
          <w:sz w:val="24"/>
          <w:szCs w:val="24"/>
        </w:rPr>
        <w:t>Graber v. Westaway</w:t>
      </w:r>
      <w:r w:rsidRPr="00F86F49">
        <w:rPr>
          <w:rFonts w:eastAsia="Times New Roman"/>
          <w:bCs/>
          <w:sz w:val="24"/>
          <w:szCs w:val="24"/>
        </w:rPr>
        <w:t>, 809 P.2d 1126 (Colo. App. 1991) (a party held liable for damages in prior tort litigation is not precluded from bringing action for contribution against joint tortfeasor who was not joined or designated in prior action).</w:t>
      </w:r>
    </w:p>
    <w:p w14:paraId="690843D9" w14:textId="77777777" w:rsidR="0047120C" w:rsidRDefault="0047120C">
      <w:pPr>
        <w:rPr>
          <w:rFonts w:eastAsia="Times New Roman"/>
          <w:bCs/>
          <w:sz w:val="24"/>
          <w:szCs w:val="24"/>
        </w:rPr>
      </w:pPr>
      <w:r>
        <w:rPr>
          <w:rFonts w:eastAsia="Times New Roman"/>
          <w:bCs/>
          <w:sz w:val="24"/>
          <w:szCs w:val="24"/>
        </w:rPr>
        <w:br w:type="page"/>
      </w:r>
    </w:p>
    <w:p w14:paraId="7D1FD058" w14:textId="77777777" w:rsidR="0047120C" w:rsidRPr="009E3DA4" w:rsidRDefault="0047120C" w:rsidP="0047120C">
      <w:pPr>
        <w:spacing w:after="240"/>
        <w:ind w:left="720" w:hanging="720"/>
        <w:rPr>
          <w:rFonts w:eastAsia="Times New Roman"/>
          <w:b/>
          <w:sz w:val="24"/>
          <w:szCs w:val="24"/>
        </w:rPr>
      </w:pPr>
      <w:bookmarkStart w:id="36" w:name="a9_27A"/>
      <w:bookmarkEnd w:id="36"/>
      <w:r w:rsidRPr="0047120C">
        <w:rPr>
          <w:rFonts w:eastAsia="Times New Roman"/>
          <w:b/>
          <w:sz w:val="24"/>
          <w:szCs w:val="24"/>
        </w:rPr>
        <w:lastRenderedPageBreak/>
        <w:t xml:space="preserve">9:27A </w:t>
      </w:r>
      <w:r w:rsidRPr="0047120C">
        <w:rPr>
          <w:rFonts w:eastAsia="Times New Roman"/>
          <w:b/>
          <w:sz w:val="24"/>
          <w:szCs w:val="24"/>
        </w:rPr>
        <w:tab/>
        <w:t>SPECIAL VERDICT QUESTIONS — MECHANICS FOR SUBMITTING — COMPARATIVE NEGLIGENCE OF THE PLAINTIFF — MULTIPLE DEFENDANTS — NO DESIGNATED NONPARTY</w:t>
      </w:r>
    </w:p>
    <w:p w14:paraId="4888AB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3E196E26"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70A36FE2"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4908274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58D7206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50034BA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297990D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37B6862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7044B4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16BEE7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34B3874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any one or more of the defendants, whether the damages were also caused by the negligence, if any, of the plaintiff (or anyone else).</w:t>
      </w:r>
    </w:p>
    <w:p w14:paraId="6658FA7E"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7E8E95DA"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w:t>
      </w:r>
      <w:r w:rsidRPr="0047120C">
        <w:rPr>
          <w:rFonts w:eastAsia="Times New Roman"/>
          <w:b/>
          <w:sz w:val="24"/>
          <w:szCs w:val="24"/>
        </w:rPr>
        <w:lastRenderedPageBreak/>
        <w:t xml:space="preserve">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3F17C37B"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0DB3261F"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2CCA1DF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0ECA176" w14:textId="77777777" w:rsidR="0047120C" w:rsidRDefault="0047120C" w:rsidP="0047120C">
      <w:pPr>
        <w:jc w:val="center"/>
        <w:rPr>
          <w:rFonts w:eastAsia="Times New Roman"/>
          <w:sz w:val="24"/>
          <w:szCs w:val="24"/>
        </w:rPr>
      </w:pPr>
    </w:p>
    <w:p w14:paraId="70FB1B0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6C49FD91"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1. Instruction 6:1 (personal injuries) should be used with this instruction. The Notes on Use to Instructions 4:4 (verdict form), 6:1, 9:22, and 9:23 are applicable to this instruction, along with Special Note to Part C of this Chapter 9.</w:t>
      </w:r>
    </w:p>
    <w:p w14:paraId="6D918BE6"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2. Whenever this instruction is given, the verdict forms in Instruction 9:27B must also be given.</w:t>
      </w:r>
    </w:p>
    <w:p w14:paraId="03B0E9E0"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3. Omit the parenthesized clause in numbered question 8 unless some evidence of negligent conduct on the part of a person other than the plaintiff or the defendants has been brought into the case.</w:t>
      </w:r>
    </w:p>
    <w:p w14:paraId="3508D878"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2F653FDF"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5. Insert any other questions that may be necessary to resolve properly any other claims of the plaintiff or affirmative defenses of any of the defendants.</w:t>
      </w:r>
    </w:p>
    <w:p w14:paraId="5A502467"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6. If, in a district court case, the parties have stipulated to a verdict or finding by some stated majority, pursuant to C.R.C.P. 48, this instruction should be modified accordingly.</w:t>
      </w:r>
    </w:p>
    <w:p w14:paraId="4F916DD1"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192EC212" w14:textId="77777777" w:rsidR="0047120C" w:rsidRPr="0047120C" w:rsidRDefault="0047120C" w:rsidP="0047120C">
      <w:pPr>
        <w:spacing w:after="240"/>
        <w:ind w:firstLine="720"/>
        <w:rPr>
          <w:rFonts w:eastAsia="Times New Roman"/>
          <w:bCs/>
          <w:sz w:val="24"/>
          <w:szCs w:val="24"/>
        </w:rPr>
      </w:pPr>
      <w:r w:rsidRPr="0047120C">
        <w:rPr>
          <w:rFonts w:eastAsia="Times New Roman"/>
          <w:bCs/>
          <w:sz w:val="24"/>
          <w:szCs w:val="24"/>
        </w:rPr>
        <w:t>This instruction is supported by the authorities cited in the Notes on Use to Instruction 9:22.</w:t>
      </w:r>
    </w:p>
    <w:p w14:paraId="31D7E988" w14:textId="77777777" w:rsidR="0047120C" w:rsidRDefault="0047120C">
      <w:pPr>
        <w:rPr>
          <w:rFonts w:eastAsia="Times New Roman"/>
          <w:bCs/>
          <w:sz w:val="24"/>
          <w:szCs w:val="24"/>
        </w:rPr>
      </w:pPr>
      <w:r>
        <w:rPr>
          <w:rFonts w:eastAsia="Times New Roman"/>
          <w:bCs/>
          <w:sz w:val="24"/>
          <w:szCs w:val="24"/>
        </w:rPr>
        <w:br w:type="page"/>
      </w:r>
    </w:p>
    <w:p w14:paraId="4326DAB3" w14:textId="77777777" w:rsidR="0047120C" w:rsidRPr="009E3DA4" w:rsidRDefault="0047120C" w:rsidP="0047120C">
      <w:pPr>
        <w:spacing w:after="240"/>
        <w:ind w:left="720" w:hanging="720"/>
        <w:rPr>
          <w:rFonts w:eastAsia="Times New Roman"/>
          <w:b/>
          <w:sz w:val="24"/>
          <w:szCs w:val="24"/>
        </w:rPr>
      </w:pPr>
      <w:bookmarkStart w:id="37" w:name="a9_27B"/>
      <w:bookmarkEnd w:id="37"/>
      <w:r w:rsidRPr="0047120C">
        <w:rPr>
          <w:rFonts w:eastAsia="Times New Roman"/>
          <w:b/>
          <w:sz w:val="24"/>
          <w:szCs w:val="24"/>
        </w:rPr>
        <w:lastRenderedPageBreak/>
        <w:t xml:space="preserve">9:27B </w:t>
      </w:r>
      <w:r w:rsidRPr="0047120C">
        <w:rPr>
          <w:rFonts w:eastAsia="Times New Roman"/>
          <w:b/>
          <w:sz w:val="24"/>
          <w:szCs w:val="24"/>
        </w:rPr>
        <w:tab/>
        <w:t>SPECIAL VERDICT FORMS — COMPARATIVE NEGLIGENCE OF THE PLAINTIFF — MULTIPLE DEFENDANTS — NO DESIGNATED NONPARTY — FORMS A AND B</w:t>
      </w:r>
    </w:p>
    <w:p w14:paraId="44A0EC21"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A:</w:t>
      </w:r>
    </w:p>
    <w:p w14:paraId="6C8F856D" w14:textId="77777777" w:rsidR="0047120C" w:rsidRPr="0047120C" w:rsidRDefault="0047120C" w:rsidP="0047120C">
      <w:pPr>
        <w:jc w:val="center"/>
        <w:rPr>
          <w:rFonts w:eastAsia="Times New Roman"/>
          <w:b/>
          <w:sz w:val="24"/>
          <w:szCs w:val="24"/>
        </w:rPr>
      </w:pPr>
    </w:p>
    <w:p w14:paraId="58FEA5D3"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C2C79FA"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11503BFF" w14:textId="77777777" w:rsidR="0047120C" w:rsidRPr="0047120C" w:rsidRDefault="0047120C" w:rsidP="0047120C">
      <w:pPr>
        <w:rPr>
          <w:rFonts w:eastAsia="Times New Roman"/>
          <w:b/>
          <w:sz w:val="24"/>
          <w:szCs w:val="24"/>
        </w:rPr>
      </w:pPr>
    </w:p>
    <w:p w14:paraId="4E1A66C0"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65E4A7AB" w14:textId="77777777" w:rsidR="0047120C" w:rsidRPr="0047120C" w:rsidRDefault="0047120C" w:rsidP="0047120C">
      <w:pPr>
        <w:jc w:val="center"/>
        <w:rPr>
          <w:rFonts w:eastAsia="Times New Roman"/>
          <w:b/>
          <w:sz w:val="24"/>
          <w:szCs w:val="24"/>
        </w:rPr>
      </w:pPr>
    </w:p>
    <w:p w14:paraId="100135BF" w14:textId="77777777" w:rsidR="0047120C" w:rsidRPr="0047120C" w:rsidRDefault="0047120C" w:rsidP="0047120C">
      <w:pPr>
        <w:rPr>
          <w:rFonts w:eastAsia="Times New Roman"/>
          <w:b/>
          <w:sz w:val="24"/>
          <w:szCs w:val="24"/>
        </w:rPr>
      </w:pPr>
    </w:p>
    <w:p w14:paraId="1977A613" w14:textId="77777777" w:rsidR="0047120C" w:rsidRPr="0047120C" w:rsidRDefault="0047120C" w:rsidP="0047120C">
      <w:pPr>
        <w:rPr>
          <w:rFonts w:eastAsia="Times New Roman"/>
          <w:b/>
          <w:sz w:val="24"/>
          <w:szCs w:val="24"/>
        </w:rPr>
      </w:pPr>
    </w:p>
    <w:p w14:paraId="1E2AD78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C9B51D2"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1D9EE831"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743E5FDD"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17F086BE"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A</w:t>
      </w:r>
    </w:p>
    <w:p w14:paraId="016DD86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E13B5CA"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05320671" w14:textId="77777777" w:rsidR="0047120C" w:rsidRPr="0047120C" w:rsidRDefault="0047120C" w:rsidP="0047120C">
      <w:pPr>
        <w:rPr>
          <w:rFonts w:eastAsia="Times New Roman"/>
          <w:b/>
          <w:sz w:val="24"/>
          <w:szCs w:val="24"/>
        </w:rPr>
      </w:pPr>
    </w:p>
    <w:p w14:paraId="6B2DC609" w14:textId="77777777" w:rsidR="0047120C" w:rsidRPr="0047120C" w:rsidRDefault="0047120C" w:rsidP="0047120C">
      <w:pPr>
        <w:rPr>
          <w:rFonts w:eastAsia="Times New Roman"/>
          <w:b/>
          <w:sz w:val="24"/>
          <w:szCs w:val="24"/>
        </w:rPr>
      </w:pPr>
    </w:p>
    <w:p w14:paraId="56132ED2"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A IF YOUR FOREPERSON HAS COMPLETED SPECIAL VERDICT FORM B AND ALL JURORS HAVE SIGNED IT.</w:t>
      </w:r>
    </w:p>
    <w:p w14:paraId="38F80954" w14:textId="77777777" w:rsidR="0047120C" w:rsidRPr="0047120C" w:rsidRDefault="0047120C" w:rsidP="0047120C">
      <w:pPr>
        <w:rPr>
          <w:rFonts w:eastAsia="Times New Roman"/>
          <w:b/>
          <w:sz w:val="24"/>
          <w:szCs w:val="24"/>
        </w:rPr>
      </w:pPr>
    </w:p>
    <w:p w14:paraId="1E8AA99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4898EA09" w14:textId="77777777" w:rsidR="0047120C" w:rsidRPr="0047120C" w:rsidRDefault="0047120C" w:rsidP="0047120C">
      <w:pPr>
        <w:ind w:firstLine="720"/>
        <w:rPr>
          <w:rFonts w:eastAsia="Times New Roman"/>
          <w:b/>
          <w:sz w:val="24"/>
          <w:szCs w:val="24"/>
        </w:rPr>
      </w:pPr>
    </w:p>
    <w:p w14:paraId="2D572F7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4C5AE8C" w14:textId="77777777" w:rsidR="0047120C" w:rsidRPr="0047120C" w:rsidRDefault="0047120C" w:rsidP="0047120C">
      <w:pPr>
        <w:ind w:firstLine="720"/>
        <w:rPr>
          <w:rFonts w:eastAsia="Times New Roman"/>
          <w:b/>
          <w:sz w:val="24"/>
          <w:szCs w:val="24"/>
        </w:rPr>
      </w:pPr>
    </w:p>
    <w:p w14:paraId="2EC5E60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917A5F0" w14:textId="77777777" w:rsidR="0047120C" w:rsidRPr="0047120C" w:rsidRDefault="0047120C" w:rsidP="0047120C">
      <w:pPr>
        <w:ind w:firstLine="720"/>
        <w:rPr>
          <w:rFonts w:eastAsia="Times New Roman"/>
          <w:b/>
          <w:sz w:val="24"/>
          <w:szCs w:val="24"/>
        </w:rPr>
      </w:pPr>
    </w:p>
    <w:p w14:paraId="1B45D5E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12B15F1" w14:textId="77777777" w:rsidR="0047120C" w:rsidRPr="0047120C" w:rsidRDefault="0047120C" w:rsidP="0047120C">
      <w:pPr>
        <w:ind w:firstLine="720"/>
        <w:rPr>
          <w:rFonts w:eastAsia="Times New Roman"/>
          <w:b/>
          <w:sz w:val="24"/>
          <w:szCs w:val="24"/>
        </w:rPr>
      </w:pPr>
    </w:p>
    <w:p w14:paraId="4CF5AC6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07E38379" w14:textId="77777777" w:rsidR="0047120C" w:rsidRPr="0047120C" w:rsidRDefault="0047120C" w:rsidP="0047120C">
      <w:pPr>
        <w:ind w:firstLine="720"/>
        <w:rPr>
          <w:rFonts w:eastAsia="Times New Roman"/>
          <w:b/>
          <w:sz w:val="24"/>
          <w:szCs w:val="24"/>
        </w:rPr>
      </w:pPr>
    </w:p>
    <w:p w14:paraId="3E37783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10AFBB0" w14:textId="77777777" w:rsidR="0047120C" w:rsidRPr="0047120C" w:rsidRDefault="0047120C" w:rsidP="0047120C">
      <w:pPr>
        <w:ind w:firstLine="720"/>
        <w:rPr>
          <w:rFonts w:eastAsia="Times New Roman"/>
          <w:b/>
          <w:sz w:val="24"/>
          <w:szCs w:val="24"/>
        </w:rPr>
      </w:pPr>
    </w:p>
    <w:p w14:paraId="4D6693D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34341C0" w14:textId="77777777" w:rsidR="0047120C" w:rsidRPr="0047120C" w:rsidRDefault="0047120C" w:rsidP="0047120C">
      <w:pPr>
        <w:ind w:firstLine="720"/>
        <w:rPr>
          <w:rFonts w:eastAsia="Times New Roman"/>
          <w:b/>
          <w:sz w:val="24"/>
          <w:szCs w:val="24"/>
        </w:rPr>
      </w:pPr>
    </w:p>
    <w:p w14:paraId="763E52F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5002B802" w14:textId="77777777" w:rsidR="0047120C" w:rsidRPr="0047120C" w:rsidRDefault="0047120C" w:rsidP="0047120C">
      <w:pPr>
        <w:ind w:firstLine="720"/>
        <w:rPr>
          <w:rFonts w:eastAsia="Times New Roman"/>
          <w:b/>
          <w:sz w:val="24"/>
          <w:szCs w:val="24"/>
        </w:rPr>
      </w:pPr>
    </w:p>
    <w:p w14:paraId="135A078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FE0C2D3" w14:textId="77777777" w:rsidR="0047120C" w:rsidRPr="0047120C" w:rsidRDefault="0047120C" w:rsidP="0047120C">
      <w:pPr>
        <w:ind w:firstLine="720"/>
        <w:rPr>
          <w:rFonts w:eastAsia="Times New Roman"/>
          <w:b/>
          <w:sz w:val="24"/>
          <w:szCs w:val="24"/>
        </w:rPr>
      </w:pPr>
    </w:p>
    <w:p w14:paraId="6C9F1C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lastRenderedPageBreak/>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2F1914D7" w14:textId="77777777" w:rsidR="0047120C" w:rsidRPr="0047120C" w:rsidRDefault="0047120C" w:rsidP="0047120C">
      <w:pPr>
        <w:ind w:firstLine="720"/>
        <w:rPr>
          <w:rFonts w:eastAsia="Times New Roman"/>
          <w:b/>
          <w:sz w:val="24"/>
          <w:szCs w:val="24"/>
        </w:rPr>
      </w:pPr>
    </w:p>
    <w:p w14:paraId="70414E4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1465C3C8" w14:textId="77777777" w:rsidR="0047120C" w:rsidRPr="0047120C" w:rsidRDefault="0047120C" w:rsidP="0047120C">
      <w:pPr>
        <w:ind w:firstLine="720"/>
        <w:rPr>
          <w:rFonts w:eastAsia="Times New Roman"/>
          <w:b/>
          <w:sz w:val="24"/>
          <w:szCs w:val="24"/>
        </w:rPr>
      </w:pPr>
    </w:p>
    <w:p w14:paraId="1F14810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We, the jury, find for the defendants and award no damages to the plaintiff, </w:t>
      </w:r>
      <w:r w:rsidRPr="0047120C">
        <w:rPr>
          <w:rFonts w:eastAsia="Times New Roman"/>
          <w:i/>
          <w:sz w:val="24"/>
          <w:szCs w:val="24"/>
        </w:rPr>
        <w:t>(name)</w:t>
      </w:r>
      <w:r w:rsidRPr="0047120C">
        <w:rPr>
          <w:rFonts w:eastAsia="Times New Roman"/>
          <w:b/>
          <w:sz w:val="24"/>
          <w:szCs w:val="24"/>
        </w:rPr>
        <w:t>.</w:t>
      </w:r>
    </w:p>
    <w:p w14:paraId="70A704A4" w14:textId="77777777" w:rsidR="0047120C" w:rsidRPr="0047120C" w:rsidRDefault="0047120C" w:rsidP="0047120C">
      <w:pPr>
        <w:ind w:firstLine="720"/>
        <w:rPr>
          <w:rFonts w:eastAsia="Times New Roman"/>
          <w:b/>
          <w:sz w:val="24"/>
          <w:szCs w:val="24"/>
        </w:rPr>
      </w:pPr>
    </w:p>
    <w:p w14:paraId="526A07A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8B395A9" w14:textId="77777777" w:rsidR="0047120C" w:rsidRPr="0047120C" w:rsidRDefault="0047120C" w:rsidP="0047120C">
      <w:pPr>
        <w:rPr>
          <w:rFonts w:eastAsia="Times New Roman"/>
          <w:b/>
          <w:sz w:val="24"/>
          <w:szCs w:val="24"/>
        </w:rPr>
      </w:pPr>
    </w:p>
    <w:p w14:paraId="2C815CFF"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9D96BFD"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2510C272"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F005ADF" w14:textId="77777777" w:rsidR="0047120C" w:rsidRPr="0047120C" w:rsidRDefault="0047120C" w:rsidP="0047120C">
      <w:pPr>
        <w:rPr>
          <w:rFonts w:eastAsia="Times New Roman"/>
          <w:b/>
          <w:sz w:val="24"/>
          <w:szCs w:val="24"/>
        </w:rPr>
      </w:pPr>
    </w:p>
    <w:p w14:paraId="1BAACD1E"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28BC2E8" w14:textId="77777777" w:rsidR="0047120C" w:rsidRPr="0047120C" w:rsidRDefault="0047120C" w:rsidP="0047120C">
      <w:pPr>
        <w:rPr>
          <w:rFonts w:eastAsia="Times New Roman"/>
          <w:b/>
          <w:sz w:val="24"/>
          <w:szCs w:val="24"/>
        </w:rPr>
      </w:pPr>
    </w:p>
    <w:p w14:paraId="46C0EAF0" w14:textId="77777777" w:rsidR="0047120C" w:rsidRPr="0047120C" w:rsidRDefault="0047120C" w:rsidP="0047120C">
      <w:pPr>
        <w:rPr>
          <w:rFonts w:eastAsia="Times New Roman"/>
          <w:b/>
          <w:sz w:val="24"/>
          <w:szCs w:val="24"/>
        </w:rPr>
      </w:pPr>
    </w:p>
    <w:p w14:paraId="7201DCEB"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B:</w:t>
      </w:r>
    </w:p>
    <w:p w14:paraId="4C850B25" w14:textId="77777777" w:rsidR="0047120C" w:rsidRPr="0047120C" w:rsidRDefault="0047120C" w:rsidP="0047120C">
      <w:pPr>
        <w:rPr>
          <w:rFonts w:eastAsia="Times New Roman"/>
          <w:b/>
          <w:sz w:val="24"/>
          <w:szCs w:val="24"/>
        </w:rPr>
      </w:pPr>
    </w:p>
    <w:p w14:paraId="27097A50"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1A609CF"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49D30D43" w14:textId="77777777" w:rsidR="0047120C" w:rsidRPr="0047120C" w:rsidRDefault="0047120C" w:rsidP="0047120C">
      <w:pPr>
        <w:rPr>
          <w:rFonts w:eastAsia="Times New Roman"/>
          <w:b/>
          <w:sz w:val="24"/>
          <w:szCs w:val="24"/>
        </w:rPr>
      </w:pPr>
    </w:p>
    <w:p w14:paraId="40B08C9F"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500F7BF7" w14:textId="77777777" w:rsidR="0047120C" w:rsidRPr="0047120C" w:rsidRDefault="0047120C" w:rsidP="0047120C">
      <w:pPr>
        <w:jc w:val="center"/>
        <w:rPr>
          <w:rFonts w:eastAsia="Times New Roman"/>
          <w:b/>
          <w:sz w:val="24"/>
          <w:szCs w:val="24"/>
        </w:rPr>
      </w:pPr>
    </w:p>
    <w:p w14:paraId="7D138227" w14:textId="77777777" w:rsidR="0047120C" w:rsidRPr="0047120C" w:rsidRDefault="0047120C" w:rsidP="0047120C">
      <w:pPr>
        <w:rPr>
          <w:rFonts w:eastAsia="Times New Roman"/>
          <w:b/>
          <w:sz w:val="24"/>
          <w:szCs w:val="24"/>
        </w:rPr>
      </w:pPr>
    </w:p>
    <w:p w14:paraId="707500AF" w14:textId="77777777" w:rsidR="0047120C" w:rsidRPr="0047120C" w:rsidRDefault="0047120C" w:rsidP="0047120C">
      <w:pPr>
        <w:rPr>
          <w:rFonts w:eastAsia="Times New Roman"/>
          <w:b/>
          <w:sz w:val="24"/>
          <w:szCs w:val="24"/>
        </w:rPr>
      </w:pPr>
    </w:p>
    <w:p w14:paraId="53A836C7" w14:textId="77777777" w:rsidR="0047120C" w:rsidRPr="0047120C" w:rsidRDefault="0047120C" w:rsidP="0047120C">
      <w:pPr>
        <w:rPr>
          <w:rFonts w:eastAsia="Times New Roman"/>
          <w:b/>
          <w:sz w:val="24"/>
          <w:szCs w:val="24"/>
        </w:rPr>
      </w:pPr>
    </w:p>
    <w:p w14:paraId="774A5E36"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7B0D295C"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42F8B66B"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5A7AF46C"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39FFAD00"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B</w:t>
      </w:r>
    </w:p>
    <w:p w14:paraId="209CA3B5"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34410DE7"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3EBF24C5" w14:textId="77777777" w:rsidR="0047120C" w:rsidRPr="0047120C" w:rsidRDefault="0047120C" w:rsidP="0047120C">
      <w:pPr>
        <w:rPr>
          <w:rFonts w:eastAsia="Times New Roman"/>
          <w:b/>
          <w:sz w:val="24"/>
          <w:szCs w:val="24"/>
        </w:rPr>
      </w:pPr>
    </w:p>
    <w:p w14:paraId="45F268D7" w14:textId="77777777" w:rsidR="0047120C" w:rsidRPr="0047120C" w:rsidRDefault="0047120C" w:rsidP="0047120C">
      <w:pPr>
        <w:rPr>
          <w:rFonts w:eastAsia="Times New Roman"/>
          <w:b/>
          <w:sz w:val="24"/>
          <w:szCs w:val="24"/>
        </w:rPr>
      </w:pPr>
    </w:p>
    <w:p w14:paraId="7FACE0AF"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B IF YOUR FOREPERSON HAS COMPLETED SPECIAL VERDICT FORM A AND ALL JURORS HAVE SIGNED IT.</w:t>
      </w:r>
    </w:p>
    <w:p w14:paraId="26349EF3" w14:textId="77777777" w:rsidR="0047120C" w:rsidRPr="0047120C" w:rsidRDefault="0047120C" w:rsidP="0047120C">
      <w:pPr>
        <w:rPr>
          <w:rFonts w:eastAsia="Times New Roman"/>
          <w:b/>
          <w:sz w:val="24"/>
          <w:szCs w:val="24"/>
        </w:rPr>
      </w:pPr>
    </w:p>
    <w:p w14:paraId="4BC2900A"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021CBF94" w14:textId="77777777" w:rsidR="0047120C" w:rsidRPr="0047120C" w:rsidRDefault="0047120C" w:rsidP="0047120C">
      <w:pPr>
        <w:ind w:firstLine="720"/>
        <w:rPr>
          <w:rFonts w:eastAsia="Times New Roman"/>
          <w:b/>
          <w:sz w:val="24"/>
          <w:szCs w:val="24"/>
        </w:rPr>
      </w:pPr>
    </w:p>
    <w:p w14:paraId="23EE527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8DEF7A1" w14:textId="77777777" w:rsidR="0047120C" w:rsidRPr="0047120C" w:rsidRDefault="0047120C" w:rsidP="0047120C">
      <w:pPr>
        <w:ind w:firstLine="720"/>
        <w:rPr>
          <w:rFonts w:eastAsia="Times New Roman"/>
          <w:b/>
          <w:sz w:val="24"/>
          <w:szCs w:val="24"/>
        </w:rPr>
      </w:pPr>
    </w:p>
    <w:p w14:paraId="6CCE95C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4C54FFA2" w14:textId="77777777" w:rsidR="0047120C" w:rsidRPr="0047120C" w:rsidRDefault="0047120C" w:rsidP="0047120C">
      <w:pPr>
        <w:ind w:firstLine="720"/>
        <w:rPr>
          <w:rFonts w:eastAsia="Times New Roman"/>
          <w:b/>
          <w:sz w:val="24"/>
          <w:szCs w:val="24"/>
        </w:rPr>
      </w:pPr>
    </w:p>
    <w:p w14:paraId="73DFCBE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B9F60BF" w14:textId="77777777" w:rsidR="0047120C" w:rsidRPr="0047120C" w:rsidRDefault="0047120C" w:rsidP="0047120C">
      <w:pPr>
        <w:ind w:firstLine="720"/>
        <w:rPr>
          <w:rFonts w:eastAsia="Times New Roman"/>
          <w:b/>
          <w:sz w:val="24"/>
          <w:szCs w:val="24"/>
        </w:rPr>
      </w:pPr>
    </w:p>
    <w:p w14:paraId="5C4F5FD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C1BCC6F" w14:textId="77777777" w:rsidR="0047120C" w:rsidRPr="0047120C" w:rsidRDefault="0047120C" w:rsidP="0047120C">
      <w:pPr>
        <w:ind w:firstLine="720"/>
        <w:rPr>
          <w:rFonts w:eastAsia="Times New Roman"/>
          <w:b/>
          <w:sz w:val="24"/>
          <w:szCs w:val="24"/>
        </w:rPr>
      </w:pPr>
    </w:p>
    <w:p w14:paraId="017EB3A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4BF459D" w14:textId="77777777" w:rsidR="0047120C" w:rsidRPr="0047120C" w:rsidRDefault="0047120C" w:rsidP="0047120C">
      <w:pPr>
        <w:ind w:firstLine="720"/>
        <w:rPr>
          <w:rFonts w:eastAsia="Times New Roman"/>
          <w:b/>
          <w:sz w:val="24"/>
          <w:szCs w:val="24"/>
        </w:rPr>
      </w:pPr>
    </w:p>
    <w:p w14:paraId="68DE9577"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E18DE28" w14:textId="77777777" w:rsidR="0047120C" w:rsidRPr="0047120C" w:rsidRDefault="0047120C" w:rsidP="0047120C">
      <w:pPr>
        <w:ind w:firstLine="720"/>
        <w:rPr>
          <w:rFonts w:eastAsia="Times New Roman"/>
          <w:b/>
          <w:sz w:val="24"/>
          <w:szCs w:val="24"/>
        </w:rPr>
      </w:pPr>
    </w:p>
    <w:p w14:paraId="5B0F7BE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7C10F873" w14:textId="77777777" w:rsidR="0047120C" w:rsidRPr="0047120C" w:rsidRDefault="0047120C" w:rsidP="0047120C">
      <w:pPr>
        <w:ind w:firstLine="720"/>
        <w:rPr>
          <w:rFonts w:eastAsia="Times New Roman"/>
          <w:b/>
          <w:sz w:val="24"/>
          <w:szCs w:val="24"/>
        </w:rPr>
      </w:pPr>
    </w:p>
    <w:p w14:paraId="3218421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7AB94C3" w14:textId="77777777" w:rsidR="0047120C" w:rsidRPr="0047120C" w:rsidRDefault="0047120C" w:rsidP="0047120C">
      <w:pPr>
        <w:ind w:firstLine="720"/>
        <w:rPr>
          <w:rFonts w:eastAsia="Times New Roman"/>
          <w:b/>
          <w:sz w:val="24"/>
          <w:szCs w:val="24"/>
        </w:rPr>
      </w:pPr>
    </w:p>
    <w:p w14:paraId="3C76F01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39E5170B" w14:textId="77777777" w:rsidR="0047120C" w:rsidRPr="0047120C" w:rsidRDefault="0047120C" w:rsidP="0047120C">
      <w:pPr>
        <w:ind w:firstLine="720"/>
        <w:rPr>
          <w:rFonts w:eastAsia="Times New Roman"/>
          <w:b/>
          <w:sz w:val="24"/>
          <w:szCs w:val="24"/>
        </w:rPr>
      </w:pPr>
    </w:p>
    <w:p w14:paraId="24B1CA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3AF91BC" w14:textId="77777777" w:rsidR="0047120C" w:rsidRPr="0047120C" w:rsidRDefault="0047120C" w:rsidP="0047120C">
      <w:pPr>
        <w:ind w:firstLine="720"/>
        <w:rPr>
          <w:rFonts w:eastAsia="Times New Roman"/>
          <w:b/>
          <w:sz w:val="24"/>
          <w:szCs w:val="24"/>
        </w:rPr>
      </w:pPr>
    </w:p>
    <w:p w14:paraId="1176C6D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4B71560" w14:textId="77777777" w:rsidR="0047120C" w:rsidRPr="0047120C" w:rsidRDefault="0047120C" w:rsidP="0047120C">
      <w:pPr>
        <w:ind w:firstLine="720"/>
        <w:rPr>
          <w:rFonts w:eastAsia="Times New Roman"/>
          <w:b/>
          <w:sz w:val="24"/>
          <w:szCs w:val="24"/>
        </w:rPr>
      </w:pPr>
    </w:p>
    <w:p w14:paraId="4EBBD3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 (Yes or No)</w:t>
      </w:r>
    </w:p>
    <w:p w14:paraId="16B1789D" w14:textId="77777777" w:rsidR="0047120C" w:rsidRPr="0047120C" w:rsidRDefault="0047120C" w:rsidP="0047120C">
      <w:pPr>
        <w:ind w:firstLine="720"/>
        <w:rPr>
          <w:rFonts w:eastAsia="Times New Roman"/>
          <w:b/>
          <w:sz w:val="24"/>
          <w:szCs w:val="24"/>
        </w:rPr>
      </w:pPr>
    </w:p>
    <w:p w14:paraId="316CE55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9A63CCD" w14:textId="77777777" w:rsidR="0047120C" w:rsidRPr="0047120C" w:rsidRDefault="0047120C" w:rsidP="0047120C">
      <w:pPr>
        <w:ind w:firstLine="720"/>
        <w:rPr>
          <w:rFonts w:eastAsia="Times New Roman"/>
          <w:b/>
          <w:sz w:val="24"/>
          <w:szCs w:val="24"/>
        </w:rPr>
      </w:pPr>
    </w:p>
    <w:p w14:paraId="39775F4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 (Yes or No)</w:t>
      </w:r>
    </w:p>
    <w:p w14:paraId="338F530E" w14:textId="77777777" w:rsidR="0047120C" w:rsidRPr="0047120C" w:rsidRDefault="0047120C" w:rsidP="0047120C">
      <w:pPr>
        <w:ind w:firstLine="720"/>
        <w:rPr>
          <w:rFonts w:eastAsia="Times New Roman"/>
          <w:b/>
          <w:sz w:val="24"/>
          <w:szCs w:val="24"/>
        </w:rPr>
      </w:pPr>
    </w:p>
    <w:p w14:paraId="1C720A44"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E00A5CC" w14:textId="77777777" w:rsidR="0047120C" w:rsidRPr="0047120C" w:rsidRDefault="0047120C" w:rsidP="0047120C">
      <w:pPr>
        <w:ind w:firstLine="720"/>
        <w:rPr>
          <w:rFonts w:eastAsia="Times New Roman"/>
          <w:b/>
          <w:sz w:val="24"/>
          <w:szCs w:val="24"/>
        </w:rPr>
      </w:pPr>
    </w:p>
    <w:p w14:paraId="59E56DC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one or more of the defendants, whether the damages were also caused by the negligence, if any, of the plaintiff (or anyone else).</w:t>
      </w:r>
    </w:p>
    <w:p w14:paraId="51B26ADA" w14:textId="77777777" w:rsidR="0047120C" w:rsidRPr="0047120C" w:rsidRDefault="0047120C" w:rsidP="0047120C">
      <w:pPr>
        <w:rPr>
          <w:rFonts w:eastAsia="Times New Roman"/>
          <w:b/>
          <w:sz w:val="24"/>
          <w:szCs w:val="24"/>
        </w:rPr>
      </w:pPr>
    </w:p>
    <w:p w14:paraId="44BA0011"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2EA161F8" w14:textId="77777777" w:rsidR="0047120C" w:rsidRPr="0047120C" w:rsidRDefault="0047120C" w:rsidP="0047120C">
      <w:pPr>
        <w:ind w:left="720"/>
        <w:rPr>
          <w:rFonts w:eastAsia="Times New Roman"/>
          <w:b/>
          <w:sz w:val="24"/>
          <w:szCs w:val="24"/>
        </w:rPr>
      </w:pPr>
    </w:p>
    <w:p w14:paraId="0038401D"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090043EC" w14:textId="77777777" w:rsidR="0047120C" w:rsidRPr="0047120C" w:rsidRDefault="0047120C" w:rsidP="0047120C">
      <w:pPr>
        <w:rPr>
          <w:rFonts w:eastAsia="Times New Roman"/>
          <w:b/>
          <w:sz w:val="24"/>
          <w:szCs w:val="24"/>
        </w:rPr>
      </w:pPr>
    </w:p>
    <w:p w14:paraId="6A3A6EBA"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 xml:space="preserve">(insert </w:t>
      </w:r>
      <w:r w:rsidRPr="0047120C">
        <w:rPr>
          <w:rFonts w:eastAsia="Times New Roman"/>
          <w:i/>
          <w:sz w:val="24"/>
          <w:szCs w:val="24"/>
        </w:rPr>
        <w:lastRenderedPageBreak/>
        <w:t>number of applicable Instruction on damages)</w:t>
      </w:r>
      <w:r w:rsidRPr="0047120C">
        <w:rPr>
          <w:rFonts w:eastAsia="Times New Roman"/>
          <w:b/>
          <w:sz w:val="24"/>
          <w:szCs w:val="24"/>
        </w:rPr>
        <w:t>. You should answer “0” if you determine there were none.</w:t>
      </w:r>
    </w:p>
    <w:p w14:paraId="5EB6D46A" w14:textId="77777777" w:rsidR="0047120C" w:rsidRPr="0047120C" w:rsidRDefault="0047120C" w:rsidP="0047120C">
      <w:pPr>
        <w:ind w:left="720"/>
        <w:rPr>
          <w:rFonts w:eastAsia="Times New Roman"/>
          <w:b/>
          <w:sz w:val="24"/>
          <w:szCs w:val="24"/>
        </w:rPr>
      </w:pPr>
    </w:p>
    <w:p w14:paraId="26FFC4EB"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3D32401E" w14:textId="77777777" w:rsidR="0047120C" w:rsidRPr="0047120C" w:rsidRDefault="0047120C" w:rsidP="0047120C">
      <w:pPr>
        <w:ind w:left="720"/>
        <w:rPr>
          <w:rFonts w:eastAsia="Times New Roman"/>
          <w:b/>
          <w:sz w:val="24"/>
          <w:szCs w:val="24"/>
        </w:rPr>
      </w:pPr>
    </w:p>
    <w:p w14:paraId="4BD28315" w14:textId="77777777" w:rsidR="0047120C" w:rsidRPr="0047120C" w:rsidRDefault="0047120C" w:rsidP="0047120C">
      <w:pPr>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65FBA1B5" w14:textId="77777777" w:rsidR="0047120C" w:rsidRPr="0047120C" w:rsidRDefault="0047120C" w:rsidP="0047120C">
      <w:pPr>
        <w:ind w:left="720"/>
        <w:rPr>
          <w:rFonts w:eastAsia="Times New Roman"/>
          <w:b/>
          <w:sz w:val="24"/>
          <w:szCs w:val="24"/>
        </w:rPr>
      </w:pPr>
    </w:p>
    <w:p w14:paraId="017777DF"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5F3E54B1" w14:textId="77777777" w:rsidR="0047120C" w:rsidRPr="0047120C" w:rsidRDefault="0047120C" w:rsidP="0047120C">
      <w:pPr>
        <w:ind w:firstLine="720"/>
        <w:rPr>
          <w:rFonts w:eastAsia="Times New Roman"/>
          <w:b/>
          <w:sz w:val="24"/>
          <w:szCs w:val="24"/>
        </w:rPr>
      </w:pPr>
    </w:p>
    <w:p w14:paraId="7543EA5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 Enter the figure of zero, “0,” for any party you decide was not negligent or whose negligence you decide was not a cause of any of the plaintiff’s (injuries) (damages) (losses).</w:t>
      </w:r>
    </w:p>
    <w:p w14:paraId="4982AB7B" w14:textId="77777777" w:rsidR="0047120C" w:rsidRPr="0047120C" w:rsidRDefault="0047120C" w:rsidP="0047120C">
      <w:pPr>
        <w:ind w:firstLine="720"/>
        <w:rPr>
          <w:rFonts w:eastAsia="Times New Roman"/>
          <w:b/>
          <w:sz w:val="24"/>
          <w:szCs w:val="24"/>
        </w:rPr>
      </w:pPr>
    </w:p>
    <w:p w14:paraId="34F962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w:t>
      </w:r>
    </w:p>
    <w:p w14:paraId="5E41DA25" w14:textId="77777777" w:rsidR="0047120C" w:rsidRPr="0047120C" w:rsidRDefault="0047120C" w:rsidP="0047120C">
      <w:pPr>
        <w:tabs>
          <w:tab w:val="right" w:pos="7200"/>
        </w:tabs>
        <w:rPr>
          <w:rFonts w:eastAsia="Times New Roman"/>
          <w:b/>
          <w:sz w:val="24"/>
          <w:szCs w:val="24"/>
        </w:rPr>
      </w:pPr>
    </w:p>
    <w:p w14:paraId="1F5AA286"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first defendant)</w:t>
      </w:r>
      <w:r w:rsidRPr="0047120C">
        <w:rPr>
          <w:rFonts w:eastAsia="Times New Roman"/>
          <w:b/>
          <w:sz w:val="24"/>
          <w:szCs w:val="24"/>
        </w:rPr>
        <w:t xml:space="preserve">: </w:t>
      </w:r>
      <w:r w:rsidRPr="0047120C">
        <w:rPr>
          <w:rFonts w:eastAsia="Times New Roman"/>
          <w:b/>
          <w:sz w:val="24"/>
          <w:szCs w:val="24"/>
        </w:rPr>
        <w:tab/>
        <w:t>_______%</w:t>
      </w:r>
    </w:p>
    <w:p w14:paraId="7319A36D" w14:textId="77777777" w:rsidR="0047120C" w:rsidRPr="0047120C" w:rsidRDefault="0047120C" w:rsidP="0047120C">
      <w:pPr>
        <w:tabs>
          <w:tab w:val="right" w:pos="7200"/>
        </w:tabs>
        <w:rPr>
          <w:rFonts w:eastAsia="Times New Roman"/>
          <w:b/>
          <w:sz w:val="24"/>
          <w:szCs w:val="24"/>
        </w:rPr>
      </w:pPr>
    </w:p>
    <w:p w14:paraId="399F8801" w14:textId="7AE4DA4A"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second defendant)</w:t>
      </w:r>
      <w:r w:rsidR="00343F53">
        <w:rPr>
          <w:rFonts w:eastAsia="Times New Roman"/>
          <w:b/>
          <w:sz w:val="24"/>
          <w:szCs w:val="24"/>
        </w:rPr>
        <w:t>:</w:t>
      </w:r>
      <w:r w:rsidRPr="0047120C">
        <w:rPr>
          <w:rFonts w:eastAsia="Times New Roman"/>
          <w:b/>
          <w:sz w:val="24"/>
          <w:szCs w:val="24"/>
        </w:rPr>
        <w:tab/>
        <w:t>_______%</w:t>
      </w:r>
    </w:p>
    <w:p w14:paraId="38316E7F" w14:textId="77777777" w:rsidR="0047120C" w:rsidRPr="0047120C" w:rsidRDefault="0047120C" w:rsidP="0047120C">
      <w:pPr>
        <w:tabs>
          <w:tab w:val="right" w:pos="7200"/>
        </w:tabs>
        <w:rPr>
          <w:rFonts w:eastAsia="Times New Roman"/>
          <w:b/>
          <w:sz w:val="24"/>
          <w:szCs w:val="24"/>
        </w:rPr>
      </w:pPr>
    </w:p>
    <w:p w14:paraId="5B68D9B3"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plaintiff, </w:t>
      </w:r>
      <w:r w:rsidRPr="0047120C">
        <w:rPr>
          <w:rFonts w:eastAsia="Times New Roman"/>
          <w:i/>
          <w:sz w:val="24"/>
          <w:szCs w:val="24"/>
        </w:rPr>
        <w:t>(name)</w:t>
      </w:r>
      <w:r w:rsidRPr="0047120C">
        <w:rPr>
          <w:rFonts w:eastAsia="Times New Roman"/>
          <w:b/>
          <w:sz w:val="24"/>
          <w:szCs w:val="24"/>
        </w:rPr>
        <w:t>:</w:t>
      </w:r>
      <w:r w:rsidRPr="0047120C">
        <w:rPr>
          <w:rFonts w:eastAsia="Times New Roman"/>
          <w:b/>
          <w:sz w:val="24"/>
          <w:szCs w:val="24"/>
        </w:rPr>
        <w:tab/>
        <w:t>_______%</w:t>
      </w:r>
    </w:p>
    <w:p w14:paraId="60748084" w14:textId="77777777" w:rsidR="0047120C" w:rsidRPr="0047120C" w:rsidRDefault="0047120C" w:rsidP="0047120C">
      <w:pPr>
        <w:tabs>
          <w:tab w:val="right" w:pos="7200"/>
        </w:tabs>
        <w:rPr>
          <w:rFonts w:eastAsia="Times New Roman"/>
          <w:b/>
          <w:sz w:val="24"/>
          <w:szCs w:val="24"/>
        </w:rPr>
      </w:pPr>
    </w:p>
    <w:p w14:paraId="707335A5"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ab/>
        <w:t>MUST TOTAL:    100%</w:t>
      </w:r>
    </w:p>
    <w:p w14:paraId="0EDDF826" w14:textId="77777777" w:rsidR="0047120C" w:rsidRPr="0047120C" w:rsidRDefault="0047120C" w:rsidP="0047120C">
      <w:pPr>
        <w:tabs>
          <w:tab w:val="right" w:pos="7200"/>
        </w:tabs>
        <w:rPr>
          <w:rFonts w:eastAsia="Times New Roman"/>
          <w:b/>
          <w:sz w:val="24"/>
          <w:szCs w:val="24"/>
        </w:rPr>
      </w:pPr>
    </w:p>
    <w:p w14:paraId="7485915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326622B" w14:textId="77777777" w:rsidR="0047120C" w:rsidRPr="0047120C" w:rsidRDefault="0047120C" w:rsidP="0047120C">
      <w:pPr>
        <w:rPr>
          <w:rFonts w:eastAsia="Times New Roman"/>
          <w:b/>
          <w:sz w:val="24"/>
          <w:szCs w:val="24"/>
        </w:rPr>
      </w:pPr>
    </w:p>
    <w:p w14:paraId="3290ED41"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CEAA416"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50A5D92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5887C12" w14:textId="77777777" w:rsidR="0047120C" w:rsidRPr="0047120C" w:rsidRDefault="0047120C" w:rsidP="0047120C">
      <w:pPr>
        <w:rPr>
          <w:rFonts w:eastAsia="Times New Roman"/>
          <w:b/>
          <w:sz w:val="24"/>
          <w:szCs w:val="24"/>
        </w:rPr>
      </w:pPr>
    </w:p>
    <w:p w14:paraId="600C7C4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5A08A368" w14:textId="77777777" w:rsidR="0047120C" w:rsidRDefault="0047120C" w:rsidP="0047120C">
      <w:pPr>
        <w:spacing w:after="240"/>
        <w:ind w:firstLine="720"/>
        <w:rPr>
          <w:rFonts w:eastAsia="Times New Roman"/>
          <w:sz w:val="24"/>
          <w:szCs w:val="24"/>
        </w:rPr>
      </w:pPr>
    </w:p>
    <w:p w14:paraId="1871B10A" w14:textId="77777777" w:rsidR="0047120C" w:rsidRDefault="0047120C" w:rsidP="0047120C">
      <w:pPr>
        <w:jc w:val="center"/>
        <w:rPr>
          <w:rFonts w:eastAsia="Times New Roman"/>
          <w:sz w:val="24"/>
          <w:szCs w:val="24"/>
        </w:rPr>
      </w:pPr>
    </w:p>
    <w:p w14:paraId="5CA18175"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3AF04184"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See the Notes on Use to Instruction 9:27A and the Special Note to Part C of this Chapter 9.</w:t>
      </w:r>
    </w:p>
    <w:p w14:paraId="2E0E40E4"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73DC3FCB" w14:textId="77777777" w:rsidR="0047120C" w:rsidRDefault="0047120C" w:rsidP="0047120C">
      <w:pPr>
        <w:spacing w:after="240"/>
        <w:ind w:firstLine="720"/>
      </w:pPr>
      <w:r w:rsidRPr="0047120C">
        <w:rPr>
          <w:rFonts w:eastAsia="Times New Roman"/>
          <w:bCs/>
          <w:sz w:val="24"/>
          <w:szCs w:val="24"/>
        </w:rPr>
        <w:t>This instruction is supported by the authorities cited in the Notes on Use to Instruction 9:22.</w:t>
      </w:r>
      <w:r>
        <w:br w:type="page"/>
      </w:r>
    </w:p>
    <w:p w14:paraId="63884E33" w14:textId="77777777" w:rsidR="0047120C" w:rsidRPr="009E3DA4" w:rsidRDefault="0047120C" w:rsidP="0047120C">
      <w:pPr>
        <w:spacing w:after="240"/>
        <w:ind w:left="720" w:hanging="720"/>
        <w:rPr>
          <w:rFonts w:eastAsia="Times New Roman"/>
          <w:b/>
          <w:sz w:val="24"/>
          <w:szCs w:val="24"/>
        </w:rPr>
      </w:pPr>
      <w:bookmarkStart w:id="38" w:name="a9_27C"/>
      <w:bookmarkEnd w:id="38"/>
      <w:r w:rsidRPr="0047120C">
        <w:rPr>
          <w:rFonts w:eastAsia="Times New Roman"/>
          <w:b/>
          <w:sz w:val="24"/>
          <w:szCs w:val="24"/>
        </w:rPr>
        <w:lastRenderedPageBreak/>
        <w:t xml:space="preserve">9:27C </w:t>
      </w:r>
      <w:r w:rsidRPr="0047120C">
        <w:rPr>
          <w:rFonts w:eastAsia="Times New Roman"/>
          <w:b/>
          <w:sz w:val="24"/>
          <w:szCs w:val="24"/>
        </w:rPr>
        <w:tab/>
        <w:t>SPECIAL VERDICT QUESTIONS — MECHANICS FOR SUBMITTING — COMPARATIVE NEGLIGENCE OF THE PLAINTIFF — MULTIPLE DEFENDANTS — NO DESIGNATED NONPARTY (ALTERNATIVE TO INSTRUCTION 9:27A)</w:t>
      </w:r>
    </w:p>
    <w:p w14:paraId="7F2CD3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75B3ADA1"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0918E63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1B446EAD"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2B569A25"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346459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08BFF37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46EBFD9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666B554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3EB368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03AC6E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090D924C"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8B21E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If you determine that the negligence of the plaintiff was equal to or greater than the combined negligence of the defendants, i.e., 50% or more, then skip question 9.</w:t>
      </w:r>
    </w:p>
    <w:p w14:paraId="1441BF7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lastRenderedPageBreak/>
        <w:t>9. State your answers to the following questions relating to the plaintiff’s damages that were caused by the negligence of one or more of the defendants, whether the damages were also caused by the negligence, if any, of the plaintiff (or anyone else).</w:t>
      </w:r>
    </w:p>
    <w:p w14:paraId="395A773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5E9B7987"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0D920B0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plaintiff’s damages, if any, for [physical impairment] [or] [disfigurement]? You should answer “0” if you determine there were none.)</w:t>
      </w:r>
    </w:p>
    <w:p w14:paraId="36BD12D6" w14:textId="77777777" w:rsidR="0047120C" w:rsidRDefault="0047120C" w:rsidP="0047120C">
      <w:pPr>
        <w:jc w:val="center"/>
        <w:rPr>
          <w:rFonts w:eastAsia="Times New Roman"/>
          <w:sz w:val="24"/>
          <w:szCs w:val="24"/>
        </w:rPr>
      </w:pPr>
    </w:p>
    <w:p w14:paraId="0E885DA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207EB00F"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 xml:space="preserve">1. Instruction 6:1 (personal injuries) should be used with this instruction. The Notes on Use to Instructions 4:4 (verdict form), 6:1, 9:22, and 9:23 are also applicable to this instruction. </w:t>
      </w:r>
      <w:r w:rsidRPr="008812A8">
        <w:rPr>
          <w:rFonts w:eastAsia="Times New Roman"/>
          <w:i/>
          <w:sz w:val="24"/>
          <w:szCs w:val="24"/>
        </w:rPr>
        <w:t>See also</w:t>
      </w:r>
      <w:r w:rsidRPr="008812A8">
        <w:rPr>
          <w:rFonts w:eastAsia="Times New Roman"/>
          <w:sz w:val="24"/>
          <w:szCs w:val="24"/>
        </w:rPr>
        <w:t xml:space="preserve"> Special Note to Part C of this Chapter.</w:t>
      </w:r>
    </w:p>
    <w:p w14:paraId="3734ECBE"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2. Whenever this instruction is given, the verdict forms in Instruction 9:27D must also be given.</w:t>
      </w:r>
    </w:p>
    <w:p w14:paraId="046AFED5"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3. Omit the parenthesized clause in numbered question 9 unless some evidence of negligent conduct on the part of a person other than the plaintiff or the defendants has been brought into the case.</w:t>
      </w:r>
    </w:p>
    <w:p w14:paraId="17BEE1A3"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10E2DCCB"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5. Insert any other questions that may be necessary to resolve properly any other claims of the plaintiff or affirmative defenses of any of the defendants.</w:t>
      </w:r>
    </w:p>
    <w:p w14:paraId="6A3D2286"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6. If, in a district court case, the parties have stipulated to a verdict or finding by some stated majority pursuant to C.R.C.P. 48, this instruction should be modified accordingly.</w:t>
      </w:r>
    </w:p>
    <w:p w14:paraId="46625329"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451D15A0" w14:textId="77777777" w:rsidR="008812A8" w:rsidRDefault="008812A8" w:rsidP="008812A8">
      <w:pPr>
        <w:spacing w:after="240"/>
        <w:ind w:firstLine="720"/>
      </w:pPr>
      <w:r w:rsidRPr="008812A8">
        <w:rPr>
          <w:rFonts w:eastAsia="Times New Roman"/>
          <w:bCs/>
          <w:sz w:val="24"/>
          <w:szCs w:val="24"/>
        </w:rPr>
        <w:t>This instruction is supported by the authorities cited in the Notes on Use to Instruction 9:22.</w:t>
      </w:r>
      <w:r>
        <w:br w:type="page"/>
      </w:r>
    </w:p>
    <w:p w14:paraId="07D36AC7" w14:textId="77777777" w:rsidR="008812A8" w:rsidRPr="009E3DA4" w:rsidRDefault="008812A8" w:rsidP="008812A8">
      <w:pPr>
        <w:spacing w:after="240"/>
        <w:ind w:left="720" w:hanging="720"/>
        <w:rPr>
          <w:rFonts w:eastAsia="Times New Roman"/>
          <w:b/>
          <w:sz w:val="24"/>
          <w:szCs w:val="24"/>
        </w:rPr>
      </w:pPr>
      <w:bookmarkStart w:id="39" w:name="a9_27D"/>
      <w:bookmarkEnd w:id="39"/>
      <w:r w:rsidRPr="008812A8">
        <w:rPr>
          <w:rFonts w:eastAsia="Times New Roman"/>
          <w:b/>
          <w:sz w:val="24"/>
          <w:szCs w:val="24"/>
        </w:rPr>
        <w:lastRenderedPageBreak/>
        <w:t xml:space="preserve">9:27D </w:t>
      </w:r>
      <w:r w:rsidRPr="008812A8">
        <w:rPr>
          <w:rFonts w:eastAsia="Times New Roman"/>
          <w:b/>
          <w:sz w:val="24"/>
          <w:szCs w:val="24"/>
        </w:rPr>
        <w:tab/>
        <w:t>SPECIAL VERDICT FORMS — COMPARATIVE NEGLIGENCE OF THE PLAINTIFF — MULTIPLE DEFENDANTS — NO DESIGNATED NONPARTY — FORMS A AND B (ALTERNATIVE TO INSTRUCTION 9:27B)</w:t>
      </w:r>
    </w:p>
    <w:p w14:paraId="54B40AFD"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A:</w:t>
      </w:r>
    </w:p>
    <w:p w14:paraId="1A167CAE" w14:textId="77777777" w:rsidR="008D2D56" w:rsidRPr="008D2D56" w:rsidRDefault="008D2D56" w:rsidP="008D2D56">
      <w:pPr>
        <w:rPr>
          <w:rFonts w:eastAsia="Times New Roman"/>
          <w:b/>
          <w:sz w:val="24"/>
          <w:szCs w:val="24"/>
        </w:rPr>
      </w:pPr>
    </w:p>
    <w:p w14:paraId="6BB9E0D9"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54F3C3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26931679" w14:textId="77777777" w:rsidR="008D2D56" w:rsidRPr="008D2D56" w:rsidRDefault="008D2D56" w:rsidP="008D2D56">
      <w:pPr>
        <w:jc w:val="center"/>
        <w:rPr>
          <w:rFonts w:eastAsia="Times New Roman"/>
          <w:b/>
          <w:sz w:val="24"/>
          <w:szCs w:val="24"/>
        </w:rPr>
      </w:pPr>
    </w:p>
    <w:p w14:paraId="73D1EF3A"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57D38B04" w14:textId="77777777" w:rsidR="008D2D56" w:rsidRPr="008D2D56" w:rsidRDefault="008D2D56" w:rsidP="008D2D56">
      <w:pPr>
        <w:rPr>
          <w:rFonts w:eastAsia="Times New Roman"/>
          <w:b/>
          <w:sz w:val="24"/>
          <w:szCs w:val="24"/>
        </w:rPr>
      </w:pPr>
    </w:p>
    <w:p w14:paraId="6988F789" w14:textId="77777777" w:rsidR="008D2D56" w:rsidRPr="008D2D56" w:rsidRDefault="008D2D56" w:rsidP="008D2D56">
      <w:pPr>
        <w:rPr>
          <w:rFonts w:eastAsia="Times New Roman"/>
          <w:b/>
          <w:sz w:val="24"/>
          <w:szCs w:val="24"/>
        </w:rPr>
      </w:pPr>
    </w:p>
    <w:p w14:paraId="468D2FDD" w14:textId="77777777" w:rsidR="008D2D56" w:rsidRPr="008D2D56" w:rsidRDefault="008D2D56" w:rsidP="008D2D56">
      <w:pPr>
        <w:rPr>
          <w:rFonts w:eastAsia="Times New Roman"/>
          <w:b/>
          <w:sz w:val="24"/>
          <w:szCs w:val="24"/>
        </w:rPr>
      </w:pPr>
    </w:p>
    <w:p w14:paraId="31721D1C"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01D37D43"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29792EC2"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2903A3E5"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0BB34363"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A</w:t>
      </w:r>
    </w:p>
    <w:p w14:paraId="772CF378"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2853F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CF042D4" w14:textId="77777777" w:rsidR="008D2D56" w:rsidRPr="008D2D56" w:rsidRDefault="008D2D56" w:rsidP="008D2D56">
      <w:pPr>
        <w:rPr>
          <w:rFonts w:eastAsia="Times New Roman"/>
          <w:b/>
          <w:sz w:val="24"/>
          <w:szCs w:val="24"/>
        </w:rPr>
      </w:pPr>
    </w:p>
    <w:p w14:paraId="4840794F" w14:textId="77777777" w:rsidR="008D2D56" w:rsidRPr="008D2D56" w:rsidRDefault="008D2D56" w:rsidP="008D2D56">
      <w:pPr>
        <w:rPr>
          <w:rFonts w:eastAsia="Times New Roman"/>
          <w:b/>
          <w:sz w:val="24"/>
          <w:szCs w:val="24"/>
        </w:rPr>
      </w:pPr>
    </w:p>
    <w:p w14:paraId="6C7AB1AD"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A IF YOUR FOREPERSON HAS COMPLETED SPECIAL VERDICT FORM B AND ALL JURORS HAVE SIGNED IT.</w:t>
      </w:r>
    </w:p>
    <w:p w14:paraId="39FF1BDB" w14:textId="77777777" w:rsidR="008D2D56" w:rsidRPr="008D2D56" w:rsidRDefault="008D2D56" w:rsidP="008D2D56">
      <w:pPr>
        <w:rPr>
          <w:rFonts w:eastAsia="Times New Roman"/>
          <w:b/>
          <w:sz w:val="24"/>
          <w:szCs w:val="24"/>
        </w:rPr>
      </w:pPr>
    </w:p>
    <w:p w14:paraId="0ADC6A8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44EF0825" w14:textId="77777777" w:rsidR="008D2D56" w:rsidRPr="008D2D56" w:rsidRDefault="008D2D56" w:rsidP="008D2D56">
      <w:pPr>
        <w:ind w:firstLine="720"/>
        <w:rPr>
          <w:rFonts w:eastAsia="Times New Roman"/>
          <w:b/>
          <w:sz w:val="24"/>
          <w:szCs w:val="24"/>
        </w:rPr>
      </w:pPr>
    </w:p>
    <w:p w14:paraId="2118442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3AFAE49B" w14:textId="77777777" w:rsidR="008D2D56" w:rsidRPr="008D2D56" w:rsidRDefault="008D2D56" w:rsidP="008D2D56">
      <w:pPr>
        <w:ind w:firstLine="720"/>
        <w:rPr>
          <w:rFonts w:eastAsia="Times New Roman"/>
          <w:b/>
          <w:sz w:val="24"/>
          <w:szCs w:val="24"/>
        </w:rPr>
      </w:pPr>
    </w:p>
    <w:p w14:paraId="4620EBB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7800C544" w14:textId="77777777" w:rsidR="008D2D56" w:rsidRPr="008D2D56" w:rsidRDefault="008D2D56" w:rsidP="008D2D56">
      <w:pPr>
        <w:ind w:firstLine="720"/>
        <w:rPr>
          <w:rFonts w:eastAsia="Times New Roman"/>
          <w:b/>
          <w:sz w:val="24"/>
          <w:szCs w:val="24"/>
        </w:rPr>
      </w:pPr>
    </w:p>
    <w:p w14:paraId="509CBB7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b/>
          <w:sz w:val="24"/>
          <w:szCs w:val="24"/>
        </w:rPr>
        <w:t>, negligent? (Yes or No)</w:t>
      </w:r>
    </w:p>
    <w:p w14:paraId="27D07E27" w14:textId="77777777" w:rsidR="008D2D56" w:rsidRPr="008D2D56" w:rsidRDefault="008D2D56" w:rsidP="008D2D56">
      <w:pPr>
        <w:ind w:firstLine="720"/>
        <w:rPr>
          <w:rFonts w:eastAsia="Times New Roman"/>
          <w:b/>
          <w:sz w:val="24"/>
          <w:szCs w:val="24"/>
        </w:rPr>
      </w:pPr>
    </w:p>
    <w:p w14:paraId="0484614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6595BD95" w14:textId="77777777" w:rsidR="008D2D56" w:rsidRPr="008D2D56" w:rsidRDefault="008D2D56" w:rsidP="008D2D56">
      <w:pPr>
        <w:ind w:firstLine="720"/>
        <w:rPr>
          <w:rFonts w:eastAsia="Times New Roman"/>
          <w:b/>
          <w:sz w:val="24"/>
          <w:szCs w:val="24"/>
        </w:rPr>
      </w:pPr>
    </w:p>
    <w:p w14:paraId="3C96EB9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3. Was the negligence, if any, of the defendant, </w:t>
      </w:r>
      <w:r w:rsidRPr="008D2D56">
        <w:rPr>
          <w:rFonts w:eastAsia="Times New Roman"/>
          <w:i/>
          <w:sz w:val="24"/>
          <w:szCs w:val="24"/>
        </w:rPr>
        <w:t>(name of first defendant)</w:t>
      </w:r>
      <w:r w:rsidRPr="008D2D56">
        <w:rPr>
          <w:rFonts w:eastAsia="Times New Roman"/>
          <w:b/>
          <w:sz w:val="24"/>
          <w:szCs w:val="24"/>
        </w:rPr>
        <w:t>, a cause of any of the (injuries) (damages) (losses) claimed by the plaintiff? (Yes or No)</w:t>
      </w:r>
    </w:p>
    <w:p w14:paraId="04D83634" w14:textId="77777777" w:rsidR="008D2D56" w:rsidRPr="008D2D56" w:rsidRDefault="008D2D56" w:rsidP="008D2D56">
      <w:pPr>
        <w:ind w:firstLine="720"/>
        <w:rPr>
          <w:rFonts w:eastAsia="Times New Roman"/>
          <w:b/>
          <w:sz w:val="24"/>
          <w:szCs w:val="24"/>
        </w:rPr>
      </w:pPr>
    </w:p>
    <w:p w14:paraId="75A42D8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6735635" w14:textId="77777777" w:rsidR="008D2D56" w:rsidRPr="008D2D56" w:rsidRDefault="008D2D56" w:rsidP="008D2D56">
      <w:pPr>
        <w:ind w:firstLine="720"/>
        <w:rPr>
          <w:rFonts w:eastAsia="Times New Roman"/>
          <w:b/>
          <w:sz w:val="24"/>
          <w:szCs w:val="24"/>
        </w:rPr>
      </w:pPr>
    </w:p>
    <w:p w14:paraId="01BEF1B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154BD7BE" w14:textId="77777777" w:rsidR="008D2D56" w:rsidRPr="008D2D56" w:rsidRDefault="008D2D56" w:rsidP="008D2D56">
      <w:pPr>
        <w:ind w:firstLine="720"/>
        <w:rPr>
          <w:rFonts w:eastAsia="Times New Roman"/>
          <w:b/>
          <w:sz w:val="24"/>
          <w:szCs w:val="24"/>
        </w:rPr>
      </w:pPr>
    </w:p>
    <w:p w14:paraId="19A05AD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7C980C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485F6076" w14:textId="77777777" w:rsidR="008D2D56" w:rsidRPr="008D2D56" w:rsidRDefault="008D2D56" w:rsidP="008D2D56">
      <w:pPr>
        <w:ind w:firstLine="720"/>
        <w:rPr>
          <w:rFonts w:eastAsia="Times New Roman"/>
          <w:b/>
          <w:sz w:val="24"/>
          <w:szCs w:val="24"/>
        </w:rPr>
      </w:pPr>
    </w:p>
    <w:p w14:paraId="0E0471D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5B9069A6" w14:textId="77777777" w:rsidR="008D2D56" w:rsidRPr="008D2D56" w:rsidRDefault="008D2D56" w:rsidP="008D2D56">
      <w:pPr>
        <w:ind w:firstLine="720"/>
        <w:rPr>
          <w:rFonts w:eastAsia="Times New Roman"/>
          <w:b/>
          <w:sz w:val="24"/>
          <w:szCs w:val="24"/>
        </w:rPr>
      </w:pPr>
    </w:p>
    <w:p w14:paraId="4E31DAA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We, the jury, find for the defendants and award no damages to the plaintiff, </w:t>
      </w:r>
      <w:r w:rsidRPr="008D2D56">
        <w:rPr>
          <w:rFonts w:eastAsia="Times New Roman"/>
          <w:i/>
          <w:sz w:val="24"/>
          <w:szCs w:val="24"/>
        </w:rPr>
        <w:t>(name)</w:t>
      </w:r>
      <w:r w:rsidRPr="008D2D56">
        <w:rPr>
          <w:rFonts w:eastAsia="Times New Roman"/>
          <w:b/>
          <w:sz w:val="24"/>
          <w:szCs w:val="24"/>
        </w:rPr>
        <w:t>.</w:t>
      </w:r>
    </w:p>
    <w:p w14:paraId="699DE7DF" w14:textId="77777777" w:rsidR="008D2D56" w:rsidRPr="008D2D56" w:rsidRDefault="008D2D56" w:rsidP="008D2D56">
      <w:pPr>
        <w:ind w:firstLine="720"/>
        <w:rPr>
          <w:rFonts w:eastAsia="Times New Roman"/>
          <w:b/>
          <w:sz w:val="24"/>
          <w:szCs w:val="24"/>
        </w:rPr>
      </w:pPr>
    </w:p>
    <w:p w14:paraId="69D5407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3517B328" w14:textId="77777777" w:rsidR="008D2D56" w:rsidRPr="008D2D56" w:rsidRDefault="008D2D56" w:rsidP="008D2D56">
      <w:pPr>
        <w:ind w:firstLine="720"/>
        <w:rPr>
          <w:rFonts w:eastAsia="Times New Roman"/>
          <w:b/>
          <w:sz w:val="24"/>
          <w:szCs w:val="24"/>
        </w:rPr>
      </w:pPr>
    </w:p>
    <w:p w14:paraId="6940E4C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799507DE"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655BD997"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0FB75F22" w14:textId="77777777" w:rsidR="008D2D56" w:rsidRPr="008D2D56" w:rsidRDefault="008D2D56" w:rsidP="008D2D56">
      <w:pPr>
        <w:rPr>
          <w:rFonts w:eastAsia="Times New Roman"/>
          <w:b/>
          <w:sz w:val="24"/>
          <w:szCs w:val="24"/>
        </w:rPr>
      </w:pPr>
    </w:p>
    <w:p w14:paraId="08C956B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2F0FBF1C" w14:textId="77777777" w:rsidR="008D2D56" w:rsidRPr="008D2D56" w:rsidRDefault="008D2D56" w:rsidP="008D2D56">
      <w:pPr>
        <w:rPr>
          <w:rFonts w:eastAsia="Times New Roman"/>
          <w:b/>
          <w:sz w:val="24"/>
          <w:szCs w:val="24"/>
        </w:rPr>
      </w:pPr>
    </w:p>
    <w:p w14:paraId="0A2363DA" w14:textId="77777777" w:rsidR="008D2D56" w:rsidRPr="008D2D56" w:rsidRDefault="008D2D56" w:rsidP="008D2D56">
      <w:pPr>
        <w:rPr>
          <w:rFonts w:eastAsia="Times New Roman"/>
          <w:b/>
          <w:sz w:val="24"/>
          <w:szCs w:val="24"/>
        </w:rPr>
      </w:pPr>
    </w:p>
    <w:p w14:paraId="0ABA4B09"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B:</w:t>
      </w:r>
    </w:p>
    <w:p w14:paraId="27DD4B86" w14:textId="77777777" w:rsidR="008D2D56" w:rsidRPr="008D2D56" w:rsidRDefault="008D2D56" w:rsidP="008D2D56">
      <w:pPr>
        <w:rPr>
          <w:rFonts w:eastAsia="Times New Roman"/>
          <w:b/>
          <w:sz w:val="24"/>
          <w:szCs w:val="24"/>
        </w:rPr>
      </w:pPr>
    </w:p>
    <w:p w14:paraId="6FA71072"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772ECB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5934FDDF" w14:textId="77777777" w:rsidR="008D2D56" w:rsidRPr="008D2D56" w:rsidRDefault="008D2D56" w:rsidP="008D2D56">
      <w:pPr>
        <w:rPr>
          <w:rFonts w:eastAsia="Times New Roman"/>
          <w:b/>
          <w:sz w:val="24"/>
          <w:szCs w:val="24"/>
        </w:rPr>
      </w:pPr>
    </w:p>
    <w:p w14:paraId="60FC3857"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470A43C3" w14:textId="77777777" w:rsidR="008D2D56" w:rsidRPr="008D2D56" w:rsidRDefault="008D2D56" w:rsidP="008D2D56">
      <w:pPr>
        <w:rPr>
          <w:rFonts w:eastAsia="Times New Roman"/>
          <w:b/>
          <w:sz w:val="24"/>
          <w:szCs w:val="24"/>
        </w:rPr>
      </w:pPr>
    </w:p>
    <w:p w14:paraId="6FD667BA" w14:textId="77777777" w:rsidR="008D2D56" w:rsidRPr="008D2D56" w:rsidRDefault="008D2D56" w:rsidP="008D2D56">
      <w:pPr>
        <w:rPr>
          <w:rFonts w:eastAsia="Times New Roman"/>
          <w:b/>
          <w:sz w:val="24"/>
          <w:szCs w:val="24"/>
        </w:rPr>
      </w:pPr>
    </w:p>
    <w:p w14:paraId="0F564D40" w14:textId="77777777" w:rsidR="008D2D56" w:rsidRPr="008D2D56" w:rsidRDefault="008D2D56" w:rsidP="008D2D56">
      <w:pPr>
        <w:rPr>
          <w:rFonts w:eastAsia="Times New Roman"/>
          <w:b/>
          <w:sz w:val="24"/>
          <w:szCs w:val="24"/>
        </w:rPr>
      </w:pPr>
    </w:p>
    <w:p w14:paraId="7CDE3B55"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749716B9"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634FB84F"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045E8758"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397AE9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B</w:t>
      </w:r>
    </w:p>
    <w:p w14:paraId="3B6B04FA"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3AAB30E"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6A3D776" w14:textId="77777777" w:rsidR="008D2D56" w:rsidRPr="008D2D56" w:rsidRDefault="008D2D56" w:rsidP="008D2D56">
      <w:pPr>
        <w:rPr>
          <w:rFonts w:eastAsia="Times New Roman"/>
          <w:b/>
          <w:sz w:val="24"/>
          <w:szCs w:val="24"/>
        </w:rPr>
      </w:pPr>
    </w:p>
    <w:p w14:paraId="268D8643" w14:textId="77777777" w:rsidR="008D2D56" w:rsidRPr="008D2D56" w:rsidRDefault="008D2D56" w:rsidP="008D2D56">
      <w:pPr>
        <w:rPr>
          <w:rFonts w:eastAsia="Times New Roman"/>
          <w:b/>
          <w:sz w:val="24"/>
          <w:szCs w:val="24"/>
        </w:rPr>
      </w:pPr>
    </w:p>
    <w:p w14:paraId="1E647B41"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B IF YOUR FOREPERSON HAS COMPLETED SPECIAL VERDICT FORM A AND ALL JURORS HAVE SIGNED IT.</w:t>
      </w:r>
    </w:p>
    <w:p w14:paraId="0FD927F6" w14:textId="77777777" w:rsidR="008D2D56" w:rsidRPr="008D2D56" w:rsidRDefault="008D2D56" w:rsidP="008D2D56">
      <w:pPr>
        <w:rPr>
          <w:rFonts w:eastAsia="Times New Roman"/>
          <w:b/>
          <w:sz w:val="24"/>
          <w:szCs w:val="24"/>
        </w:rPr>
      </w:pPr>
    </w:p>
    <w:p w14:paraId="18DEB67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330A2874" w14:textId="77777777" w:rsidR="008D2D56" w:rsidRPr="008D2D56" w:rsidRDefault="008D2D56" w:rsidP="008D2D56">
      <w:pPr>
        <w:ind w:firstLine="720"/>
        <w:rPr>
          <w:rFonts w:eastAsia="Times New Roman"/>
          <w:b/>
          <w:sz w:val="24"/>
          <w:szCs w:val="24"/>
        </w:rPr>
      </w:pPr>
    </w:p>
    <w:p w14:paraId="27BEB95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5AD91838" w14:textId="77777777" w:rsidR="008D2D56" w:rsidRPr="008D2D56" w:rsidRDefault="008D2D56" w:rsidP="008D2D56">
      <w:pPr>
        <w:ind w:firstLine="720"/>
        <w:rPr>
          <w:rFonts w:eastAsia="Times New Roman"/>
          <w:b/>
          <w:sz w:val="24"/>
          <w:szCs w:val="24"/>
        </w:rPr>
      </w:pPr>
    </w:p>
    <w:p w14:paraId="5582FF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D8FAAB6" w14:textId="77777777" w:rsidR="008D2D56" w:rsidRPr="008D2D56" w:rsidRDefault="008D2D56" w:rsidP="008D2D56">
      <w:pPr>
        <w:ind w:firstLine="720"/>
        <w:rPr>
          <w:rFonts w:eastAsia="Times New Roman"/>
          <w:b/>
          <w:sz w:val="24"/>
          <w:szCs w:val="24"/>
        </w:rPr>
      </w:pPr>
    </w:p>
    <w:p w14:paraId="2B94D5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sz w:val="24"/>
          <w:szCs w:val="24"/>
        </w:rPr>
        <w:t>,</w:t>
      </w:r>
      <w:r w:rsidRPr="008D2D56">
        <w:rPr>
          <w:rFonts w:eastAsia="Times New Roman"/>
          <w:b/>
          <w:sz w:val="24"/>
          <w:szCs w:val="24"/>
        </w:rPr>
        <w:t xml:space="preserve"> negligent? (Yes or No)</w:t>
      </w:r>
    </w:p>
    <w:p w14:paraId="07C49BAA" w14:textId="77777777" w:rsidR="008D2D56" w:rsidRPr="008D2D56" w:rsidRDefault="008D2D56" w:rsidP="008D2D56">
      <w:pPr>
        <w:ind w:firstLine="720"/>
        <w:rPr>
          <w:rFonts w:eastAsia="Times New Roman"/>
          <w:b/>
          <w:sz w:val="24"/>
          <w:szCs w:val="24"/>
        </w:rPr>
      </w:pPr>
    </w:p>
    <w:p w14:paraId="1C9485D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08DECAEB" w14:textId="77777777" w:rsidR="008D2D56" w:rsidRPr="008D2D56" w:rsidRDefault="008D2D56" w:rsidP="008D2D56">
      <w:pPr>
        <w:ind w:firstLine="720"/>
        <w:rPr>
          <w:rFonts w:eastAsia="Times New Roman"/>
          <w:b/>
          <w:sz w:val="24"/>
          <w:szCs w:val="24"/>
        </w:rPr>
      </w:pPr>
    </w:p>
    <w:p w14:paraId="661B55FC" w14:textId="1F209FA3" w:rsidR="008D2D56" w:rsidRPr="008D2D56" w:rsidRDefault="00343F53" w:rsidP="008D2D56">
      <w:pPr>
        <w:ind w:firstLine="720"/>
        <w:rPr>
          <w:rFonts w:eastAsia="Times New Roman"/>
          <w:b/>
          <w:sz w:val="24"/>
          <w:szCs w:val="24"/>
        </w:rPr>
      </w:pPr>
      <w:r>
        <w:rPr>
          <w:rFonts w:eastAsia="Times New Roman"/>
          <w:b/>
          <w:sz w:val="24"/>
          <w:szCs w:val="24"/>
        </w:rPr>
        <w:lastRenderedPageBreak/>
        <w:t xml:space="preserve">3. </w:t>
      </w:r>
      <w:r w:rsidR="008D2D56" w:rsidRPr="008D2D56">
        <w:rPr>
          <w:rFonts w:eastAsia="Times New Roman"/>
          <w:b/>
          <w:sz w:val="24"/>
          <w:szCs w:val="24"/>
        </w:rPr>
        <w:t xml:space="preserve">Was the negligence, if any, of the defendant, </w:t>
      </w:r>
      <w:r w:rsidR="008D2D56" w:rsidRPr="008D2D56">
        <w:rPr>
          <w:rFonts w:eastAsia="Times New Roman"/>
          <w:i/>
          <w:sz w:val="24"/>
          <w:szCs w:val="24"/>
        </w:rPr>
        <w:t>(name of first defendant)</w:t>
      </w:r>
      <w:r w:rsidR="008D2D56" w:rsidRPr="008D2D56">
        <w:rPr>
          <w:rFonts w:eastAsia="Times New Roman"/>
          <w:b/>
          <w:sz w:val="24"/>
          <w:szCs w:val="24"/>
        </w:rPr>
        <w:t>, a cause of any of the (injuries) (damages) (losses) claimed by the plaintiff? (Yes or No)</w:t>
      </w:r>
    </w:p>
    <w:p w14:paraId="41BEA2BA" w14:textId="77777777" w:rsidR="008D2D56" w:rsidRPr="008D2D56" w:rsidRDefault="008D2D56" w:rsidP="008D2D56">
      <w:pPr>
        <w:ind w:firstLine="720"/>
        <w:rPr>
          <w:rFonts w:eastAsia="Times New Roman"/>
          <w:b/>
          <w:sz w:val="24"/>
          <w:szCs w:val="24"/>
        </w:rPr>
      </w:pPr>
    </w:p>
    <w:p w14:paraId="49758EE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DF87C94" w14:textId="77777777" w:rsidR="008D2D56" w:rsidRPr="008D2D56" w:rsidRDefault="008D2D56" w:rsidP="008D2D56">
      <w:pPr>
        <w:ind w:firstLine="720"/>
        <w:rPr>
          <w:rFonts w:eastAsia="Times New Roman"/>
          <w:b/>
          <w:sz w:val="24"/>
          <w:szCs w:val="24"/>
        </w:rPr>
      </w:pPr>
    </w:p>
    <w:p w14:paraId="00CFFDE1"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464B587C" w14:textId="77777777" w:rsidR="008D2D56" w:rsidRPr="008D2D56" w:rsidRDefault="008D2D56" w:rsidP="008D2D56">
      <w:pPr>
        <w:ind w:firstLine="720"/>
        <w:rPr>
          <w:rFonts w:eastAsia="Times New Roman"/>
          <w:b/>
          <w:sz w:val="24"/>
          <w:szCs w:val="24"/>
        </w:rPr>
      </w:pPr>
    </w:p>
    <w:p w14:paraId="538E6C4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9DCE64B" w14:textId="77777777" w:rsidR="008D2D56" w:rsidRPr="008D2D56" w:rsidRDefault="008D2D56" w:rsidP="008D2D56">
      <w:pPr>
        <w:ind w:firstLine="720"/>
        <w:rPr>
          <w:rFonts w:eastAsia="Times New Roman"/>
          <w:b/>
          <w:sz w:val="24"/>
          <w:szCs w:val="24"/>
        </w:rPr>
      </w:pPr>
    </w:p>
    <w:p w14:paraId="4A7B807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7EFB6DE7" w14:textId="77777777" w:rsidR="008D2D56" w:rsidRPr="008D2D56" w:rsidRDefault="008D2D56" w:rsidP="008D2D56">
      <w:pPr>
        <w:ind w:firstLine="720"/>
        <w:rPr>
          <w:rFonts w:eastAsia="Times New Roman"/>
          <w:b/>
          <w:sz w:val="24"/>
          <w:szCs w:val="24"/>
        </w:rPr>
      </w:pPr>
    </w:p>
    <w:p w14:paraId="0EB4249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2FED71E1" w14:textId="77777777" w:rsidR="008D2D56" w:rsidRPr="008D2D56" w:rsidRDefault="008D2D56" w:rsidP="008D2D56">
      <w:pPr>
        <w:ind w:firstLine="720"/>
        <w:rPr>
          <w:rFonts w:eastAsia="Times New Roman"/>
          <w:b/>
          <w:sz w:val="24"/>
          <w:szCs w:val="24"/>
        </w:rPr>
      </w:pPr>
    </w:p>
    <w:p w14:paraId="43368C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EAE2520" w14:textId="77777777" w:rsidR="008D2D56" w:rsidRPr="008D2D56" w:rsidRDefault="008D2D56" w:rsidP="008D2D56">
      <w:pPr>
        <w:ind w:firstLine="720"/>
        <w:rPr>
          <w:rFonts w:eastAsia="Times New Roman"/>
          <w:b/>
          <w:sz w:val="24"/>
          <w:szCs w:val="24"/>
        </w:rPr>
      </w:pPr>
    </w:p>
    <w:p w14:paraId="19D2FBD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6. Was the plaintiff, </w:t>
      </w:r>
      <w:r w:rsidRPr="008D2D56">
        <w:rPr>
          <w:rFonts w:eastAsia="Times New Roman"/>
          <w:i/>
          <w:sz w:val="24"/>
          <w:szCs w:val="24"/>
        </w:rPr>
        <w:t>(name)</w:t>
      </w:r>
      <w:r w:rsidRPr="008D2D56">
        <w:rPr>
          <w:rFonts w:eastAsia="Times New Roman"/>
          <w:b/>
          <w:sz w:val="24"/>
          <w:szCs w:val="24"/>
        </w:rPr>
        <w:t>, negligent? (Yes or No)</w:t>
      </w:r>
    </w:p>
    <w:p w14:paraId="4E1532D0" w14:textId="77777777" w:rsidR="008D2D56" w:rsidRPr="008D2D56" w:rsidRDefault="008D2D56" w:rsidP="008D2D56">
      <w:pPr>
        <w:ind w:firstLine="720"/>
        <w:rPr>
          <w:rFonts w:eastAsia="Times New Roman"/>
          <w:b/>
          <w:sz w:val="24"/>
          <w:szCs w:val="24"/>
        </w:rPr>
      </w:pPr>
    </w:p>
    <w:p w14:paraId="1E4B3420"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61B6BF1" w14:textId="77777777" w:rsidR="008D2D56" w:rsidRPr="008D2D56" w:rsidRDefault="008D2D56" w:rsidP="008D2D56">
      <w:pPr>
        <w:ind w:firstLine="720"/>
        <w:rPr>
          <w:rFonts w:eastAsia="Times New Roman"/>
          <w:b/>
          <w:sz w:val="24"/>
          <w:szCs w:val="24"/>
        </w:rPr>
      </w:pPr>
    </w:p>
    <w:p w14:paraId="2508DED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7. Was the negligence, if any, of the plaintiff a cause of (his) (her) own claimed (injuries) (damages) (losses)? (Yes or No)</w:t>
      </w:r>
    </w:p>
    <w:p w14:paraId="605A5D62" w14:textId="77777777" w:rsidR="008D2D56" w:rsidRPr="008D2D56" w:rsidRDefault="008D2D56" w:rsidP="008D2D56">
      <w:pPr>
        <w:ind w:firstLine="720"/>
        <w:rPr>
          <w:rFonts w:eastAsia="Times New Roman"/>
          <w:b/>
          <w:sz w:val="24"/>
          <w:szCs w:val="24"/>
        </w:rPr>
      </w:pPr>
    </w:p>
    <w:p w14:paraId="05BD730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FF2F277" w14:textId="77777777" w:rsidR="008D2D56" w:rsidRPr="008D2D56" w:rsidRDefault="008D2D56" w:rsidP="008D2D56">
      <w:pPr>
        <w:ind w:firstLine="720"/>
        <w:rPr>
          <w:rFonts w:eastAsia="Times New Roman"/>
          <w:b/>
          <w:sz w:val="24"/>
          <w:szCs w:val="24"/>
        </w:rPr>
      </w:pPr>
    </w:p>
    <w:p w14:paraId="364CA30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8D2D56">
        <w:rPr>
          <w:rFonts w:eastAsia="Times New Roman"/>
          <w:i/>
          <w:sz w:val="24"/>
          <w:szCs w:val="24"/>
        </w:rPr>
        <w:t>(name of first defendant)</w:t>
      </w:r>
      <w:r w:rsidRPr="008D2D56">
        <w:rPr>
          <w:rFonts w:eastAsia="Times New Roman"/>
          <w:b/>
          <w:sz w:val="24"/>
          <w:szCs w:val="24"/>
        </w:rPr>
        <w:t xml:space="preserve">, of the defendant, </w:t>
      </w:r>
      <w:r w:rsidRPr="008D2D56">
        <w:rPr>
          <w:rFonts w:eastAsia="Times New Roman"/>
          <w:i/>
          <w:sz w:val="24"/>
          <w:szCs w:val="24"/>
        </w:rPr>
        <w:t>(name of second defendant)</w:t>
      </w:r>
      <w:r w:rsidRPr="008D2D56">
        <w:rPr>
          <w:rFonts w:eastAsia="Times New Roman"/>
          <w:b/>
          <w:sz w:val="24"/>
          <w:szCs w:val="24"/>
        </w:rPr>
        <w:t xml:space="preserve">, and of the plaintiff, </w:t>
      </w:r>
      <w:r w:rsidRPr="008D2D56">
        <w:rPr>
          <w:rFonts w:eastAsia="Times New Roman"/>
          <w:i/>
          <w:sz w:val="24"/>
          <w:szCs w:val="24"/>
        </w:rPr>
        <w:t>(name)</w:t>
      </w:r>
      <w:r w:rsidRPr="008D2D56">
        <w:rPr>
          <w:rFonts w:eastAsia="Times New Roman"/>
          <w:b/>
          <w:sz w:val="24"/>
          <w:szCs w:val="24"/>
        </w:rPr>
        <w:t>?</w:t>
      </w:r>
    </w:p>
    <w:p w14:paraId="35176803" w14:textId="77777777" w:rsidR="008D2D56" w:rsidRPr="008D2D56" w:rsidRDefault="008D2D56" w:rsidP="008D2D56">
      <w:pPr>
        <w:ind w:firstLine="720"/>
        <w:rPr>
          <w:rFonts w:eastAsia="Times New Roman"/>
          <w:b/>
          <w:sz w:val="24"/>
          <w:szCs w:val="24"/>
        </w:rPr>
      </w:pPr>
    </w:p>
    <w:p w14:paraId="5DFE097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Enter the figure of zero, “0,” for any party you decide was not negligent or whose negligence you decide was not a cause of any of the plaintiff’s (injuries) (damages) (losses).</w:t>
      </w:r>
    </w:p>
    <w:p w14:paraId="75BDF3EB" w14:textId="77777777" w:rsidR="008D2D56" w:rsidRPr="008D2D56" w:rsidRDefault="008D2D56" w:rsidP="008D2D56">
      <w:pPr>
        <w:ind w:firstLine="720"/>
        <w:rPr>
          <w:rFonts w:eastAsia="Times New Roman"/>
          <w:b/>
          <w:sz w:val="24"/>
          <w:szCs w:val="24"/>
        </w:rPr>
      </w:pPr>
    </w:p>
    <w:p w14:paraId="134368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w:t>
      </w:r>
    </w:p>
    <w:p w14:paraId="1C0BA53A" w14:textId="77777777" w:rsidR="008D2D56" w:rsidRPr="008D2D56" w:rsidRDefault="008D2D56" w:rsidP="008D2D56">
      <w:pPr>
        <w:tabs>
          <w:tab w:val="right" w:pos="7920"/>
        </w:tabs>
        <w:ind w:firstLine="720"/>
        <w:rPr>
          <w:rFonts w:eastAsia="Times New Roman"/>
          <w:b/>
          <w:sz w:val="24"/>
          <w:szCs w:val="24"/>
        </w:rPr>
      </w:pPr>
    </w:p>
    <w:p w14:paraId="05CE6F8D"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first defendant)</w:t>
      </w:r>
      <w:r w:rsidRPr="008D2D56">
        <w:rPr>
          <w:rFonts w:eastAsia="Times New Roman"/>
          <w:b/>
          <w:sz w:val="24"/>
          <w:szCs w:val="24"/>
        </w:rPr>
        <w:t>:</w:t>
      </w:r>
      <w:r w:rsidRPr="008D2D56">
        <w:rPr>
          <w:rFonts w:eastAsia="Times New Roman"/>
          <w:b/>
          <w:sz w:val="24"/>
          <w:szCs w:val="24"/>
        </w:rPr>
        <w:tab/>
        <w:t>_______%</w:t>
      </w:r>
    </w:p>
    <w:p w14:paraId="5B9A20A7" w14:textId="77777777" w:rsidR="008D2D56" w:rsidRPr="008D2D56" w:rsidRDefault="008D2D56" w:rsidP="008D2D56">
      <w:pPr>
        <w:tabs>
          <w:tab w:val="right" w:pos="7920"/>
        </w:tabs>
        <w:rPr>
          <w:rFonts w:eastAsia="Times New Roman"/>
          <w:b/>
          <w:sz w:val="24"/>
          <w:szCs w:val="24"/>
        </w:rPr>
      </w:pPr>
    </w:p>
    <w:p w14:paraId="42E39BDB"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second defendant)</w:t>
      </w:r>
      <w:r w:rsidRPr="008D2D56">
        <w:rPr>
          <w:rFonts w:eastAsia="Times New Roman"/>
          <w:b/>
          <w:sz w:val="24"/>
          <w:szCs w:val="24"/>
        </w:rPr>
        <w:t>:</w:t>
      </w:r>
      <w:r w:rsidRPr="008D2D56">
        <w:rPr>
          <w:rFonts w:eastAsia="Times New Roman"/>
          <w:b/>
          <w:sz w:val="24"/>
          <w:szCs w:val="24"/>
        </w:rPr>
        <w:tab/>
        <w:t>_______%</w:t>
      </w:r>
    </w:p>
    <w:p w14:paraId="30DEFDB2" w14:textId="77777777" w:rsidR="008D2D56" w:rsidRPr="008D2D56" w:rsidRDefault="008D2D56" w:rsidP="008D2D56">
      <w:pPr>
        <w:tabs>
          <w:tab w:val="right" w:pos="7920"/>
        </w:tabs>
        <w:rPr>
          <w:rFonts w:eastAsia="Times New Roman"/>
          <w:b/>
          <w:sz w:val="24"/>
          <w:szCs w:val="24"/>
        </w:rPr>
      </w:pPr>
    </w:p>
    <w:p w14:paraId="75B76709"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plaintiff, </w:t>
      </w:r>
      <w:r w:rsidRPr="008D2D56">
        <w:rPr>
          <w:rFonts w:eastAsia="Times New Roman"/>
          <w:i/>
          <w:sz w:val="24"/>
          <w:szCs w:val="24"/>
        </w:rPr>
        <w:t>(name)</w:t>
      </w:r>
      <w:r w:rsidRPr="008D2D56">
        <w:rPr>
          <w:rFonts w:eastAsia="Times New Roman"/>
          <w:b/>
          <w:sz w:val="24"/>
          <w:szCs w:val="24"/>
        </w:rPr>
        <w:t>:</w:t>
      </w:r>
      <w:r w:rsidRPr="008D2D56">
        <w:rPr>
          <w:rFonts w:eastAsia="Times New Roman"/>
          <w:b/>
          <w:sz w:val="24"/>
          <w:szCs w:val="24"/>
        </w:rPr>
        <w:tab/>
        <w:t>_______%</w:t>
      </w:r>
    </w:p>
    <w:p w14:paraId="17F8A827" w14:textId="77777777" w:rsidR="008D2D56" w:rsidRPr="008D2D56" w:rsidRDefault="008D2D56" w:rsidP="008D2D56">
      <w:pPr>
        <w:tabs>
          <w:tab w:val="right" w:pos="7920"/>
        </w:tabs>
        <w:rPr>
          <w:rFonts w:eastAsia="Times New Roman"/>
          <w:b/>
          <w:sz w:val="24"/>
          <w:szCs w:val="24"/>
        </w:rPr>
      </w:pPr>
    </w:p>
    <w:p w14:paraId="39579897"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t>MUST TOTAL:    100%</w:t>
      </w:r>
    </w:p>
    <w:p w14:paraId="7085AA13" w14:textId="77777777" w:rsidR="008D2D56" w:rsidRPr="008D2D56" w:rsidRDefault="008D2D56" w:rsidP="008D2D56">
      <w:pPr>
        <w:rPr>
          <w:rFonts w:eastAsia="Times New Roman"/>
          <w:b/>
          <w:sz w:val="24"/>
          <w:szCs w:val="24"/>
        </w:rPr>
      </w:pPr>
    </w:p>
    <w:p w14:paraId="52DA9735" w14:textId="77777777" w:rsidR="008D2D56" w:rsidRPr="008D2D56" w:rsidRDefault="008D2D56" w:rsidP="008D2D56">
      <w:pPr>
        <w:ind w:firstLine="720"/>
        <w:rPr>
          <w:rFonts w:eastAsia="Times New Roman"/>
          <w:b/>
          <w:sz w:val="24"/>
          <w:szCs w:val="24"/>
        </w:rPr>
      </w:pPr>
      <w:r w:rsidRPr="008D2D56">
        <w:rPr>
          <w:rFonts w:eastAsia="Times New Roman"/>
          <w:b/>
          <w:sz w:val="24"/>
          <w:szCs w:val="24"/>
        </w:rPr>
        <w:lastRenderedPageBreak/>
        <w:t>If you determine that the negligence of the plaintiff was equal to or greater than the combined negligence of the defendants, i.e., 50% or more, then skip question 9.</w:t>
      </w:r>
    </w:p>
    <w:p w14:paraId="26E7B348" w14:textId="77777777" w:rsidR="008D2D56" w:rsidRPr="008D2D56" w:rsidRDefault="008D2D56" w:rsidP="008D2D56">
      <w:pPr>
        <w:ind w:firstLine="720"/>
        <w:rPr>
          <w:rFonts w:eastAsia="Times New Roman"/>
          <w:b/>
          <w:sz w:val="24"/>
          <w:szCs w:val="24"/>
        </w:rPr>
      </w:pPr>
    </w:p>
    <w:p w14:paraId="21D5A1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1BA67A7A" w14:textId="77777777" w:rsidR="008D2D56" w:rsidRPr="008D2D56" w:rsidRDefault="008D2D56" w:rsidP="008D2D56">
      <w:pPr>
        <w:rPr>
          <w:rFonts w:eastAsia="Times New Roman"/>
          <w:b/>
          <w:sz w:val="24"/>
          <w:szCs w:val="24"/>
        </w:rPr>
      </w:pPr>
    </w:p>
    <w:p w14:paraId="5CB55DC1"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8D2D56">
        <w:rPr>
          <w:rFonts w:eastAsia="Times New Roman"/>
          <w:i/>
          <w:sz w:val="24"/>
          <w:szCs w:val="24"/>
        </w:rPr>
        <w:t>(insert number of the applicable Instruction on damages)</w:t>
      </w:r>
      <w:r w:rsidRPr="008D2D56">
        <w:rPr>
          <w:rFonts w:eastAsia="Times New Roman"/>
          <w:b/>
          <w:sz w:val="24"/>
          <w:szCs w:val="24"/>
        </w:rPr>
        <w:t>. You should answer “0” if you determine there were none.</w:t>
      </w:r>
    </w:p>
    <w:p w14:paraId="34DAA13C" w14:textId="77777777" w:rsidR="008D2D56" w:rsidRPr="008D2D56" w:rsidRDefault="008D2D56" w:rsidP="008D2D56">
      <w:pPr>
        <w:ind w:left="720"/>
        <w:rPr>
          <w:rFonts w:eastAsia="Times New Roman"/>
          <w:b/>
          <w:sz w:val="24"/>
          <w:szCs w:val="24"/>
        </w:rPr>
      </w:pPr>
    </w:p>
    <w:p w14:paraId="426858C2"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3821DBC6" w14:textId="77777777" w:rsidR="008D2D56" w:rsidRPr="008D2D56" w:rsidRDefault="008D2D56" w:rsidP="008D2D56">
      <w:pPr>
        <w:ind w:left="720"/>
        <w:rPr>
          <w:rFonts w:eastAsia="Times New Roman"/>
          <w:b/>
          <w:sz w:val="24"/>
          <w:szCs w:val="24"/>
        </w:rPr>
      </w:pPr>
    </w:p>
    <w:p w14:paraId="05F917D8"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8D2D56">
        <w:rPr>
          <w:rFonts w:eastAsia="Times New Roman"/>
          <w:i/>
          <w:sz w:val="24"/>
          <w:szCs w:val="24"/>
        </w:rPr>
        <w:t>(insert number of applicable Instruction on damages)</w:t>
      </w:r>
      <w:r w:rsidRPr="008D2D56">
        <w:rPr>
          <w:rFonts w:eastAsia="Times New Roman"/>
          <w:b/>
          <w:sz w:val="24"/>
          <w:szCs w:val="24"/>
        </w:rPr>
        <w:t>. You should answer “0” if you determine there were none.</w:t>
      </w:r>
    </w:p>
    <w:p w14:paraId="401475F0" w14:textId="77777777" w:rsidR="008D2D56" w:rsidRPr="008D2D56" w:rsidRDefault="008D2D56" w:rsidP="008D2D56">
      <w:pPr>
        <w:ind w:left="720"/>
        <w:rPr>
          <w:rFonts w:eastAsia="Times New Roman"/>
          <w:b/>
          <w:sz w:val="24"/>
          <w:szCs w:val="24"/>
        </w:rPr>
      </w:pPr>
    </w:p>
    <w:p w14:paraId="6BFD4210"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6DDC63C2" w14:textId="77777777" w:rsidR="008D2D56" w:rsidRPr="008D2D56" w:rsidRDefault="008D2D56" w:rsidP="008D2D56">
      <w:pPr>
        <w:ind w:left="720"/>
        <w:rPr>
          <w:rFonts w:eastAsia="Times New Roman"/>
          <w:b/>
          <w:sz w:val="24"/>
          <w:szCs w:val="24"/>
        </w:rPr>
      </w:pPr>
    </w:p>
    <w:p w14:paraId="3AEC04BC" w14:textId="77777777" w:rsidR="008D2D56" w:rsidRPr="008D2D56" w:rsidRDefault="008D2D56" w:rsidP="008D2D56">
      <w:pPr>
        <w:ind w:left="720"/>
        <w:rPr>
          <w:rFonts w:eastAsia="Times New Roman"/>
          <w:b/>
          <w:sz w:val="24"/>
          <w:szCs w:val="24"/>
        </w:rPr>
      </w:pPr>
      <w:r w:rsidRPr="008D2D56">
        <w:rPr>
          <w:rFonts w:eastAsia="Times New Roman"/>
          <w:b/>
          <w:sz w:val="24"/>
          <w:szCs w:val="24"/>
        </w:rPr>
        <w:t>(c. What is the total amount of the plaintiff’s damages, if any, for [physical impairment] [or] [disfigurement]? You should answer “0” if you determine there were none.)</w:t>
      </w:r>
    </w:p>
    <w:p w14:paraId="0B7E727F" w14:textId="77777777" w:rsidR="008D2D56" w:rsidRPr="008D2D56" w:rsidRDefault="008D2D56" w:rsidP="008D2D56">
      <w:pPr>
        <w:ind w:left="720"/>
        <w:rPr>
          <w:rFonts w:eastAsia="Times New Roman"/>
          <w:b/>
          <w:sz w:val="24"/>
          <w:szCs w:val="24"/>
        </w:rPr>
      </w:pPr>
    </w:p>
    <w:p w14:paraId="0CFB2F95"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1B5D1882" w14:textId="77777777" w:rsidR="008D2D56" w:rsidRPr="008D2D56" w:rsidRDefault="008D2D56" w:rsidP="008D2D56">
      <w:pPr>
        <w:rPr>
          <w:rFonts w:eastAsia="Times New Roman"/>
          <w:b/>
          <w:sz w:val="24"/>
          <w:szCs w:val="24"/>
        </w:rPr>
      </w:pPr>
    </w:p>
    <w:p w14:paraId="5D82019A" w14:textId="77777777" w:rsidR="008D2D56" w:rsidRPr="008D2D56" w:rsidRDefault="008D2D56" w:rsidP="008D2D56">
      <w:pPr>
        <w:rPr>
          <w:rFonts w:eastAsia="Times New Roman"/>
          <w:b/>
          <w:sz w:val="24"/>
          <w:szCs w:val="24"/>
        </w:rPr>
      </w:pPr>
    </w:p>
    <w:p w14:paraId="5F844A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713012F3" w14:textId="77777777" w:rsidR="008D2D56" w:rsidRPr="008D2D56" w:rsidRDefault="008D2D56" w:rsidP="008D2D56">
      <w:pPr>
        <w:rPr>
          <w:rFonts w:eastAsia="Times New Roman"/>
          <w:b/>
          <w:sz w:val="24"/>
          <w:szCs w:val="24"/>
        </w:rPr>
      </w:pPr>
    </w:p>
    <w:p w14:paraId="5C53D5E8"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17421933"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5DCD6CED"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2CD8B12A" w14:textId="77777777" w:rsidR="008D2D56" w:rsidRPr="008D2D56" w:rsidRDefault="008D2D56" w:rsidP="008D2D56">
      <w:pPr>
        <w:keepNext/>
        <w:keepLines/>
        <w:rPr>
          <w:rFonts w:eastAsia="Times New Roman"/>
          <w:b/>
          <w:sz w:val="24"/>
          <w:szCs w:val="24"/>
        </w:rPr>
      </w:pPr>
    </w:p>
    <w:p w14:paraId="101175C6"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08DFD46C" w14:textId="77777777" w:rsidR="008812A8" w:rsidRDefault="008812A8" w:rsidP="008812A8">
      <w:pPr>
        <w:spacing w:after="240"/>
        <w:ind w:firstLine="720"/>
        <w:rPr>
          <w:rFonts w:eastAsia="Times New Roman"/>
          <w:sz w:val="24"/>
          <w:szCs w:val="24"/>
        </w:rPr>
      </w:pPr>
    </w:p>
    <w:p w14:paraId="0DE4DC26" w14:textId="77777777" w:rsidR="008812A8" w:rsidRDefault="008812A8" w:rsidP="008812A8">
      <w:pPr>
        <w:jc w:val="center"/>
        <w:rPr>
          <w:rFonts w:eastAsia="Times New Roman"/>
          <w:sz w:val="24"/>
          <w:szCs w:val="24"/>
        </w:rPr>
      </w:pPr>
    </w:p>
    <w:p w14:paraId="1FDE5807" w14:textId="77777777" w:rsidR="008812A8" w:rsidRPr="0054263B" w:rsidRDefault="008812A8" w:rsidP="008812A8">
      <w:pPr>
        <w:keepNext/>
        <w:spacing w:after="240"/>
        <w:jc w:val="center"/>
        <w:rPr>
          <w:rFonts w:eastAsia="Times New Roman"/>
          <w:b/>
          <w:sz w:val="24"/>
          <w:szCs w:val="24"/>
        </w:rPr>
      </w:pPr>
      <w:r w:rsidRPr="0054263B">
        <w:rPr>
          <w:rFonts w:eastAsia="Times New Roman"/>
          <w:b/>
          <w:sz w:val="24"/>
          <w:szCs w:val="24"/>
        </w:rPr>
        <w:t>Notes on Use</w:t>
      </w:r>
    </w:p>
    <w:p w14:paraId="2FE3BD31" w14:textId="77777777" w:rsidR="008D2D56" w:rsidRPr="008D2D56" w:rsidRDefault="008D2D56" w:rsidP="008D2D56">
      <w:pPr>
        <w:spacing w:after="240"/>
        <w:ind w:firstLine="720"/>
        <w:rPr>
          <w:rFonts w:eastAsia="Times New Roman"/>
          <w:sz w:val="24"/>
          <w:szCs w:val="24"/>
        </w:rPr>
      </w:pPr>
      <w:r w:rsidRPr="008D2D56">
        <w:rPr>
          <w:rFonts w:eastAsia="Times New Roman"/>
          <w:sz w:val="24"/>
          <w:szCs w:val="24"/>
        </w:rPr>
        <w:t>See</w:t>
      </w:r>
      <w:r w:rsidRPr="008D2D56">
        <w:rPr>
          <w:rFonts w:eastAsia="Times New Roman"/>
          <w:i/>
          <w:sz w:val="24"/>
          <w:szCs w:val="24"/>
        </w:rPr>
        <w:t xml:space="preserve"> </w:t>
      </w:r>
      <w:r w:rsidRPr="008D2D56">
        <w:rPr>
          <w:rFonts w:eastAsia="Times New Roman"/>
          <w:sz w:val="24"/>
          <w:szCs w:val="24"/>
        </w:rPr>
        <w:t>the Notes on Use to Instruction 9:27A and the Special Note to Part C of this Chapter 9.</w:t>
      </w:r>
    </w:p>
    <w:p w14:paraId="4EDDC090" w14:textId="77777777" w:rsidR="008812A8" w:rsidRPr="0054263B" w:rsidRDefault="008812A8" w:rsidP="008812A8">
      <w:pPr>
        <w:keepNext/>
        <w:spacing w:after="240"/>
        <w:jc w:val="center"/>
        <w:rPr>
          <w:rFonts w:eastAsia="Times New Roman"/>
          <w:b/>
          <w:sz w:val="24"/>
          <w:szCs w:val="24"/>
        </w:rPr>
      </w:pPr>
      <w:r>
        <w:rPr>
          <w:rFonts w:eastAsia="Times New Roman"/>
          <w:b/>
          <w:sz w:val="24"/>
          <w:szCs w:val="24"/>
        </w:rPr>
        <w:lastRenderedPageBreak/>
        <w:t>Source and Authority</w:t>
      </w:r>
    </w:p>
    <w:p w14:paraId="2C314442" w14:textId="77777777" w:rsidR="008D2D56" w:rsidRPr="008D2D56" w:rsidRDefault="008D2D56" w:rsidP="008D2D56">
      <w:pPr>
        <w:spacing w:after="240"/>
        <w:ind w:firstLine="720"/>
        <w:rPr>
          <w:rFonts w:eastAsia="Times New Roman"/>
          <w:bCs/>
          <w:sz w:val="24"/>
          <w:szCs w:val="24"/>
        </w:rPr>
      </w:pPr>
      <w:r w:rsidRPr="008D2D56">
        <w:rPr>
          <w:rFonts w:eastAsia="Times New Roman"/>
          <w:bCs/>
          <w:sz w:val="24"/>
          <w:szCs w:val="24"/>
        </w:rPr>
        <w:t>This instruction is supported by the authorities cited in the Notes on Use to Instruction 9:22.</w:t>
      </w:r>
    </w:p>
    <w:p w14:paraId="791459AF" w14:textId="77777777" w:rsidR="003837B6" w:rsidRDefault="003837B6">
      <w:pPr>
        <w:rPr>
          <w:rFonts w:eastAsia="Times New Roman"/>
          <w:bCs/>
          <w:sz w:val="24"/>
          <w:szCs w:val="24"/>
        </w:rPr>
      </w:pPr>
      <w:r>
        <w:rPr>
          <w:rFonts w:eastAsia="Times New Roman"/>
          <w:bCs/>
          <w:sz w:val="24"/>
          <w:szCs w:val="24"/>
        </w:rPr>
        <w:br w:type="page"/>
      </w:r>
    </w:p>
    <w:p w14:paraId="1CC19A3E" w14:textId="77777777" w:rsidR="003837B6" w:rsidRPr="009E3DA4" w:rsidRDefault="003837B6" w:rsidP="003837B6">
      <w:pPr>
        <w:spacing w:after="240"/>
        <w:ind w:left="720" w:hanging="720"/>
        <w:rPr>
          <w:rFonts w:eastAsia="Times New Roman"/>
          <w:b/>
          <w:sz w:val="24"/>
          <w:szCs w:val="24"/>
        </w:rPr>
      </w:pPr>
      <w:bookmarkStart w:id="40" w:name="a9_28"/>
      <w:bookmarkEnd w:id="40"/>
      <w:r w:rsidRPr="003837B6">
        <w:rPr>
          <w:rFonts w:eastAsia="Times New Roman"/>
          <w:b/>
          <w:sz w:val="24"/>
          <w:szCs w:val="24"/>
        </w:rPr>
        <w:lastRenderedPageBreak/>
        <w:t xml:space="preserve">9:28 </w:t>
      </w:r>
      <w:r w:rsidRPr="003837B6">
        <w:rPr>
          <w:rFonts w:eastAsia="Times New Roman"/>
          <w:b/>
          <w:sz w:val="24"/>
          <w:szCs w:val="24"/>
        </w:rPr>
        <w:tab/>
        <w:t>COMPARATIVE NEGLIGENCE OF PLAINTIFF — SINGLE DEFENDANT OR MULTIPLE DEFENDANTS — DESIGNATED NONPARTY OR NONPARTIES INVOLVED</w:t>
      </w:r>
    </w:p>
    <w:p w14:paraId="4A47062D"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the plaintiff, </w:t>
      </w:r>
      <w:r w:rsidRPr="003837B6">
        <w:rPr>
          <w:rFonts w:eastAsia="Times New Roman"/>
          <w:i/>
          <w:sz w:val="24"/>
          <w:szCs w:val="24"/>
        </w:rPr>
        <w:t>(name)</w:t>
      </w:r>
      <w:r w:rsidRPr="003837B6">
        <w:rPr>
          <w:rFonts w:eastAsia="Times New Roman"/>
          <w:b/>
          <w:sz w:val="24"/>
          <w:szCs w:val="24"/>
        </w:rPr>
        <w:t xml:space="preserve">, was damaged and that the plaintiff’s damages were caused by the negligence of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21C4DB65"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that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were negligent and that the negligence of the plaintiff was equal to or greater than the combined negligence of (the defendant) (all the defendants) and (the designated nonparty) (all of the designated nonparties), then the plaintiff will not be allowed to recover.</w:t>
      </w:r>
    </w:p>
    <w:p w14:paraId="18216C83"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On the other hand, if you find that the negligence of the plaintiff was less than the combined negligence of (the defendant) (all the defendants) and (the designated nonparty) (all of the designated nonparties), then the plaintiff will be allowed to recover.</w:t>
      </w:r>
    </w:p>
    <w:p w14:paraId="554CA79E"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If the plaintiff is allowed to recover, the total damages you award will be reduced by the Court by the percentage of the plaintiff’s negligence and by the percentage of the negligence of the designated (nonparty) (nonparties).</w:t>
      </w:r>
    </w:p>
    <w:p w14:paraId="78C743EB" w14:textId="77777777" w:rsidR="003837B6" w:rsidRDefault="003837B6" w:rsidP="003837B6">
      <w:pPr>
        <w:jc w:val="center"/>
        <w:rPr>
          <w:rFonts w:eastAsia="Times New Roman"/>
          <w:sz w:val="24"/>
          <w:szCs w:val="24"/>
        </w:rPr>
      </w:pPr>
    </w:p>
    <w:p w14:paraId="0F858150" w14:textId="77777777" w:rsidR="003837B6" w:rsidRPr="0054263B" w:rsidRDefault="003837B6" w:rsidP="003837B6">
      <w:pPr>
        <w:keepNext/>
        <w:spacing w:after="240"/>
        <w:jc w:val="center"/>
        <w:rPr>
          <w:rFonts w:eastAsia="Times New Roman"/>
          <w:b/>
          <w:sz w:val="24"/>
          <w:szCs w:val="24"/>
        </w:rPr>
      </w:pPr>
      <w:r w:rsidRPr="0054263B">
        <w:rPr>
          <w:rFonts w:eastAsia="Times New Roman"/>
          <w:b/>
          <w:sz w:val="24"/>
          <w:szCs w:val="24"/>
        </w:rPr>
        <w:t>Notes on Use</w:t>
      </w:r>
    </w:p>
    <w:p w14:paraId="0FBEA61E"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1. The Notes on Use to Instructions 9:22, 9:23, and 9:24 are generally applicable to this instruction. </w:t>
      </w:r>
      <w:r w:rsidRPr="003837B6">
        <w:rPr>
          <w:rFonts w:eastAsia="Times New Roman"/>
          <w:i/>
          <w:sz w:val="24"/>
          <w:szCs w:val="24"/>
        </w:rPr>
        <w:t>See also</w:t>
      </w:r>
      <w:r w:rsidRPr="003837B6">
        <w:rPr>
          <w:rFonts w:eastAsia="Times New Roman"/>
          <w:sz w:val="24"/>
          <w:szCs w:val="24"/>
        </w:rPr>
        <w:t xml:space="preserve"> Special Note to Part C of this Chapter 9. Use whichever parenthesized and bracketed phrases are applicable.</w:t>
      </w:r>
    </w:p>
    <w:p w14:paraId="1FF78E6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2. This instruction along with Instructions 9:28A and B or Instructions 9:28C and D and Instruction 9:22, appropriately modified, should be used in actions, in which there is a single defendant or multiple defendants and notice of one or more designated nonparties has been properly given under section 13-21-111.5(3)(b), C.R.S. In such actions, under section 13-21-111.5(2), the “jury shall return a special verdict, or, in the absence of a jury, the court shall make special findings determining the percentage of negligence or fault attributable to each of the parties and any persons not parties to the action of whom notice has been given pursuant to paragraph (b) of subsection (3) . . . to whom some negligence or fault is found . . . .”</w:t>
      </w:r>
    </w:p>
    <w:p w14:paraId="771E3C5C"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lastRenderedPageBreak/>
        <w:t>3. For the instructions dealing with cases involving the claimed negligence or fault of a designated nonparty, but not involving any negligence or fault of the plaintiff, see Instructions 9:29 and 9:29A and B.</w:t>
      </w:r>
    </w:p>
    <w:p w14:paraId="5DFE91CD"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4. When otherwise applicable, this instruction should be given with Instruction 15:18 (elements of liability for attorneys).</w:t>
      </w:r>
    </w:p>
    <w:p w14:paraId="0A2C5365"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5. Where a settlement is reached with one or more parties, the damages awarded are reduced by the percentage of fault attributed to the settling designated nonparties. </w:t>
      </w:r>
      <w:r w:rsidRPr="003837B6">
        <w:rPr>
          <w:rFonts w:eastAsia="Times New Roman"/>
          <w:b/>
          <w:sz w:val="24"/>
          <w:szCs w:val="24"/>
        </w:rPr>
        <w:t>Smith v. Zufelt</w:t>
      </w:r>
      <w:r w:rsidRPr="003837B6">
        <w:rPr>
          <w:rFonts w:eastAsia="Times New Roman"/>
          <w:sz w:val="24"/>
          <w:szCs w:val="24"/>
        </w:rPr>
        <w:t xml:space="preserve">, 880 P.2d 1178 (Colo. 1994); </w:t>
      </w:r>
      <w:r w:rsidRPr="003837B6">
        <w:rPr>
          <w:rFonts w:eastAsia="Times New Roman"/>
          <w:b/>
          <w:iCs/>
          <w:sz w:val="24"/>
          <w:szCs w:val="24"/>
        </w:rPr>
        <w:t>Kidwell v. K-Mart Corp</w:t>
      </w:r>
      <w:r w:rsidRPr="003837B6">
        <w:rPr>
          <w:rFonts w:eastAsia="Times New Roman"/>
          <w:b/>
          <w:sz w:val="24"/>
          <w:szCs w:val="24"/>
        </w:rPr>
        <w:t>.</w:t>
      </w:r>
      <w:r w:rsidRPr="003837B6">
        <w:rPr>
          <w:rFonts w:eastAsia="Times New Roman"/>
          <w:sz w:val="24"/>
          <w:szCs w:val="24"/>
        </w:rPr>
        <w:t>, 942 P.2d 1280 (Colo. App. 1996) (even though negligence of independent contractor, who settled prior to trial, was imputable to defendant, independent contractor was properly designated as nonparty at fault).</w:t>
      </w:r>
    </w:p>
    <w:p w14:paraId="61880F1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6. Section 13-21-111.5(1) limits the scope of the pro rata liability statute to only “those actions ‘brought as a result of a death or an injury to person or property.’” </w:t>
      </w:r>
      <w:r w:rsidRPr="003837B6">
        <w:rPr>
          <w:rFonts w:eastAsia="Times New Roman"/>
          <w:b/>
          <w:sz w:val="24"/>
          <w:szCs w:val="24"/>
        </w:rPr>
        <w:t>Broderick v. McElroy &amp; McCoy, Inc.</w:t>
      </w:r>
      <w:r w:rsidRPr="003837B6">
        <w:rPr>
          <w:rFonts w:eastAsia="Times New Roman"/>
          <w:sz w:val="24"/>
          <w:szCs w:val="24"/>
        </w:rPr>
        <w:t>, 961 P.2d 504, 507 (Colo. App. 1997).</w:t>
      </w:r>
    </w:p>
    <w:p w14:paraId="3BB72D62"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7.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3837B6">
        <w:rPr>
          <w:rFonts w:eastAsia="Times New Roman"/>
          <w:b/>
          <w:sz w:val="24"/>
          <w:szCs w:val="24"/>
        </w:rPr>
        <w:t>Reid v. Berkowitz</w:t>
      </w:r>
      <w:r w:rsidRPr="003837B6">
        <w:rPr>
          <w:rFonts w:eastAsia="Times New Roman"/>
          <w:sz w:val="24"/>
          <w:szCs w:val="24"/>
        </w:rPr>
        <w:t xml:space="preserve">, 2013 COA 110M, ¶ 39, 315 P.3d 185; </w:t>
      </w:r>
      <w:r w:rsidRPr="003837B6">
        <w:rPr>
          <w:rFonts w:eastAsia="Times New Roman"/>
          <w:i/>
          <w:iCs/>
          <w:sz w:val="24"/>
          <w:szCs w:val="24"/>
        </w:rPr>
        <w:t>see</w:t>
      </w:r>
      <w:r w:rsidRPr="003837B6">
        <w:rPr>
          <w:rFonts w:eastAsia="Times New Roman"/>
          <w:sz w:val="24"/>
          <w:szCs w:val="24"/>
        </w:rPr>
        <w:t xml:space="preserve"> </w:t>
      </w:r>
      <w:r w:rsidRPr="003837B6">
        <w:rPr>
          <w:rFonts w:eastAsia="Times New Roman"/>
          <w:i/>
          <w:sz w:val="24"/>
          <w:szCs w:val="24"/>
        </w:rPr>
        <w:t>also</w:t>
      </w:r>
      <w:r w:rsidRPr="003837B6">
        <w:rPr>
          <w:rFonts w:eastAsia="Times New Roman"/>
          <w:sz w:val="24"/>
          <w:szCs w:val="24"/>
        </w:rPr>
        <w:t xml:space="preserve"> </w:t>
      </w:r>
      <w:r w:rsidRPr="003837B6">
        <w:rPr>
          <w:rFonts w:eastAsia="Times New Roman"/>
          <w:b/>
          <w:iCs/>
          <w:sz w:val="24"/>
          <w:szCs w:val="24"/>
        </w:rPr>
        <w:t>Kidwell</w:t>
      </w:r>
      <w:r w:rsidRPr="003837B6">
        <w:rPr>
          <w:rFonts w:eastAsia="Times New Roman"/>
          <w:sz w:val="24"/>
          <w:szCs w:val="24"/>
        </w:rPr>
        <w:t>, 942 P.2d at 1283</w:t>
      </w:r>
      <w:r w:rsidRPr="003837B6">
        <w:rPr>
          <w:rFonts w:eastAsia="Times New Roman"/>
          <w:i/>
          <w:iCs/>
          <w:sz w:val="24"/>
          <w:szCs w:val="24"/>
        </w:rPr>
        <w:t xml:space="preserve"> </w:t>
      </w:r>
      <w:r w:rsidRPr="003837B6">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3837B6">
        <w:rPr>
          <w:rFonts w:eastAsia="Times New Roman"/>
          <w:i/>
          <w:sz w:val="24"/>
          <w:szCs w:val="24"/>
        </w:rPr>
        <w:t>see</w:t>
      </w:r>
      <w:r w:rsidRPr="003837B6">
        <w:rPr>
          <w:rFonts w:eastAsia="Times New Roman"/>
          <w:sz w:val="24"/>
          <w:szCs w:val="24"/>
        </w:rPr>
        <w:t xml:space="preserve"> Chapter 8 (Liability Based on Agency and Respondeat Superior), the inherently dangerous activity doctrine, </w:t>
      </w:r>
      <w:r w:rsidRPr="003837B6">
        <w:rPr>
          <w:rFonts w:eastAsia="Times New Roman"/>
          <w:i/>
          <w:sz w:val="24"/>
          <w:szCs w:val="24"/>
        </w:rPr>
        <w:t xml:space="preserve">see </w:t>
      </w:r>
      <w:r w:rsidRPr="003837B6">
        <w:rPr>
          <w:rFonts w:eastAsia="Times New Roman"/>
          <w:b/>
          <w:bCs/>
          <w:iCs/>
          <w:sz w:val="24"/>
          <w:szCs w:val="24"/>
        </w:rPr>
        <w:t>Huddleston v. Union Rural Elec. Ass’n</w:t>
      </w:r>
      <w:r w:rsidRPr="003837B6">
        <w:rPr>
          <w:rFonts w:eastAsia="Times New Roman"/>
          <w:bCs/>
          <w:sz w:val="24"/>
          <w:szCs w:val="24"/>
        </w:rPr>
        <w:t>, 841 P.2d 282 (Colo. 1992) and Instruction 9:7 (</w:t>
      </w:r>
      <w:r w:rsidRPr="003837B6">
        <w:rPr>
          <w:rFonts w:eastAsia="Times New Roman"/>
          <w:sz w:val="24"/>
          <w:szCs w:val="24"/>
        </w:rPr>
        <w:t xml:space="preserve">inherently dangerous activities), and the nondelegable or independent duty doctrine, </w:t>
      </w:r>
      <w:r w:rsidRPr="003837B6">
        <w:rPr>
          <w:rFonts w:eastAsia="Times New Roman"/>
          <w:i/>
          <w:sz w:val="24"/>
          <w:szCs w:val="24"/>
        </w:rPr>
        <w:t>see</w:t>
      </w:r>
      <w:r w:rsidRPr="003837B6">
        <w:rPr>
          <w:rFonts w:eastAsia="Times New Roman"/>
          <w:sz w:val="24"/>
          <w:szCs w:val="24"/>
        </w:rPr>
        <w:t xml:space="preserve"> </w:t>
      </w:r>
      <w:r w:rsidRPr="003837B6">
        <w:rPr>
          <w:rFonts w:eastAsia="Times New Roman"/>
          <w:b/>
          <w:bCs/>
          <w:iCs/>
          <w:sz w:val="24"/>
          <w:szCs w:val="24"/>
        </w:rPr>
        <w:t>Springer v. City &amp; County of Denver</w:t>
      </w:r>
      <w:r w:rsidRPr="003837B6">
        <w:rPr>
          <w:rFonts w:eastAsia="Times New Roman"/>
          <w:bCs/>
          <w:sz w:val="24"/>
          <w:szCs w:val="24"/>
        </w:rPr>
        <w:t>, 13 P.3d 794 (Colo. 2000).</w:t>
      </w:r>
    </w:p>
    <w:p w14:paraId="7D54EE80"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8. A defendant is not entitled to a nonparty at fault instruction identifying a nonparty who, if brought into the action, would be liable only vicariously for the negligence or fault of another. </w:t>
      </w:r>
      <w:r w:rsidRPr="003837B6">
        <w:rPr>
          <w:rFonts w:eastAsia="Times New Roman"/>
          <w:b/>
          <w:sz w:val="24"/>
          <w:szCs w:val="24"/>
        </w:rPr>
        <w:t>Just In Case Bus. Lighthouse, LLC v. Murray</w:t>
      </w:r>
      <w:r w:rsidRPr="003837B6">
        <w:rPr>
          <w:rFonts w:eastAsia="Times New Roman"/>
          <w:sz w:val="24"/>
          <w:szCs w:val="24"/>
        </w:rPr>
        <w:t>, 2013 COA 112M</w:t>
      </w:r>
      <w:r w:rsidR="002E1D11">
        <w:rPr>
          <w:rFonts w:eastAsia="Times New Roman"/>
          <w:sz w:val="24"/>
          <w:szCs w:val="24"/>
        </w:rPr>
        <w:t>, 383 P.3d 1</w:t>
      </w:r>
      <w:r w:rsidRPr="003837B6">
        <w:rPr>
          <w:rFonts w:eastAsia="Times New Roman"/>
          <w:sz w:val="24"/>
          <w:szCs w:val="24"/>
        </w:rPr>
        <w:t>,</w:t>
      </w:r>
      <w:r w:rsidRPr="003837B6">
        <w:rPr>
          <w:rFonts w:eastAsia="Times New Roman"/>
          <w:i/>
          <w:sz w:val="24"/>
          <w:szCs w:val="24"/>
        </w:rPr>
        <w:t xml:space="preserve"> rev’d in part on other grounds</w:t>
      </w:r>
      <w:r w:rsidRPr="003837B6">
        <w:rPr>
          <w:rFonts w:eastAsia="Times New Roman"/>
          <w:sz w:val="24"/>
          <w:szCs w:val="24"/>
        </w:rPr>
        <w:t xml:space="preserve">, 2016 CO 47M, 374 P.3d 443; </w:t>
      </w:r>
      <w:r w:rsidRPr="003837B6">
        <w:rPr>
          <w:rFonts w:eastAsia="Times New Roman"/>
          <w:i/>
          <w:sz w:val="24"/>
          <w:szCs w:val="24"/>
        </w:rPr>
        <w:t>see also</w:t>
      </w:r>
      <w:r w:rsidRPr="003837B6">
        <w:rPr>
          <w:rFonts w:eastAsia="Times New Roman"/>
          <w:sz w:val="24"/>
          <w:szCs w:val="24"/>
        </w:rPr>
        <w:t xml:space="preserve"> </w:t>
      </w:r>
      <w:r w:rsidRPr="003837B6">
        <w:rPr>
          <w:rFonts w:eastAsia="Times New Roman"/>
          <w:b/>
          <w:iCs/>
          <w:sz w:val="24"/>
          <w:szCs w:val="24"/>
        </w:rPr>
        <w:t>Ochoa v. Vered</w:t>
      </w:r>
      <w:r w:rsidRPr="003837B6">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3E4EA5E7" w14:textId="77777777" w:rsidR="003837B6" w:rsidRPr="0054263B" w:rsidRDefault="003837B6" w:rsidP="003837B6">
      <w:pPr>
        <w:keepNext/>
        <w:spacing w:after="240"/>
        <w:jc w:val="center"/>
        <w:rPr>
          <w:rFonts w:eastAsia="Times New Roman"/>
          <w:b/>
          <w:sz w:val="24"/>
          <w:szCs w:val="24"/>
        </w:rPr>
      </w:pPr>
      <w:r>
        <w:rPr>
          <w:rFonts w:eastAsia="Times New Roman"/>
          <w:b/>
          <w:sz w:val="24"/>
          <w:szCs w:val="24"/>
        </w:rPr>
        <w:t>Source and Authority</w:t>
      </w:r>
    </w:p>
    <w:p w14:paraId="6A3F5D11"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1. This instruction is supported by section 13-21-111.5(5), and the authorities cited in the Notes on Use above.</w:t>
      </w:r>
    </w:p>
    <w:p w14:paraId="1BE24053"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lastRenderedPageBreak/>
        <w:t xml:space="preserve">2. Under Colorado’s pro rata liability statute, § 13-21-111.5, C.R.S., unidentified or unknown persons may be designated as nonparties. </w:t>
      </w:r>
      <w:r w:rsidRPr="003837B6">
        <w:rPr>
          <w:rFonts w:eastAsia="Times New Roman"/>
          <w:b/>
          <w:bCs/>
          <w:sz w:val="24"/>
          <w:szCs w:val="24"/>
        </w:rPr>
        <w:t>Pedge v. R.M. Holdings, Inc.</w:t>
      </w:r>
      <w:r w:rsidRPr="003837B6">
        <w:rPr>
          <w:rFonts w:eastAsia="Times New Roman"/>
          <w:bCs/>
          <w:sz w:val="24"/>
          <w:szCs w:val="24"/>
        </w:rPr>
        <w:t xml:space="preserve">, 75 P.3d 1126 (Colo. App. 2002). Also, persons who commit intentional torts can be designated as nonparties. </w:t>
      </w:r>
      <w:r w:rsidRPr="003837B6">
        <w:rPr>
          <w:rFonts w:eastAsia="Times New Roman"/>
          <w:b/>
          <w:bCs/>
          <w:sz w:val="24"/>
          <w:szCs w:val="24"/>
        </w:rPr>
        <w:t>Slack v. Farmers Ins. Exch.</w:t>
      </w:r>
      <w:r w:rsidRPr="003837B6">
        <w:rPr>
          <w:rFonts w:eastAsia="Times New Roman"/>
          <w:bCs/>
          <w:sz w:val="24"/>
          <w:szCs w:val="24"/>
        </w:rPr>
        <w:t xml:space="preserve">, 5 P.3d 280 (Colo. 2000); </w:t>
      </w:r>
      <w:r w:rsidRPr="003837B6">
        <w:rPr>
          <w:rFonts w:eastAsia="Times New Roman"/>
          <w:b/>
          <w:bCs/>
          <w:sz w:val="24"/>
          <w:szCs w:val="24"/>
        </w:rPr>
        <w:t>Pedge</w:t>
      </w:r>
      <w:r w:rsidRPr="003837B6">
        <w:rPr>
          <w:rFonts w:eastAsia="Times New Roman"/>
          <w:bCs/>
          <w:sz w:val="24"/>
          <w:szCs w:val="24"/>
        </w:rPr>
        <w:t>, 75 P.3d at 1128.</w:t>
      </w:r>
    </w:p>
    <w:p w14:paraId="51CA8040"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3. The negligence or fault of a nonparty cannot be considered unless the nonparty has been properly designated by the defendant in a pleading that complies with the requirements of section 13-21-111.5(3). </w:t>
      </w:r>
      <w:r w:rsidRPr="003837B6">
        <w:rPr>
          <w:rFonts w:eastAsia="Times New Roman"/>
          <w:b/>
          <w:bCs/>
          <w:sz w:val="24"/>
          <w:szCs w:val="24"/>
        </w:rPr>
        <w:t>B.G.’s, Inc. v. Gross</w:t>
      </w:r>
      <w:r w:rsidRPr="003837B6">
        <w:rPr>
          <w:rFonts w:eastAsia="Times New Roman"/>
          <w:bCs/>
          <w:sz w:val="24"/>
          <w:szCs w:val="24"/>
        </w:rPr>
        <w:t xml:space="preserve">, 23 P.3d 691 (Colo. 2001); </w:t>
      </w:r>
      <w:r w:rsidRPr="003837B6">
        <w:rPr>
          <w:rFonts w:eastAsia="Times New Roman"/>
          <w:b/>
          <w:bCs/>
          <w:sz w:val="24"/>
          <w:szCs w:val="24"/>
        </w:rPr>
        <w:t>Pedge</w:t>
      </w:r>
      <w:r w:rsidRPr="003837B6">
        <w:rPr>
          <w:rFonts w:eastAsia="Times New Roman"/>
          <w:bCs/>
          <w:sz w:val="24"/>
          <w:szCs w:val="24"/>
        </w:rPr>
        <w:t xml:space="preserve">, 75 P.3d at 1128; </w:t>
      </w:r>
      <w:r w:rsidRPr="003837B6">
        <w:rPr>
          <w:rFonts w:eastAsia="Times New Roman"/>
          <w:b/>
          <w:bCs/>
          <w:sz w:val="24"/>
          <w:szCs w:val="24"/>
        </w:rPr>
        <w:t>Thompson v. Colo. &amp; E. R.R.</w:t>
      </w:r>
      <w:r w:rsidRPr="003837B6">
        <w:rPr>
          <w:rFonts w:eastAsia="Times New Roman"/>
          <w:bCs/>
          <w:sz w:val="24"/>
          <w:szCs w:val="24"/>
        </w:rPr>
        <w:t xml:space="preserve">, 852 P.2d 1328 (Colo. App. 1993). Nonparties need not have engaged in the same kind of tortious conduct as the defendant in order to be properly designated. </w:t>
      </w:r>
      <w:r w:rsidRPr="003837B6">
        <w:rPr>
          <w:rFonts w:eastAsia="Times New Roman"/>
          <w:b/>
          <w:bCs/>
          <w:sz w:val="24"/>
          <w:szCs w:val="24"/>
        </w:rPr>
        <w:t>Moody v. A.G. Edwards &amp; Sons, Inc.</w:t>
      </w:r>
      <w:r w:rsidRPr="003837B6">
        <w:rPr>
          <w:rFonts w:eastAsia="Times New Roman"/>
          <w:bCs/>
          <w:sz w:val="24"/>
          <w:szCs w:val="24"/>
        </w:rPr>
        <w:t xml:space="preserve">, 847 P.2d 215 (Colo. App. 1992). However, generally, a person or entity designated under section 13-21-111.5 must have owed a duty recognized by law to the injured party. </w:t>
      </w:r>
      <w:r w:rsidRPr="003837B6">
        <w:rPr>
          <w:rFonts w:eastAsia="Times New Roman"/>
          <w:b/>
          <w:bCs/>
          <w:sz w:val="24"/>
          <w:szCs w:val="24"/>
        </w:rPr>
        <w:t>Miller v. Byrne</w:t>
      </w:r>
      <w:r w:rsidRPr="003837B6">
        <w:rPr>
          <w:rFonts w:eastAsia="Times New Roman"/>
          <w:bCs/>
          <w:sz w:val="24"/>
          <w:szCs w:val="24"/>
        </w:rPr>
        <w:t xml:space="preserve">, 916 P.2d 566 (Colo. App. 1995); </w:t>
      </w:r>
      <w:r w:rsidRPr="003837B6">
        <w:rPr>
          <w:rFonts w:eastAsia="Times New Roman"/>
          <w:bCs/>
          <w:i/>
          <w:sz w:val="24"/>
          <w:szCs w:val="24"/>
        </w:rPr>
        <w:t>see also</w:t>
      </w:r>
      <w:r w:rsidRPr="003837B6">
        <w:rPr>
          <w:rFonts w:eastAsia="Times New Roman"/>
          <w:b/>
          <w:bCs/>
          <w:sz w:val="24"/>
          <w:szCs w:val="24"/>
        </w:rPr>
        <w:t xml:space="preserve"> Fried v. Leong</w:t>
      </w:r>
      <w:r w:rsidRPr="003837B6">
        <w:rPr>
          <w:rFonts w:eastAsia="Times New Roman"/>
          <w:bCs/>
          <w:sz w:val="24"/>
          <w:szCs w:val="24"/>
        </w:rPr>
        <w:t xml:space="preserve">, 946 P.2d 487 (Colo. App. 1997) (when plaintiff seeks damages for aggravation of a preexisting condition, liability cannot be prorated among nonparties whose conduct merely created that preexisting condition nor can liability be prorated among nonparties who breached no duty to the plaintiff, even though their conduct contributed to aggravation of preexisting condition). And liability may be apportioned between a defendant and a designated nonparty only if admissible evidence has been presented showing that the nonparty contributed to plaintiff’s injuries. </w:t>
      </w:r>
      <w:r w:rsidRPr="003837B6">
        <w:rPr>
          <w:rFonts w:eastAsia="Times New Roman"/>
          <w:b/>
          <w:bCs/>
          <w:sz w:val="24"/>
          <w:szCs w:val="24"/>
        </w:rPr>
        <w:t>Barton v. Adams Rental, Inc.</w:t>
      </w:r>
      <w:r w:rsidRPr="003837B6">
        <w:rPr>
          <w:rFonts w:eastAsia="Times New Roman"/>
          <w:bCs/>
          <w:sz w:val="24"/>
          <w:szCs w:val="24"/>
        </w:rPr>
        <w:t>,</w:t>
      </w:r>
      <w:r w:rsidRPr="003837B6">
        <w:rPr>
          <w:rFonts w:eastAsia="Times New Roman"/>
          <w:b/>
          <w:bCs/>
          <w:sz w:val="24"/>
          <w:szCs w:val="24"/>
        </w:rPr>
        <w:t xml:space="preserve"> </w:t>
      </w:r>
      <w:r w:rsidRPr="003837B6">
        <w:rPr>
          <w:rFonts w:eastAsia="Times New Roman"/>
          <w:bCs/>
          <w:sz w:val="24"/>
          <w:szCs w:val="24"/>
        </w:rPr>
        <w:t>938 P.2d 532 (Colo. 1997).</w:t>
      </w:r>
    </w:p>
    <w:p w14:paraId="60A6F7C2"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4. The negligence of multiple defendants or designated nonparties is to be combined and compared with the negligence of the plaintiff. Damages are recoverable by the plaintiff from the defendants found liable unless the negligence attributable to the plaintiff is 50% or greater. </w:t>
      </w:r>
      <w:r w:rsidRPr="003837B6">
        <w:rPr>
          <w:rFonts w:eastAsia="Times New Roman"/>
          <w:b/>
          <w:bCs/>
          <w:sz w:val="24"/>
          <w:szCs w:val="24"/>
        </w:rPr>
        <w:t>Mountain Mobile Mix, Inc. v. Gifford</w:t>
      </w:r>
      <w:r w:rsidRPr="003837B6">
        <w:rPr>
          <w:rFonts w:eastAsia="Times New Roman"/>
          <w:bCs/>
          <w:sz w:val="24"/>
          <w:szCs w:val="24"/>
        </w:rPr>
        <w:t xml:space="preserve">, 660 P.2d 883 (Colo. 1983). As to the liability of individual defendants, however, in contrast to prior case law and statutes, under section 13-21-111.5(1), “no defendant shall be liable for an amount greater than that represented by the degree or percentage of the negligence . . . attributable to such defendant that produced the claimed injury, death, damage or loss,” whether such negligence was greater or lesser, on an individual comparative basis, than the plaintiff’s, another defendant’s, or that of a designated nonparty. </w:t>
      </w:r>
      <w:r w:rsidRPr="003837B6">
        <w:rPr>
          <w:rFonts w:eastAsia="Times New Roman"/>
          <w:bCs/>
          <w:i/>
          <w:sz w:val="24"/>
          <w:szCs w:val="24"/>
        </w:rPr>
        <w:t>See</w:t>
      </w:r>
      <w:r w:rsidRPr="003837B6">
        <w:rPr>
          <w:rFonts w:eastAsia="Times New Roman"/>
          <w:bCs/>
          <w:sz w:val="24"/>
          <w:szCs w:val="24"/>
        </w:rPr>
        <w:t xml:space="preserve"> </w:t>
      </w:r>
      <w:r w:rsidRPr="003837B6">
        <w:rPr>
          <w:rFonts w:eastAsia="Times New Roman"/>
          <w:b/>
          <w:bCs/>
          <w:sz w:val="24"/>
          <w:szCs w:val="24"/>
        </w:rPr>
        <w:t>Inland/Riggle Oil Co. v. Painter</w:t>
      </w:r>
      <w:r w:rsidRPr="003837B6">
        <w:rPr>
          <w:rFonts w:eastAsia="Times New Roman"/>
          <w:bCs/>
          <w:sz w:val="24"/>
          <w:szCs w:val="24"/>
        </w:rPr>
        <w:t>, 925 P.2d 1083 (Colo. 1996) (where plaintiff’s negligence was less than the combined negligence of all of the defendants and designated nonparties, a defendant whose negligence was less than that of plaintiff was, nevertheless, liable for its pro rata share of the damages awarded).</w:t>
      </w:r>
    </w:p>
    <w:p w14:paraId="007BA586" w14:textId="77777777" w:rsidR="00F022D4" w:rsidRDefault="00F022D4">
      <w:pPr>
        <w:rPr>
          <w:rFonts w:eastAsia="Times New Roman"/>
          <w:bCs/>
          <w:sz w:val="24"/>
          <w:szCs w:val="24"/>
        </w:rPr>
      </w:pPr>
      <w:r>
        <w:rPr>
          <w:rFonts w:eastAsia="Times New Roman"/>
          <w:bCs/>
          <w:sz w:val="24"/>
          <w:szCs w:val="24"/>
        </w:rPr>
        <w:br w:type="page"/>
      </w:r>
    </w:p>
    <w:p w14:paraId="2289A334" w14:textId="77777777" w:rsidR="00F022D4" w:rsidRPr="009E3DA4" w:rsidRDefault="00F022D4" w:rsidP="00F022D4">
      <w:pPr>
        <w:spacing w:after="240"/>
        <w:ind w:left="720" w:hanging="720"/>
        <w:rPr>
          <w:rFonts w:eastAsia="Times New Roman"/>
          <w:b/>
          <w:sz w:val="24"/>
          <w:szCs w:val="24"/>
        </w:rPr>
      </w:pPr>
      <w:bookmarkStart w:id="41" w:name="a9_28A"/>
      <w:bookmarkEnd w:id="41"/>
      <w:r w:rsidRPr="00F022D4">
        <w:rPr>
          <w:rFonts w:eastAsia="Times New Roman"/>
          <w:b/>
          <w:sz w:val="24"/>
          <w:szCs w:val="24"/>
        </w:rPr>
        <w:lastRenderedPageBreak/>
        <w:t xml:space="preserve">9:28A </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w:t>
      </w:r>
    </w:p>
    <w:p w14:paraId="1546CB1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57EA4ED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52DE8A1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E658F7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593EB2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55307F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D66117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b/>
          <w:sz w:val="24"/>
          <w:szCs w:val="24"/>
        </w:rPr>
        <w:t>,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7FB8973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78DC70F"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451A7F9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w:t>
      </w:r>
    </w:p>
    <w:p w14:paraId="249C8D7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negligent?</w:t>
      </w:r>
    </w:p>
    <w:p w14:paraId="24EC7D2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w:t>
      </w:r>
    </w:p>
    <w:p w14:paraId="1F8B0AD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342C2F6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11. Was the negligence, if any, of the plaintiff a cause of (his) (her) own claimed (injuries) (damages) (losses)?</w:t>
      </w:r>
    </w:p>
    <w:p w14:paraId="1E24477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70D62BB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63571D7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20130560" w14:textId="77777777" w:rsidR="00F022D4" w:rsidRDefault="00F022D4" w:rsidP="00F022D4">
      <w:pPr>
        <w:jc w:val="center"/>
        <w:rPr>
          <w:rFonts w:eastAsia="Times New Roman"/>
          <w:sz w:val="24"/>
          <w:szCs w:val="24"/>
        </w:rPr>
      </w:pPr>
    </w:p>
    <w:p w14:paraId="14C1F9DC"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09B396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1. This instruction is for use in cases, in which (a) there is one defendant and one or more designated nonparties of whom notice has been properly given under section 13-21-111.5(3)(b), C.R.S., or (b) there are two or more defendants and one or more designated nonparties of whom proper notice has been given.</w:t>
      </w:r>
    </w:p>
    <w:p w14:paraId="0DF6CF89"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2. Use whichever parenthesized and bracketed words and phrases are appropriate, and modify the instruction appropriately if proper notice has been given of more than one nonparty.</w:t>
      </w:r>
    </w:p>
    <w:p w14:paraId="50847271"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3. Instruction 6:1 (personal injuries) should be used with this instruction. The Notes on Use to Instructions 4:4 (verdict form), 6:1, 9:22, 9:23, and 9:24 are generally applicable to this instruction, along with the Special Note to Part C of this Chapter 9.</w:t>
      </w:r>
    </w:p>
    <w:p w14:paraId="04273152"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4. This instruction must be used with Instruction 9:28B.</w:t>
      </w:r>
    </w:p>
    <w:p w14:paraId="6E9BC937"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5. If a claim of liability against a defendant is based only upon that defendant’s vicarious liability for the negligence of another (e.g., an employer-employee relationship), this instruction must be appropriately modified.</w:t>
      </w:r>
    </w:p>
    <w:p w14:paraId="6983262F"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6. Insert any other questions that may be necessary to resolve properly any other claims of the plaintiff or affirmative defenses of any of the defendants.</w:t>
      </w:r>
    </w:p>
    <w:p w14:paraId="675CC5C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7. If, in a district court case, the parties have stipulated to a verdict or finding by some stated majority pursuant to C.R.C.P. 48, this instruction should be modified accordingly.</w:t>
      </w:r>
    </w:p>
    <w:p w14:paraId="6D1CEC16"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lastRenderedPageBreak/>
        <w:t>Source and Authority</w:t>
      </w:r>
    </w:p>
    <w:p w14:paraId="099A050D"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Notes on Use to Instruction 9:22, and the Notes on Use to Instruction 9:24. The provisions relating to the determination of percentages of negligence of parties and nonparties is based on section 13-21-111.5(2).</w:t>
      </w:r>
    </w:p>
    <w:p w14:paraId="74C07D57" w14:textId="77777777" w:rsidR="00F022D4" w:rsidRDefault="00F022D4">
      <w:pPr>
        <w:rPr>
          <w:rFonts w:eastAsia="Times New Roman"/>
          <w:bCs/>
          <w:sz w:val="24"/>
          <w:szCs w:val="24"/>
        </w:rPr>
      </w:pPr>
      <w:r>
        <w:rPr>
          <w:rFonts w:eastAsia="Times New Roman"/>
          <w:bCs/>
          <w:sz w:val="24"/>
          <w:szCs w:val="24"/>
        </w:rPr>
        <w:br w:type="page"/>
      </w:r>
    </w:p>
    <w:p w14:paraId="17956699" w14:textId="77777777" w:rsidR="00F022D4" w:rsidRPr="009E3DA4" w:rsidRDefault="00F022D4" w:rsidP="00F022D4">
      <w:pPr>
        <w:spacing w:after="240"/>
        <w:ind w:left="720" w:hanging="720"/>
        <w:rPr>
          <w:rFonts w:eastAsia="Times New Roman"/>
          <w:b/>
          <w:sz w:val="24"/>
          <w:szCs w:val="24"/>
        </w:rPr>
      </w:pPr>
      <w:bookmarkStart w:id="42" w:name="a9_28B"/>
      <w:bookmarkEnd w:id="42"/>
      <w:r w:rsidRPr="00F022D4">
        <w:rPr>
          <w:rFonts w:eastAsia="Times New Roman"/>
          <w:b/>
          <w:sz w:val="24"/>
          <w:szCs w:val="24"/>
        </w:rPr>
        <w:lastRenderedPageBreak/>
        <w:t xml:space="preserve">9:28B </w:t>
      </w:r>
      <w:r w:rsidRPr="00F022D4">
        <w:rPr>
          <w:rFonts w:eastAsia="Times New Roman"/>
          <w:b/>
          <w:sz w:val="24"/>
          <w:szCs w:val="24"/>
        </w:rPr>
        <w:tab/>
        <w:t>SPECIAL VERDICT FORMS — COMPARATIVE NEGLIGENCE OF THE PLAINTIFF — SINGLE DEFENDANT OR MULTIPLE DEFENDANTS — DESIGNATED NONPARTY OR NONPARTIES INVOLVED — FORMS A AND B</w:t>
      </w:r>
    </w:p>
    <w:p w14:paraId="598DB5F3"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2C8A1839" w14:textId="77777777" w:rsidR="00F022D4" w:rsidRPr="00F022D4" w:rsidRDefault="00F022D4" w:rsidP="00F022D4">
      <w:pPr>
        <w:jc w:val="center"/>
        <w:rPr>
          <w:rFonts w:eastAsia="Times New Roman"/>
          <w:b/>
          <w:sz w:val="24"/>
          <w:szCs w:val="24"/>
        </w:rPr>
      </w:pPr>
    </w:p>
    <w:p w14:paraId="48D02098"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w:t>
      </w:r>
    </w:p>
    <w:p w14:paraId="737F318B" w14:textId="77777777" w:rsidR="00F022D4" w:rsidRPr="00F022D4" w:rsidRDefault="00F022D4" w:rsidP="00F022D4">
      <w:pPr>
        <w:jc w:val="center"/>
        <w:rPr>
          <w:rFonts w:eastAsia="Times New Roman"/>
          <w:b/>
          <w:sz w:val="24"/>
          <w:szCs w:val="24"/>
        </w:rPr>
      </w:pPr>
      <w:r w:rsidRPr="00F022D4">
        <w:rPr>
          <w:rFonts w:eastAsia="Times New Roman"/>
          <w:b/>
          <w:sz w:val="24"/>
          <w:szCs w:val="24"/>
        </w:rPr>
        <w:t>THE COUNTY OF _______, STATE OF COLORADO</w:t>
      </w:r>
    </w:p>
    <w:p w14:paraId="719CA8E4" w14:textId="77777777" w:rsidR="00F022D4" w:rsidRPr="00F022D4" w:rsidRDefault="00F022D4" w:rsidP="00F022D4">
      <w:pPr>
        <w:jc w:val="center"/>
        <w:rPr>
          <w:rFonts w:eastAsia="Times New Roman"/>
          <w:b/>
          <w:sz w:val="24"/>
          <w:szCs w:val="24"/>
        </w:rPr>
      </w:pPr>
    </w:p>
    <w:p w14:paraId="2208155C"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83EDE" w14:textId="77777777" w:rsidR="00F022D4" w:rsidRPr="00F022D4" w:rsidRDefault="00F022D4" w:rsidP="00F022D4">
      <w:pPr>
        <w:rPr>
          <w:rFonts w:eastAsia="Times New Roman"/>
          <w:b/>
          <w:sz w:val="24"/>
          <w:szCs w:val="24"/>
        </w:rPr>
      </w:pPr>
    </w:p>
    <w:p w14:paraId="42009953" w14:textId="77777777" w:rsidR="00F022D4" w:rsidRPr="00F022D4" w:rsidRDefault="00F022D4" w:rsidP="00F022D4">
      <w:pPr>
        <w:rPr>
          <w:rFonts w:eastAsia="Times New Roman"/>
          <w:b/>
          <w:sz w:val="24"/>
          <w:szCs w:val="24"/>
        </w:rPr>
      </w:pPr>
    </w:p>
    <w:p w14:paraId="2C06D45A" w14:textId="77777777" w:rsidR="00F022D4" w:rsidRPr="00F022D4" w:rsidRDefault="00F022D4" w:rsidP="00F022D4">
      <w:pPr>
        <w:rPr>
          <w:rFonts w:eastAsia="Times New Roman"/>
          <w:b/>
          <w:sz w:val="24"/>
          <w:szCs w:val="24"/>
        </w:rPr>
      </w:pPr>
    </w:p>
    <w:p w14:paraId="1D0D5A50"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244E6BD5"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6F8B89C4"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3117AB"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165D184"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0A2378FE"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0DE5590E"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32962B14" w14:textId="77777777" w:rsidR="00F022D4" w:rsidRPr="00F022D4" w:rsidRDefault="00F022D4" w:rsidP="00F022D4">
      <w:pPr>
        <w:rPr>
          <w:rFonts w:eastAsia="Times New Roman"/>
          <w:b/>
          <w:sz w:val="24"/>
          <w:szCs w:val="24"/>
        </w:rPr>
      </w:pPr>
    </w:p>
    <w:p w14:paraId="45FF728F" w14:textId="77777777" w:rsidR="00F022D4" w:rsidRPr="00F022D4" w:rsidRDefault="00F022D4" w:rsidP="00F022D4">
      <w:pPr>
        <w:rPr>
          <w:rFonts w:eastAsia="Times New Roman"/>
          <w:b/>
          <w:sz w:val="24"/>
          <w:szCs w:val="24"/>
        </w:rPr>
      </w:pPr>
    </w:p>
    <w:p w14:paraId="73DABF0C"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29E02D2A" w14:textId="77777777" w:rsidR="00F022D4" w:rsidRPr="00F022D4" w:rsidRDefault="00F022D4" w:rsidP="00F022D4">
      <w:pPr>
        <w:rPr>
          <w:rFonts w:eastAsia="Times New Roman"/>
          <w:b/>
          <w:sz w:val="24"/>
          <w:szCs w:val="24"/>
        </w:rPr>
      </w:pPr>
    </w:p>
    <w:p w14:paraId="18317D3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3D9CD84E" w14:textId="77777777" w:rsidR="00F022D4" w:rsidRPr="00F022D4" w:rsidRDefault="00F022D4" w:rsidP="00F022D4">
      <w:pPr>
        <w:ind w:firstLine="720"/>
        <w:rPr>
          <w:rFonts w:eastAsia="Times New Roman"/>
          <w:b/>
          <w:sz w:val="24"/>
          <w:szCs w:val="24"/>
        </w:rPr>
      </w:pPr>
    </w:p>
    <w:p w14:paraId="45230CD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6CAF77A7" w14:textId="77777777" w:rsidR="00F022D4" w:rsidRPr="00F022D4" w:rsidRDefault="00F022D4" w:rsidP="00F022D4">
      <w:pPr>
        <w:ind w:firstLine="720"/>
        <w:rPr>
          <w:rFonts w:eastAsia="Times New Roman"/>
          <w:b/>
          <w:sz w:val="24"/>
          <w:szCs w:val="24"/>
        </w:rPr>
      </w:pPr>
    </w:p>
    <w:p w14:paraId="228E37A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4FAEB59" w14:textId="77777777" w:rsidR="00F022D4" w:rsidRPr="00F022D4" w:rsidRDefault="00F022D4" w:rsidP="00F022D4">
      <w:pPr>
        <w:ind w:firstLine="720"/>
        <w:rPr>
          <w:rFonts w:eastAsia="Times New Roman"/>
          <w:b/>
          <w:sz w:val="24"/>
          <w:szCs w:val="24"/>
        </w:rPr>
      </w:pPr>
    </w:p>
    <w:p w14:paraId="692386B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12F38B46" w14:textId="77777777" w:rsidR="00F022D4" w:rsidRPr="00F022D4" w:rsidRDefault="00F022D4" w:rsidP="00F022D4">
      <w:pPr>
        <w:ind w:firstLine="720"/>
        <w:rPr>
          <w:rFonts w:eastAsia="Times New Roman"/>
          <w:b/>
          <w:sz w:val="24"/>
          <w:szCs w:val="24"/>
        </w:rPr>
      </w:pPr>
    </w:p>
    <w:p w14:paraId="2432B4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84E008C" w14:textId="77777777" w:rsidR="00F022D4" w:rsidRPr="00F022D4" w:rsidRDefault="00F022D4" w:rsidP="00F022D4">
      <w:pPr>
        <w:ind w:firstLine="720"/>
        <w:rPr>
          <w:rFonts w:eastAsia="Times New Roman"/>
          <w:b/>
          <w:sz w:val="24"/>
          <w:szCs w:val="24"/>
        </w:rPr>
      </w:pPr>
    </w:p>
    <w:p w14:paraId="7377D4E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5730484F" w14:textId="77777777" w:rsidR="00F022D4" w:rsidRPr="00F022D4" w:rsidRDefault="00F022D4" w:rsidP="00F022D4">
      <w:pPr>
        <w:ind w:firstLine="720"/>
        <w:rPr>
          <w:rFonts w:eastAsia="Times New Roman"/>
          <w:b/>
          <w:sz w:val="24"/>
          <w:szCs w:val="24"/>
        </w:rPr>
      </w:pPr>
    </w:p>
    <w:p w14:paraId="7252F22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3210B93" w14:textId="77777777" w:rsidR="00F022D4" w:rsidRPr="00F022D4" w:rsidRDefault="00F022D4" w:rsidP="00F022D4">
      <w:pPr>
        <w:ind w:firstLine="720"/>
        <w:rPr>
          <w:rFonts w:eastAsia="Times New Roman"/>
          <w:b/>
          <w:sz w:val="24"/>
          <w:szCs w:val="24"/>
        </w:rPr>
      </w:pPr>
    </w:p>
    <w:p w14:paraId="55C5E9D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24A86BB8" w14:textId="77777777" w:rsidR="00F022D4" w:rsidRPr="00F022D4" w:rsidRDefault="00F022D4" w:rsidP="00F022D4">
      <w:pPr>
        <w:ind w:firstLine="720"/>
        <w:rPr>
          <w:rFonts w:eastAsia="Times New Roman"/>
          <w:b/>
          <w:sz w:val="24"/>
          <w:szCs w:val="24"/>
        </w:rPr>
      </w:pPr>
    </w:p>
    <w:p w14:paraId="6C39356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9C390A7" w14:textId="77777777" w:rsidR="00F022D4" w:rsidRPr="00F022D4" w:rsidRDefault="00F022D4" w:rsidP="00F022D4">
      <w:pPr>
        <w:ind w:firstLine="720"/>
        <w:rPr>
          <w:rFonts w:eastAsia="Times New Roman"/>
          <w:b/>
          <w:sz w:val="24"/>
          <w:szCs w:val="24"/>
        </w:rPr>
      </w:pPr>
    </w:p>
    <w:p w14:paraId="0E9152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82341AA" w14:textId="77777777" w:rsidR="00F022D4" w:rsidRPr="00F022D4" w:rsidRDefault="00F022D4" w:rsidP="00F022D4">
      <w:pPr>
        <w:ind w:firstLine="720"/>
        <w:rPr>
          <w:rFonts w:eastAsia="Times New Roman"/>
          <w:b/>
          <w:sz w:val="24"/>
          <w:szCs w:val="24"/>
        </w:rPr>
      </w:pPr>
    </w:p>
    <w:p w14:paraId="7B9B0ED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6963B16" w14:textId="77777777" w:rsidR="00F022D4" w:rsidRPr="00F022D4" w:rsidRDefault="00F022D4" w:rsidP="00F022D4">
      <w:pPr>
        <w:ind w:firstLine="720"/>
        <w:rPr>
          <w:rFonts w:eastAsia="Times New Roman"/>
          <w:b/>
          <w:sz w:val="24"/>
          <w:szCs w:val="24"/>
        </w:rPr>
      </w:pPr>
    </w:p>
    <w:p w14:paraId="4C6565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find for the defendant(s) and award no damages to the plaintiff, (name).</w:t>
      </w:r>
    </w:p>
    <w:p w14:paraId="68FE5244" w14:textId="77777777" w:rsidR="00F022D4" w:rsidRPr="00F022D4" w:rsidRDefault="00F022D4" w:rsidP="00F022D4">
      <w:pPr>
        <w:ind w:firstLine="720"/>
        <w:rPr>
          <w:rFonts w:eastAsia="Times New Roman"/>
          <w:b/>
          <w:sz w:val="24"/>
          <w:szCs w:val="24"/>
        </w:rPr>
      </w:pPr>
    </w:p>
    <w:p w14:paraId="7FA6E5C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40C9CC6C" w14:textId="77777777" w:rsidR="00F022D4" w:rsidRPr="00F022D4" w:rsidRDefault="00F022D4" w:rsidP="00F022D4">
      <w:pPr>
        <w:rPr>
          <w:rFonts w:eastAsia="Times New Roman"/>
          <w:b/>
          <w:sz w:val="24"/>
          <w:szCs w:val="24"/>
        </w:rPr>
      </w:pPr>
    </w:p>
    <w:p w14:paraId="18B42FDE"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39D08F3"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4A6D400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C3EEA2B" w14:textId="77777777" w:rsidR="00F022D4" w:rsidRPr="00F022D4" w:rsidRDefault="00F022D4" w:rsidP="00F022D4">
      <w:pPr>
        <w:rPr>
          <w:rFonts w:eastAsia="Times New Roman"/>
          <w:b/>
          <w:sz w:val="24"/>
          <w:szCs w:val="24"/>
        </w:rPr>
      </w:pPr>
    </w:p>
    <w:p w14:paraId="74AA5D58"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6CBDE1F" w14:textId="77777777" w:rsidR="00F022D4" w:rsidRPr="00F022D4" w:rsidRDefault="00F022D4" w:rsidP="00F022D4">
      <w:pPr>
        <w:rPr>
          <w:rFonts w:eastAsia="Times New Roman"/>
          <w:b/>
          <w:sz w:val="24"/>
          <w:szCs w:val="24"/>
        </w:rPr>
      </w:pPr>
    </w:p>
    <w:p w14:paraId="16152D7F" w14:textId="77777777" w:rsidR="00F022D4" w:rsidRPr="00F022D4" w:rsidRDefault="00F022D4" w:rsidP="00F022D4">
      <w:pPr>
        <w:rPr>
          <w:rFonts w:eastAsia="Times New Roman"/>
          <w:b/>
          <w:sz w:val="24"/>
          <w:szCs w:val="24"/>
        </w:rPr>
      </w:pPr>
    </w:p>
    <w:p w14:paraId="457F19A2"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807340B" w14:textId="77777777" w:rsidR="00F022D4" w:rsidRPr="00F022D4" w:rsidRDefault="00F022D4" w:rsidP="00F022D4">
      <w:pPr>
        <w:rPr>
          <w:rFonts w:eastAsia="Times New Roman"/>
          <w:b/>
          <w:sz w:val="24"/>
          <w:szCs w:val="24"/>
        </w:rPr>
      </w:pPr>
    </w:p>
    <w:p w14:paraId="07645BD2"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30234841"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5497AB98" w14:textId="77777777" w:rsidR="00F022D4" w:rsidRPr="00F022D4" w:rsidRDefault="00F022D4" w:rsidP="00F022D4">
      <w:pPr>
        <w:rPr>
          <w:rFonts w:eastAsia="Times New Roman"/>
          <w:b/>
          <w:sz w:val="24"/>
          <w:szCs w:val="24"/>
        </w:rPr>
      </w:pPr>
    </w:p>
    <w:p w14:paraId="599ED915" w14:textId="77777777" w:rsidR="00F022D4" w:rsidRPr="00F022D4" w:rsidRDefault="00F022D4" w:rsidP="00F022D4">
      <w:pPr>
        <w:rPr>
          <w:rFonts w:eastAsia="Times New Roman"/>
          <w:b/>
          <w:sz w:val="24"/>
          <w:szCs w:val="24"/>
        </w:rPr>
      </w:pPr>
    </w:p>
    <w:p w14:paraId="3DFAE5ED"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5D539322" w14:textId="77777777" w:rsidR="00F022D4" w:rsidRPr="00F022D4" w:rsidRDefault="00F022D4" w:rsidP="00F022D4">
      <w:pPr>
        <w:jc w:val="center"/>
        <w:rPr>
          <w:rFonts w:eastAsia="Times New Roman"/>
          <w:b/>
          <w:sz w:val="24"/>
          <w:szCs w:val="24"/>
        </w:rPr>
      </w:pPr>
    </w:p>
    <w:p w14:paraId="6A40579D" w14:textId="77777777" w:rsidR="00F022D4" w:rsidRPr="00F022D4" w:rsidRDefault="00F022D4" w:rsidP="00F022D4">
      <w:pPr>
        <w:rPr>
          <w:rFonts w:eastAsia="Times New Roman"/>
          <w:b/>
          <w:sz w:val="24"/>
          <w:szCs w:val="24"/>
        </w:rPr>
      </w:pPr>
    </w:p>
    <w:p w14:paraId="416E2130" w14:textId="77777777" w:rsidR="00F022D4" w:rsidRPr="00F022D4" w:rsidRDefault="00F022D4" w:rsidP="00F022D4">
      <w:pPr>
        <w:rPr>
          <w:rFonts w:eastAsia="Times New Roman"/>
          <w:b/>
          <w:sz w:val="24"/>
          <w:szCs w:val="24"/>
        </w:rPr>
      </w:pPr>
    </w:p>
    <w:p w14:paraId="38FC11A5"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93DAD4D"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0E2E2BF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1C590656"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E54CACA"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35F46E0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7D2E5A7C"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7652339D" w14:textId="77777777" w:rsidR="00F022D4" w:rsidRPr="00F022D4" w:rsidRDefault="00F022D4" w:rsidP="00F022D4">
      <w:pPr>
        <w:rPr>
          <w:rFonts w:eastAsia="Times New Roman"/>
          <w:b/>
          <w:sz w:val="24"/>
          <w:szCs w:val="24"/>
        </w:rPr>
      </w:pPr>
    </w:p>
    <w:p w14:paraId="4A9315E1" w14:textId="77777777" w:rsidR="00F022D4" w:rsidRPr="00F022D4" w:rsidRDefault="00F022D4" w:rsidP="00F022D4">
      <w:pPr>
        <w:rPr>
          <w:rFonts w:eastAsia="Times New Roman"/>
          <w:b/>
          <w:sz w:val="24"/>
          <w:szCs w:val="24"/>
        </w:rPr>
      </w:pPr>
    </w:p>
    <w:p w14:paraId="07BB3EB8"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3561D47D" w14:textId="77777777" w:rsidR="00F022D4" w:rsidRPr="00F022D4" w:rsidRDefault="00F022D4" w:rsidP="00F022D4">
      <w:pPr>
        <w:rPr>
          <w:rFonts w:eastAsia="Times New Roman"/>
          <w:b/>
          <w:sz w:val="24"/>
          <w:szCs w:val="24"/>
        </w:rPr>
      </w:pPr>
    </w:p>
    <w:p w14:paraId="0521895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729F9956" w14:textId="77777777" w:rsidR="00F022D4" w:rsidRPr="00F022D4" w:rsidRDefault="00F022D4" w:rsidP="00F022D4">
      <w:pPr>
        <w:ind w:firstLine="720"/>
        <w:rPr>
          <w:rFonts w:eastAsia="Times New Roman"/>
          <w:b/>
          <w:sz w:val="24"/>
          <w:szCs w:val="24"/>
        </w:rPr>
      </w:pPr>
    </w:p>
    <w:p w14:paraId="6FCA6F4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441CCEF0" w14:textId="77777777" w:rsidR="00F022D4" w:rsidRPr="00F022D4" w:rsidRDefault="00F022D4" w:rsidP="00F022D4">
      <w:pPr>
        <w:ind w:firstLine="720"/>
        <w:rPr>
          <w:rFonts w:eastAsia="Times New Roman"/>
          <w:b/>
          <w:sz w:val="24"/>
          <w:szCs w:val="24"/>
        </w:rPr>
      </w:pPr>
    </w:p>
    <w:p w14:paraId="203BB1A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D1BB6DA" w14:textId="77777777" w:rsidR="00F022D4" w:rsidRPr="00F022D4" w:rsidRDefault="00F022D4" w:rsidP="00F022D4">
      <w:pPr>
        <w:ind w:firstLine="720"/>
        <w:rPr>
          <w:rFonts w:eastAsia="Times New Roman"/>
          <w:b/>
          <w:sz w:val="24"/>
          <w:szCs w:val="24"/>
        </w:rPr>
      </w:pPr>
    </w:p>
    <w:p w14:paraId="1B4298D9"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64EE7387" w14:textId="77777777" w:rsidR="00F022D4" w:rsidRPr="00F022D4" w:rsidRDefault="00F022D4" w:rsidP="00F022D4">
      <w:pPr>
        <w:ind w:firstLine="720"/>
        <w:rPr>
          <w:rFonts w:eastAsia="Times New Roman"/>
          <w:b/>
          <w:sz w:val="24"/>
          <w:szCs w:val="24"/>
        </w:rPr>
      </w:pPr>
    </w:p>
    <w:p w14:paraId="2AD2F2D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B9D732" w14:textId="77777777" w:rsidR="00F022D4" w:rsidRPr="00F022D4" w:rsidRDefault="00F022D4" w:rsidP="00F022D4">
      <w:pPr>
        <w:ind w:firstLine="720"/>
        <w:rPr>
          <w:rFonts w:eastAsia="Times New Roman"/>
          <w:b/>
          <w:sz w:val="24"/>
          <w:szCs w:val="24"/>
        </w:rPr>
      </w:pPr>
    </w:p>
    <w:p w14:paraId="69819D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2C91F523" w14:textId="77777777" w:rsidR="00F022D4" w:rsidRPr="00F022D4" w:rsidRDefault="00F022D4" w:rsidP="00F022D4">
      <w:pPr>
        <w:ind w:firstLine="720"/>
        <w:rPr>
          <w:rFonts w:eastAsia="Times New Roman"/>
          <w:b/>
          <w:sz w:val="24"/>
          <w:szCs w:val="24"/>
        </w:rPr>
      </w:pPr>
    </w:p>
    <w:p w14:paraId="76760E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A29E07F" w14:textId="77777777" w:rsidR="00F022D4" w:rsidRPr="00F022D4" w:rsidRDefault="00F022D4" w:rsidP="00F022D4">
      <w:pPr>
        <w:ind w:firstLine="720"/>
        <w:rPr>
          <w:rFonts w:eastAsia="Times New Roman"/>
          <w:b/>
          <w:sz w:val="24"/>
          <w:szCs w:val="24"/>
        </w:rPr>
      </w:pPr>
    </w:p>
    <w:p w14:paraId="239620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1775EA7" w14:textId="77777777" w:rsidR="00F022D4" w:rsidRPr="00F022D4" w:rsidRDefault="00F022D4" w:rsidP="00F022D4">
      <w:pPr>
        <w:ind w:firstLine="720"/>
        <w:rPr>
          <w:rFonts w:eastAsia="Times New Roman"/>
          <w:b/>
          <w:sz w:val="24"/>
          <w:szCs w:val="24"/>
        </w:rPr>
      </w:pPr>
    </w:p>
    <w:p w14:paraId="6B77187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2F35BDC" w14:textId="77777777" w:rsidR="00F022D4" w:rsidRPr="00F022D4" w:rsidRDefault="00F022D4" w:rsidP="00F022D4">
      <w:pPr>
        <w:ind w:firstLine="720"/>
        <w:rPr>
          <w:rFonts w:eastAsia="Times New Roman"/>
          <w:b/>
          <w:sz w:val="24"/>
          <w:szCs w:val="24"/>
        </w:rPr>
      </w:pPr>
    </w:p>
    <w:p w14:paraId="5D17E8D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94CDC8B" w14:textId="77777777" w:rsidR="00F022D4" w:rsidRPr="00F022D4" w:rsidRDefault="00F022D4" w:rsidP="00F022D4">
      <w:pPr>
        <w:ind w:firstLine="720"/>
        <w:rPr>
          <w:rFonts w:eastAsia="Times New Roman"/>
          <w:b/>
          <w:sz w:val="24"/>
          <w:szCs w:val="24"/>
        </w:rPr>
      </w:pPr>
    </w:p>
    <w:p w14:paraId="14B5A92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27CD63" w14:textId="77777777" w:rsidR="00F022D4" w:rsidRPr="00F022D4" w:rsidRDefault="00F022D4" w:rsidP="00F022D4">
      <w:pPr>
        <w:ind w:firstLine="720"/>
        <w:rPr>
          <w:rFonts w:eastAsia="Times New Roman"/>
          <w:b/>
          <w:sz w:val="24"/>
          <w:szCs w:val="24"/>
        </w:rPr>
      </w:pPr>
    </w:p>
    <w:p w14:paraId="49FEFE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67AE151" w14:textId="77777777" w:rsidR="00F022D4" w:rsidRPr="00F022D4" w:rsidRDefault="00F022D4" w:rsidP="00F022D4">
      <w:pPr>
        <w:ind w:firstLine="720"/>
        <w:rPr>
          <w:rFonts w:eastAsia="Times New Roman"/>
          <w:b/>
          <w:sz w:val="24"/>
          <w:szCs w:val="24"/>
        </w:rPr>
      </w:pPr>
    </w:p>
    <w:p w14:paraId="4322CC2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28FF9578" w14:textId="77777777" w:rsidR="00F022D4" w:rsidRPr="00F022D4" w:rsidRDefault="00F022D4" w:rsidP="00F022D4">
      <w:pPr>
        <w:ind w:firstLine="720"/>
        <w:rPr>
          <w:rFonts w:eastAsia="Times New Roman"/>
          <w:b/>
          <w:sz w:val="24"/>
          <w:szCs w:val="24"/>
        </w:rPr>
      </w:pPr>
    </w:p>
    <w:p w14:paraId="7015DC2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1AADF65" w14:textId="77777777" w:rsidR="00F022D4" w:rsidRPr="00F022D4" w:rsidRDefault="00F022D4" w:rsidP="00F022D4">
      <w:pPr>
        <w:ind w:firstLine="720"/>
        <w:rPr>
          <w:rFonts w:eastAsia="Times New Roman"/>
          <w:b/>
          <w:sz w:val="24"/>
          <w:szCs w:val="24"/>
        </w:rPr>
      </w:pPr>
    </w:p>
    <w:p w14:paraId="6348CD7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 (Yes or No)</w:t>
      </w:r>
    </w:p>
    <w:p w14:paraId="7AFFAC77" w14:textId="77777777" w:rsidR="00F022D4" w:rsidRPr="00F022D4" w:rsidRDefault="00F022D4" w:rsidP="00F022D4">
      <w:pPr>
        <w:ind w:firstLine="720"/>
        <w:rPr>
          <w:rFonts w:eastAsia="Times New Roman"/>
          <w:b/>
          <w:sz w:val="24"/>
          <w:szCs w:val="24"/>
        </w:rPr>
      </w:pPr>
    </w:p>
    <w:p w14:paraId="3D8847B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03331E2" w14:textId="77777777" w:rsidR="00F022D4" w:rsidRPr="00F022D4" w:rsidRDefault="00F022D4" w:rsidP="00F022D4">
      <w:pPr>
        <w:ind w:firstLine="720"/>
        <w:rPr>
          <w:rFonts w:eastAsia="Times New Roman"/>
          <w:b/>
          <w:sz w:val="24"/>
          <w:szCs w:val="24"/>
        </w:rPr>
      </w:pPr>
    </w:p>
    <w:p w14:paraId="370D8A1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1D783A4D" w14:textId="77777777" w:rsidR="00F022D4" w:rsidRPr="00F022D4" w:rsidRDefault="00F022D4" w:rsidP="00F022D4">
      <w:pPr>
        <w:ind w:firstLine="720"/>
        <w:rPr>
          <w:rFonts w:eastAsia="Times New Roman"/>
          <w:b/>
          <w:sz w:val="24"/>
          <w:szCs w:val="24"/>
        </w:rPr>
      </w:pPr>
    </w:p>
    <w:p w14:paraId="286165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B81BA4C" w14:textId="77777777" w:rsidR="00F022D4" w:rsidRPr="00F022D4" w:rsidRDefault="00F022D4" w:rsidP="00F022D4">
      <w:pPr>
        <w:ind w:firstLine="720"/>
        <w:rPr>
          <w:rFonts w:eastAsia="Times New Roman"/>
          <w:b/>
          <w:sz w:val="24"/>
          <w:szCs w:val="24"/>
        </w:rPr>
      </w:pPr>
    </w:p>
    <w:p w14:paraId="7AD4DAE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52DF0CA9" w14:textId="77777777" w:rsidR="00F022D4" w:rsidRPr="00F022D4" w:rsidRDefault="00F022D4" w:rsidP="00F022D4">
      <w:pPr>
        <w:ind w:firstLine="720"/>
        <w:rPr>
          <w:rFonts w:eastAsia="Times New Roman"/>
          <w:b/>
          <w:sz w:val="24"/>
          <w:szCs w:val="24"/>
        </w:rPr>
      </w:pPr>
    </w:p>
    <w:p w14:paraId="51F59E8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6CEEFBD" w14:textId="77777777" w:rsidR="00F022D4" w:rsidRPr="00F022D4" w:rsidRDefault="00F022D4" w:rsidP="00F022D4">
      <w:pPr>
        <w:ind w:firstLine="720"/>
        <w:rPr>
          <w:rFonts w:eastAsia="Times New Roman"/>
          <w:b/>
          <w:sz w:val="24"/>
          <w:szCs w:val="24"/>
        </w:rPr>
      </w:pPr>
    </w:p>
    <w:p w14:paraId="5BD011E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84CC35B" w14:textId="77777777" w:rsidR="00F022D4" w:rsidRPr="00F022D4" w:rsidRDefault="00F022D4" w:rsidP="00F022D4">
      <w:pPr>
        <w:ind w:firstLine="720"/>
        <w:rPr>
          <w:rFonts w:eastAsia="Times New Roman"/>
          <w:b/>
          <w:sz w:val="24"/>
          <w:szCs w:val="24"/>
        </w:rPr>
      </w:pPr>
    </w:p>
    <w:p w14:paraId="13EF697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2AE4AFB" w14:textId="77777777" w:rsidR="00F022D4" w:rsidRPr="00F022D4" w:rsidRDefault="00F022D4" w:rsidP="00F022D4">
      <w:pPr>
        <w:ind w:firstLine="720"/>
        <w:rPr>
          <w:rFonts w:eastAsia="Times New Roman"/>
          <w:b/>
          <w:sz w:val="24"/>
          <w:szCs w:val="24"/>
        </w:rPr>
      </w:pPr>
    </w:p>
    <w:p w14:paraId="537F5A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57D1C97D" w14:textId="77777777" w:rsidR="00F022D4" w:rsidRPr="00F022D4" w:rsidRDefault="00F022D4" w:rsidP="00F022D4">
      <w:pPr>
        <w:ind w:firstLine="720"/>
        <w:rPr>
          <w:rFonts w:eastAsia="Times New Roman"/>
          <w:b/>
          <w:sz w:val="24"/>
          <w:szCs w:val="24"/>
        </w:rPr>
      </w:pPr>
    </w:p>
    <w:p w14:paraId="262BA1B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2E8CDFD" w14:textId="77777777" w:rsidR="00F022D4" w:rsidRPr="00F022D4" w:rsidRDefault="00F022D4" w:rsidP="00F022D4">
      <w:pPr>
        <w:ind w:firstLine="720"/>
        <w:rPr>
          <w:rFonts w:eastAsia="Times New Roman"/>
          <w:b/>
          <w:sz w:val="24"/>
          <w:szCs w:val="24"/>
        </w:rPr>
      </w:pPr>
    </w:p>
    <w:p w14:paraId="6833463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2189334" w14:textId="77777777" w:rsidR="00F022D4" w:rsidRPr="00F022D4" w:rsidRDefault="00F022D4" w:rsidP="00F022D4">
      <w:pPr>
        <w:rPr>
          <w:rFonts w:eastAsia="Times New Roman"/>
          <w:b/>
          <w:sz w:val="24"/>
          <w:szCs w:val="24"/>
        </w:rPr>
      </w:pPr>
    </w:p>
    <w:p w14:paraId="53D3FDB8"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06B94ECB" w14:textId="77777777" w:rsidR="00F022D4" w:rsidRPr="00F022D4" w:rsidRDefault="00F022D4" w:rsidP="00F022D4">
      <w:pPr>
        <w:ind w:left="720"/>
        <w:rPr>
          <w:rFonts w:eastAsia="Times New Roman"/>
          <w:b/>
          <w:sz w:val="24"/>
          <w:szCs w:val="24"/>
        </w:rPr>
      </w:pPr>
    </w:p>
    <w:p w14:paraId="0E107826"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8DDF856" w14:textId="77777777" w:rsidR="00F022D4" w:rsidRPr="00F022D4" w:rsidRDefault="00F022D4" w:rsidP="00F022D4">
      <w:pPr>
        <w:ind w:left="720"/>
        <w:rPr>
          <w:rFonts w:eastAsia="Times New Roman"/>
          <w:b/>
          <w:sz w:val="24"/>
          <w:szCs w:val="24"/>
        </w:rPr>
      </w:pPr>
    </w:p>
    <w:p w14:paraId="668CCD5D"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2AF459F" w14:textId="77777777" w:rsidR="00F022D4" w:rsidRPr="00F022D4" w:rsidRDefault="00F022D4" w:rsidP="00F022D4">
      <w:pPr>
        <w:ind w:left="720"/>
        <w:rPr>
          <w:rFonts w:eastAsia="Times New Roman"/>
          <w:b/>
          <w:sz w:val="24"/>
          <w:szCs w:val="24"/>
        </w:rPr>
      </w:pPr>
    </w:p>
    <w:p w14:paraId="590EC09F"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6008821" w14:textId="77777777" w:rsidR="00F022D4" w:rsidRPr="00F022D4" w:rsidRDefault="00F022D4" w:rsidP="00F022D4">
      <w:pPr>
        <w:ind w:left="720"/>
        <w:rPr>
          <w:rFonts w:eastAsia="Times New Roman"/>
          <w:b/>
          <w:sz w:val="24"/>
          <w:szCs w:val="24"/>
        </w:rPr>
      </w:pPr>
    </w:p>
    <w:p w14:paraId="7D7310D5" w14:textId="45B128D6"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w:t>
      </w:r>
      <w:r w:rsidR="004A4F5B">
        <w:rPr>
          <w:rFonts w:eastAsia="Times New Roman"/>
          <w:b/>
          <w:sz w:val="24"/>
          <w:szCs w:val="24"/>
        </w:rPr>
        <w:t xml:space="preserve">airment] [or] [disfigurement]? </w:t>
      </w:r>
      <w:r w:rsidRPr="00F022D4">
        <w:rPr>
          <w:rFonts w:eastAsia="Times New Roman"/>
          <w:b/>
          <w:sz w:val="24"/>
          <w:szCs w:val="24"/>
        </w:rPr>
        <w:t>You should answer “0” if you determine there were none.)</w:t>
      </w:r>
    </w:p>
    <w:p w14:paraId="4259BA15" w14:textId="77777777" w:rsidR="00F022D4" w:rsidRPr="00F022D4" w:rsidRDefault="00F022D4" w:rsidP="00F022D4">
      <w:pPr>
        <w:ind w:left="720"/>
        <w:rPr>
          <w:rFonts w:eastAsia="Times New Roman"/>
          <w:b/>
          <w:sz w:val="24"/>
          <w:szCs w:val="24"/>
        </w:rPr>
      </w:pPr>
    </w:p>
    <w:p w14:paraId="07449777"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6D736FEB" w14:textId="77777777" w:rsidR="00F022D4" w:rsidRPr="00F022D4" w:rsidRDefault="00F022D4" w:rsidP="00F022D4">
      <w:pPr>
        <w:ind w:firstLine="720"/>
        <w:rPr>
          <w:rFonts w:eastAsia="Times New Roman"/>
          <w:b/>
          <w:sz w:val="24"/>
          <w:szCs w:val="24"/>
        </w:rPr>
      </w:pPr>
    </w:p>
    <w:p w14:paraId="0099735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 Enter the figure zero, “0,” for any party or nonparty you decide was not negligent or whose negligence you decide was not a cause of any of the plaintiff’s claimed (injuries) (damages) (losses).</w:t>
      </w:r>
    </w:p>
    <w:p w14:paraId="19EAE33E" w14:textId="77777777" w:rsidR="00F022D4" w:rsidRPr="00F022D4" w:rsidRDefault="00F022D4" w:rsidP="00F022D4">
      <w:pPr>
        <w:ind w:firstLine="720"/>
        <w:rPr>
          <w:rFonts w:eastAsia="Times New Roman"/>
          <w:b/>
          <w:sz w:val="24"/>
          <w:szCs w:val="24"/>
        </w:rPr>
      </w:pPr>
    </w:p>
    <w:p w14:paraId="631C87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58761F01" w14:textId="77777777" w:rsidR="00F022D4" w:rsidRPr="00F022D4" w:rsidRDefault="00F022D4" w:rsidP="00F022D4">
      <w:pPr>
        <w:rPr>
          <w:rFonts w:eastAsia="Times New Roman"/>
          <w:b/>
          <w:sz w:val="24"/>
          <w:szCs w:val="24"/>
        </w:rPr>
      </w:pPr>
    </w:p>
    <w:p w14:paraId="469055B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lastRenderedPageBreak/>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2A34F39F" w14:textId="77777777" w:rsidR="00F022D4" w:rsidRPr="00F022D4" w:rsidRDefault="00F022D4" w:rsidP="00F022D4">
      <w:pPr>
        <w:tabs>
          <w:tab w:val="right" w:pos="7920"/>
        </w:tabs>
        <w:rPr>
          <w:rFonts w:eastAsia="Times New Roman"/>
          <w:b/>
          <w:sz w:val="24"/>
          <w:szCs w:val="24"/>
        </w:rPr>
      </w:pPr>
    </w:p>
    <w:p w14:paraId="4C72DFB2"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6DFC8DB2" w14:textId="77777777" w:rsidR="00F022D4" w:rsidRPr="00F022D4" w:rsidRDefault="00F022D4" w:rsidP="00F022D4">
      <w:pPr>
        <w:tabs>
          <w:tab w:val="right" w:pos="7920"/>
        </w:tabs>
        <w:rPr>
          <w:rFonts w:eastAsia="Times New Roman"/>
          <w:b/>
          <w:sz w:val="24"/>
          <w:szCs w:val="24"/>
        </w:rPr>
      </w:pPr>
    </w:p>
    <w:p w14:paraId="0CD4E44C"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5E46EA2F" w14:textId="77777777" w:rsidR="00F022D4" w:rsidRPr="00F022D4" w:rsidRDefault="00F022D4" w:rsidP="00F022D4">
      <w:pPr>
        <w:tabs>
          <w:tab w:val="right" w:pos="7920"/>
        </w:tabs>
        <w:rPr>
          <w:rFonts w:eastAsia="Times New Roman"/>
          <w:b/>
          <w:sz w:val="24"/>
          <w:szCs w:val="24"/>
        </w:rPr>
      </w:pPr>
    </w:p>
    <w:p w14:paraId="6192FE37"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nonparty)</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5F2F6875" w14:textId="77777777" w:rsidR="00F022D4" w:rsidRPr="00F022D4" w:rsidRDefault="00F022D4" w:rsidP="00F022D4">
      <w:pPr>
        <w:tabs>
          <w:tab w:val="right" w:pos="7920"/>
        </w:tabs>
        <w:rPr>
          <w:rFonts w:eastAsia="Times New Roman"/>
          <w:b/>
          <w:sz w:val="24"/>
          <w:szCs w:val="24"/>
        </w:rPr>
      </w:pPr>
    </w:p>
    <w:p w14:paraId="38C7409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4F05FD3B" w14:textId="77777777" w:rsidR="00F022D4" w:rsidRPr="00F022D4" w:rsidRDefault="00F022D4" w:rsidP="00F022D4">
      <w:pPr>
        <w:tabs>
          <w:tab w:val="right" w:pos="7920"/>
        </w:tabs>
        <w:rPr>
          <w:rFonts w:eastAsia="Times New Roman"/>
          <w:b/>
          <w:sz w:val="24"/>
          <w:szCs w:val="24"/>
        </w:rPr>
      </w:pPr>
    </w:p>
    <w:p w14:paraId="33D09D7F"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6536DB8A" w14:textId="77777777" w:rsidR="00F022D4" w:rsidRPr="00F022D4" w:rsidRDefault="00F022D4" w:rsidP="00F022D4">
      <w:pPr>
        <w:tabs>
          <w:tab w:val="right" w:pos="7920"/>
        </w:tabs>
        <w:rPr>
          <w:rFonts w:eastAsia="Times New Roman"/>
          <w:b/>
          <w:sz w:val="24"/>
          <w:szCs w:val="24"/>
        </w:rPr>
      </w:pPr>
    </w:p>
    <w:p w14:paraId="04912523" w14:textId="77777777" w:rsidR="00F022D4" w:rsidRPr="00F022D4" w:rsidRDefault="00F022D4" w:rsidP="00F022D4">
      <w:pPr>
        <w:rPr>
          <w:rFonts w:eastAsia="Times New Roman"/>
          <w:b/>
          <w:sz w:val="24"/>
          <w:szCs w:val="24"/>
        </w:rPr>
      </w:pPr>
    </w:p>
    <w:p w14:paraId="4F4A67B0" w14:textId="77777777" w:rsidR="00F022D4" w:rsidRPr="00F022D4" w:rsidRDefault="00F022D4" w:rsidP="00F022D4">
      <w:pPr>
        <w:rPr>
          <w:rFonts w:eastAsia="Times New Roman"/>
          <w:b/>
          <w:sz w:val="24"/>
          <w:szCs w:val="24"/>
        </w:rPr>
      </w:pPr>
    </w:p>
    <w:p w14:paraId="747898B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1876CC9" w14:textId="77777777" w:rsidR="00F022D4" w:rsidRPr="00F022D4" w:rsidRDefault="00F022D4" w:rsidP="00F022D4">
      <w:pPr>
        <w:rPr>
          <w:rFonts w:eastAsia="Times New Roman"/>
          <w:b/>
          <w:sz w:val="24"/>
          <w:szCs w:val="24"/>
        </w:rPr>
      </w:pPr>
    </w:p>
    <w:p w14:paraId="53653FC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E4D5AB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89DDDA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B4CE193" w14:textId="77777777" w:rsidR="00F022D4" w:rsidRPr="00F022D4" w:rsidRDefault="00F022D4" w:rsidP="00F022D4">
      <w:pPr>
        <w:rPr>
          <w:rFonts w:eastAsia="Times New Roman"/>
          <w:b/>
          <w:sz w:val="24"/>
          <w:szCs w:val="24"/>
        </w:rPr>
      </w:pPr>
    </w:p>
    <w:p w14:paraId="5F76AE0D"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70006E8" w14:textId="77777777" w:rsidR="00F022D4" w:rsidRDefault="00F022D4" w:rsidP="00F022D4">
      <w:pPr>
        <w:spacing w:after="240"/>
        <w:ind w:firstLine="720"/>
        <w:rPr>
          <w:rFonts w:eastAsia="Times New Roman"/>
          <w:sz w:val="24"/>
          <w:szCs w:val="24"/>
        </w:rPr>
      </w:pPr>
    </w:p>
    <w:p w14:paraId="0715D87D" w14:textId="77777777" w:rsidR="00F022D4" w:rsidRDefault="00F022D4" w:rsidP="00F022D4">
      <w:pPr>
        <w:jc w:val="center"/>
        <w:rPr>
          <w:rFonts w:eastAsia="Times New Roman"/>
          <w:sz w:val="24"/>
          <w:szCs w:val="24"/>
        </w:rPr>
      </w:pPr>
    </w:p>
    <w:p w14:paraId="6C1EDD98"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727F42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w:t>
      </w:r>
      <w:r w:rsidRPr="00F022D4">
        <w:rPr>
          <w:rFonts w:eastAsia="Times New Roman"/>
          <w:i/>
          <w:sz w:val="24"/>
          <w:szCs w:val="24"/>
        </w:rPr>
        <w:t xml:space="preserve"> </w:t>
      </w:r>
      <w:r w:rsidRPr="00F022D4">
        <w:rPr>
          <w:rFonts w:eastAsia="Times New Roman"/>
          <w:sz w:val="24"/>
          <w:szCs w:val="24"/>
        </w:rPr>
        <w:t>the Notes on Use to Instruction 9:28A and the Special Note to Part C of this Chapter 9.</w:t>
      </w:r>
    </w:p>
    <w:p w14:paraId="52CF21D0"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F50FCB4"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sections 13-21-111, 13-21-111.5, and 13-21-102.5, C.R.S.</w:t>
      </w:r>
    </w:p>
    <w:p w14:paraId="10FB84EC" w14:textId="77777777" w:rsidR="00F022D4" w:rsidRDefault="00F022D4">
      <w:pPr>
        <w:rPr>
          <w:rFonts w:eastAsia="Times New Roman"/>
          <w:bCs/>
          <w:sz w:val="24"/>
          <w:szCs w:val="24"/>
        </w:rPr>
      </w:pPr>
      <w:r>
        <w:rPr>
          <w:rFonts w:eastAsia="Times New Roman"/>
          <w:bCs/>
          <w:sz w:val="24"/>
          <w:szCs w:val="24"/>
        </w:rPr>
        <w:br w:type="page"/>
      </w:r>
    </w:p>
    <w:p w14:paraId="1C270B35" w14:textId="77777777" w:rsidR="00F022D4" w:rsidRPr="009E3DA4" w:rsidRDefault="00F022D4" w:rsidP="00F022D4">
      <w:pPr>
        <w:spacing w:after="240"/>
        <w:ind w:left="720" w:hanging="720"/>
        <w:rPr>
          <w:rFonts w:eastAsia="Times New Roman"/>
          <w:b/>
          <w:sz w:val="24"/>
          <w:szCs w:val="24"/>
        </w:rPr>
      </w:pPr>
      <w:bookmarkStart w:id="43" w:name="a9_28C"/>
      <w:bookmarkEnd w:id="43"/>
      <w:r w:rsidRPr="00F022D4">
        <w:rPr>
          <w:rFonts w:eastAsia="Times New Roman"/>
          <w:b/>
          <w:sz w:val="24"/>
          <w:szCs w:val="24"/>
        </w:rPr>
        <w:lastRenderedPageBreak/>
        <w:t>9:28C</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 (ALTERNATIVE TO INSTRUCTION 9:28A)</w:t>
      </w:r>
    </w:p>
    <w:p w14:paraId="20E5AFF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269B998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3A5D95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34B974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75F858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36876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9A54EC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sz w:val="24"/>
          <w:szCs w:val="24"/>
        </w:rPr>
        <w:t>,</w:t>
      </w:r>
      <w:r w:rsidRPr="00F022D4">
        <w:rPr>
          <w:rFonts w:eastAsia="Times New Roman"/>
          <w:b/>
          <w:sz w:val="24"/>
          <w:szCs w:val="24"/>
        </w:rPr>
        <w:t xml:space="preserve">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05CB4B1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30C3FF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67FED0A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w:t>
      </w:r>
    </w:p>
    <w:p w14:paraId="359876E8"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w:t>
      </w:r>
    </w:p>
    <w:p w14:paraId="3516780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a cause of any of the (injuries) (damages) (losses) claimed by the plaintiff?</w:t>
      </w:r>
    </w:p>
    <w:p w14:paraId="3A066A0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231F243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11. Was the negligence, if any, of the plaintiff a cause of (his) (her) own claimed (injuries) (damages) (losses)?</w:t>
      </w:r>
    </w:p>
    <w:p w14:paraId="7CBDA50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1271D7B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346D41D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5E840EC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0B37C62F" w14:textId="77777777" w:rsidR="00F022D4" w:rsidRDefault="00F022D4" w:rsidP="00F022D4">
      <w:pPr>
        <w:jc w:val="center"/>
        <w:rPr>
          <w:rFonts w:eastAsia="Times New Roman"/>
          <w:sz w:val="24"/>
          <w:szCs w:val="24"/>
        </w:rPr>
      </w:pPr>
    </w:p>
    <w:p w14:paraId="75BA9D09"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132769A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 the Notes on Use to Instruction 9:28A, and the Special Note to Part C of this Chapter 9.</w:t>
      </w:r>
    </w:p>
    <w:p w14:paraId="6A0D8149"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2325C841"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Source and Authority to Instruction 9:28A.</w:t>
      </w:r>
    </w:p>
    <w:p w14:paraId="7B802D51" w14:textId="77777777" w:rsidR="00F022D4" w:rsidRDefault="00F022D4">
      <w:pPr>
        <w:rPr>
          <w:rFonts w:eastAsia="Times New Roman"/>
          <w:bCs/>
          <w:sz w:val="24"/>
          <w:szCs w:val="24"/>
        </w:rPr>
      </w:pPr>
      <w:r>
        <w:rPr>
          <w:rFonts w:eastAsia="Times New Roman"/>
          <w:bCs/>
          <w:sz w:val="24"/>
          <w:szCs w:val="24"/>
        </w:rPr>
        <w:br w:type="page"/>
      </w:r>
    </w:p>
    <w:p w14:paraId="7F57761B" w14:textId="77777777" w:rsidR="00F022D4" w:rsidRPr="009E3DA4" w:rsidRDefault="00F022D4" w:rsidP="00F022D4">
      <w:pPr>
        <w:spacing w:after="240"/>
        <w:ind w:left="720" w:hanging="720"/>
        <w:rPr>
          <w:rFonts w:eastAsia="Times New Roman"/>
          <w:b/>
          <w:sz w:val="24"/>
          <w:szCs w:val="24"/>
        </w:rPr>
      </w:pPr>
      <w:bookmarkStart w:id="44" w:name="a9_28D"/>
      <w:bookmarkEnd w:id="44"/>
      <w:r w:rsidRPr="00F022D4">
        <w:rPr>
          <w:rFonts w:eastAsia="Times New Roman"/>
          <w:b/>
          <w:sz w:val="24"/>
          <w:szCs w:val="24"/>
        </w:rPr>
        <w:lastRenderedPageBreak/>
        <w:t xml:space="preserve">9:28D </w:t>
      </w:r>
      <w:r w:rsidRPr="00F022D4">
        <w:rPr>
          <w:rFonts w:eastAsia="Times New Roman"/>
          <w:b/>
          <w:sz w:val="24"/>
          <w:szCs w:val="24"/>
        </w:rPr>
        <w:tab/>
        <w:t>SPECIAL VERDICT FORMS — COMPARATIVE NEGLIGENCE OF THE PLAINTIFF — SINGLE DEFENDANT OR MULTIPLE DEFENDANTS — DESIGNATED NONPARTY OR NONPARTIES INVOLVED — FORMS A AND B (ALTERNATIVE TO INSTRUCTION 9:28B)</w:t>
      </w:r>
    </w:p>
    <w:p w14:paraId="595AE969"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0FB947E0" w14:textId="77777777" w:rsidR="00F022D4" w:rsidRPr="00F022D4" w:rsidRDefault="00F022D4" w:rsidP="00F022D4">
      <w:pPr>
        <w:rPr>
          <w:rFonts w:eastAsia="Times New Roman"/>
          <w:b/>
          <w:sz w:val="24"/>
          <w:szCs w:val="24"/>
        </w:rPr>
      </w:pPr>
    </w:p>
    <w:p w14:paraId="520710F9"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74230DED"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7FDA2565" w14:textId="77777777" w:rsidR="00F022D4" w:rsidRPr="00F022D4" w:rsidRDefault="00F022D4" w:rsidP="00F022D4">
      <w:pPr>
        <w:jc w:val="center"/>
        <w:rPr>
          <w:rFonts w:eastAsia="Times New Roman"/>
          <w:b/>
          <w:sz w:val="24"/>
          <w:szCs w:val="24"/>
        </w:rPr>
      </w:pPr>
    </w:p>
    <w:p w14:paraId="6ED98DE6"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59449" w14:textId="77777777" w:rsidR="00F022D4" w:rsidRPr="00F022D4" w:rsidRDefault="00F022D4" w:rsidP="00F022D4">
      <w:pPr>
        <w:rPr>
          <w:rFonts w:eastAsia="Times New Roman"/>
          <w:b/>
          <w:sz w:val="24"/>
          <w:szCs w:val="24"/>
        </w:rPr>
      </w:pPr>
    </w:p>
    <w:p w14:paraId="5BB6855E" w14:textId="77777777" w:rsidR="00F022D4" w:rsidRPr="00F022D4" w:rsidRDefault="00F022D4" w:rsidP="00F022D4">
      <w:pPr>
        <w:rPr>
          <w:rFonts w:eastAsia="Times New Roman"/>
          <w:b/>
          <w:sz w:val="24"/>
          <w:szCs w:val="24"/>
        </w:rPr>
      </w:pPr>
    </w:p>
    <w:p w14:paraId="0427409E" w14:textId="77777777" w:rsidR="00F022D4" w:rsidRPr="00F022D4" w:rsidRDefault="00F022D4" w:rsidP="00F022D4">
      <w:pPr>
        <w:rPr>
          <w:rFonts w:eastAsia="Times New Roman"/>
          <w:b/>
          <w:sz w:val="24"/>
          <w:szCs w:val="24"/>
        </w:rPr>
      </w:pPr>
    </w:p>
    <w:p w14:paraId="70E69C3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5A044B10"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r w:rsidRPr="00F022D4">
        <w:rPr>
          <w:rFonts w:eastAsia="Times New Roman"/>
          <w:b/>
          <w:sz w:val="24"/>
          <w:szCs w:val="24"/>
        </w:rPr>
        <w:tab/>
      </w:r>
      <w:r w:rsidRPr="00F022D4">
        <w:rPr>
          <w:rFonts w:eastAsia="Times New Roman"/>
          <w:b/>
          <w:sz w:val="24"/>
          <w:szCs w:val="24"/>
        </w:rPr>
        <w:tab/>
        <w:t xml:space="preserve">    )</w:t>
      </w:r>
    </w:p>
    <w:p w14:paraId="71C0978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0481F368"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08639CD9"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7084EFE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6F50854"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714D3F07" w14:textId="77777777" w:rsidR="00F022D4" w:rsidRPr="00F022D4" w:rsidRDefault="00F022D4" w:rsidP="00F022D4">
      <w:pPr>
        <w:rPr>
          <w:rFonts w:eastAsia="Times New Roman"/>
          <w:b/>
          <w:sz w:val="24"/>
          <w:szCs w:val="24"/>
        </w:rPr>
      </w:pPr>
    </w:p>
    <w:p w14:paraId="3B77D871" w14:textId="77777777" w:rsidR="00F022D4" w:rsidRPr="00F022D4" w:rsidRDefault="00F022D4" w:rsidP="00F022D4">
      <w:pPr>
        <w:rPr>
          <w:rFonts w:eastAsia="Times New Roman"/>
          <w:b/>
          <w:sz w:val="24"/>
          <w:szCs w:val="24"/>
        </w:rPr>
      </w:pPr>
    </w:p>
    <w:p w14:paraId="7FB74C46"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35F628D8" w14:textId="77777777" w:rsidR="00F022D4" w:rsidRPr="00F022D4" w:rsidRDefault="00F022D4" w:rsidP="00F022D4">
      <w:pPr>
        <w:rPr>
          <w:rFonts w:eastAsia="Times New Roman"/>
          <w:b/>
          <w:sz w:val="24"/>
          <w:szCs w:val="24"/>
        </w:rPr>
      </w:pPr>
    </w:p>
    <w:p w14:paraId="3F89B36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20B4FE9E" w14:textId="77777777" w:rsidR="00F022D4" w:rsidRPr="00F022D4" w:rsidRDefault="00F022D4" w:rsidP="00F022D4">
      <w:pPr>
        <w:ind w:firstLine="720"/>
        <w:rPr>
          <w:rFonts w:eastAsia="Times New Roman"/>
          <w:b/>
          <w:sz w:val="24"/>
          <w:szCs w:val="24"/>
        </w:rPr>
      </w:pPr>
    </w:p>
    <w:p w14:paraId="5A98B8B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FF2D245" w14:textId="77777777" w:rsidR="00F022D4" w:rsidRPr="00F022D4" w:rsidRDefault="00F022D4" w:rsidP="00F022D4">
      <w:pPr>
        <w:ind w:firstLine="720"/>
        <w:rPr>
          <w:rFonts w:eastAsia="Times New Roman"/>
          <w:b/>
          <w:sz w:val="24"/>
          <w:szCs w:val="24"/>
        </w:rPr>
      </w:pPr>
    </w:p>
    <w:p w14:paraId="117964B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1A0E3B" w14:textId="77777777" w:rsidR="00F022D4" w:rsidRPr="00F022D4" w:rsidRDefault="00F022D4" w:rsidP="00F022D4">
      <w:pPr>
        <w:ind w:firstLine="720"/>
        <w:rPr>
          <w:rFonts w:eastAsia="Times New Roman"/>
          <w:b/>
          <w:sz w:val="24"/>
          <w:szCs w:val="24"/>
        </w:rPr>
      </w:pPr>
    </w:p>
    <w:p w14:paraId="77A0E56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728D262F" w14:textId="77777777" w:rsidR="00F022D4" w:rsidRPr="00F022D4" w:rsidRDefault="00F022D4" w:rsidP="00F022D4">
      <w:pPr>
        <w:ind w:firstLine="720"/>
        <w:rPr>
          <w:rFonts w:eastAsia="Times New Roman"/>
          <w:b/>
          <w:sz w:val="24"/>
          <w:szCs w:val="24"/>
        </w:rPr>
      </w:pPr>
    </w:p>
    <w:p w14:paraId="2BFED8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AD10B50" w14:textId="77777777" w:rsidR="00F022D4" w:rsidRPr="00F022D4" w:rsidRDefault="00F022D4" w:rsidP="00F022D4">
      <w:pPr>
        <w:ind w:firstLine="720"/>
        <w:rPr>
          <w:rFonts w:eastAsia="Times New Roman"/>
          <w:b/>
          <w:sz w:val="24"/>
          <w:szCs w:val="24"/>
        </w:rPr>
      </w:pPr>
    </w:p>
    <w:p w14:paraId="70ABF52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0FE87AAA" w14:textId="77777777" w:rsidR="00F022D4" w:rsidRPr="00F022D4" w:rsidRDefault="00F022D4" w:rsidP="00F022D4">
      <w:pPr>
        <w:ind w:firstLine="720"/>
        <w:rPr>
          <w:rFonts w:eastAsia="Times New Roman"/>
          <w:b/>
          <w:sz w:val="24"/>
          <w:szCs w:val="24"/>
        </w:rPr>
      </w:pPr>
    </w:p>
    <w:p w14:paraId="64B686B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95B6589" w14:textId="77777777" w:rsidR="00F022D4" w:rsidRPr="00F022D4" w:rsidRDefault="00F022D4" w:rsidP="00F022D4">
      <w:pPr>
        <w:ind w:firstLine="720"/>
        <w:rPr>
          <w:rFonts w:eastAsia="Times New Roman"/>
          <w:b/>
          <w:sz w:val="24"/>
          <w:szCs w:val="24"/>
        </w:rPr>
      </w:pPr>
    </w:p>
    <w:p w14:paraId="52531C0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967EC0C" w14:textId="77777777" w:rsidR="00F022D4" w:rsidRPr="00F022D4" w:rsidRDefault="00F022D4" w:rsidP="00F022D4">
      <w:pPr>
        <w:ind w:firstLine="720"/>
        <w:rPr>
          <w:rFonts w:eastAsia="Times New Roman"/>
          <w:b/>
          <w:sz w:val="24"/>
          <w:szCs w:val="24"/>
        </w:rPr>
      </w:pPr>
    </w:p>
    <w:p w14:paraId="02D7739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E79F233" w14:textId="77777777" w:rsidR="00F022D4" w:rsidRPr="00F022D4" w:rsidRDefault="00F022D4" w:rsidP="00F022D4">
      <w:pPr>
        <w:ind w:firstLine="720"/>
        <w:rPr>
          <w:rFonts w:eastAsia="Times New Roman"/>
          <w:b/>
          <w:sz w:val="24"/>
          <w:szCs w:val="24"/>
        </w:rPr>
      </w:pPr>
    </w:p>
    <w:p w14:paraId="474D44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A4BC4A3" w14:textId="77777777" w:rsidR="00F022D4" w:rsidRPr="00F022D4" w:rsidRDefault="00F022D4" w:rsidP="00F022D4">
      <w:pPr>
        <w:ind w:firstLine="720"/>
        <w:rPr>
          <w:rFonts w:eastAsia="Times New Roman"/>
          <w:b/>
          <w:sz w:val="24"/>
          <w:szCs w:val="24"/>
        </w:rPr>
      </w:pPr>
    </w:p>
    <w:p w14:paraId="47C3A53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7A6F119" w14:textId="77777777" w:rsidR="00F022D4" w:rsidRPr="00F022D4" w:rsidRDefault="00F022D4" w:rsidP="00F022D4">
      <w:pPr>
        <w:ind w:firstLine="720"/>
        <w:rPr>
          <w:rFonts w:eastAsia="Times New Roman"/>
          <w:b/>
          <w:sz w:val="24"/>
          <w:szCs w:val="24"/>
        </w:rPr>
      </w:pPr>
    </w:p>
    <w:p w14:paraId="1A7C21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We, the jury, find for the defendant(s) and award no damages to the plaintiff, </w:t>
      </w:r>
      <w:r w:rsidRPr="00F022D4">
        <w:rPr>
          <w:rFonts w:eastAsia="Times New Roman"/>
          <w:i/>
          <w:sz w:val="24"/>
          <w:szCs w:val="24"/>
        </w:rPr>
        <w:t>(name)</w:t>
      </w:r>
      <w:r w:rsidRPr="00F022D4">
        <w:rPr>
          <w:rFonts w:eastAsia="Times New Roman"/>
          <w:b/>
          <w:sz w:val="24"/>
          <w:szCs w:val="24"/>
        </w:rPr>
        <w:t>.</w:t>
      </w:r>
    </w:p>
    <w:p w14:paraId="270CC8D0" w14:textId="77777777" w:rsidR="00F022D4" w:rsidRPr="00F022D4" w:rsidRDefault="00F022D4" w:rsidP="00F022D4">
      <w:pPr>
        <w:ind w:firstLine="720"/>
        <w:rPr>
          <w:rFonts w:eastAsia="Times New Roman"/>
          <w:b/>
          <w:sz w:val="24"/>
          <w:szCs w:val="24"/>
        </w:rPr>
      </w:pPr>
    </w:p>
    <w:p w14:paraId="3080AC4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35DFC07" w14:textId="77777777" w:rsidR="00F022D4" w:rsidRPr="00F022D4" w:rsidRDefault="00F022D4" w:rsidP="00F022D4">
      <w:pPr>
        <w:rPr>
          <w:rFonts w:eastAsia="Times New Roman"/>
          <w:b/>
          <w:sz w:val="24"/>
          <w:szCs w:val="24"/>
        </w:rPr>
      </w:pPr>
    </w:p>
    <w:p w14:paraId="579A8962"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E956392"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419B24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08D835C4" w14:textId="77777777" w:rsidR="00F022D4" w:rsidRPr="00F022D4" w:rsidRDefault="00F022D4" w:rsidP="00F022D4">
      <w:pPr>
        <w:rPr>
          <w:rFonts w:eastAsia="Times New Roman"/>
          <w:b/>
          <w:sz w:val="24"/>
          <w:szCs w:val="24"/>
        </w:rPr>
      </w:pPr>
    </w:p>
    <w:p w14:paraId="699364F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6960E02" w14:textId="77777777" w:rsidR="00F022D4" w:rsidRPr="00F022D4" w:rsidRDefault="00F022D4" w:rsidP="00F022D4">
      <w:pPr>
        <w:rPr>
          <w:rFonts w:eastAsia="Times New Roman"/>
          <w:b/>
          <w:sz w:val="24"/>
          <w:szCs w:val="24"/>
        </w:rPr>
      </w:pPr>
    </w:p>
    <w:p w14:paraId="55A4433C" w14:textId="77777777" w:rsidR="00F022D4" w:rsidRPr="00F022D4" w:rsidRDefault="00F022D4" w:rsidP="00F022D4">
      <w:pPr>
        <w:rPr>
          <w:rFonts w:eastAsia="Times New Roman"/>
          <w:b/>
          <w:sz w:val="24"/>
          <w:szCs w:val="24"/>
        </w:rPr>
      </w:pPr>
    </w:p>
    <w:p w14:paraId="19B42CD7"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028F7FE" w14:textId="77777777" w:rsidR="00F022D4" w:rsidRPr="00F022D4" w:rsidRDefault="00F022D4" w:rsidP="00F022D4">
      <w:pPr>
        <w:rPr>
          <w:rFonts w:eastAsia="Times New Roman"/>
          <w:b/>
          <w:sz w:val="24"/>
          <w:szCs w:val="24"/>
        </w:rPr>
      </w:pPr>
    </w:p>
    <w:p w14:paraId="2EBE947B"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6052F7EA"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69FDC5EA" w14:textId="77777777" w:rsidR="00F022D4" w:rsidRPr="00F022D4" w:rsidRDefault="00F022D4" w:rsidP="00F022D4">
      <w:pPr>
        <w:rPr>
          <w:rFonts w:eastAsia="Times New Roman"/>
          <w:b/>
          <w:sz w:val="24"/>
          <w:szCs w:val="24"/>
        </w:rPr>
      </w:pPr>
    </w:p>
    <w:p w14:paraId="479E9027" w14:textId="77777777" w:rsidR="00F022D4" w:rsidRPr="00F022D4" w:rsidRDefault="00F022D4" w:rsidP="00F022D4">
      <w:pPr>
        <w:rPr>
          <w:rFonts w:eastAsia="Times New Roman"/>
          <w:b/>
          <w:sz w:val="24"/>
          <w:szCs w:val="24"/>
        </w:rPr>
      </w:pPr>
    </w:p>
    <w:p w14:paraId="290D0275"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7324179F" w14:textId="77777777" w:rsidR="00F022D4" w:rsidRPr="00F022D4" w:rsidRDefault="00F022D4" w:rsidP="00F022D4">
      <w:pPr>
        <w:rPr>
          <w:rFonts w:eastAsia="Times New Roman"/>
          <w:b/>
          <w:sz w:val="24"/>
          <w:szCs w:val="24"/>
        </w:rPr>
      </w:pPr>
    </w:p>
    <w:p w14:paraId="4AAB15CA" w14:textId="77777777" w:rsidR="00F022D4" w:rsidRPr="00F022D4" w:rsidRDefault="00F022D4" w:rsidP="00F022D4">
      <w:pPr>
        <w:rPr>
          <w:rFonts w:eastAsia="Times New Roman"/>
          <w:b/>
          <w:sz w:val="24"/>
          <w:szCs w:val="24"/>
        </w:rPr>
      </w:pPr>
    </w:p>
    <w:p w14:paraId="206FB6EF" w14:textId="77777777" w:rsidR="00F022D4" w:rsidRPr="00F022D4" w:rsidRDefault="00F022D4" w:rsidP="00F022D4">
      <w:pPr>
        <w:rPr>
          <w:rFonts w:eastAsia="Times New Roman"/>
          <w:b/>
          <w:sz w:val="24"/>
          <w:szCs w:val="24"/>
        </w:rPr>
      </w:pPr>
    </w:p>
    <w:p w14:paraId="78C9AC6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E8442F"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488CABA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A1BA6C"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7279A722"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400DC4C1"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41EE43"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5B5E6B7C" w14:textId="77777777" w:rsidR="00F022D4" w:rsidRPr="00F022D4" w:rsidRDefault="00F022D4" w:rsidP="00F022D4">
      <w:pPr>
        <w:rPr>
          <w:rFonts w:eastAsia="Times New Roman"/>
          <w:b/>
          <w:sz w:val="24"/>
          <w:szCs w:val="24"/>
        </w:rPr>
      </w:pPr>
    </w:p>
    <w:p w14:paraId="504E6AA8" w14:textId="77777777" w:rsidR="00F022D4" w:rsidRPr="00F022D4" w:rsidRDefault="00F022D4" w:rsidP="00F022D4">
      <w:pPr>
        <w:rPr>
          <w:rFonts w:eastAsia="Times New Roman"/>
          <w:b/>
          <w:sz w:val="24"/>
          <w:szCs w:val="24"/>
        </w:rPr>
      </w:pPr>
    </w:p>
    <w:p w14:paraId="6B5E9D79"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27CC211F" w14:textId="77777777" w:rsidR="00F022D4" w:rsidRPr="00F022D4" w:rsidRDefault="00F022D4" w:rsidP="00F022D4">
      <w:pPr>
        <w:rPr>
          <w:rFonts w:eastAsia="Times New Roman"/>
          <w:b/>
          <w:sz w:val="24"/>
          <w:szCs w:val="24"/>
        </w:rPr>
      </w:pPr>
    </w:p>
    <w:p w14:paraId="5D1F66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18BE2797" w14:textId="77777777" w:rsidR="00F022D4" w:rsidRPr="00F022D4" w:rsidRDefault="00F022D4" w:rsidP="00F022D4">
      <w:pPr>
        <w:ind w:firstLine="720"/>
        <w:rPr>
          <w:rFonts w:eastAsia="Times New Roman"/>
          <w:b/>
          <w:sz w:val="24"/>
          <w:szCs w:val="24"/>
        </w:rPr>
      </w:pPr>
    </w:p>
    <w:p w14:paraId="52018A1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01C9EEE" w14:textId="77777777" w:rsidR="00F022D4" w:rsidRPr="00F022D4" w:rsidRDefault="00F022D4" w:rsidP="00F022D4">
      <w:pPr>
        <w:ind w:firstLine="720"/>
        <w:rPr>
          <w:rFonts w:eastAsia="Times New Roman"/>
          <w:b/>
          <w:sz w:val="24"/>
          <w:szCs w:val="24"/>
        </w:rPr>
      </w:pPr>
    </w:p>
    <w:p w14:paraId="0509D7D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5AB3D75" w14:textId="77777777" w:rsidR="00F022D4" w:rsidRPr="00F022D4" w:rsidRDefault="00F022D4" w:rsidP="00F022D4">
      <w:pPr>
        <w:ind w:firstLine="720"/>
        <w:rPr>
          <w:rFonts w:eastAsia="Times New Roman"/>
          <w:b/>
          <w:sz w:val="24"/>
          <w:szCs w:val="24"/>
        </w:rPr>
      </w:pPr>
    </w:p>
    <w:p w14:paraId="75619B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3C8CE539" w14:textId="77777777" w:rsidR="00F022D4" w:rsidRPr="00F022D4" w:rsidRDefault="00F022D4" w:rsidP="00F022D4">
      <w:pPr>
        <w:ind w:firstLine="720"/>
        <w:rPr>
          <w:rFonts w:eastAsia="Times New Roman"/>
          <w:b/>
          <w:sz w:val="24"/>
          <w:szCs w:val="24"/>
        </w:rPr>
      </w:pPr>
    </w:p>
    <w:p w14:paraId="04429DF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AB1DF0D" w14:textId="77777777" w:rsidR="00F022D4" w:rsidRPr="00F022D4" w:rsidRDefault="00F022D4" w:rsidP="00F022D4">
      <w:pPr>
        <w:ind w:firstLine="720"/>
        <w:rPr>
          <w:rFonts w:eastAsia="Times New Roman"/>
          <w:b/>
          <w:sz w:val="24"/>
          <w:szCs w:val="24"/>
        </w:rPr>
      </w:pPr>
    </w:p>
    <w:p w14:paraId="64C6A78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34169E0C" w14:textId="77777777" w:rsidR="00F022D4" w:rsidRPr="00F022D4" w:rsidRDefault="00F022D4" w:rsidP="00F022D4">
      <w:pPr>
        <w:ind w:firstLine="720"/>
        <w:rPr>
          <w:rFonts w:eastAsia="Times New Roman"/>
          <w:b/>
          <w:sz w:val="24"/>
          <w:szCs w:val="24"/>
        </w:rPr>
      </w:pPr>
    </w:p>
    <w:p w14:paraId="62B9F35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2B87D23" w14:textId="77777777" w:rsidR="00F022D4" w:rsidRPr="00F022D4" w:rsidRDefault="00F022D4" w:rsidP="00F022D4">
      <w:pPr>
        <w:ind w:firstLine="720"/>
        <w:rPr>
          <w:rFonts w:eastAsia="Times New Roman"/>
          <w:b/>
          <w:sz w:val="24"/>
          <w:szCs w:val="24"/>
        </w:rPr>
      </w:pPr>
    </w:p>
    <w:p w14:paraId="4AA5743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48684D47" w14:textId="77777777" w:rsidR="00F022D4" w:rsidRPr="00F022D4" w:rsidRDefault="00F022D4" w:rsidP="00F022D4">
      <w:pPr>
        <w:ind w:firstLine="720"/>
        <w:rPr>
          <w:rFonts w:eastAsia="Times New Roman"/>
          <w:b/>
          <w:sz w:val="24"/>
          <w:szCs w:val="24"/>
        </w:rPr>
      </w:pPr>
    </w:p>
    <w:p w14:paraId="64697AD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D99EF48" w14:textId="77777777" w:rsidR="00F022D4" w:rsidRPr="00F022D4" w:rsidRDefault="00F022D4" w:rsidP="00F022D4">
      <w:pPr>
        <w:ind w:firstLine="720"/>
        <w:rPr>
          <w:rFonts w:eastAsia="Times New Roman"/>
          <w:b/>
          <w:sz w:val="24"/>
          <w:szCs w:val="24"/>
        </w:rPr>
      </w:pPr>
    </w:p>
    <w:p w14:paraId="557D75F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4922A81E" w14:textId="77777777" w:rsidR="00F022D4" w:rsidRPr="00F022D4" w:rsidRDefault="00F022D4" w:rsidP="00F022D4">
      <w:pPr>
        <w:ind w:firstLine="720"/>
        <w:rPr>
          <w:rFonts w:eastAsia="Times New Roman"/>
          <w:b/>
          <w:sz w:val="24"/>
          <w:szCs w:val="24"/>
        </w:rPr>
      </w:pPr>
    </w:p>
    <w:p w14:paraId="519873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09863BD" w14:textId="77777777" w:rsidR="00F022D4" w:rsidRPr="00F022D4" w:rsidRDefault="00F022D4" w:rsidP="00F022D4">
      <w:pPr>
        <w:ind w:firstLine="720"/>
        <w:rPr>
          <w:rFonts w:eastAsia="Times New Roman"/>
          <w:b/>
          <w:sz w:val="24"/>
          <w:szCs w:val="24"/>
        </w:rPr>
      </w:pPr>
    </w:p>
    <w:p w14:paraId="513746B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0A0BA63" w14:textId="77777777" w:rsidR="00F022D4" w:rsidRPr="00F022D4" w:rsidRDefault="00F022D4" w:rsidP="00F022D4">
      <w:pPr>
        <w:ind w:firstLine="720"/>
        <w:rPr>
          <w:rFonts w:eastAsia="Times New Roman"/>
          <w:b/>
          <w:sz w:val="24"/>
          <w:szCs w:val="24"/>
        </w:rPr>
      </w:pPr>
    </w:p>
    <w:p w14:paraId="411B54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50982C66" w14:textId="77777777" w:rsidR="00F022D4" w:rsidRPr="00F022D4" w:rsidRDefault="00F022D4" w:rsidP="00F022D4">
      <w:pPr>
        <w:ind w:firstLine="720"/>
        <w:rPr>
          <w:rFonts w:eastAsia="Times New Roman"/>
          <w:b/>
          <w:sz w:val="24"/>
          <w:szCs w:val="24"/>
        </w:rPr>
      </w:pPr>
    </w:p>
    <w:p w14:paraId="78EC319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38A889" w14:textId="77777777" w:rsidR="00F022D4" w:rsidRPr="00F022D4" w:rsidRDefault="00F022D4" w:rsidP="00F022D4">
      <w:pPr>
        <w:ind w:firstLine="720"/>
        <w:rPr>
          <w:rFonts w:eastAsia="Times New Roman"/>
          <w:b/>
          <w:sz w:val="24"/>
          <w:szCs w:val="24"/>
        </w:rPr>
      </w:pPr>
    </w:p>
    <w:p w14:paraId="50A6485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 (Yes or No)</w:t>
      </w:r>
    </w:p>
    <w:p w14:paraId="163210C4" w14:textId="77777777" w:rsidR="00F022D4" w:rsidRPr="00F022D4" w:rsidRDefault="00F022D4" w:rsidP="00F022D4">
      <w:pPr>
        <w:ind w:firstLine="720"/>
        <w:rPr>
          <w:rFonts w:eastAsia="Times New Roman"/>
          <w:b/>
          <w:sz w:val="24"/>
          <w:szCs w:val="24"/>
        </w:rPr>
      </w:pPr>
    </w:p>
    <w:p w14:paraId="19B9FCE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28119F" w14:textId="77777777" w:rsidR="00F022D4" w:rsidRPr="00F022D4" w:rsidRDefault="00F022D4" w:rsidP="00F022D4">
      <w:pPr>
        <w:ind w:firstLine="720"/>
        <w:rPr>
          <w:rFonts w:eastAsia="Times New Roman"/>
          <w:b/>
          <w:sz w:val="24"/>
          <w:szCs w:val="24"/>
        </w:rPr>
      </w:pPr>
    </w:p>
    <w:p w14:paraId="0F38C3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0FA63FF8" w14:textId="77777777" w:rsidR="00F022D4" w:rsidRPr="00F022D4" w:rsidRDefault="00F022D4" w:rsidP="00F022D4">
      <w:pPr>
        <w:ind w:firstLine="720"/>
        <w:rPr>
          <w:rFonts w:eastAsia="Times New Roman"/>
          <w:b/>
          <w:sz w:val="24"/>
          <w:szCs w:val="24"/>
        </w:rPr>
      </w:pPr>
    </w:p>
    <w:p w14:paraId="77F0D3E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CFE1158" w14:textId="77777777" w:rsidR="00F022D4" w:rsidRPr="00F022D4" w:rsidRDefault="00F022D4" w:rsidP="00F022D4">
      <w:pPr>
        <w:ind w:firstLine="720"/>
        <w:rPr>
          <w:rFonts w:eastAsia="Times New Roman"/>
          <w:b/>
          <w:sz w:val="24"/>
          <w:szCs w:val="24"/>
        </w:rPr>
      </w:pPr>
    </w:p>
    <w:p w14:paraId="69EC414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2791E2D8" w14:textId="77777777" w:rsidR="00F022D4" w:rsidRPr="00F022D4" w:rsidRDefault="00F022D4" w:rsidP="00F022D4">
      <w:pPr>
        <w:ind w:firstLine="720"/>
        <w:rPr>
          <w:rFonts w:eastAsia="Times New Roman"/>
          <w:b/>
          <w:sz w:val="24"/>
          <w:szCs w:val="24"/>
        </w:rPr>
      </w:pPr>
    </w:p>
    <w:p w14:paraId="22B830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3B4BED" w14:textId="77777777" w:rsidR="00F022D4" w:rsidRPr="00F022D4" w:rsidRDefault="00F022D4" w:rsidP="00F022D4">
      <w:pPr>
        <w:ind w:firstLine="720"/>
        <w:rPr>
          <w:rFonts w:eastAsia="Times New Roman"/>
          <w:b/>
          <w:sz w:val="24"/>
          <w:szCs w:val="24"/>
        </w:rPr>
      </w:pPr>
    </w:p>
    <w:p w14:paraId="70DC6E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38A24E9" w14:textId="77777777" w:rsidR="00F022D4" w:rsidRPr="00F022D4" w:rsidRDefault="00F022D4" w:rsidP="00F022D4">
      <w:pPr>
        <w:ind w:firstLine="720"/>
        <w:rPr>
          <w:rFonts w:eastAsia="Times New Roman"/>
          <w:b/>
          <w:sz w:val="24"/>
          <w:szCs w:val="24"/>
        </w:rPr>
      </w:pPr>
    </w:p>
    <w:p w14:paraId="75B6EB1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564BEA6" w14:textId="77777777" w:rsidR="00F022D4" w:rsidRPr="00F022D4" w:rsidRDefault="00F022D4" w:rsidP="00F022D4">
      <w:pPr>
        <w:ind w:firstLine="720"/>
        <w:rPr>
          <w:rFonts w:eastAsia="Times New Roman"/>
          <w:b/>
          <w:sz w:val="24"/>
          <w:szCs w:val="24"/>
        </w:rPr>
      </w:pPr>
    </w:p>
    <w:p w14:paraId="04F2A74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6C07C80C" w14:textId="77777777" w:rsidR="00F022D4" w:rsidRPr="00F022D4" w:rsidRDefault="00F022D4" w:rsidP="00F022D4">
      <w:pPr>
        <w:ind w:firstLine="720"/>
        <w:rPr>
          <w:rFonts w:eastAsia="Times New Roman"/>
          <w:b/>
          <w:sz w:val="24"/>
          <w:szCs w:val="24"/>
        </w:rPr>
      </w:pPr>
    </w:p>
    <w:p w14:paraId="0192673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88EE114" w14:textId="77777777" w:rsidR="00F022D4" w:rsidRPr="00F022D4" w:rsidRDefault="00F022D4" w:rsidP="00F022D4">
      <w:pPr>
        <w:ind w:firstLine="720"/>
        <w:rPr>
          <w:rFonts w:eastAsia="Times New Roman"/>
          <w:b/>
          <w:sz w:val="24"/>
          <w:szCs w:val="24"/>
        </w:rPr>
      </w:pPr>
    </w:p>
    <w:p w14:paraId="4C5DA145" w14:textId="4EC4A1D9"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004A4F5B">
        <w:rPr>
          <w:rFonts w:eastAsia="Times New Roman"/>
          <w:b/>
          <w:sz w:val="24"/>
          <w:szCs w:val="24"/>
        </w:rPr>
        <w:t xml:space="preserve">? </w:t>
      </w:r>
      <w:r w:rsidRPr="00F022D4">
        <w:rPr>
          <w:rFonts w:eastAsia="Times New Roman"/>
          <w:b/>
          <w:sz w:val="24"/>
          <w:szCs w:val="24"/>
        </w:rPr>
        <w:t>Enter the figure zero, “0,” for any party or nonparty you decide was not negligent or whose negligence you decide was not a cause of any of the plaintiff’s claimed (injuries) (damages) (losses).</w:t>
      </w:r>
    </w:p>
    <w:p w14:paraId="3F00B3AD" w14:textId="77777777" w:rsidR="00F022D4" w:rsidRPr="00F022D4" w:rsidRDefault="00F022D4" w:rsidP="00F022D4">
      <w:pPr>
        <w:ind w:firstLine="720"/>
        <w:rPr>
          <w:rFonts w:eastAsia="Times New Roman"/>
          <w:b/>
          <w:sz w:val="24"/>
          <w:szCs w:val="24"/>
        </w:rPr>
      </w:pPr>
    </w:p>
    <w:p w14:paraId="18F9C4F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4107399D" w14:textId="77777777" w:rsidR="00F022D4" w:rsidRPr="00F022D4" w:rsidRDefault="00F022D4" w:rsidP="00F022D4">
      <w:pPr>
        <w:tabs>
          <w:tab w:val="right" w:pos="7920"/>
        </w:tabs>
        <w:ind w:firstLine="720"/>
        <w:rPr>
          <w:rFonts w:eastAsia="Times New Roman"/>
          <w:b/>
          <w:sz w:val="24"/>
          <w:szCs w:val="24"/>
        </w:rPr>
      </w:pPr>
    </w:p>
    <w:p w14:paraId="4D3A00BE"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453B6884" w14:textId="77777777" w:rsidR="00F022D4" w:rsidRPr="00F022D4" w:rsidRDefault="00F022D4" w:rsidP="00F022D4">
      <w:pPr>
        <w:tabs>
          <w:tab w:val="right" w:pos="7920"/>
        </w:tabs>
        <w:rPr>
          <w:rFonts w:eastAsia="Times New Roman"/>
          <w:b/>
          <w:sz w:val="24"/>
          <w:szCs w:val="24"/>
        </w:rPr>
      </w:pPr>
    </w:p>
    <w:p w14:paraId="1325749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t>_______%</w:t>
      </w:r>
    </w:p>
    <w:p w14:paraId="1EF64FCC" w14:textId="77777777" w:rsidR="00F022D4" w:rsidRPr="00F022D4" w:rsidRDefault="00F022D4" w:rsidP="00F022D4">
      <w:pPr>
        <w:tabs>
          <w:tab w:val="right" w:pos="7920"/>
        </w:tabs>
        <w:rPr>
          <w:rFonts w:eastAsia="Times New Roman"/>
          <w:b/>
          <w:sz w:val="24"/>
          <w:szCs w:val="24"/>
        </w:rPr>
      </w:pPr>
    </w:p>
    <w:p w14:paraId="6A600C84"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01CD01C4" w14:textId="77777777" w:rsidR="00F022D4" w:rsidRPr="00F022D4" w:rsidRDefault="00F022D4" w:rsidP="00F022D4">
      <w:pPr>
        <w:tabs>
          <w:tab w:val="right" w:pos="7920"/>
        </w:tabs>
        <w:rPr>
          <w:rFonts w:eastAsia="Times New Roman"/>
          <w:b/>
          <w:sz w:val="24"/>
          <w:szCs w:val="24"/>
        </w:rPr>
      </w:pPr>
    </w:p>
    <w:p w14:paraId="30C97F91"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3D2F9C78" w14:textId="77777777" w:rsidR="00F022D4" w:rsidRPr="00F022D4" w:rsidRDefault="00F022D4" w:rsidP="00F022D4">
      <w:pPr>
        <w:tabs>
          <w:tab w:val="right" w:pos="7920"/>
        </w:tabs>
        <w:rPr>
          <w:rFonts w:eastAsia="Times New Roman"/>
          <w:b/>
          <w:sz w:val="24"/>
          <w:szCs w:val="24"/>
        </w:rPr>
      </w:pPr>
    </w:p>
    <w:p w14:paraId="66927A50"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1C6B3D49" w14:textId="77777777" w:rsidR="00F022D4" w:rsidRPr="00F022D4" w:rsidRDefault="00F022D4" w:rsidP="00F022D4">
      <w:pPr>
        <w:tabs>
          <w:tab w:val="right" w:pos="7920"/>
        </w:tabs>
        <w:rPr>
          <w:rFonts w:eastAsia="Times New Roman"/>
          <w:b/>
          <w:sz w:val="24"/>
          <w:szCs w:val="24"/>
        </w:rPr>
      </w:pPr>
    </w:p>
    <w:p w14:paraId="591AD46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7553B781" w14:textId="77777777" w:rsidR="00F022D4" w:rsidRPr="00F022D4" w:rsidRDefault="00F022D4" w:rsidP="00F022D4">
      <w:pPr>
        <w:ind w:firstLine="720"/>
        <w:rPr>
          <w:rFonts w:eastAsia="Times New Roman"/>
          <w:b/>
          <w:sz w:val="24"/>
          <w:szCs w:val="24"/>
        </w:rPr>
      </w:pPr>
    </w:p>
    <w:p w14:paraId="27B3B74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348A78A8" w14:textId="77777777" w:rsidR="00F022D4" w:rsidRPr="00F022D4" w:rsidRDefault="00F022D4" w:rsidP="00F022D4">
      <w:pPr>
        <w:ind w:firstLine="720"/>
        <w:rPr>
          <w:rFonts w:eastAsia="Times New Roman"/>
          <w:b/>
          <w:sz w:val="24"/>
          <w:szCs w:val="24"/>
        </w:rPr>
      </w:pPr>
    </w:p>
    <w:p w14:paraId="3F438D6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D94E0D2" w14:textId="77777777" w:rsidR="00F022D4" w:rsidRPr="00F022D4" w:rsidRDefault="00F022D4" w:rsidP="00F022D4">
      <w:pPr>
        <w:rPr>
          <w:rFonts w:eastAsia="Times New Roman"/>
          <w:b/>
          <w:sz w:val="24"/>
          <w:szCs w:val="24"/>
        </w:rPr>
      </w:pPr>
      <w:r w:rsidRPr="00F022D4">
        <w:rPr>
          <w:rFonts w:eastAsia="Times New Roman"/>
          <w:b/>
          <w:sz w:val="24"/>
          <w:szCs w:val="24"/>
        </w:rPr>
        <w:tab/>
      </w:r>
    </w:p>
    <w:p w14:paraId="73818C70"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4BF58EB6" w14:textId="77777777" w:rsidR="00F022D4" w:rsidRPr="00F022D4" w:rsidRDefault="00F022D4" w:rsidP="00F022D4">
      <w:pPr>
        <w:ind w:left="720"/>
        <w:rPr>
          <w:rFonts w:eastAsia="Times New Roman"/>
          <w:b/>
          <w:sz w:val="24"/>
          <w:szCs w:val="24"/>
        </w:rPr>
      </w:pPr>
    </w:p>
    <w:p w14:paraId="2670B6DB" w14:textId="77777777" w:rsidR="00F022D4" w:rsidRPr="00F022D4" w:rsidRDefault="00F022D4" w:rsidP="00F022D4">
      <w:pPr>
        <w:ind w:left="720"/>
        <w:rPr>
          <w:rFonts w:eastAsia="Times New Roman"/>
          <w:b/>
          <w:sz w:val="24"/>
          <w:szCs w:val="24"/>
        </w:rPr>
      </w:pPr>
      <w:r w:rsidRPr="00F022D4">
        <w:rPr>
          <w:rFonts w:eastAsia="Times New Roman"/>
          <w:b/>
          <w:sz w:val="24"/>
          <w:szCs w:val="24"/>
        </w:rPr>
        <w:lastRenderedPageBreak/>
        <w:tab/>
        <w:t>ANSWER: $_______</w:t>
      </w:r>
    </w:p>
    <w:p w14:paraId="4D23C820" w14:textId="77777777" w:rsidR="00F022D4" w:rsidRPr="00F022D4" w:rsidRDefault="00F022D4" w:rsidP="00F022D4">
      <w:pPr>
        <w:ind w:left="720"/>
        <w:rPr>
          <w:rFonts w:eastAsia="Times New Roman"/>
          <w:b/>
          <w:sz w:val="24"/>
          <w:szCs w:val="24"/>
        </w:rPr>
      </w:pPr>
    </w:p>
    <w:p w14:paraId="70C141EC"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10AF3D2" w14:textId="77777777" w:rsidR="00F022D4" w:rsidRPr="00F022D4" w:rsidRDefault="00F022D4" w:rsidP="00F022D4">
      <w:pPr>
        <w:ind w:left="720"/>
        <w:rPr>
          <w:rFonts w:eastAsia="Times New Roman"/>
          <w:b/>
          <w:sz w:val="24"/>
          <w:szCs w:val="24"/>
        </w:rPr>
      </w:pPr>
    </w:p>
    <w:p w14:paraId="5C388725"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7FA577B2" w14:textId="77777777" w:rsidR="00F022D4" w:rsidRPr="00F022D4" w:rsidRDefault="00F022D4" w:rsidP="00F022D4">
      <w:pPr>
        <w:ind w:left="720"/>
        <w:rPr>
          <w:rFonts w:eastAsia="Times New Roman"/>
          <w:b/>
          <w:sz w:val="24"/>
          <w:szCs w:val="24"/>
        </w:rPr>
      </w:pPr>
    </w:p>
    <w:p w14:paraId="09EDDF07" w14:textId="77777777"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impairment] [or] [disfigurement]? You should answer “0” if you determine there were none.</w:t>
      </w:r>
    </w:p>
    <w:p w14:paraId="0591D0A9" w14:textId="77777777" w:rsidR="00F022D4" w:rsidRPr="00F022D4" w:rsidRDefault="00F022D4" w:rsidP="00F022D4">
      <w:pPr>
        <w:ind w:left="720"/>
        <w:rPr>
          <w:rFonts w:eastAsia="Times New Roman"/>
          <w:b/>
          <w:sz w:val="24"/>
          <w:szCs w:val="24"/>
        </w:rPr>
      </w:pPr>
    </w:p>
    <w:p w14:paraId="45FE90F3"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520BA4E6" w14:textId="77777777" w:rsidR="00F022D4" w:rsidRPr="00F022D4" w:rsidRDefault="00F022D4" w:rsidP="00F022D4">
      <w:pPr>
        <w:ind w:left="720"/>
        <w:rPr>
          <w:rFonts w:eastAsia="Times New Roman"/>
          <w:b/>
          <w:sz w:val="24"/>
          <w:szCs w:val="24"/>
        </w:rPr>
      </w:pPr>
    </w:p>
    <w:p w14:paraId="23C1F79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6344A5EF" w14:textId="77777777" w:rsidR="00F022D4" w:rsidRPr="00F022D4" w:rsidRDefault="00F022D4" w:rsidP="00F022D4">
      <w:pPr>
        <w:rPr>
          <w:rFonts w:eastAsia="Times New Roman"/>
          <w:b/>
          <w:sz w:val="24"/>
          <w:szCs w:val="24"/>
        </w:rPr>
      </w:pPr>
    </w:p>
    <w:p w14:paraId="5B9EBD9B"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73DCBFD8"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76B8A7D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250B01ED" w14:textId="77777777" w:rsidR="00F022D4" w:rsidRPr="00F022D4" w:rsidRDefault="00F022D4" w:rsidP="00F022D4">
      <w:pPr>
        <w:rPr>
          <w:rFonts w:eastAsia="Times New Roman"/>
          <w:b/>
          <w:sz w:val="24"/>
          <w:szCs w:val="24"/>
        </w:rPr>
      </w:pPr>
    </w:p>
    <w:p w14:paraId="3255A47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1A9301A9" w14:textId="77777777" w:rsidR="00F022D4" w:rsidRDefault="00F022D4" w:rsidP="00F022D4">
      <w:pPr>
        <w:spacing w:after="240"/>
        <w:ind w:firstLine="720"/>
        <w:rPr>
          <w:rFonts w:eastAsia="Times New Roman"/>
          <w:sz w:val="24"/>
          <w:szCs w:val="24"/>
        </w:rPr>
      </w:pPr>
    </w:p>
    <w:p w14:paraId="14B36C1E" w14:textId="77777777" w:rsidR="00F022D4" w:rsidRDefault="00F022D4" w:rsidP="00F022D4">
      <w:pPr>
        <w:jc w:val="center"/>
        <w:rPr>
          <w:rFonts w:eastAsia="Times New Roman"/>
          <w:sz w:val="24"/>
          <w:szCs w:val="24"/>
        </w:rPr>
      </w:pPr>
    </w:p>
    <w:p w14:paraId="42476575"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480C19F0"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w:t>
      </w:r>
      <w:r w:rsidRPr="00F57A2B">
        <w:rPr>
          <w:rFonts w:eastAsia="Times New Roman"/>
          <w:i/>
          <w:sz w:val="24"/>
          <w:szCs w:val="24"/>
        </w:rPr>
        <w:t xml:space="preserve"> </w:t>
      </w:r>
      <w:r w:rsidRPr="00F57A2B">
        <w:rPr>
          <w:rFonts w:eastAsia="Times New Roman"/>
          <w:sz w:val="24"/>
          <w:szCs w:val="24"/>
        </w:rPr>
        <w:t>the Notes on Use to Instruction 9:28A, and the Special Note to Part C of this Chapter 9.</w:t>
      </w:r>
    </w:p>
    <w:p w14:paraId="134BDD43"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0741B58"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Source and Authority to Instruction 9:28A.</w:t>
      </w:r>
    </w:p>
    <w:p w14:paraId="6149EE29" w14:textId="77777777" w:rsidR="00F57A2B" w:rsidRDefault="00F57A2B">
      <w:pPr>
        <w:rPr>
          <w:rFonts w:eastAsia="Times New Roman"/>
          <w:bCs/>
          <w:sz w:val="24"/>
          <w:szCs w:val="24"/>
        </w:rPr>
      </w:pPr>
      <w:r>
        <w:rPr>
          <w:rFonts w:eastAsia="Times New Roman"/>
          <w:bCs/>
          <w:sz w:val="24"/>
          <w:szCs w:val="24"/>
        </w:rPr>
        <w:br w:type="page"/>
      </w:r>
    </w:p>
    <w:p w14:paraId="6C428A03" w14:textId="77777777" w:rsidR="00F57A2B" w:rsidRPr="009E3DA4" w:rsidRDefault="00F57A2B" w:rsidP="00F57A2B">
      <w:pPr>
        <w:spacing w:after="240"/>
        <w:ind w:left="720" w:hanging="720"/>
        <w:rPr>
          <w:rFonts w:eastAsia="Times New Roman"/>
          <w:b/>
          <w:sz w:val="24"/>
          <w:szCs w:val="24"/>
        </w:rPr>
      </w:pPr>
      <w:bookmarkStart w:id="45" w:name="a9_29"/>
      <w:bookmarkEnd w:id="45"/>
      <w:r w:rsidRPr="00F57A2B">
        <w:rPr>
          <w:rFonts w:eastAsia="Times New Roman"/>
          <w:b/>
          <w:sz w:val="24"/>
          <w:szCs w:val="24"/>
        </w:rPr>
        <w:lastRenderedPageBreak/>
        <w:t xml:space="preserve">9:29 </w:t>
      </w:r>
      <w:r w:rsidRPr="00F57A2B">
        <w:rPr>
          <w:rFonts w:eastAsia="Times New Roman"/>
          <w:b/>
          <w:sz w:val="24"/>
          <w:szCs w:val="24"/>
        </w:rPr>
        <w:tab/>
        <w:t>ELEMENTS — MULTIPLE DEFENDANTS OR ONE OR MORE DEFENDANTS AND ONE OR MORE DESIGNATED NONPARTIES — NO NEGLIGENCE OR FAULT OF PLAINTIFF</w:t>
      </w:r>
    </w:p>
    <w:p w14:paraId="4FB57D3D"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xml:space="preserve">, had (injuries) (damages) (losses) and that the plaintiff’s damages were caused by the (negligence) (or) (fault) of </w:t>
      </w:r>
      <w:r w:rsidRPr="00F57A2B">
        <w:rPr>
          <w:rFonts w:eastAsia="Times New Roman"/>
          <w:i/>
          <w:sz w:val="24"/>
          <w:szCs w:val="24"/>
        </w:rPr>
        <w:t>(insert appropriate following phrase:)</w:t>
      </w:r>
    </w:p>
    <w:p w14:paraId="0092799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(two or more of the defendants, </w:t>
      </w:r>
      <w:r w:rsidRPr="00F57A2B">
        <w:rPr>
          <w:rFonts w:eastAsia="Times New Roman"/>
          <w:i/>
          <w:sz w:val="24"/>
          <w:szCs w:val="24"/>
        </w:rPr>
        <w:t>[names]</w:t>
      </w:r>
      <w:r w:rsidRPr="00F57A2B">
        <w:rPr>
          <w:rFonts w:eastAsia="Times New Roman"/>
          <w:b/>
          <w:sz w:val="24"/>
          <w:szCs w:val="24"/>
        </w:rPr>
        <w:t>,)</w:t>
      </w:r>
    </w:p>
    <w:p w14:paraId="0E4F1C9A"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(one or more of the defendants, </w:t>
      </w:r>
      <w:r w:rsidRPr="00F57A2B">
        <w:rPr>
          <w:rFonts w:eastAsia="Times New Roman"/>
          <w:i/>
          <w:sz w:val="24"/>
          <w:szCs w:val="24"/>
        </w:rPr>
        <w:t>[names]</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0C0900C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(the defendant, </w:t>
      </w:r>
      <w:r w:rsidRPr="00F57A2B">
        <w:rPr>
          <w:rFonts w:eastAsia="Times New Roman"/>
          <w:i/>
          <w:sz w:val="24"/>
          <w:szCs w:val="24"/>
        </w:rPr>
        <w:t>[name]</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506EFC6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then you must determine to what extent the (negligence) (or) (fault) of each contributed to the damages of the plaintiff, expressed as a percentage of 100 percent.</w:t>
      </w:r>
    </w:p>
    <w:p w14:paraId="4CD5455B" w14:textId="77777777" w:rsidR="00F57A2B" w:rsidRDefault="00F57A2B" w:rsidP="00F57A2B">
      <w:pPr>
        <w:jc w:val="center"/>
        <w:rPr>
          <w:rFonts w:eastAsia="Times New Roman"/>
          <w:sz w:val="24"/>
          <w:szCs w:val="24"/>
        </w:rPr>
      </w:pPr>
    </w:p>
    <w:p w14:paraId="2CD29F0F"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272CC49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This instruction, based on section 13-21-111.5, C.R.S., applies only in civil actions, “brought as a result of a death or an injury to person or property,” in which there is no, or insufficient, evidence of the plaintiff’s contributory negligence or fault, but there is sufficient evidence that the plaintiff’s damages were caused, in whole or in part, by the negligence or fault of (1) two or more defendants, (2) one defendant and one or more designated nonparties of whom notice has been properly given under section 13-21-111.5(3)(b), or (3) two or more defendants and one or more designated nonparties of whom proper notice has been given. If there is sufficient evidence of negligence or fault on the plaintiff’s part, Instruction 9:22 appropriately modified, if necessary, to cover any relevant form of fault other than, or in addition to, negligence, should be used rather than this instruction.</w:t>
      </w:r>
    </w:p>
    <w:p w14:paraId="7B7F7D6B"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Use whichever parenthesized words are appropriate. When the parenthesized word “fault” is used, another instruction defining what that term means in the context of the case must be given.</w:t>
      </w:r>
    </w:p>
    <w:p w14:paraId="64FB6F86"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Whenever this instruction is given, Instructions 9:29A and B must also be given, as well as Instruction 9:24 if proper notice of a nonparty has been given under section 13-21-111.5(3)(b).</w:t>
      </w:r>
    </w:p>
    <w:p w14:paraId="1CF2590C"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4. If notice has been properly given of more than one designated nonparty, this instruction and its accompanying “mechanics for submitting” and “special verdict forms” instructions, </w:t>
      </w:r>
      <w:r w:rsidRPr="00F57A2B">
        <w:rPr>
          <w:rFonts w:eastAsia="Times New Roman"/>
          <w:i/>
          <w:sz w:val="24"/>
          <w:szCs w:val="24"/>
        </w:rPr>
        <w:t>see</w:t>
      </w:r>
      <w:r w:rsidRPr="00F57A2B">
        <w:rPr>
          <w:rFonts w:eastAsia="Times New Roman"/>
          <w:sz w:val="24"/>
          <w:szCs w:val="24"/>
        </w:rPr>
        <w:t xml:space="preserve"> Instructions 9:29A and B, must be appropriately modified.</w:t>
      </w:r>
    </w:p>
    <w:p w14:paraId="184EF462"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5. This instruction, as well as its accompanying Instructions 9:29A and B, must be appropriately modified if there is sufficient evidence that two or more persons consciously conspired and deliberately pursued “a common plan or design to commit a tortious act,” in which </w:t>
      </w:r>
      <w:r w:rsidRPr="00F57A2B">
        <w:rPr>
          <w:rFonts w:eastAsia="Times New Roman"/>
          <w:sz w:val="24"/>
          <w:szCs w:val="24"/>
        </w:rPr>
        <w:lastRenderedPageBreak/>
        <w:t xml:space="preserve">case they are to be held jointly liable. § 13-21-111.5(4). Absent a showing of concerted action, however, the trier of fact must apportion negligence or fault between tortfeasors. </w:t>
      </w:r>
      <w:r w:rsidRPr="00F57A2B">
        <w:rPr>
          <w:rFonts w:eastAsia="Times New Roman"/>
          <w:b/>
          <w:sz w:val="24"/>
          <w:szCs w:val="24"/>
        </w:rPr>
        <w:t>Messler v. Phillips</w:t>
      </w:r>
      <w:r w:rsidRPr="00F57A2B">
        <w:rPr>
          <w:rFonts w:eastAsia="Times New Roman"/>
          <w:sz w:val="24"/>
          <w:szCs w:val="24"/>
        </w:rPr>
        <w:t>,</w:t>
      </w:r>
      <w:r w:rsidRPr="00F57A2B">
        <w:rPr>
          <w:rFonts w:eastAsia="Times New Roman"/>
          <w:b/>
          <w:sz w:val="24"/>
          <w:szCs w:val="24"/>
        </w:rPr>
        <w:t xml:space="preserve"> </w:t>
      </w:r>
      <w:r w:rsidRPr="00F57A2B">
        <w:rPr>
          <w:rFonts w:eastAsia="Times New Roman"/>
          <w:sz w:val="24"/>
          <w:szCs w:val="24"/>
        </w:rPr>
        <w:t>867 P.2d 128 (Colo. App. 1993).</w:t>
      </w:r>
    </w:p>
    <w:p w14:paraId="280210F8"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6. Similarly, this instruction and Instructions 9:29A and B must be appropriately modified if a claim of liability of any defendant or designated nonparty is based on vicarious liability alone or in conjunction with another claim based on personal liability.</w:t>
      </w:r>
    </w:p>
    <w:p w14:paraId="7251CAD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7. The negligence or fault of a nonparty cannot be considered unless the nonparty has been properly designated by the defendant in a pleading that complies with the requirements of section 13-21-111.5(3). </w:t>
      </w:r>
      <w:r w:rsidRPr="00F57A2B">
        <w:rPr>
          <w:rFonts w:eastAsia="Times New Roman"/>
          <w:b/>
          <w:sz w:val="24"/>
          <w:szCs w:val="24"/>
        </w:rPr>
        <w:t>Redden v. SCI Colo. Funeral Servs., Inc.</w:t>
      </w:r>
      <w:r w:rsidRPr="00F57A2B">
        <w:rPr>
          <w:rFonts w:eastAsia="Times New Roman"/>
          <w:sz w:val="24"/>
          <w:szCs w:val="24"/>
        </w:rPr>
        <w:t xml:space="preserve">, 38 P.3d 75 (Colo. 2001); </w:t>
      </w:r>
      <w:r w:rsidRPr="00F57A2B">
        <w:rPr>
          <w:rFonts w:eastAsia="Times New Roman"/>
          <w:b/>
          <w:sz w:val="24"/>
          <w:szCs w:val="24"/>
        </w:rPr>
        <w:t>Thompson v. Colorado &amp; E. R.R.</w:t>
      </w:r>
      <w:r w:rsidRPr="00F57A2B">
        <w:rPr>
          <w:rFonts w:eastAsia="Times New Roman"/>
          <w:sz w:val="24"/>
          <w:szCs w:val="24"/>
        </w:rPr>
        <w:t xml:space="preserve">, 852 P.2d 1328 (Colo. App. 1993). Nonparties need not have engaged in the same kind of tortious conduct as the defendant in order to be properly designated. </w:t>
      </w:r>
      <w:r w:rsidRPr="00F57A2B">
        <w:rPr>
          <w:rFonts w:eastAsia="Times New Roman"/>
          <w:b/>
          <w:sz w:val="24"/>
          <w:szCs w:val="24"/>
        </w:rPr>
        <w:t>Moody v. A.G. Edwards &amp; Sons, Inc.</w:t>
      </w:r>
      <w:r w:rsidRPr="00F57A2B">
        <w:rPr>
          <w:rFonts w:eastAsia="Times New Roman"/>
          <w:sz w:val="24"/>
          <w:szCs w:val="24"/>
        </w:rPr>
        <w:t xml:space="preserve">, 847 P.2d 215 (Colo. App. 1992). However, it is not proper to designate a nonparty where the moving defendant fails to establish a prima facie case that the nonparty owed and breached a legal duty to the plaintiff. </w:t>
      </w:r>
      <w:r w:rsidRPr="00F57A2B">
        <w:rPr>
          <w:rFonts w:eastAsia="Times New Roman"/>
          <w:b/>
          <w:sz w:val="24"/>
          <w:szCs w:val="24"/>
        </w:rPr>
        <w:t>Stone v. Satriana</w:t>
      </w:r>
      <w:r w:rsidRPr="00F57A2B">
        <w:rPr>
          <w:rFonts w:eastAsia="Times New Roman"/>
          <w:sz w:val="24"/>
          <w:szCs w:val="24"/>
        </w:rPr>
        <w:t xml:space="preserve">, 41 P.3d 705 (Colo. 2002); </w:t>
      </w:r>
      <w:r w:rsidRPr="00F57A2B">
        <w:rPr>
          <w:rFonts w:eastAsia="Times New Roman"/>
          <w:b/>
          <w:sz w:val="24"/>
          <w:szCs w:val="24"/>
        </w:rPr>
        <w:t>Redden</w:t>
      </w:r>
      <w:r w:rsidRPr="00F57A2B">
        <w:rPr>
          <w:rFonts w:eastAsia="Times New Roman"/>
          <w:sz w:val="24"/>
          <w:szCs w:val="24"/>
        </w:rPr>
        <w:t xml:space="preserve">, 38 P.3d at 81. Immunity from suit does not preclude the nonparty from being designated under section 13-21-111.5. </w:t>
      </w:r>
      <w:r w:rsidRPr="00F57A2B">
        <w:rPr>
          <w:rFonts w:eastAsia="Times New Roman"/>
          <w:b/>
          <w:bCs/>
          <w:sz w:val="24"/>
          <w:szCs w:val="24"/>
        </w:rPr>
        <w:t>Paris ex rel. Paris v. Dance</w:t>
      </w:r>
      <w:r w:rsidRPr="00F57A2B">
        <w:rPr>
          <w:rFonts w:eastAsia="Times New Roman"/>
          <w:sz w:val="24"/>
          <w:szCs w:val="24"/>
        </w:rPr>
        <w:t xml:space="preserve">, 194 P.3d 404 (Colo. App. 2008) (defendant may designate minor plaintiff’s parent as nonparty at fault notwithstanding parental immunity). </w:t>
      </w:r>
    </w:p>
    <w:p w14:paraId="46E0792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8. Section 13-21-111.5(1), limits the scope of the pro rata liability statute to only “those actions ‘brought as a result of a death or an injury to person or property.’” </w:t>
      </w:r>
      <w:r w:rsidRPr="00F57A2B">
        <w:rPr>
          <w:rFonts w:eastAsia="Times New Roman"/>
          <w:b/>
          <w:sz w:val="24"/>
          <w:szCs w:val="24"/>
        </w:rPr>
        <w:t>Broderick v. McElroy &amp; McCoy, Inc.</w:t>
      </w:r>
      <w:r w:rsidRPr="00F57A2B">
        <w:rPr>
          <w:rFonts w:eastAsia="Times New Roman"/>
          <w:sz w:val="24"/>
          <w:szCs w:val="24"/>
        </w:rPr>
        <w:t xml:space="preserve">, 961 P.2d 504, 507 (Colo. App. 1997) (trial court not required to instruct on pro rata liability in action by vendors against brokers for breach of contract and breach of fiduciary duty). Section 13-21-111.5 is limited to tort claims and therefore does not apply to contract-based claims. </w:t>
      </w:r>
      <w:r w:rsidRPr="00F57A2B">
        <w:rPr>
          <w:rFonts w:eastAsia="Times New Roman"/>
          <w:b/>
          <w:sz w:val="24"/>
          <w:szCs w:val="24"/>
        </w:rPr>
        <w:t>Core-Mark Midcontinent, Inc. v. Sonitrol Corp.</w:t>
      </w:r>
      <w:r w:rsidRPr="00F57A2B">
        <w:rPr>
          <w:rFonts w:eastAsia="Times New Roman"/>
          <w:sz w:val="24"/>
          <w:szCs w:val="24"/>
        </w:rPr>
        <w:t>, 2012 COA 120, ¶ 47, 300 P.3d 963.</w:t>
      </w:r>
    </w:p>
    <w:p w14:paraId="2C9459D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9.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F57A2B">
        <w:rPr>
          <w:rFonts w:eastAsia="Times New Roman"/>
          <w:b/>
          <w:sz w:val="24"/>
          <w:szCs w:val="24"/>
        </w:rPr>
        <w:t>Reid v. Berkowitz</w:t>
      </w:r>
      <w:r w:rsidRPr="00F57A2B">
        <w:rPr>
          <w:rFonts w:eastAsia="Times New Roman"/>
          <w:sz w:val="24"/>
          <w:szCs w:val="24"/>
        </w:rPr>
        <w:t xml:space="preserve">, 2013 COA 110M, ¶ 39, 315 P.3d 185; </w:t>
      </w:r>
      <w:r w:rsidRPr="00F57A2B">
        <w:rPr>
          <w:rFonts w:eastAsia="Times New Roman"/>
          <w:i/>
          <w:iCs/>
          <w:sz w:val="24"/>
          <w:szCs w:val="24"/>
        </w:rPr>
        <w:t>see</w:t>
      </w:r>
      <w:r w:rsidRPr="00F57A2B">
        <w:rPr>
          <w:rFonts w:eastAsia="Times New Roman"/>
          <w:sz w:val="24"/>
          <w:szCs w:val="24"/>
        </w:rPr>
        <w:t xml:space="preserve"> </w:t>
      </w:r>
      <w:r w:rsidRPr="00F57A2B">
        <w:rPr>
          <w:rFonts w:eastAsia="Times New Roman"/>
          <w:i/>
          <w:sz w:val="24"/>
          <w:szCs w:val="24"/>
        </w:rPr>
        <w:t>also</w:t>
      </w:r>
      <w:r w:rsidRPr="00F57A2B">
        <w:rPr>
          <w:rFonts w:eastAsia="Times New Roman"/>
          <w:sz w:val="24"/>
          <w:szCs w:val="24"/>
        </w:rPr>
        <w:t xml:space="preserve"> </w:t>
      </w:r>
      <w:r w:rsidRPr="00F57A2B">
        <w:rPr>
          <w:rFonts w:eastAsia="Times New Roman"/>
          <w:b/>
          <w:iCs/>
          <w:sz w:val="24"/>
          <w:szCs w:val="24"/>
        </w:rPr>
        <w:t>Kidwell v. K-Mart Corp</w:t>
      </w:r>
      <w:r w:rsidRPr="00F57A2B">
        <w:rPr>
          <w:rFonts w:eastAsia="Times New Roman"/>
          <w:b/>
          <w:sz w:val="24"/>
          <w:szCs w:val="24"/>
        </w:rPr>
        <w:t>.</w:t>
      </w:r>
      <w:r w:rsidRPr="00F57A2B">
        <w:rPr>
          <w:rFonts w:eastAsia="Times New Roman"/>
          <w:sz w:val="24"/>
          <w:szCs w:val="24"/>
        </w:rPr>
        <w:t>, 942 P.2d 1280 (Colo. App. 1996)</w:t>
      </w:r>
      <w:r w:rsidRPr="00F57A2B">
        <w:rPr>
          <w:rFonts w:eastAsia="Times New Roman"/>
          <w:i/>
          <w:iCs/>
          <w:sz w:val="24"/>
          <w:szCs w:val="24"/>
        </w:rPr>
        <w:t xml:space="preserve"> </w:t>
      </w:r>
      <w:r w:rsidRPr="00F57A2B">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F57A2B">
        <w:rPr>
          <w:rFonts w:eastAsia="Times New Roman"/>
          <w:i/>
          <w:sz w:val="24"/>
          <w:szCs w:val="24"/>
        </w:rPr>
        <w:t>see</w:t>
      </w:r>
      <w:r w:rsidRPr="00F57A2B">
        <w:rPr>
          <w:rFonts w:eastAsia="Times New Roman"/>
          <w:sz w:val="24"/>
          <w:szCs w:val="24"/>
        </w:rPr>
        <w:t xml:space="preserve"> Chapter 8 (Liability Based on Agency and Respondeat Superior), the inherently dangerous activity doctrine, </w:t>
      </w:r>
      <w:r w:rsidRPr="00F57A2B">
        <w:rPr>
          <w:rFonts w:eastAsia="Times New Roman"/>
          <w:i/>
          <w:sz w:val="24"/>
          <w:szCs w:val="24"/>
        </w:rPr>
        <w:t xml:space="preserve">see </w:t>
      </w:r>
      <w:r w:rsidRPr="00F57A2B">
        <w:rPr>
          <w:rFonts w:eastAsia="Times New Roman"/>
          <w:b/>
          <w:bCs/>
          <w:iCs/>
          <w:sz w:val="24"/>
          <w:szCs w:val="24"/>
        </w:rPr>
        <w:t>Huddleston v. Union Rural Elec. Ass’n</w:t>
      </w:r>
      <w:r w:rsidRPr="00F57A2B">
        <w:rPr>
          <w:rFonts w:eastAsia="Times New Roman"/>
          <w:bCs/>
          <w:sz w:val="24"/>
          <w:szCs w:val="24"/>
        </w:rPr>
        <w:t>, 841 P.2d 282 (Colo. 1992), and Instruction 9:7 (</w:t>
      </w:r>
      <w:r w:rsidRPr="00F57A2B">
        <w:rPr>
          <w:rFonts w:eastAsia="Times New Roman"/>
          <w:sz w:val="24"/>
          <w:szCs w:val="24"/>
        </w:rPr>
        <w:t xml:space="preserve">inherently dangerous activities), and the nondelegable or independent duty doctrine, </w:t>
      </w:r>
      <w:r w:rsidRPr="00F57A2B">
        <w:rPr>
          <w:rFonts w:eastAsia="Times New Roman"/>
          <w:i/>
          <w:sz w:val="24"/>
          <w:szCs w:val="24"/>
        </w:rPr>
        <w:t>see</w:t>
      </w:r>
      <w:r w:rsidRPr="00F57A2B">
        <w:rPr>
          <w:rFonts w:eastAsia="Times New Roman"/>
          <w:sz w:val="24"/>
          <w:szCs w:val="24"/>
        </w:rPr>
        <w:t xml:space="preserve"> </w:t>
      </w:r>
      <w:r w:rsidRPr="00F57A2B">
        <w:rPr>
          <w:rFonts w:eastAsia="Times New Roman"/>
          <w:b/>
          <w:bCs/>
          <w:iCs/>
          <w:sz w:val="24"/>
          <w:szCs w:val="24"/>
        </w:rPr>
        <w:t>Springer v. City &amp; Cty. of Denver</w:t>
      </w:r>
      <w:r w:rsidRPr="00F57A2B">
        <w:rPr>
          <w:rFonts w:eastAsia="Times New Roman"/>
          <w:bCs/>
          <w:sz w:val="24"/>
          <w:szCs w:val="24"/>
        </w:rPr>
        <w:t>, 13 P.3d 794 (Colo. 2000).</w:t>
      </w:r>
    </w:p>
    <w:p w14:paraId="52470E9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10. A defendant is not entitled to a nonparty at fault instruction identifying a nonparty who, if brought into the action, would be liable only vicariously for the negligence or fault of </w:t>
      </w:r>
      <w:r w:rsidRPr="00F57A2B">
        <w:rPr>
          <w:rFonts w:eastAsia="Times New Roman"/>
          <w:sz w:val="24"/>
          <w:szCs w:val="24"/>
        </w:rPr>
        <w:lastRenderedPageBreak/>
        <w:t xml:space="preserve">another. </w:t>
      </w:r>
      <w:r w:rsidRPr="00F57A2B">
        <w:rPr>
          <w:rFonts w:eastAsia="Times New Roman"/>
          <w:b/>
          <w:sz w:val="24"/>
          <w:szCs w:val="24"/>
        </w:rPr>
        <w:t>Just In Case Bus. Lighthouse, LLC v. Murray</w:t>
      </w:r>
      <w:r w:rsidRPr="00F57A2B">
        <w:rPr>
          <w:rFonts w:eastAsia="Times New Roman"/>
          <w:sz w:val="24"/>
          <w:szCs w:val="24"/>
        </w:rPr>
        <w:t xml:space="preserve">, 2013 COA 112M, 383 P.3d 1, </w:t>
      </w:r>
      <w:r w:rsidRPr="00F57A2B">
        <w:rPr>
          <w:rFonts w:eastAsia="Times New Roman"/>
          <w:i/>
          <w:sz w:val="24"/>
          <w:szCs w:val="24"/>
        </w:rPr>
        <w:t>rev’d in part on other grounds</w:t>
      </w:r>
      <w:r w:rsidRPr="00F57A2B">
        <w:rPr>
          <w:rFonts w:eastAsia="Times New Roman"/>
          <w:sz w:val="24"/>
          <w:szCs w:val="24"/>
        </w:rPr>
        <w:t xml:space="preserve">, 2016 CO 47M, 374 P.3d 443; </w:t>
      </w:r>
      <w:r w:rsidRPr="00F57A2B">
        <w:rPr>
          <w:rFonts w:eastAsia="Times New Roman"/>
          <w:i/>
          <w:sz w:val="24"/>
          <w:szCs w:val="24"/>
        </w:rPr>
        <w:t>see also</w:t>
      </w:r>
      <w:r w:rsidRPr="00F57A2B">
        <w:rPr>
          <w:rFonts w:eastAsia="Times New Roman"/>
          <w:sz w:val="24"/>
          <w:szCs w:val="24"/>
        </w:rPr>
        <w:t xml:space="preserve"> </w:t>
      </w:r>
      <w:r w:rsidRPr="00F57A2B">
        <w:rPr>
          <w:rFonts w:eastAsia="Times New Roman"/>
          <w:b/>
          <w:iCs/>
          <w:sz w:val="24"/>
          <w:szCs w:val="24"/>
        </w:rPr>
        <w:t>Ochoa v. Vered</w:t>
      </w:r>
      <w:r w:rsidRPr="00F57A2B">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0B081C11"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1295DCA"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 xml:space="preserve">This instruction is supported by section 13-21-111.5, which states that, “(1) . . . no defendant shall be liable for an amount greater than that represented by the degree or percentage of the negligence or fault attributable to such defendant that produced the claimed injury, death, damage, or loss . . . [,] (2) [t]he jury shall return a special verdict . . . determining the percentage of negligence or fault attributable to each of the parties and any persons not parties to the action of whom notice has been given pursuant to paragraph (b) of subsection (3) . . . to whom some negligence or fault is found and determining the total amount of damages sustained by each claimant.” </w:t>
      </w:r>
      <w:r w:rsidRPr="00F57A2B">
        <w:rPr>
          <w:rFonts w:eastAsia="Times New Roman"/>
          <w:bCs/>
          <w:i/>
          <w:sz w:val="24"/>
          <w:szCs w:val="24"/>
        </w:rPr>
        <w:t>See, e.g.</w:t>
      </w:r>
      <w:r w:rsidRPr="00F57A2B">
        <w:rPr>
          <w:rFonts w:eastAsia="Times New Roman"/>
          <w:bCs/>
          <w:sz w:val="24"/>
          <w:szCs w:val="24"/>
        </w:rPr>
        <w:t xml:space="preserve">, </w:t>
      </w:r>
      <w:r w:rsidRPr="00F57A2B">
        <w:rPr>
          <w:rFonts w:eastAsia="Times New Roman"/>
          <w:b/>
          <w:bCs/>
          <w:sz w:val="24"/>
          <w:szCs w:val="24"/>
        </w:rPr>
        <w:t>Bohrer v. DeHart</w:t>
      </w:r>
      <w:r w:rsidRPr="00F57A2B">
        <w:rPr>
          <w:rFonts w:eastAsia="Times New Roman"/>
          <w:bCs/>
          <w:sz w:val="24"/>
          <w:szCs w:val="24"/>
        </w:rPr>
        <w:t>, 961 P.2d 472 (Colo. 1998) (error for trial court not to instruct on pro rata liability of defendants, but error was harmless where court instructed jury to divide total damages between culpable defendants in proportional amounts and jury followed court’s instructions).</w:t>
      </w:r>
    </w:p>
    <w:p w14:paraId="3AFFEF44" w14:textId="77777777" w:rsidR="00F57A2B" w:rsidRDefault="00F57A2B">
      <w:pPr>
        <w:rPr>
          <w:rFonts w:eastAsia="Times New Roman"/>
          <w:bCs/>
          <w:sz w:val="24"/>
          <w:szCs w:val="24"/>
        </w:rPr>
      </w:pPr>
      <w:r>
        <w:rPr>
          <w:rFonts w:eastAsia="Times New Roman"/>
          <w:bCs/>
          <w:sz w:val="24"/>
          <w:szCs w:val="24"/>
        </w:rPr>
        <w:br w:type="page"/>
      </w:r>
    </w:p>
    <w:p w14:paraId="078AD83A" w14:textId="77777777" w:rsidR="00F57A2B" w:rsidRPr="009E3DA4" w:rsidRDefault="00F57A2B" w:rsidP="00F57A2B">
      <w:pPr>
        <w:spacing w:after="240"/>
        <w:ind w:left="720" w:hanging="720"/>
        <w:rPr>
          <w:rFonts w:eastAsia="Times New Roman"/>
          <w:b/>
          <w:sz w:val="24"/>
          <w:szCs w:val="24"/>
        </w:rPr>
      </w:pPr>
      <w:bookmarkStart w:id="46" w:name="a9_29A"/>
      <w:bookmarkEnd w:id="46"/>
      <w:r w:rsidRPr="00F57A2B">
        <w:rPr>
          <w:rFonts w:eastAsia="Times New Roman"/>
          <w:b/>
          <w:sz w:val="24"/>
          <w:szCs w:val="24"/>
        </w:rPr>
        <w:lastRenderedPageBreak/>
        <w:t xml:space="preserve">9:29A </w:t>
      </w:r>
      <w:r w:rsidRPr="00F57A2B">
        <w:rPr>
          <w:rFonts w:eastAsia="Times New Roman"/>
          <w:b/>
          <w:sz w:val="24"/>
          <w:szCs w:val="24"/>
        </w:rPr>
        <w:tab/>
        <w:t>SPECIAL VERDICT QUESTIONS — MECHANICS FOR SUBMITTING — MULTIPLE DEFENDANTS OR ONE OR MORE DEFENDANTS AND ONE OR MORE DESIGNATED NONPARTIES — NO NEGLIGENCE OR FAULT OF PLAINTIFF</w:t>
      </w:r>
    </w:p>
    <w:p w14:paraId="7495D859"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are instructed to answer the following questions. You must all agree on your answers to each question for which an answer is required:</w:t>
      </w:r>
    </w:p>
    <w:p w14:paraId="3399BFC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w:t>
      </w:r>
    </w:p>
    <w:p w14:paraId="2C5EE91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w:t>
      </w:r>
    </w:p>
    <w:p w14:paraId="50201EB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w:t>
      </w:r>
    </w:p>
    <w:p w14:paraId="7B47681C"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w:t>
      </w:r>
    </w:p>
    <w:p w14:paraId="7D71F041"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w:t>
      </w:r>
    </w:p>
    <w:p w14:paraId="171AF80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did not have (injuries) (damages) (losses), or if you find that (the defendant was not) (none of the defendants was) (negligent) (or) (at fault) or that no (negligence) (or) (fault) (of the defendant) (of any of the defendants) was a cause of any of the plaintiff’s claimed (injuries) (damages) (losses), then your foreperson shall complete only Special Verdict Form A and all jurors shall sign it.</w:t>
      </w:r>
    </w:p>
    <w:p w14:paraId="00A92B17"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On the other hand, if you find that the plaintiff did have (injuries) (damages) (losses) and you further find that (the defendant) (one or more of the defendants) was (negligent) (or) (at fault) and that such (negligence) (or) (fault) was a cause of any of the plaintiff’s (injuries) (damages) (losses), then on Special Verdict Form B you shall answer the following questions, and your foreperson shall complete only Special Verdict Form B, and all jurors shall sign it.</w:t>
      </w:r>
    </w:p>
    <w:p w14:paraId="74E6B3F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sz w:val="24"/>
          <w:szCs w:val="24"/>
        </w:rPr>
        <w:t xml:space="preserve"> (negligent) (or) (at fault)?</w:t>
      </w:r>
    </w:p>
    <w:p w14:paraId="51932E2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w:t>
      </w:r>
    </w:p>
    <w:p w14:paraId="165E5354"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8. State your answers to the questions as they appear on Special Verdict Form B relating to the plaintiff’s damages that were caused by the (negligence) (or) (fault)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AF8A1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(any nonparty) you find were (negligent) (or) (at fault) and whose (negligence) (or) (fault) was a cause of any of the plaintiff’s (injuries) (damages) (losses), </w:t>
      </w:r>
      <w:r w:rsidRPr="00F57A2B">
        <w:rPr>
          <w:rFonts w:eastAsia="Times New Roman"/>
          <w:b/>
          <w:sz w:val="24"/>
          <w:szCs w:val="24"/>
        </w:rPr>
        <w:lastRenderedPageBreak/>
        <w:t xml:space="preserve">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w:t>
      </w:r>
    </w:p>
    <w:p w14:paraId="5851869F"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must enter the figure of zero, “0,” for the nonparty (and any defendant) you decide was not (negligent) (or) (at fault) or whose (negligence) (or) (fault) you decide was not a cause of any of the plaintiff’s (injuries) (damages) (losses).</w:t>
      </w:r>
    </w:p>
    <w:p w14:paraId="4AA65BAD" w14:textId="77777777" w:rsidR="00F57A2B" w:rsidRDefault="00F57A2B" w:rsidP="00F57A2B">
      <w:pPr>
        <w:jc w:val="center"/>
        <w:rPr>
          <w:rFonts w:eastAsia="Times New Roman"/>
          <w:sz w:val="24"/>
          <w:szCs w:val="24"/>
        </w:rPr>
      </w:pPr>
    </w:p>
    <w:p w14:paraId="6B17D47C"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0C3F94AF"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Instruction 6:1 (personal injuries) should be used with this instruction. The Notes on Use to Instructions 4:4 (verdict form), 6:1, and 9:24 are also applicable to this instruction.</w:t>
      </w:r>
    </w:p>
    <w:p w14:paraId="7E37A5F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Whenever this instruction is given, the two verdict forms set out in Instruction 9:28B must also be given.</w:t>
      </w:r>
    </w:p>
    <w:p w14:paraId="37E6A489"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If the case involves only multiple defendants and no designated nonparties, this instruction and Instruction 9:29B must be appropriately modified.</w:t>
      </w:r>
    </w:p>
    <w:p w14:paraId="2642F16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4. Insert any other questions that may be necessary to resolve properly any other claims or affirmative defenses.</w:t>
      </w:r>
    </w:p>
    <w:p w14:paraId="71343A9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5. If, in a district court case, the parties have stipulated to a verdict or finding by some stated majority pursuant to C.R.C.P. 48, this instruction should be modified accordingly.</w:t>
      </w:r>
    </w:p>
    <w:p w14:paraId="7BB8667A"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6C405C5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7C245A56" w14:textId="77777777" w:rsidR="00F57A2B" w:rsidRDefault="00F57A2B">
      <w:pPr>
        <w:rPr>
          <w:rFonts w:eastAsia="Times New Roman"/>
          <w:bCs/>
          <w:sz w:val="24"/>
          <w:szCs w:val="24"/>
        </w:rPr>
      </w:pPr>
      <w:r>
        <w:rPr>
          <w:rFonts w:eastAsia="Times New Roman"/>
          <w:bCs/>
          <w:sz w:val="24"/>
          <w:szCs w:val="24"/>
        </w:rPr>
        <w:br w:type="page"/>
      </w:r>
    </w:p>
    <w:p w14:paraId="19AA8D81" w14:textId="77777777" w:rsidR="00F57A2B" w:rsidRPr="009E3DA4" w:rsidRDefault="00F57A2B" w:rsidP="00F57A2B">
      <w:pPr>
        <w:spacing w:after="240"/>
        <w:ind w:left="720" w:hanging="720"/>
        <w:rPr>
          <w:rFonts w:eastAsia="Times New Roman"/>
          <w:b/>
          <w:sz w:val="24"/>
          <w:szCs w:val="24"/>
        </w:rPr>
      </w:pPr>
      <w:bookmarkStart w:id="47" w:name="a9_29B"/>
      <w:bookmarkEnd w:id="47"/>
      <w:r w:rsidRPr="00F57A2B">
        <w:rPr>
          <w:rFonts w:eastAsia="Times New Roman"/>
          <w:b/>
          <w:sz w:val="24"/>
          <w:szCs w:val="24"/>
        </w:rPr>
        <w:lastRenderedPageBreak/>
        <w:t xml:space="preserve">9:29B </w:t>
      </w:r>
      <w:r w:rsidRPr="00F57A2B">
        <w:rPr>
          <w:rFonts w:eastAsia="Times New Roman"/>
          <w:b/>
          <w:sz w:val="24"/>
          <w:szCs w:val="24"/>
        </w:rPr>
        <w:tab/>
        <w:t>SPECIAL VERDICT FORMS — MULTIPLE DEFENDANTS OR ONE OR MORE DEFENDANTS AND ONE OR MORE DESIGNATED NONPARTIES — NO NEGLIGENCE OR FAULT OF PLAINTIFF — FORMS A AND B</w:t>
      </w:r>
    </w:p>
    <w:p w14:paraId="3F0355DF"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A:</w:t>
      </w:r>
    </w:p>
    <w:p w14:paraId="7E0214D7" w14:textId="77777777" w:rsidR="00F57A2B" w:rsidRPr="00F57A2B" w:rsidRDefault="00F57A2B" w:rsidP="00F57A2B">
      <w:pPr>
        <w:rPr>
          <w:rFonts w:eastAsia="Times New Roman"/>
          <w:b/>
          <w:sz w:val="24"/>
          <w:szCs w:val="24"/>
        </w:rPr>
      </w:pPr>
    </w:p>
    <w:p w14:paraId="30E66B3A"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12AC51EF"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77D00AB3" w14:textId="77777777" w:rsidR="00F57A2B" w:rsidRPr="00F57A2B" w:rsidRDefault="00F57A2B" w:rsidP="00F57A2B">
      <w:pPr>
        <w:rPr>
          <w:rFonts w:eastAsia="Times New Roman"/>
          <w:b/>
          <w:sz w:val="24"/>
          <w:szCs w:val="24"/>
        </w:rPr>
      </w:pPr>
    </w:p>
    <w:p w14:paraId="03375CCF"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7DF01456" w14:textId="77777777" w:rsidR="00F57A2B" w:rsidRPr="00F57A2B" w:rsidRDefault="00F57A2B" w:rsidP="00F57A2B">
      <w:pPr>
        <w:rPr>
          <w:rFonts w:eastAsia="Times New Roman"/>
          <w:b/>
          <w:sz w:val="24"/>
          <w:szCs w:val="24"/>
        </w:rPr>
      </w:pPr>
    </w:p>
    <w:p w14:paraId="7E492EB6" w14:textId="77777777" w:rsidR="00F57A2B" w:rsidRPr="00F57A2B" w:rsidRDefault="00F57A2B" w:rsidP="00F57A2B">
      <w:pPr>
        <w:rPr>
          <w:rFonts w:eastAsia="Times New Roman"/>
          <w:b/>
          <w:sz w:val="24"/>
          <w:szCs w:val="24"/>
        </w:rPr>
      </w:pPr>
    </w:p>
    <w:p w14:paraId="5891FC9E" w14:textId="77777777" w:rsidR="00F57A2B" w:rsidRPr="00F57A2B" w:rsidRDefault="00F57A2B" w:rsidP="00F57A2B">
      <w:pPr>
        <w:rPr>
          <w:rFonts w:eastAsia="Times New Roman"/>
          <w:b/>
          <w:sz w:val="24"/>
          <w:szCs w:val="24"/>
        </w:rPr>
      </w:pPr>
    </w:p>
    <w:p w14:paraId="73952704"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3C06BA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6934E40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2D1DB911"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68517B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A</w:t>
      </w:r>
    </w:p>
    <w:p w14:paraId="19033030"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2A5C50B8"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p>
    <w:p w14:paraId="32916DEC" w14:textId="77777777" w:rsidR="00F57A2B" w:rsidRPr="00F57A2B" w:rsidRDefault="00F57A2B" w:rsidP="00F57A2B">
      <w:pPr>
        <w:rPr>
          <w:rFonts w:eastAsia="Times New Roman"/>
          <w:b/>
          <w:sz w:val="24"/>
          <w:szCs w:val="24"/>
        </w:rPr>
      </w:pPr>
    </w:p>
    <w:p w14:paraId="1032D0BA" w14:textId="77777777" w:rsidR="00F57A2B" w:rsidRPr="00F57A2B" w:rsidRDefault="00F57A2B" w:rsidP="00F57A2B">
      <w:pPr>
        <w:rPr>
          <w:rFonts w:eastAsia="Times New Roman"/>
          <w:b/>
          <w:sz w:val="24"/>
          <w:szCs w:val="24"/>
        </w:rPr>
      </w:pPr>
    </w:p>
    <w:p w14:paraId="087E28D2"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A IF YOUR FOREPERSON HAS COMPLETED SPECIAL VERDICT FORM B AND ALL JURORS HAVE SIGNED IT.</w:t>
      </w:r>
    </w:p>
    <w:p w14:paraId="6AF0AB12" w14:textId="77777777" w:rsidR="00F57A2B" w:rsidRPr="00F57A2B" w:rsidRDefault="00F57A2B" w:rsidP="00F57A2B">
      <w:pPr>
        <w:rPr>
          <w:rFonts w:eastAsia="Times New Roman"/>
          <w:b/>
          <w:sz w:val="24"/>
          <w:szCs w:val="24"/>
        </w:rPr>
      </w:pPr>
    </w:p>
    <w:p w14:paraId="2DDFC6E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7CDD6A98" w14:textId="77777777" w:rsidR="00F57A2B" w:rsidRPr="00F57A2B" w:rsidRDefault="00F57A2B" w:rsidP="00F57A2B">
      <w:pPr>
        <w:ind w:firstLine="720"/>
        <w:rPr>
          <w:rFonts w:eastAsia="Times New Roman"/>
          <w:b/>
          <w:sz w:val="24"/>
          <w:szCs w:val="24"/>
        </w:rPr>
      </w:pPr>
    </w:p>
    <w:p w14:paraId="554F46A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 (Yes or No)</w:t>
      </w:r>
    </w:p>
    <w:p w14:paraId="5D562AD7" w14:textId="77777777" w:rsidR="00F57A2B" w:rsidRPr="00F57A2B" w:rsidRDefault="00F57A2B" w:rsidP="00F57A2B">
      <w:pPr>
        <w:ind w:firstLine="720"/>
        <w:rPr>
          <w:rFonts w:eastAsia="Times New Roman"/>
          <w:b/>
          <w:sz w:val="24"/>
          <w:szCs w:val="24"/>
        </w:rPr>
      </w:pPr>
    </w:p>
    <w:p w14:paraId="4DB6607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89F46FD" w14:textId="77777777" w:rsidR="00F57A2B" w:rsidRPr="00F57A2B" w:rsidRDefault="00F57A2B" w:rsidP="00F57A2B">
      <w:pPr>
        <w:ind w:firstLine="720"/>
        <w:rPr>
          <w:rFonts w:eastAsia="Times New Roman"/>
          <w:b/>
          <w:sz w:val="24"/>
          <w:szCs w:val="24"/>
        </w:rPr>
      </w:pPr>
    </w:p>
    <w:p w14:paraId="4173339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 (Yes or No)</w:t>
      </w:r>
    </w:p>
    <w:p w14:paraId="7B90412F" w14:textId="77777777" w:rsidR="00F57A2B" w:rsidRPr="00F57A2B" w:rsidRDefault="00F57A2B" w:rsidP="00F57A2B">
      <w:pPr>
        <w:ind w:firstLine="720"/>
        <w:rPr>
          <w:rFonts w:eastAsia="Times New Roman"/>
          <w:b/>
          <w:sz w:val="24"/>
          <w:szCs w:val="24"/>
        </w:rPr>
      </w:pPr>
    </w:p>
    <w:p w14:paraId="6821B3E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FFF0991" w14:textId="77777777" w:rsidR="00F57A2B" w:rsidRPr="00F57A2B" w:rsidRDefault="00F57A2B" w:rsidP="00F57A2B">
      <w:pPr>
        <w:ind w:firstLine="720"/>
        <w:rPr>
          <w:rFonts w:eastAsia="Times New Roman"/>
          <w:b/>
          <w:sz w:val="24"/>
          <w:szCs w:val="24"/>
        </w:rPr>
      </w:pPr>
    </w:p>
    <w:p w14:paraId="261EF46A"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 (Yes or No)</w:t>
      </w:r>
    </w:p>
    <w:p w14:paraId="0C93605A" w14:textId="77777777" w:rsidR="00F57A2B" w:rsidRPr="00F57A2B" w:rsidRDefault="00F57A2B" w:rsidP="00F57A2B">
      <w:pPr>
        <w:ind w:firstLine="720"/>
        <w:rPr>
          <w:rFonts w:eastAsia="Times New Roman"/>
          <w:b/>
          <w:sz w:val="24"/>
          <w:szCs w:val="24"/>
        </w:rPr>
      </w:pPr>
    </w:p>
    <w:p w14:paraId="0CE40802"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313E7C1" w14:textId="77777777" w:rsidR="00F57A2B" w:rsidRPr="00F57A2B" w:rsidRDefault="00F57A2B" w:rsidP="00F57A2B">
      <w:pPr>
        <w:ind w:firstLine="720"/>
        <w:rPr>
          <w:rFonts w:eastAsia="Times New Roman"/>
          <w:b/>
          <w:sz w:val="24"/>
          <w:szCs w:val="24"/>
        </w:rPr>
      </w:pPr>
    </w:p>
    <w:p w14:paraId="4DAEA557"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4009C65C" w14:textId="77777777" w:rsidR="00F57A2B" w:rsidRPr="00F57A2B" w:rsidRDefault="00F57A2B" w:rsidP="00F57A2B">
      <w:pPr>
        <w:ind w:firstLine="720"/>
        <w:rPr>
          <w:rFonts w:eastAsia="Times New Roman"/>
          <w:b/>
          <w:sz w:val="24"/>
          <w:szCs w:val="24"/>
        </w:rPr>
      </w:pPr>
    </w:p>
    <w:p w14:paraId="520B8366" w14:textId="77777777" w:rsidR="00F57A2B" w:rsidRPr="00F57A2B" w:rsidRDefault="00F57A2B" w:rsidP="00F57A2B">
      <w:pPr>
        <w:ind w:firstLine="720"/>
        <w:rPr>
          <w:rFonts w:eastAsia="Times New Roman"/>
          <w:b/>
          <w:sz w:val="24"/>
          <w:szCs w:val="24"/>
        </w:rPr>
      </w:pPr>
      <w:r w:rsidRPr="00F57A2B">
        <w:rPr>
          <w:rFonts w:eastAsia="Times New Roman"/>
          <w:b/>
          <w:sz w:val="24"/>
          <w:szCs w:val="24"/>
        </w:rPr>
        <w:lastRenderedPageBreak/>
        <w:tab/>
        <w:t>ANSWER: _______)</w:t>
      </w:r>
    </w:p>
    <w:p w14:paraId="1EBCC0F0" w14:textId="77777777" w:rsidR="00F57A2B" w:rsidRPr="00F57A2B" w:rsidRDefault="00F57A2B" w:rsidP="00F57A2B">
      <w:pPr>
        <w:ind w:firstLine="720"/>
        <w:rPr>
          <w:rFonts w:eastAsia="Times New Roman"/>
          <w:b/>
          <w:sz w:val="24"/>
          <w:szCs w:val="24"/>
        </w:rPr>
      </w:pPr>
    </w:p>
    <w:p w14:paraId="4A428BB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75F67465" w14:textId="77777777" w:rsidR="00F57A2B" w:rsidRPr="00F57A2B" w:rsidRDefault="00F57A2B" w:rsidP="00F57A2B">
      <w:pPr>
        <w:ind w:firstLine="720"/>
        <w:rPr>
          <w:rFonts w:eastAsia="Times New Roman"/>
          <w:b/>
          <w:sz w:val="24"/>
          <w:szCs w:val="24"/>
        </w:rPr>
      </w:pPr>
    </w:p>
    <w:p w14:paraId="0ADC382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D624A7E" w14:textId="77777777" w:rsidR="00F57A2B" w:rsidRPr="00F57A2B" w:rsidRDefault="00F57A2B" w:rsidP="00F57A2B">
      <w:pPr>
        <w:ind w:firstLine="720"/>
        <w:rPr>
          <w:rFonts w:eastAsia="Times New Roman"/>
          <w:b/>
          <w:sz w:val="24"/>
          <w:szCs w:val="24"/>
        </w:rPr>
      </w:pPr>
    </w:p>
    <w:p w14:paraId="7ED08AF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We, the jury, find for the defendant(s) and award no damages to the plaintiff, </w:t>
      </w:r>
      <w:r w:rsidRPr="00F57A2B">
        <w:rPr>
          <w:rFonts w:eastAsia="Times New Roman"/>
          <w:i/>
          <w:sz w:val="24"/>
          <w:szCs w:val="24"/>
        </w:rPr>
        <w:t>(name)</w:t>
      </w:r>
      <w:r w:rsidRPr="00F57A2B">
        <w:rPr>
          <w:rFonts w:eastAsia="Times New Roman"/>
          <w:b/>
          <w:sz w:val="24"/>
          <w:szCs w:val="24"/>
        </w:rPr>
        <w:t>.</w:t>
      </w:r>
    </w:p>
    <w:p w14:paraId="216FA1E9" w14:textId="77777777" w:rsidR="00F57A2B" w:rsidRPr="00F57A2B" w:rsidRDefault="00F57A2B" w:rsidP="00F57A2B">
      <w:pPr>
        <w:ind w:firstLine="720"/>
        <w:rPr>
          <w:rFonts w:eastAsia="Times New Roman"/>
          <w:b/>
          <w:sz w:val="24"/>
          <w:szCs w:val="24"/>
        </w:rPr>
      </w:pPr>
    </w:p>
    <w:p w14:paraId="52A3377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5A92D50C" w14:textId="77777777" w:rsidR="00F57A2B" w:rsidRPr="00F57A2B" w:rsidRDefault="00F57A2B" w:rsidP="00F57A2B">
      <w:pPr>
        <w:rPr>
          <w:rFonts w:eastAsia="Times New Roman"/>
          <w:b/>
          <w:sz w:val="24"/>
          <w:szCs w:val="24"/>
        </w:rPr>
      </w:pPr>
    </w:p>
    <w:p w14:paraId="4E0415E2" w14:textId="77777777" w:rsidR="00F57A2B" w:rsidRPr="00F57A2B" w:rsidRDefault="00F57A2B" w:rsidP="00F57A2B">
      <w:pPr>
        <w:rPr>
          <w:rFonts w:eastAsia="Times New Roman"/>
          <w:b/>
          <w:sz w:val="24"/>
          <w:szCs w:val="24"/>
        </w:rPr>
      </w:pPr>
    </w:p>
    <w:p w14:paraId="0DC867DB"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5C44ED7C"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5B579F5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B8898A8" w14:textId="77777777" w:rsidR="00F57A2B" w:rsidRPr="00F57A2B" w:rsidRDefault="00F57A2B" w:rsidP="00F57A2B">
      <w:pPr>
        <w:rPr>
          <w:rFonts w:eastAsia="Times New Roman"/>
          <w:b/>
          <w:sz w:val="24"/>
          <w:szCs w:val="24"/>
        </w:rPr>
      </w:pPr>
    </w:p>
    <w:p w14:paraId="52554CE2"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D734A80" w14:textId="77777777" w:rsidR="00F57A2B" w:rsidRPr="00F57A2B" w:rsidRDefault="00F57A2B" w:rsidP="00F57A2B">
      <w:pPr>
        <w:rPr>
          <w:rFonts w:eastAsia="Times New Roman"/>
          <w:b/>
          <w:sz w:val="24"/>
          <w:szCs w:val="24"/>
        </w:rPr>
      </w:pPr>
    </w:p>
    <w:p w14:paraId="3AFDE685" w14:textId="77777777" w:rsidR="00F57A2B" w:rsidRPr="00F57A2B" w:rsidRDefault="00F57A2B" w:rsidP="00F57A2B">
      <w:pPr>
        <w:rPr>
          <w:rFonts w:eastAsia="Times New Roman"/>
          <w:b/>
          <w:sz w:val="24"/>
          <w:szCs w:val="24"/>
        </w:rPr>
      </w:pPr>
    </w:p>
    <w:p w14:paraId="398143E0"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B:</w:t>
      </w:r>
    </w:p>
    <w:p w14:paraId="2F15ADC3" w14:textId="77777777" w:rsidR="00F57A2B" w:rsidRPr="00F57A2B" w:rsidRDefault="00F57A2B" w:rsidP="00F57A2B">
      <w:pPr>
        <w:rPr>
          <w:rFonts w:eastAsia="Times New Roman"/>
          <w:b/>
          <w:sz w:val="24"/>
          <w:szCs w:val="24"/>
        </w:rPr>
      </w:pPr>
    </w:p>
    <w:p w14:paraId="6DB7CCF5"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3F3EB8E8"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64487751" w14:textId="77777777" w:rsidR="00F57A2B" w:rsidRPr="00F57A2B" w:rsidRDefault="00F57A2B" w:rsidP="00F57A2B">
      <w:pPr>
        <w:rPr>
          <w:rFonts w:eastAsia="Times New Roman"/>
          <w:b/>
          <w:sz w:val="24"/>
          <w:szCs w:val="24"/>
        </w:rPr>
      </w:pPr>
    </w:p>
    <w:p w14:paraId="4B1652DD"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3275CC77" w14:textId="77777777" w:rsidR="00F57A2B" w:rsidRPr="00F57A2B" w:rsidRDefault="00F57A2B" w:rsidP="00F57A2B">
      <w:pPr>
        <w:jc w:val="center"/>
        <w:rPr>
          <w:rFonts w:eastAsia="Times New Roman"/>
          <w:b/>
          <w:sz w:val="24"/>
          <w:szCs w:val="24"/>
        </w:rPr>
      </w:pPr>
    </w:p>
    <w:p w14:paraId="6C31C573" w14:textId="77777777" w:rsidR="00F57A2B" w:rsidRPr="00F57A2B" w:rsidRDefault="00F57A2B" w:rsidP="00F57A2B">
      <w:pPr>
        <w:rPr>
          <w:rFonts w:eastAsia="Times New Roman"/>
          <w:b/>
          <w:sz w:val="24"/>
          <w:szCs w:val="24"/>
        </w:rPr>
      </w:pPr>
    </w:p>
    <w:p w14:paraId="4C70ACE9" w14:textId="77777777" w:rsidR="00F57A2B" w:rsidRPr="00F57A2B" w:rsidRDefault="00F57A2B" w:rsidP="00F57A2B">
      <w:pPr>
        <w:rPr>
          <w:rFonts w:eastAsia="Times New Roman"/>
          <w:b/>
          <w:sz w:val="24"/>
          <w:szCs w:val="24"/>
        </w:rPr>
      </w:pPr>
    </w:p>
    <w:p w14:paraId="19A64249"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A49A39E"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1616A79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7E28E2E3"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019508CB"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B</w:t>
      </w:r>
    </w:p>
    <w:p w14:paraId="4D7EFDA1"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BD4F7F0"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r w:rsidRPr="00F57A2B">
        <w:rPr>
          <w:rFonts w:eastAsia="Times New Roman"/>
          <w:b/>
          <w:sz w:val="24"/>
          <w:szCs w:val="24"/>
        </w:rPr>
        <w:tab/>
      </w:r>
      <w:r w:rsidRPr="00F57A2B">
        <w:rPr>
          <w:rFonts w:eastAsia="Times New Roman"/>
          <w:b/>
          <w:sz w:val="24"/>
          <w:szCs w:val="24"/>
        </w:rPr>
        <w:tab/>
        <w:t xml:space="preserve">    )</w:t>
      </w:r>
    </w:p>
    <w:p w14:paraId="54386716" w14:textId="77777777" w:rsidR="00F57A2B" w:rsidRPr="00F57A2B" w:rsidRDefault="00F57A2B" w:rsidP="00F57A2B">
      <w:pPr>
        <w:rPr>
          <w:rFonts w:eastAsia="Times New Roman"/>
          <w:b/>
          <w:sz w:val="24"/>
          <w:szCs w:val="24"/>
        </w:rPr>
      </w:pPr>
    </w:p>
    <w:p w14:paraId="12D799FA" w14:textId="77777777" w:rsidR="00F57A2B" w:rsidRPr="00F57A2B" w:rsidRDefault="00F57A2B" w:rsidP="00F57A2B">
      <w:pPr>
        <w:rPr>
          <w:rFonts w:eastAsia="Times New Roman"/>
          <w:b/>
          <w:sz w:val="24"/>
          <w:szCs w:val="24"/>
        </w:rPr>
      </w:pPr>
    </w:p>
    <w:p w14:paraId="743ABD45"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B IF YOUR FOREPERSON HAS COMPLETED SPECIAL VERDICT FORM A AND ALL JURORS HAVE SIGNED IT.</w:t>
      </w:r>
    </w:p>
    <w:p w14:paraId="0C7BFBC7" w14:textId="77777777" w:rsidR="00F57A2B" w:rsidRPr="00F57A2B" w:rsidRDefault="00F57A2B" w:rsidP="00F57A2B">
      <w:pPr>
        <w:rPr>
          <w:rFonts w:eastAsia="Times New Roman"/>
          <w:b/>
          <w:sz w:val="24"/>
          <w:szCs w:val="24"/>
        </w:rPr>
      </w:pPr>
    </w:p>
    <w:p w14:paraId="0B76B09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6360C27B" w14:textId="77777777" w:rsidR="00F57A2B" w:rsidRPr="00F57A2B" w:rsidRDefault="00F57A2B" w:rsidP="00F57A2B">
      <w:pPr>
        <w:ind w:firstLine="720"/>
        <w:rPr>
          <w:rFonts w:eastAsia="Times New Roman"/>
          <w:b/>
          <w:sz w:val="24"/>
          <w:szCs w:val="24"/>
        </w:rPr>
      </w:pPr>
    </w:p>
    <w:p w14:paraId="1211C2AD" w14:textId="57A955C9" w:rsidR="00F57A2B" w:rsidRPr="00F57A2B" w:rsidRDefault="004A4F5B" w:rsidP="00F57A2B">
      <w:pPr>
        <w:ind w:firstLine="720"/>
        <w:rPr>
          <w:rFonts w:eastAsia="Times New Roman"/>
          <w:b/>
          <w:sz w:val="24"/>
          <w:szCs w:val="24"/>
        </w:rPr>
      </w:pPr>
      <w:r>
        <w:rPr>
          <w:rFonts w:eastAsia="Times New Roman"/>
          <w:b/>
          <w:sz w:val="24"/>
          <w:szCs w:val="24"/>
        </w:rPr>
        <w:t xml:space="preserve">1. </w:t>
      </w:r>
      <w:r w:rsidR="00F57A2B" w:rsidRPr="00F57A2B">
        <w:rPr>
          <w:rFonts w:eastAsia="Times New Roman"/>
          <w:b/>
          <w:sz w:val="24"/>
          <w:szCs w:val="24"/>
        </w:rPr>
        <w:t xml:space="preserve">Did the plaintiff, </w:t>
      </w:r>
      <w:r w:rsidR="00F57A2B" w:rsidRPr="00F57A2B">
        <w:rPr>
          <w:rFonts w:eastAsia="Times New Roman"/>
          <w:i/>
          <w:sz w:val="24"/>
          <w:szCs w:val="24"/>
        </w:rPr>
        <w:t>(name)</w:t>
      </w:r>
      <w:r w:rsidR="00F57A2B" w:rsidRPr="00F57A2B">
        <w:rPr>
          <w:rFonts w:eastAsia="Times New Roman"/>
          <w:b/>
          <w:sz w:val="24"/>
          <w:szCs w:val="24"/>
        </w:rPr>
        <w:t>, have (injuries) (damages) (losses)? (Yes or No)</w:t>
      </w:r>
    </w:p>
    <w:p w14:paraId="4E662018" w14:textId="77777777" w:rsidR="00F57A2B" w:rsidRPr="00F57A2B" w:rsidRDefault="00F57A2B" w:rsidP="00F57A2B">
      <w:pPr>
        <w:ind w:firstLine="720"/>
        <w:rPr>
          <w:rFonts w:eastAsia="Times New Roman"/>
          <w:b/>
          <w:sz w:val="24"/>
          <w:szCs w:val="24"/>
        </w:rPr>
      </w:pPr>
    </w:p>
    <w:p w14:paraId="3EEA09DE"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8958A0" w14:textId="77777777" w:rsidR="00F57A2B" w:rsidRPr="00F57A2B" w:rsidRDefault="00F57A2B" w:rsidP="00F57A2B">
      <w:pPr>
        <w:ind w:firstLine="720"/>
        <w:rPr>
          <w:rFonts w:eastAsia="Times New Roman"/>
          <w:b/>
          <w:sz w:val="24"/>
          <w:szCs w:val="24"/>
        </w:rPr>
      </w:pPr>
    </w:p>
    <w:p w14:paraId="3719B6D6" w14:textId="60F95F86" w:rsidR="00F57A2B" w:rsidRPr="00F57A2B" w:rsidRDefault="004A4F5B" w:rsidP="00F57A2B">
      <w:pPr>
        <w:ind w:firstLine="720"/>
        <w:rPr>
          <w:rFonts w:eastAsia="Times New Roman"/>
          <w:b/>
          <w:sz w:val="24"/>
          <w:szCs w:val="24"/>
        </w:rPr>
      </w:pPr>
      <w:r>
        <w:rPr>
          <w:rFonts w:eastAsia="Times New Roman"/>
          <w:b/>
          <w:sz w:val="24"/>
          <w:szCs w:val="24"/>
        </w:rPr>
        <w:t xml:space="preserve">2. </w:t>
      </w:r>
      <w:r w:rsidR="00F57A2B" w:rsidRPr="00F57A2B">
        <w:rPr>
          <w:rFonts w:eastAsia="Times New Roman"/>
          <w:b/>
          <w:sz w:val="24"/>
          <w:szCs w:val="24"/>
        </w:rPr>
        <w:t xml:space="preserve">Was the defendant, </w:t>
      </w:r>
      <w:r w:rsidR="00F57A2B" w:rsidRPr="00F57A2B">
        <w:rPr>
          <w:rFonts w:eastAsia="Times New Roman"/>
          <w:i/>
          <w:sz w:val="24"/>
          <w:szCs w:val="24"/>
        </w:rPr>
        <w:t>(name of first or only defendant)</w:t>
      </w:r>
      <w:r w:rsidR="00F57A2B" w:rsidRPr="00F57A2B">
        <w:rPr>
          <w:rFonts w:eastAsia="Times New Roman"/>
          <w:b/>
          <w:sz w:val="24"/>
          <w:szCs w:val="24"/>
        </w:rPr>
        <w:t>, (negligent) (or) (at fault)? (Yes or No)</w:t>
      </w:r>
    </w:p>
    <w:p w14:paraId="7087F8DF" w14:textId="77777777" w:rsidR="00F57A2B" w:rsidRPr="00F57A2B" w:rsidRDefault="00F57A2B" w:rsidP="00F57A2B">
      <w:pPr>
        <w:ind w:firstLine="720"/>
        <w:rPr>
          <w:rFonts w:eastAsia="Times New Roman"/>
          <w:b/>
          <w:sz w:val="24"/>
          <w:szCs w:val="24"/>
        </w:rPr>
      </w:pPr>
    </w:p>
    <w:p w14:paraId="2B6367A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F8BD652" w14:textId="77777777" w:rsidR="00F57A2B" w:rsidRPr="00F57A2B" w:rsidRDefault="00F57A2B" w:rsidP="00F57A2B">
      <w:pPr>
        <w:ind w:firstLine="720"/>
        <w:rPr>
          <w:rFonts w:eastAsia="Times New Roman"/>
          <w:b/>
          <w:sz w:val="24"/>
          <w:szCs w:val="24"/>
        </w:rPr>
      </w:pPr>
    </w:p>
    <w:p w14:paraId="52A9D62A" w14:textId="3FD512D7" w:rsidR="00F57A2B" w:rsidRPr="00F57A2B" w:rsidRDefault="004A4F5B" w:rsidP="00F57A2B">
      <w:pPr>
        <w:ind w:firstLine="720"/>
        <w:rPr>
          <w:rFonts w:eastAsia="Times New Roman"/>
          <w:b/>
          <w:sz w:val="24"/>
          <w:szCs w:val="24"/>
        </w:rPr>
      </w:pPr>
      <w:r>
        <w:rPr>
          <w:rFonts w:eastAsia="Times New Roman"/>
          <w:b/>
          <w:sz w:val="24"/>
          <w:szCs w:val="24"/>
        </w:rPr>
        <w:t xml:space="preserve">3. </w:t>
      </w:r>
      <w:r w:rsidR="00F57A2B" w:rsidRPr="00F57A2B">
        <w:rPr>
          <w:rFonts w:eastAsia="Times New Roman"/>
          <w:b/>
          <w:sz w:val="24"/>
          <w:szCs w:val="24"/>
        </w:rPr>
        <w:t xml:space="preserve">Was the (negligence) (or) (fault), if any, of the defendant, </w:t>
      </w:r>
      <w:r w:rsidR="00F57A2B" w:rsidRPr="00F57A2B">
        <w:rPr>
          <w:rFonts w:eastAsia="Times New Roman"/>
          <w:i/>
          <w:sz w:val="24"/>
          <w:szCs w:val="24"/>
        </w:rPr>
        <w:t>(name of first or only defendant)</w:t>
      </w:r>
      <w:r w:rsidR="00F57A2B" w:rsidRPr="00F57A2B">
        <w:rPr>
          <w:rFonts w:eastAsia="Times New Roman"/>
          <w:b/>
          <w:sz w:val="24"/>
          <w:szCs w:val="24"/>
        </w:rPr>
        <w:t>, a cause of any of the (injuries) (damages) (losses) claimed by the plaintiff? (Yes or No)</w:t>
      </w:r>
    </w:p>
    <w:p w14:paraId="5889E2F2" w14:textId="77777777" w:rsidR="00F57A2B" w:rsidRPr="00F57A2B" w:rsidRDefault="00F57A2B" w:rsidP="00F57A2B">
      <w:pPr>
        <w:ind w:firstLine="720"/>
        <w:rPr>
          <w:rFonts w:eastAsia="Times New Roman"/>
          <w:b/>
          <w:sz w:val="24"/>
          <w:szCs w:val="24"/>
        </w:rPr>
      </w:pPr>
    </w:p>
    <w:p w14:paraId="3CD4480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6DB7CB9" w14:textId="77777777" w:rsidR="00F57A2B" w:rsidRPr="00F57A2B" w:rsidRDefault="00F57A2B" w:rsidP="00F57A2B">
      <w:pPr>
        <w:ind w:firstLine="720"/>
        <w:rPr>
          <w:rFonts w:eastAsia="Times New Roman"/>
          <w:b/>
          <w:sz w:val="24"/>
          <w:szCs w:val="24"/>
        </w:rPr>
      </w:pPr>
    </w:p>
    <w:p w14:paraId="1D4C92A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1DA4165F" w14:textId="77777777" w:rsidR="00F57A2B" w:rsidRPr="00F57A2B" w:rsidRDefault="00F57A2B" w:rsidP="00F57A2B">
      <w:pPr>
        <w:ind w:firstLine="720"/>
        <w:rPr>
          <w:rFonts w:eastAsia="Times New Roman"/>
          <w:b/>
          <w:sz w:val="24"/>
          <w:szCs w:val="24"/>
        </w:rPr>
      </w:pPr>
    </w:p>
    <w:p w14:paraId="3AFB09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4BA20561" w14:textId="77777777" w:rsidR="00F57A2B" w:rsidRPr="00F57A2B" w:rsidRDefault="00F57A2B" w:rsidP="00F57A2B">
      <w:pPr>
        <w:ind w:firstLine="720"/>
        <w:rPr>
          <w:rFonts w:eastAsia="Times New Roman"/>
          <w:b/>
          <w:sz w:val="24"/>
          <w:szCs w:val="24"/>
        </w:rPr>
      </w:pPr>
    </w:p>
    <w:p w14:paraId="21B52B9D"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3E56E38D" w14:textId="77777777" w:rsidR="00F57A2B" w:rsidRPr="00F57A2B" w:rsidRDefault="00F57A2B" w:rsidP="00F57A2B">
      <w:pPr>
        <w:ind w:firstLine="720"/>
        <w:rPr>
          <w:rFonts w:eastAsia="Times New Roman"/>
          <w:b/>
          <w:sz w:val="24"/>
          <w:szCs w:val="24"/>
        </w:rPr>
      </w:pPr>
    </w:p>
    <w:p w14:paraId="266476E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77337913" w14:textId="77777777" w:rsidR="00F57A2B" w:rsidRPr="00F57A2B" w:rsidRDefault="00F57A2B" w:rsidP="00F57A2B">
      <w:pPr>
        <w:ind w:firstLine="720"/>
        <w:rPr>
          <w:rFonts w:eastAsia="Times New Roman"/>
          <w:b/>
          <w:sz w:val="24"/>
          <w:szCs w:val="24"/>
        </w:rPr>
      </w:pPr>
    </w:p>
    <w:p w14:paraId="0CB8CE5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If you find that the plaintiff did have (injuries) (damages) (losses), and you further find that (the defendant) (one or more of the defendants) was (negligent) (or) (at fault) and that such (negligence) (or) (fault) was a cause of any of the plaintiff’s (injuries) (damages) (losses), then answer the following questions:</w:t>
      </w:r>
    </w:p>
    <w:p w14:paraId="28D0533E" w14:textId="77777777" w:rsidR="00F57A2B" w:rsidRPr="00F57A2B" w:rsidRDefault="00F57A2B" w:rsidP="00F57A2B">
      <w:pPr>
        <w:ind w:firstLine="720"/>
        <w:rPr>
          <w:rFonts w:eastAsia="Times New Roman"/>
          <w:b/>
          <w:sz w:val="24"/>
          <w:szCs w:val="24"/>
        </w:rPr>
      </w:pPr>
    </w:p>
    <w:p w14:paraId="5B164C7C"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i/>
          <w:sz w:val="24"/>
          <w:szCs w:val="24"/>
        </w:rPr>
        <w:t xml:space="preserve"> </w:t>
      </w:r>
      <w:r w:rsidRPr="00F57A2B">
        <w:rPr>
          <w:rFonts w:eastAsia="Times New Roman"/>
          <w:b/>
          <w:sz w:val="24"/>
          <w:szCs w:val="24"/>
        </w:rPr>
        <w:t>(negligent) (or) (at fault)? (Yes or No)</w:t>
      </w:r>
    </w:p>
    <w:p w14:paraId="01811E85" w14:textId="77777777" w:rsidR="00F57A2B" w:rsidRPr="00F57A2B" w:rsidRDefault="00F57A2B" w:rsidP="00F57A2B">
      <w:pPr>
        <w:ind w:firstLine="720"/>
        <w:rPr>
          <w:rFonts w:eastAsia="Times New Roman"/>
          <w:b/>
          <w:sz w:val="24"/>
          <w:szCs w:val="24"/>
        </w:rPr>
      </w:pPr>
    </w:p>
    <w:p w14:paraId="517C964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9D0F76" w14:textId="77777777" w:rsidR="00F57A2B" w:rsidRPr="00F57A2B" w:rsidRDefault="00F57A2B" w:rsidP="00F57A2B">
      <w:pPr>
        <w:ind w:firstLine="720"/>
        <w:rPr>
          <w:rFonts w:eastAsia="Times New Roman"/>
          <w:b/>
          <w:sz w:val="24"/>
          <w:szCs w:val="24"/>
        </w:rPr>
      </w:pPr>
    </w:p>
    <w:p w14:paraId="2B66EAA0"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 (Yes or No)</w:t>
      </w:r>
    </w:p>
    <w:p w14:paraId="2643BDEA" w14:textId="77777777" w:rsidR="00F57A2B" w:rsidRPr="00F57A2B" w:rsidRDefault="00F57A2B" w:rsidP="00F57A2B">
      <w:pPr>
        <w:ind w:firstLine="720"/>
        <w:rPr>
          <w:rFonts w:eastAsia="Times New Roman"/>
          <w:b/>
          <w:sz w:val="24"/>
          <w:szCs w:val="24"/>
        </w:rPr>
      </w:pPr>
    </w:p>
    <w:p w14:paraId="0FD97FE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60D1FE8" w14:textId="77777777" w:rsidR="00F57A2B" w:rsidRPr="00F57A2B" w:rsidRDefault="00F57A2B" w:rsidP="00F57A2B">
      <w:pPr>
        <w:ind w:firstLine="720"/>
        <w:rPr>
          <w:rFonts w:eastAsia="Times New Roman"/>
          <w:b/>
          <w:sz w:val="24"/>
          <w:szCs w:val="24"/>
        </w:rPr>
      </w:pPr>
    </w:p>
    <w:p w14:paraId="608DD0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8. State your answers to the following questions relating to the plaintiff’s damages that were caused by the (negligence) (or) (fault), if any,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7E50E7" w14:textId="77777777" w:rsidR="00F57A2B" w:rsidRPr="00F57A2B" w:rsidRDefault="00F57A2B" w:rsidP="00F57A2B">
      <w:pPr>
        <w:rPr>
          <w:rFonts w:eastAsia="Times New Roman"/>
          <w:b/>
          <w:sz w:val="24"/>
          <w:szCs w:val="24"/>
        </w:rPr>
      </w:pPr>
    </w:p>
    <w:p w14:paraId="77F289B4" w14:textId="77777777" w:rsidR="00F57A2B" w:rsidRPr="00F57A2B" w:rsidRDefault="00F57A2B" w:rsidP="00F57A2B">
      <w:pPr>
        <w:ind w:left="720"/>
        <w:rPr>
          <w:rFonts w:eastAsia="Times New Roman"/>
          <w:b/>
          <w:sz w:val="24"/>
          <w:szCs w:val="24"/>
        </w:rPr>
      </w:pPr>
      <w:r w:rsidRPr="00F57A2B">
        <w:rPr>
          <w:rFonts w:eastAsia="Times New Roman"/>
          <w:b/>
          <w:sz w:val="24"/>
          <w:szCs w:val="24"/>
        </w:rPr>
        <w:lastRenderedPageBreak/>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57A2B">
        <w:rPr>
          <w:rFonts w:eastAsia="Times New Roman"/>
          <w:i/>
          <w:sz w:val="24"/>
          <w:szCs w:val="24"/>
        </w:rPr>
        <w:t>(insert number of the applicable Instruction on damages)</w:t>
      </w:r>
      <w:r w:rsidRPr="00F57A2B">
        <w:rPr>
          <w:rFonts w:eastAsia="Times New Roman"/>
          <w:b/>
          <w:sz w:val="24"/>
          <w:szCs w:val="24"/>
        </w:rPr>
        <w:t>. You should answer “0” if you determine there were none.</w:t>
      </w:r>
    </w:p>
    <w:p w14:paraId="2E99ABCA" w14:textId="77777777" w:rsidR="00F57A2B" w:rsidRPr="00F57A2B" w:rsidRDefault="00F57A2B" w:rsidP="00F57A2B">
      <w:pPr>
        <w:ind w:left="720"/>
        <w:rPr>
          <w:rFonts w:eastAsia="Times New Roman"/>
          <w:b/>
          <w:sz w:val="24"/>
          <w:szCs w:val="24"/>
        </w:rPr>
      </w:pPr>
    </w:p>
    <w:p w14:paraId="58601F5A"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7A9F97A8" w14:textId="77777777" w:rsidR="00F57A2B" w:rsidRPr="00F57A2B" w:rsidRDefault="00F57A2B" w:rsidP="00F57A2B">
      <w:pPr>
        <w:ind w:left="720"/>
        <w:rPr>
          <w:rFonts w:eastAsia="Times New Roman"/>
          <w:b/>
          <w:sz w:val="24"/>
          <w:szCs w:val="24"/>
        </w:rPr>
      </w:pPr>
    </w:p>
    <w:p w14:paraId="578A11AC"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57A2B">
        <w:rPr>
          <w:rFonts w:eastAsia="Times New Roman"/>
          <w:i/>
          <w:sz w:val="24"/>
          <w:szCs w:val="24"/>
        </w:rPr>
        <w:t>(insert number of applicable Instruction on damages)</w:t>
      </w:r>
      <w:r w:rsidRPr="00F57A2B">
        <w:rPr>
          <w:rFonts w:eastAsia="Times New Roman"/>
          <w:b/>
          <w:sz w:val="24"/>
          <w:szCs w:val="24"/>
        </w:rPr>
        <w:t>. You should answer “0” if you determine there were none.</w:t>
      </w:r>
    </w:p>
    <w:p w14:paraId="66D4E73F" w14:textId="77777777" w:rsidR="00F57A2B" w:rsidRPr="00F57A2B" w:rsidRDefault="00F57A2B" w:rsidP="00F57A2B">
      <w:pPr>
        <w:ind w:left="720"/>
        <w:rPr>
          <w:rFonts w:eastAsia="Times New Roman"/>
          <w:b/>
          <w:sz w:val="24"/>
          <w:szCs w:val="24"/>
        </w:rPr>
      </w:pPr>
    </w:p>
    <w:p w14:paraId="10B84E15"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09982837" w14:textId="77777777" w:rsidR="00F57A2B" w:rsidRPr="00F57A2B" w:rsidRDefault="00F57A2B" w:rsidP="00F57A2B">
      <w:pPr>
        <w:ind w:left="720"/>
        <w:rPr>
          <w:rFonts w:eastAsia="Times New Roman"/>
          <w:b/>
          <w:sz w:val="24"/>
          <w:szCs w:val="24"/>
        </w:rPr>
      </w:pPr>
    </w:p>
    <w:p w14:paraId="2D4B7C61" w14:textId="77777777" w:rsidR="00F57A2B" w:rsidRPr="00F57A2B" w:rsidRDefault="00F57A2B" w:rsidP="00F57A2B">
      <w:pPr>
        <w:ind w:left="720"/>
        <w:rPr>
          <w:rFonts w:eastAsia="Times New Roman"/>
          <w:b/>
          <w:sz w:val="24"/>
          <w:szCs w:val="24"/>
        </w:rPr>
      </w:pPr>
      <w:r w:rsidRPr="00F57A2B">
        <w:rPr>
          <w:rFonts w:eastAsia="Times New Roman"/>
          <w:b/>
          <w:sz w:val="24"/>
          <w:szCs w:val="24"/>
        </w:rPr>
        <w:t>(c. What is the total amount of the plaintiff’s damages, if any, for [physical impairment] [or] [disfigurement]? You should answer “0” if you determine there were none.)</w:t>
      </w:r>
    </w:p>
    <w:p w14:paraId="43EF6A22" w14:textId="77777777" w:rsidR="00F57A2B" w:rsidRPr="00F57A2B" w:rsidRDefault="00F57A2B" w:rsidP="00F57A2B">
      <w:pPr>
        <w:ind w:left="720"/>
        <w:rPr>
          <w:rFonts w:eastAsia="Times New Roman"/>
          <w:b/>
          <w:sz w:val="24"/>
          <w:szCs w:val="24"/>
        </w:rPr>
      </w:pPr>
    </w:p>
    <w:p w14:paraId="52C76C79"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47993ACB" w14:textId="77777777" w:rsidR="00F57A2B" w:rsidRPr="00F57A2B" w:rsidRDefault="00F57A2B" w:rsidP="00F57A2B">
      <w:pPr>
        <w:rPr>
          <w:rFonts w:eastAsia="Times New Roman"/>
          <w:b/>
          <w:sz w:val="24"/>
          <w:szCs w:val="24"/>
        </w:rPr>
      </w:pPr>
    </w:p>
    <w:p w14:paraId="5C71599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 Enter the figure zero, “0,” for the nonparty (and any defendant) you decide was not (negligent) (or) (at fault) or whose (negligence) (or) (fault) you decide was not a cause of any of the plaintiff’s (injuries) (damages) (losses).</w:t>
      </w:r>
    </w:p>
    <w:p w14:paraId="038783AD" w14:textId="77777777" w:rsidR="00F57A2B" w:rsidRPr="00F57A2B" w:rsidRDefault="00F57A2B" w:rsidP="00F57A2B">
      <w:pPr>
        <w:rPr>
          <w:rFonts w:eastAsia="Times New Roman"/>
          <w:b/>
          <w:sz w:val="24"/>
          <w:szCs w:val="24"/>
        </w:rPr>
      </w:pPr>
    </w:p>
    <w:p w14:paraId="00D33AB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w:t>
      </w:r>
    </w:p>
    <w:p w14:paraId="427F9701" w14:textId="77777777" w:rsidR="00F57A2B" w:rsidRPr="00F57A2B" w:rsidRDefault="00F57A2B" w:rsidP="00F57A2B">
      <w:pPr>
        <w:rPr>
          <w:rFonts w:eastAsia="Times New Roman"/>
          <w:b/>
          <w:sz w:val="24"/>
          <w:szCs w:val="24"/>
        </w:rPr>
      </w:pPr>
    </w:p>
    <w:p w14:paraId="33D0E120"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first or only defendant)</w:t>
      </w:r>
      <w:r w:rsidRPr="00F57A2B">
        <w:rPr>
          <w:rFonts w:eastAsia="Times New Roman"/>
          <w:b/>
          <w:sz w:val="24"/>
          <w:szCs w:val="24"/>
        </w:rPr>
        <w:t>:</w:t>
      </w:r>
      <w:r w:rsidRPr="00F57A2B">
        <w:rPr>
          <w:rFonts w:eastAsia="Times New Roman"/>
          <w:b/>
          <w:sz w:val="24"/>
          <w:szCs w:val="24"/>
        </w:rPr>
        <w:tab/>
        <w:t>_______%</w:t>
      </w:r>
    </w:p>
    <w:p w14:paraId="6F594CCF" w14:textId="77777777" w:rsidR="00F57A2B" w:rsidRPr="00F57A2B" w:rsidRDefault="00F57A2B" w:rsidP="00F57A2B">
      <w:pPr>
        <w:tabs>
          <w:tab w:val="right" w:pos="7920"/>
        </w:tabs>
        <w:rPr>
          <w:rFonts w:eastAsia="Times New Roman"/>
          <w:b/>
          <w:sz w:val="24"/>
          <w:szCs w:val="24"/>
        </w:rPr>
      </w:pPr>
    </w:p>
    <w:p w14:paraId="4FE48647"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second defendant)</w:t>
      </w:r>
      <w:r w:rsidRPr="00F57A2B">
        <w:rPr>
          <w:rFonts w:eastAsia="Times New Roman"/>
          <w:b/>
          <w:sz w:val="24"/>
          <w:szCs w:val="24"/>
        </w:rPr>
        <w:t>:</w:t>
      </w:r>
      <w:r w:rsidRPr="00F57A2B">
        <w:rPr>
          <w:rFonts w:eastAsia="Times New Roman"/>
          <w:b/>
          <w:sz w:val="24"/>
          <w:szCs w:val="24"/>
        </w:rPr>
        <w:tab/>
        <w:t>_______%</w:t>
      </w:r>
    </w:p>
    <w:p w14:paraId="0D002CFC" w14:textId="77777777" w:rsidR="00F57A2B" w:rsidRPr="00F57A2B" w:rsidRDefault="00F57A2B" w:rsidP="00F57A2B">
      <w:pPr>
        <w:tabs>
          <w:tab w:val="right" w:pos="7920"/>
        </w:tabs>
        <w:rPr>
          <w:rFonts w:eastAsia="Times New Roman"/>
          <w:b/>
          <w:sz w:val="24"/>
          <w:szCs w:val="24"/>
        </w:rPr>
      </w:pPr>
    </w:p>
    <w:p w14:paraId="5ACA7532"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nonparty)</w:t>
      </w:r>
      <w:r w:rsidRPr="00F57A2B">
        <w:rPr>
          <w:rFonts w:eastAsia="Times New Roman"/>
          <w:b/>
          <w:sz w:val="24"/>
          <w:szCs w:val="24"/>
        </w:rPr>
        <w:t>:</w:t>
      </w:r>
      <w:r w:rsidRPr="00F57A2B">
        <w:rPr>
          <w:rFonts w:eastAsia="Times New Roman"/>
          <w:b/>
          <w:sz w:val="24"/>
          <w:szCs w:val="24"/>
        </w:rPr>
        <w:tab/>
        <w:t>_______%</w:t>
      </w:r>
    </w:p>
    <w:p w14:paraId="23FEDB1A" w14:textId="77777777" w:rsidR="00F57A2B" w:rsidRPr="00F57A2B" w:rsidRDefault="00F57A2B" w:rsidP="00F57A2B">
      <w:pPr>
        <w:tabs>
          <w:tab w:val="right" w:pos="7920"/>
        </w:tabs>
        <w:rPr>
          <w:rFonts w:eastAsia="Times New Roman"/>
          <w:b/>
          <w:sz w:val="24"/>
          <w:szCs w:val="24"/>
        </w:rPr>
      </w:pPr>
    </w:p>
    <w:p w14:paraId="0328496B"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ab/>
        <w:t>MUST TOTAL:    100%</w:t>
      </w:r>
    </w:p>
    <w:p w14:paraId="3B954099" w14:textId="77777777" w:rsidR="00F57A2B" w:rsidRPr="00F57A2B" w:rsidRDefault="00F57A2B" w:rsidP="00F57A2B">
      <w:pPr>
        <w:tabs>
          <w:tab w:val="right" w:pos="7920"/>
        </w:tabs>
        <w:rPr>
          <w:rFonts w:eastAsia="Times New Roman"/>
          <w:b/>
          <w:sz w:val="24"/>
          <w:szCs w:val="24"/>
        </w:rPr>
      </w:pPr>
    </w:p>
    <w:p w14:paraId="67DC064C" w14:textId="77777777" w:rsidR="00F57A2B" w:rsidRPr="00F57A2B" w:rsidRDefault="00F57A2B" w:rsidP="00F57A2B">
      <w:pPr>
        <w:rPr>
          <w:rFonts w:eastAsia="Times New Roman"/>
          <w:b/>
          <w:sz w:val="24"/>
          <w:szCs w:val="24"/>
        </w:rPr>
      </w:pPr>
    </w:p>
    <w:p w14:paraId="7EEA84D8"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05F7609D" w14:textId="77777777" w:rsidR="00F57A2B" w:rsidRPr="00F57A2B" w:rsidRDefault="00F57A2B" w:rsidP="00F57A2B">
      <w:pPr>
        <w:rPr>
          <w:rFonts w:eastAsia="Times New Roman"/>
          <w:b/>
          <w:sz w:val="24"/>
          <w:szCs w:val="24"/>
        </w:rPr>
      </w:pPr>
    </w:p>
    <w:p w14:paraId="7E420A2C"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68D4174"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3414E891" w14:textId="77777777" w:rsidR="00F57A2B" w:rsidRPr="00F57A2B" w:rsidRDefault="00F57A2B" w:rsidP="00F57A2B">
      <w:pPr>
        <w:rPr>
          <w:rFonts w:eastAsia="Times New Roman"/>
          <w:b/>
          <w:sz w:val="24"/>
          <w:szCs w:val="24"/>
        </w:rPr>
      </w:pPr>
      <w:r w:rsidRPr="00F57A2B">
        <w:rPr>
          <w:rFonts w:eastAsia="Times New Roman"/>
          <w:b/>
          <w:sz w:val="24"/>
          <w:szCs w:val="24"/>
        </w:rPr>
        <w:lastRenderedPageBreak/>
        <w:t xml:space="preserve">     ______________________________  ______________________________</w:t>
      </w:r>
    </w:p>
    <w:p w14:paraId="212ACBF5" w14:textId="77777777" w:rsidR="00F57A2B" w:rsidRPr="00F57A2B" w:rsidRDefault="00F57A2B" w:rsidP="00F57A2B">
      <w:pPr>
        <w:rPr>
          <w:rFonts w:eastAsia="Times New Roman"/>
          <w:b/>
          <w:sz w:val="24"/>
          <w:szCs w:val="24"/>
        </w:rPr>
      </w:pPr>
    </w:p>
    <w:p w14:paraId="01DF423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6CFBBAAD" w14:textId="77777777" w:rsidR="00F57A2B" w:rsidRDefault="00F57A2B" w:rsidP="00F57A2B">
      <w:pPr>
        <w:spacing w:after="240"/>
        <w:ind w:firstLine="720"/>
        <w:rPr>
          <w:rFonts w:eastAsia="Times New Roman"/>
          <w:sz w:val="24"/>
          <w:szCs w:val="24"/>
        </w:rPr>
      </w:pPr>
    </w:p>
    <w:p w14:paraId="10356D5F" w14:textId="77777777" w:rsidR="00F57A2B" w:rsidRDefault="00F57A2B" w:rsidP="00F57A2B">
      <w:pPr>
        <w:jc w:val="center"/>
        <w:rPr>
          <w:rFonts w:eastAsia="Times New Roman"/>
          <w:sz w:val="24"/>
          <w:szCs w:val="24"/>
        </w:rPr>
      </w:pPr>
    </w:p>
    <w:p w14:paraId="6CB19CEA"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74DDC12E"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 Notes on Use to Instructions 9:24 and 9:29.</w:t>
      </w:r>
    </w:p>
    <w:p w14:paraId="7A48EB6E"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A7CE68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04A5985A" w14:textId="77777777" w:rsidR="0052537F" w:rsidRDefault="0052537F">
      <w:pPr>
        <w:rPr>
          <w:rFonts w:eastAsia="Times New Roman"/>
          <w:bCs/>
          <w:sz w:val="24"/>
          <w:szCs w:val="24"/>
        </w:rPr>
      </w:pPr>
      <w:r>
        <w:rPr>
          <w:rFonts w:eastAsia="Times New Roman"/>
          <w:bCs/>
          <w:sz w:val="24"/>
          <w:szCs w:val="24"/>
        </w:rPr>
        <w:br w:type="page"/>
      </w:r>
    </w:p>
    <w:p w14:paraId="5FD2621A" w14:textId="734C3F43" w:rsidR="0052537F" w:rsidRDefault="004A4F5B" w:rsidP="0052537F">
      <w:pPr>
        <w:spacing w:after="240"/>
        <w:jc w:val="center"/>
        <w:rPr>
          <w:rFonts w:eastAsia="Times New Roman"/>
          <w:b/>
          <w:sz w:val="24"/>
          <w:szCs w:val="24"/>
        </w:rPr>
      </w:pPr>
      <w:r>
        <w:rPr>
          <w:rFonts w:eastAsia="Times New Roman"/>
          <w:b/>
          <w:sz w:val="24"/>
          <w:szCs w:val="24"/>
        </w:rPr>
        <w:lastRenderedPageBreak/>
        <w:t xml:space="preserve">D. </w:t>
      </w:r>
      <w:r w:rsidR="0052537F" w:rsidRPr="0052537F">
        <w:rPr>
          <w:rFonts w:eastAsia="Times New Roman"/>
          <w:b/>
          <w:sz w:val="24"/>
          <w:szCs w:val="24"/>
        </w:rPr>
        <w:t>WILLFUL AND WANTON NEGLIGENCE</w:t>
      </w:r>
    </w:p>
    <w:p w14:paraId="250A5C22" w14:textId="77777777" w:rsidR="0052537F" w:rsidRPr="009E3DA4" w:rsidRDefault="0052537F" w:rsidP="0052537F">
      <w:pPr>
        <w:spacing w:after="240"/>
        <w:ind w:left="720" w:hanging="720"/>
        <w:rPr>
          <w:rFonts w:eastAsia="Times New Roman"/>
          <w:b/>
          <w:sz w:val="24"/>
          <w:szCs w:val="24"/>
        </w:rPr>
      </w:pPr>
      <w:bookmarkStart w:id="48" w:name="a9_30"/>
      <w:bookmarkEnd w:id="48"/>
      <w:r w:rsidRPr="0052537F">
        <w:rPr>
          <w:rFonts w:eastAsia="Times New Roman"/>
          <w:b/>
          <w:sz w:val="24"/>
          <w:szCs w:val="24"/>
        </w:rPr>
        <w:t xml:space="preserve">9:30 </w:t>
      </w:r>
      <w:r w:rsidRPr="0052537F">
        <w:rPr>
          <w:rFonts w:eastAsia="Times New Roman"/>
          <w:b/>
          <w:sz w:val="24"/>
          <w:szCs w:val="24"/>
        </w:rPr>
        <w:tab/>
        <w:t>WILLFUL AND WANTON CONDUCT OR WILLFUL AND RECKLESS DISREGARD — DEFINED</w:t>
      </w:r>
    </w:p>
    <w:p w14:paraId="197D5248"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(“Willful and wanton conduct”) (“Wanton and reckless disregard of the rights and feelings of others”) means an act or omission purposefully committed by a person who must have realized that the conduct was dangerous, and which conduct was done heedlessly and recklessly, either without regard to the consequences, or without regard to the rights and safety of others, particularly the plaintiff.</w:t>
      </w:r>
    </w:p>
    <w:p w14:paraId="77CA4408" w14:textId="77777777" w:rsidR="0052537F" w:rsidRDefault="0052537F" w:rsidP="0052537F">
      <w:pPr>
        <w:jc w:val="center"/>
        <w:rPr>
          <w:rFonts w:eastAsia="Times New Roman"/>
          <w:sz w:val="24"/>
          <w:szCs w:val="24"/>
        </w:rPr>
      </w:pPr>
    </w:p>
    <w:p w14:paraId="25A0E9BC" w14:textId="77777777" w:rsidR="0052537F" w:rsidRPr="0054263B" w:rsidRDefault="0052537F" w:rsidP="0052537F">
      <w:pPr>
        <w:keepNext/>
        <w:spacing w:after="240"/>
        <w:jc w:val="center"/>
        <w:rPr>
          <w:rFonts w:eastAsia="Times New Roman"/>
          <w:b/>
          <w:sz w:val="24"/>
          <w:szCs w:val="24"/>
        </w:rPr>
      </w:pPr>
      <w:r w:rsidRPr="0054263B">
        <w:rPr>
          <w:rFonts w:eastAsia="Times New Roman"/>
          <w:b/>
          <w:sz w:val="24"/>
          <w:szCs w:val="24"/>
        </w:rPr>
        <w:t>Notes on Use</w:t>
      </w:r>
    </w:p>
    <w:p w14:paraId="29338A78"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This instruction, using whichever parenthesized words are appropriate, should be used with Instruction 5:4 (exemplary or punitive damages).</w:t>
      </w:r>
    </w:p>
    <w:p w14:paraId="3953E7C6"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When necessary, this instruction may also be used, with appropriate modifications, to define such phrases as “willful and wanton negligence,” “willful and reckless negligence,” etc.</w:t>
      </w:r>
    </w:p>
    <w:p w14:paraId="62EF6A0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Source and Authority</w:t>
      </w:r>
    </w:p>
    <w:p w14:paraId="15C352E1"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1. This instruction is supported by section 13-21-102(1)(b), C.R.S., which appears to be a codification of the three basic ideas common to “willful,” “wanton,” or “reckless” conduct that run through the cases: (1) the conduct must have created a higher-than-normal risk of harm; (2) the defendant must have been aware of the risk (i.e., acted purposefully); and (3) the defendant must have acted “heedlessly” (i.e., without justification) in disregard of the rights of others.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Tri-Aspen Constr. Co. v. Johnson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714 P.2d 484 (Colo. 1986) (to justify award of punitive damages, act complained of must have been performed with such a wanton and reckless disregard of plaintiff’s rights as to evidence a “wrongful motive”); </w:t>
      </w:r>
      <w:r w:rsidRPr="0052537F">
        <w:rPr>
          <w:rFonts w:eastAsia="Times New Roman"/>
          <w:b/>
          <w:bCs/>
          <w:sz w:val="24"/>
          <w:szCs w:val="24"/>
        </w:rPr>
        <w:t>Palmer v. A.H. Robins Co., Inc.</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684 P.2d 187 (Colo. 1984) (purposely performed with an awareness of the risk); </w:t>
      </w:r>
      <w:r w:rsidRPr="0052537F">
        <w:rPr>
          <w:rFonts w:eastAsia="Times New Roman"/>
          <w:b/>
          <w:bCs/>
          <w:sz w:val="24"/>
          <w:szCs w:val="24"/>
        </w:rPr>
        <w:t>Core-Mark Midcontinent, Inc. v. Sonitrol Corp.</w:t>
      </w:r>
      <w:r w:rsidRPr="0052537F">
        <w:rPr>
          <w:rFonts w:eastAsia="Times New Roman"/>
          <w:bCs/>
          <w:sz w:val="24"/>
          <w:szCs w:val="24"/>
        </w:rPr>
        <w:t xml:space="preserve">, 2012 COA 120, ¶¶ 18-19, 300 P.3d 963 (discussing willful and wanton conduct under tort and contract law); </w:t>
      </w:r>
      <w:r w:rsidRPr="0052537F">
        <w:rPr>
          <w:rFonts w:eastAsia="Times New Roman"/>
          <w:b/>
          <w:bCs/>
          <w:sz w:val="24"/>
          <w:szCs w:val="24"/>
        </w:rPr>
        <w:t>U.S. Fire Ins. Co. v. Sonitrol Mgmt. Corp.</w:t>
      </w:r>
      <w:r w:rsidRPr="0052537F">
        <w:rPr>
          <w:rFonts w:eastAsia="Times New Roman"/>
          <w:bCs/>
          <w:sz w:val="24"/>
          <w:szCs w:val="24"/>
        </w:rPr>
        <w:t xml:space="preserve">, 192 P.3d 543, 549 (Colo. App. 2008) (evidence of burglar alarm monitoring company’s failures to respond to multiple automated alarm notifications of a burglary in progress was sufficient to support jury finding of “purposeful conduct committed recklessly with conscious disregard for the rights and safety of others”); </w:t>
      </w:r>
      <w:r w:rsidRPr="0052537F">
        <w:rPr>
          <w:rFonts w:eastAsia="Times New Roman"/>
          <w:b/>
          <w:bCs/>
          <w:sz w:val="24"/>
          <w:szCs w:val="24"/>
        </w:rPr>
        <w:t>Forman v. Brown</w:t>
      </w:r>
      <w:r w:rsidRPr="0052537F">
        <w:rPr>
          <w:rFonts w:eastAsia="Times New Roman"/>
          <w:bCs/>
          <w:sz w:val="24"/>
          <w:szCs w:val="24"/>
        </w:rPr>
        <w:t xml:space="preserve">, 944 P.2d 559, 564 (Colo. App. 1996) (“purposeful conduct committed recklessly that exhibits an intent consciously to disregard the safety of others”); </w:t>
      </w:r>
      <w:r w:rsidRPr="0052537F">
        <w:rPr>
          <w:rFonts w:eastAsia="Times New Roman"/>
          <w:b/>
          <w:bCs/>
          <w:sz w:val="24"/>
          <w:szCs w:val="24"/>
        </w:rPr>
        <w:t>Miller v. Solaglas Cal., Inc.</w:t>
      </w:r>
      <w:r w:rsidRPr="0052537F">
        <w:rPr>
          <w:rFonts w:eastAsia="Times New Roman"/>
          <w:bCs/>
          <w:sz w:val="24"/>
          <w:szCs w:val="24"/>
        </w:rPr>
        <w:t xml:space="preserve">, 870 P.2d 559 (Colo. App. 1993) (declining to apply a “knew or should have known” standard); </w:t>
      </w:r>
      <w:r w:rsidRPr="0052537F">
        <w:rPr>
          <w:rFonts w:eastAsia="Times New Roman"/>
          <w:b/>
          <w:bCs/>
          <w:sz w:val="24"/>
          <w:szCs w:val="24"/>
        </w:rPr>
        <w:t>Messler v. Phillips</w:t>
      </w:r>
      <w:r w:rsidRPr="0052537F">
        <w:rPr>
          <w:rFonts w:eastAsia="Times New Roman"/>
          <w:bCs/>
          <w:sz w:val="24"/>
          <w:szCs w:val="24"/>
        </w:rPr>
        <w:t xml:space="preserve">, 867 P.2d 128 (Colo. App. 1993);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Terror Mining Co. v. Roter</w:t>
      </w:r>
      <w:r w:rsidRPr="0052537F">
        <w:rPr>
          <w:rFonts w:eastAsia="Times New Roman"/>
          <w:bCs/>
          <w:sz w:val="24"/>
          <w:szCs w:val="24"/>
        </w:rPr>
        <w:t xml:space="preserve">, 866 P.2d 929 (Colo. 1994); </w:t>
      </w:r>
      <w:r w:rsidRPr="0052537F">
        <w:rPr>
          <w:rFonts w:eastAsia="Times New Roman"/>
          <w:b/>
          <w:bCs/>
          <w:sz w:val="24"/>
          <w:szCs w:val="24"/>
        </w:rPr>
        <w:t>Foster v. Redding</w:t>
      </w:r>
      <w:r w:rsidRPr="0052537F">
        <w:rPr>
          <w:rFonts w:eastAsia="Times New Roman"/>
          <w:bCs/>
          <w:sz w:val="24"/>
          <w:szCs w:val="24"/>
        </w:rPr>
        <w:t xml:space="preserve">, 97 Colo. 4, 45 P.2d 940 (1935) (no material difference between phrase “willful and wanton” as used in guest statute (now repealed) and phrase “wanton and reckless” as used in exemplary damages statute); </w:t>
      </w:r>
      <w:r w:rsidRPr="0052537F">
        <w:rPr>
          <w:rFonts w:eastAsia="Times New Roman"/>
          <w:b/>
          <w:bCs/>
          <w:sz w:val="24"/>
          <w:szCs w:val="24"/>
        </w:rPr>
        <w:t>Clark v. Small</w:t>
      </w:r>
      <w:r w:rsidRPr="0052537F">
        <w:rPr>
          <w:rFonts w:eastAsia="Times New Roman"/>
          <w:bCs/>
          <w:sz w:val="24"/>
          <w:szCs w:val="24"/>
        </w:rPr>
        <w:t xml:space="preserve">, 80 Colo. 227, 250 P. 385 (1926) (punitive damages); </w:t>
      </w:r>
      <w:r w:rsidRPr="0052537F">
        <w:rPr>
          <w:rFonts w:eastAsia="Times New Roman"/>
          <w:b/>
          <w:bCs/>
          <w:sz w:val="24"/>
          <w:szCs w:val="24"/>
        </w:rPr>
        <w:t>Jacobs v. Commonwealth Highland Theatres, Inc.</w:t>
      </w:r>
      <w:r w:rsidRPr="0052537F">
        <w:rPr>
          <w:rFonts w:eastAsia="Times New Roman"/>
          <w:bCs/>
          <w:sz w:val="24"/>
          <w:szCs w:val="24"/>
        </w:rPr>
        <w:t>, 738 P.2d 6 (Colo. App. 1986) (punitive damages).</w:t>
      </w:r>
    </w:p>
    <w:p w14:paraId="014F4E65"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lastRenderedPageBreak/>
        <w:t>2. By way of analogy, section 18-1-501(8), C.R.S., defines “recklessly” in the criminal law using these same three basic ideas. “A person acts recklessly when he consciously disregards a substantial and unjustifiable risk that a result will occur . . . .” One acts “willfully” under the Colorado Criminal Code “when he is aware that his conduct is practically certain to cause the result.” § 18-1-501(6).</w:t>
      </w:r>
    </w:p>
    <w:p w14:paraId="5A7F2533"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3. For cases decided under the former guest statute, see </w:t>
      </w:r>
      <w:r w:rsidRPr="0052537F">
        <w:rPr>
          <w:rFonts w:eastAsia="Times New Roman"/>
          <w:b/>
          <w:bCs/>
          <w:sz w:val="24"/>
          <w:szCs w:val="24"/>
        </w:rPr>
        <w:t>Coffman v. Seifert</w:t>
      </w:r>
      <w:r w:rsidRPr="0052537F">
        <w:rPr>
          <w:rFonts w:eastAsia="Times New Roman"/>
          <w:bCs/>
          <w:sz w:val="24"/>
          <w:szCs w:val="24"/>
        </w:rPr>
        <w:t xml:space="preserve">, 175 Colo. 224, 486 P.2d 422 (1971); </w:t>
      </w:r>
      <w:r w:rsidRPr="0052537F">
        <w:rPr>
          <w:rFonts w:eastAsia="Times New Roman"/>
          <w:b/>
          <w:bCs/>
          <w:sz w:val="24"/>
          <w:szCs w:val="24"/>
        </w:rPr>
        <w:t>Brown v. Spain</w:t>
      </w:r>
      <w:r w:rsidRPr="0052537F">
        <w:rPr>
          <w:rFonts w:eastAsia="Times New Roman"/>
          <w:bCs/>
          <w:sz w:val="24"/>
          <w:szCs w:val="24"/>
        </w:rPr>
        <w:t xml:space="preserve">, 171 Colo. 205, 466 P.2d 462 (1970); </w:t>
      </w:r>
      <w:r w:rsidRPr="0052537F">
        <w:rPr>
          <w:rFonts w:eastAsia="Times New Roman"/>
          <w:b/>
          <w:bCs/>
          <w:sz w:val="24"/>
          <w:szCs w:val="24"/>
        </w:rPr>
        <w:t>Steeves v. Smiley</w:t>
      </w:r>
      <w:r w:rsidRPr="0052537F">
        <w:rPr>
          <w:rFonts w:eastAsia="Times New Roman"/>
          <w:bCs/>
          <w:sz w:val="24"/>
          <w:szCs w:val="24"/>
        </w:rPr>
        <w:t xml:space="preserve">, 144 Colo. 5, 354 P.2d 1011 (1960) (consciously choosing a dangerous course of action with knowledge of facts that a reasonable person would recognize creates a strong probability of injury to others); </w:t>
      </w:r>
      <w:r w:rsidRPr="0052537F">
        <w:rPr>
          <w:rFonts w:eastAsia="Times New Roman"/>
          <w:b/>
          <w:bCs/>
          <w:sz w:val="24"/>
          <w:szCs w:val="24"/>
        </w:rPr>
        <w:t>Hodges v. Ladd</w:t>
      </w:r>
      <w:r w:rsidRPr="0052537F">
        <w:rPr>
          <w:rFonts w:eastAsia="Times New Roman"/>
          <w:bCs/>
          <w:sz w:val="24"/>
          <w:szCs w:val="24"/>
        </w:rPr>
        <w:t xml:space="preserve">, 143 Colo. 143, 352 P.2d 660 (1960) (intentionally disregarding symptoms of sleepiness); </w:t>
      </w:r>
      <w:r w:rsidRPr="0052537F">
        <w:rPr>
          <w:rFonts w:eastAsia="Times New Roman"/>
          <w:b/>
          <w:bCs/>
          <w:sz w:val="24"/>
          <w:szCs w:val="24"/>
        </w:rPr>
        <w:t>Coffman v. Godsoe</w:t>
      </w:r>
      <w:r w:rsidRPr="0052537F">
        <w:rPr>
          <w:rFonts w:eastAsia="Times New Roman"/>
          <w:bCs/>
          <w:sz w:val="24"/>
          <w:szCs w:val="24"/>
        </w:rPr>
        <w:t xml:space="preserve">, 142 Colo. 575, 351 P.2d 808 (1960) (citing and discussing several earlier cases); </w:t>
      </w:r>
      <w:r w:rsidRPr="0052537F">
        <w:rPr>
          <w:rFonts w:eastAsia="Times New Roman"/>
          <w:b/>
          <w:bCs/>
          <w:sz w:val="24"/>
          <w:szCs w:val="24"/>
        </w:rPr>
        <w:t>Burrell v. Anderson</w:t>
      </w:r>
      <w:r w:rsidRPr="0052537F">
        <w:rPr>
          <w:rFonts w:eastAsia="Times New Roman"/>
          <w:bCs/>
          <w:sz w:val="24"/>
          <w:szCs w:val="24"/>
        </w:rPr>
        <w:t xml:space="preserve">, 133 Colo. 386, 295 P.2d 1039 (1956) (negligence resulting from a passive mind is not willful and wanton negligence); </w:t>
      </w:r>
      <w:r w:rsidRPr="0052537F">
        <w:rPr>
          <w:rFonts w:eastAsia="Times New Roman"/>
          <w:b/>
          <w:bCs/>
          <w:sz w:val="24"/>
          <w:szCs w:val="24"/>
        </w:rPr>
        <w:t>Graham v. Shilling</w:t>
      </w:r>
      <w:r w:rsidRPr="0052537F">
        <w:rPr>
          <w:rFonts w:eastAsia="Times New Roman"/>
          <w:bCs/>
          <w:sz w:val="24"/>
          <w:szCs w:val="24"/>
        </w:rPr>
        <w:t xml:space="preserve">, 133 Colo. 5, 291 P.2d 396 (1955); </w:t>
      </w:r>
      <w:r w:rsidRPr="0052537F">
        <w:rPr>
          <w:rFonts w:eastAsia="Times New Roman"/>
          <w:b/>
          <w:bCs/>
          <w:sz w:val="24"/>
          <w:szCs w:val="24"/>
        </w:rPr>
        <w:t>Pettingell v. Moede</w:t>
      </w:r>
      <w:r w:rsidRPr="0052537F">
        <w:rPr>
          <w:rFonts w:eastAsia="Times New Roman"/>
          <w:bCs/>
          <w:sz w:val="24"/>
          <w:szCs w:val="24"/>
        </w:rPr>
        <w:t xml:space="preserve">, 129 Colo. 484, 271 P.2d 1038 (1954); and </w:t>
      </w:r>
      <w:r w:rsidRPr="0052537F">
        <w:rPr>
          <w:rFonts w:eastAsia="Times New Roman"/>
          <w:b/>
          <w:bCs/>
          <w:sz w:val="24"/>
          <w:szCs w:val="24"/>
        </w:rPr>
        <w:t>Helgoth v. Foxhoven</w:t>
      </w:r>
      <w:r w:rsidRPr="0052537F">
        <w:rPr>
          <w:rFonts w:eastAsia="Times New Roman"/>
          <w:bCs/>
          <w:sz w:val="24"/>
          <w:szCs w:val="24"/>
        </w:rPr>
        <w:t>, 125 Colo. 446, 244 P.2d 886 (1952) (citing several earlier cases).</w:t>
      </w:r>
    </w:p>
    <w:p w14:paraId="5AC2EB52"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4. Willful and wanton negligence may consist of either an act or an omission. </w:t>
      </w:r>
      <w:r w:rsidRPr="0052537F">
        <w:rPr>
          <w:rFonts w:eastAsia="Times New Roman"/>
          <w:b/>
          <w:bCs/>
          <w:sz w:val="24"/>
          <w:szCs w:val="24"/>
        </w:rPr>
        <w:t>Millington v. Hiedloff</w:t>
      </w:r>
      <w:r w:rsidRPr="0052537F">
        <w:rPr>
          <w:rFonts w:eastAsia="Times New Roman"/>
          <w:bCs/>
          <w:sz w:val="24"/>
          <w:szCs w:val="24"/>
        </w:rPr>
        <w:t>, 96 Colo. 581, 45 P.2d 937 (1935).</w:t>
      </w:r>
    </w:p>
    <w:p w14:paraId="02CA8D46"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5. Comparative negligence is a defense to willful and wanton negligence. </w:t>
      </w:r>
      <w:r w:rsidRPr="0052537F">
        <w:rPr>
          <w:rFonts w:eastAsia="Times New Roman"/>
          <w:b/>
          <w:bCs/>
          <w:sz w:val="24"/>
          <w:szCs w:val="24"/>
        </w:rPr>
        <w:t>White v. Hansen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837 P.2d 1229 (Colo. 1992); </w:t>
      </w:r>
      <w:r w:rsidRPr="0052537F">
        <w:rPr>
          <w:rFonts w:eastAsia="Times New Roman"/>
          <w:b/>
          <w:bCs/>
          <w:sz w:val="24"/>
          <w:szCs w:val="24"/>
        </w:rPr>
        <w:t>G.E.C. Minerals, Inc. v. Harrison W. Corp.</w:t>
      </w:r>
      <w:r w:rsidRPr="0052537F">
        <w:rPr>
          <w:rFonts w:eastAsia="Times New Roman"/>
          <w:bCs/>
          <w:sz w:val="24"/>
          <w:szCs w:val="24"/>
        </w:rPr>
        <w:t>, 781 P.2d 115 (Colo. App. 1989).</w:t>
      </w:r>
    </w:p>
    <w:p w14:paraId="2F9A59CC" w14:textId="77777777" w:rsidR="0052537F" w:rsidRDefault="0052537F">
      <w:pPr>
        <w:rPr>
          <w:rFonts w:eastAsia="Times New Roman"/>
          <w:bCs/>
          <w:sz w:val="24"/>
          <w:szCs w:val="24"/>
        </w:rPr>
      </w:pPr>
      <w:r>
        <w:rPr>
          <w:rFonts w:eastAsia="Times New Roman"/>
          <w:bCs/>
          <w:sz w:val="24"/>
          <w:szCs w:val="24"/>
        </w:rPr>
        <w:br w:type="page"/>
      </w:r>
    </w:p>
    <w:p w14:paraId="4F73B6C3"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E. SUBJECTS ON WHICH NO SEPARATE</w:t>
      </w:r>
      <w:r>
        <w:rPr>
          <w:rFonts w:eastAsia="Times New Roman"/>
          <w:b/>
          <w:sz w:val="24"/>
          <w:szCs w:val="24"/>
        </w:rPr>
        <w:t xml:space="preserve"> </w:t>
      </w:r>
      <w:r w:rsidRPr="0052537F">
        <w:rPr>
          <w:rFonts w:eastAsia="Times New Roman"/>
          <w:b/>
          <w:sz w:val="24"/>
          <w:szCs w:val="24"/>
        </w:rPr>
        <w:t>INSTRUCTIONS HAVE BEEN PREPARED</w:t>
      </w:r>
    </w:p>
    <w:p w14:paraId="2537248B" w14:textId="77777777" w:rsidR="0052537F" w:rsidRPr="009E3DA4" w:rsidRDefault="0052537F" w:rsidP="0052537F">
      <w:pPr>
        <w:spacing w:after="240"/>
        <w:ind w:left="720" w:hanging="720"/>
        <w:rPr>
          <w:rFonts w:eastAsia="Times New Roman"/>
          <w:b/>
          <w:sz w:val="24"/>
          <w:szCs w:val="24"/>
        </w:rPr>
      </w:pPr>
      <w:bookmarkStart w:id="49" w:name="a9_31"/>
      <w:bookmarkEnd w:id="49"/>
      <w:r w:rsidRPr="0052537F">
        <w:rPr>
          <w:rFonts w:eastAsia="Times New Roman"/>
          <w:b/>
          <w:sz w:val="24"/>
          <w:szCs w:val="24"/>
        </w:rPr>
        <w:t xml:space="preserve">9:31 </w:t>
      </w:r>
      <w:r w:rsidRPr="0052537F">
        <w:rPr>
          <w:rFonts w:eastAsia="Times New Roman"/>
          <w:b/>
          <w:sz w:val="24"/>
          <w:szCs w:val="24"/>
        </w:rPr>
        <w:tab/>
        <w:t>CONTRIBUTORY NEGLIGENCE, CONTRIBUTORY NEGLIGENCE OF (SPOUSE) (PARENT) (CHILD), AND ASSUMPTION OF RISK</w:t>
      </w:r>
    </w:p>
    <w:p w14:paraId="4F81A9D5"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have been prepared.</w:t>
      </w:r>
    </w:p>
    <w:p w14:paraId="3C5D3934" w14:textId="77777777" w:rsidR="0052537F" w:rsidRDefault="0052537F" w:rsidP="0052537F">
      <w:pPr>
        <w:jc w:val="center"/>
        <w:rPr>
          <w:rFonts w:eastAsia="Times New Roman"/>
          <w:sz w:val="24"/>
          <w:szCs w:val="24"/>
        </w:rPr>
      </w:pPr>
    </w:p>
    <w:p w14:paraId="5F685E2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41F0C4F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The definition of “negligence” set forth in Instruction 9:6 is also applicable to define “contributory negligence,” and therefore, no separate instruction defining “contributory negligence” has been prepared.</w:t>
      </w:r>
    </w:p>
    <w:p w14:paraId="4CC1773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Under the comparative negligence statute, § 13-21-111, C.R.S., although contributory negligence is a defense to a negligence claim, it may not be a complete defense, and therefore, in cases where contributory negligence is raised as a defense, use the applicable comparative negligence instructions in Part C of this chapter.</w:t>
      </w:r>
    </w:p>
    <w:p w14:paraId="35089037"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3. The contributory negligence of one spouse in causing injuries to the other spouse is a defense to the former’s claim for loss of consortium. </w:t>
      </w:r>
      <w:r w:rsidRPr="0052537F">
        <w:rPr>
          <w:rFonts w:eastAsia="Times New Roman"/>
          <w:smallCaps/>
          <w:sz w:val="24"/>
          <w:szCs w:val="24"/>
        </w:rPr>
        <w:t>W. Page Keeton et al., Prosser and Keeton on the Law of Torts</w:t>
      </w:r>
      <w:r w:rsidRPr="0052537F">
        <w:rPr>
          <w:rFonts w:eastAsia="Times New Roman"/>
          <w:sz w:val="24"/>
          <w:szCs w:val="24"/>
        </w:rPr>
        <w:t xml:space="preserve"> § 125, at 938 (5th ed. 1984). In such cases, use the applicable comparative negligence instructions, appropriately modified, in Part C of this chapter, together with Instructions 6:5 and 6:6 (loss of consortium), also appropriately modified.</w:t>
      </w:r>
    </w:p>
    <w:p w14:paraId="24917023"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4. While the negligence of a parent in proximately causing injuries to his or her child is a defense to that parent’s claim for loss of services, expenses, etc., </w:t>
      </w:r>
      <w:r w:rsidRPr="0052537F">
        <w:rPr>
          <w:rFonts w:eastAsia="Times New Roman"/>
          <w:smallCaps/>
          <w:sz w:val="24"/>
          <w:szCs w:val="24"/>
        </w:rPr>
        <w:t>Prosser and Keeton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 125, at 938, it is not necessarily a complete bar under section 13-21-111. Therefore, in such cases, use the applicable comparative negligence instructions (Instructions 9:22-9:29), appropriately modified.</w:t>
      </w:r>
    </w:p>
    <w:p w14:paraId="7A87C69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5. Even though the contributory negligence of a parent may bar or reduce the parent’s claim, such negligence will not be imputed to the child so as to bar or reduce the child’s claim. </w:t>
      </w:r>
      <w:r w:rsidRPr="0052537F">
        <w:rPr>
          <w:rFonts w:eastAsia="Times New Roman"/>
          <w:i/>
          <w:sz w:val="24"/>
          <w:szCs w:val="24"/>
        </w:rPr>
        <w:t>See</w:t>
      </w:r>
      <w:r w:rsidRPr="0052537F">
        <w:rPr>
          <w:rFonts w:eastAsia="Times New Roman"/>
          <w:sz w:val="24"/>
          <w:szCs w:val="24"/>
        </w:rPr>
        <w:t xml:space="preserve"> Instruction 9:25. Similarly, in the absence of some other basis, such as master and servant, the contributory negligence of one parent or a spouse will not be imputed to the other parent so as to bar or reduce whatever claim the other parent may have for injuries to the child. </w:t>
      </w:r>
      <w:r w:rsidRPr="0052537F">
        <w:rPr>
          <w:rFonts w:eastAsia="Times New Roman"/>
          <w:i/>
          <w:sz w:val="24"/>
          <w:szCs w:val="24"/>
        </w:rPr>
        <w:t>See</w:t>
      </w:r>
      <w:r w:rsidRPr="0052537F">
        <w:rPr>
          <w:rFonts w:eastAsia="Times New Roman"/>
          <w:sz w:val="24"/>
          <w:szCs w:val="24"/>
        </w:rPr>
        <w:t xml:space="preserve"> </w:t>
      </w:r>
      <w:r w:rsidRPr="0052537F">
        <w:rPr>
          <w:rFonts w:eastAsia="Times New Roman"/>
          <w:b/>
          <w:sz w:val="24"/>
          <w:szCs w:val="24"/>
        </w:rPr>
        <w:t>Phillips v. Denver City Tramway Co.</w:t>
      </w:r>
      <w:r w:rsidRPr="0052537F">
        <w:rPr>
          <w:rFonts w:eastAsia="Times New Roman"/>
          <w:sz w:val="24"/>
          <w:szCs w:val="24"/>
        </w:rPr>
        <w:t>, 53 Colo. 458, 128 P. 460 (1912).</w:t>
      </w:r>
    </w:p>
    <w:p w14:paraId="45DB04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6. In cases where the contributory negligence of a child has been raised as a defense, use Instruction 9:9, together with the applicable comparative negligence instructions in Part C of this chapter.</w:t>
      </w:r>
    </w:p>
    <w:p w14:paraId="7E4D1935"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7. In Colorado, assumption of risk is a form of contributory negligence. </w:t>
      </w:r>
      <w:r w:rsidRPr="0052537F">
        <w:rPr>
          <w:rFonts w:eastAsia="Times New Roman"/>
          <w:b/>
          <w:sz w:val="24"/>
          <w:szCs w:val="24"/>
        </w:rPr>
        <w:t>Wark v. McClellan</w:t>
      </w:r>
      <w:r w:rsidRPr="0052537F">
        <w:rPr>
          <w:rFonts w:eastAsia="Times New Roman"/>
          <w:sz w:val="24"/>
          <w:szCs w:val="24"/>
        </w:rPr>
        <w:t xml:space="preserve">, 68 P.3d 574 (Colo. App. 2003) (instructions on assumption of risk as a form of contributory negligence may be given with instructions on comparative negligence where facts support such instructions). For this reason, a separate instruction on the defense of assumption of risk should not be given in a case governed by the comparative negligence statute, § 13-21-111. </w:t>
      </w:r>
      <w:r w:rsidRPr="0052537F">
        <w:rPr>
          <w:rFonts w:eastAsia="Times New Roman"/>
          <w:i/>
          <w:sz w:val="24"/>
          <w:szCs w:val="24"/>
        </w:rPr>
        <w:t>See, e.g.</w:t>
      </w:r>
      <w:r w:rsidRPr="0052537F">
        <w:rPr>
          <w:rFonts w:eastAsia="Times New Roman"/>
          <w:sz w:val="24"/>
          <w:szCs w:val="24"/>
        </w:rPr>
        <w:t xml:space="preserve">, </w:t>
      </w:r>
      <w:r w:rsidRPr="0052537F">
        <w:rPr>
          <w:rFonts w:eastAsia="Times New Roman"/>
          <w:b/>
          <w:sz w:val="24"/>
          <w:szCs w:val="24"/>
        </w:rPr>
        <w:t>Brown v. Kreuser</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38 Colo. App. 554, 558, 560 P.2d 105, 108 (1977) (Instructions on </w:t>
      </w:r>
      <w:r w:rsidRPr="0052537F">
        <w:rPr>
          <w:rFonts w:eastAsia="Times New Roman"/>
          <w:sz w:val="24"/>
          <w:szCs w:val="24"/>
        </w:rPr>
        <w:lastRenderedPageBreak/>
        <w:t xml:space="preserve">contributory negligence, </w:t>
      </w:r>
      <w:r w:rsidRPr="00AC42FF">
        <w:rPr>
          <w:rFonts w:eastAsia="Times New Roman"/>
          <w:i/>
          <w:sz w:val="24"/>
          <w:szCs w:val="24"/>
        </w:rPr>
        <w:t>see, e.g.</w:t>
      </w:r>
      <w:r w:rsidRPr="0052537F">
        <w:rPr>
          <w:rFonts w:eastAsia="Times New Roman"/>
          <w:sz w:val="24"/>
          <w:szCs w:val="24"/>
        </w:rPr>
        <w:t xml:space="preserve">, Instruction 9:6, and on determining the “comparative negligence percentages of the plaintiff and the defendant [Instructions 9:22-9:29] sufficiently cover the conduct heretofore classed as assumption of risk in Colorado . . . .”); </w:t>
      </w:r>
      <w:r w:rsidRPr="0052537F">
        <w:rPr>
          <w:rFonts w:eastAsia="Times New Roman"/>
          <w:i/>
          <w:sz w:val="24"/>
          <w:szCs w:val="24"/>
        </w:rPr>
        <w:t>see also</w:t>
      </w:r>
      <w:r w:rsidRPr="0052537F">
        <w:rPr>
          <w:rFonts w:eastAsia="Times New Roman"/>
          <w:sz w:val="24"/>
          <w:szCs w:val="24"/>
        </w:rPr>
        <w:t xml:space="preserve"> </w:t>
      </w:r>
      <w:r w:rsidRPr="0052537F">
        <w:rPr>
          <w:rFonts w:eastAsia="Times New Roman"/>
          <w:b/>
          <w:sz w:val="24"/>
          <w:szCs w:val="24"/>
        </w:rPr>
        <w:t>Loup-Miller v. Brauer &amp; Assocs. Rocky Mtn., Inc.</w:t>
      </w:r>
      <w:r w:rsidRPr="0052537F">
        <w:rPr>
          <w:rFonts w:eastAsia="Times New Roman"/>
          <w:sz w:val="24"/>
          <w:szCs w:val="24"/>
        </w:rPr>
        <w:t xml:space="preserve">, 40 Colo. App. 67, 572 P.2d 845 (1977); </w:t>
      </w:r>
      <w:r w:rsidRPr="0052537F">
        <w:rPr>
          <w:rFonts w:eastAsia="Times New Roman"/>
          <w:b/>
          <w:sz w:val="24"/>
          <w:szCs w:val="24"/>
        </w:rPr>
        <w:t>Stefanich v. Martinez</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39 Colo. App. 500, 570 P.2d 554 (1977), </w:t>
      </w:r>
      <w:r w:rsidRPr="0052537F">
        <w:rPr>
          <w:rFonts w:eastAsia="Times New Roman"/>
          <w:i/>
          <w:sz w:val="24"/>
          <w:szCs w:val="24"/>
        </w:rPr>
        <w:t>aff’d on other grounds</w:t>
      </w:r>
      <w:r w:rsidRPr="0052537F">
        <w:rPr>
          <w:rFonts w:eastAsia="Times New Roman"/>
          <w:sz w:val="24"/>
          <w:szCs w:val="24"/>
        </w:rPr>
        <w:t>, 195 Colo. 341, 577 P.2d 1099 (1978). In actions in which the statutory definition of assumption of risk under section 13-21-111.7, C.R.S., may be applicable when comparing negligence under the comparative negligence statute, § 13-21-111, Instruction 9:6 should be used.</w:t>
      </w:r>
    </w:p>
    <w:p w14:paraId="6ECCF119"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8. Under section 13-21-120, C.R.S., the assumption of “inherent risks” by a spectator of a professional baseball game may be a complete defense against liability in an action by a spectator against an owner of a professional baseball team or stadium. Whenever, in light of the evidence in the case, this complete defense of assumption of risk might be applicable, an instruction based on the provisions of section 13-21-120, should be given if supported by sufficient evidence.</w:t>
      </w:r>
    </w:p>
    <w:p w14:paraId="474A4D2F" w14:textId="77777777" w:rsidR="0052537F" w:rsidRDefault="0052537F">
      <w:pPr>
        <w:rPr>
          <w:rFonts w:eastAsia="Times New Roman"/>
          <w:bCs/>
          <w:sz w:val="24"/>
          <w:szCs w:val="24"/>
        </w:rPr>
      </w:pPr>
      <w:r>
        <w:rPr>
          <w:rFonts w:eastAsia="Times New Roman"/>
          <w:bCs/>
          <w:sz w:val="24"/>
          <w:szCs w:val="24"/>
        </w:rPr>
        <w:br w:type="page"/>
      </w:r>
    </w:p>
    <w:p w14:paraId="087FDCB8"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F. SUBJECTS ON WHICH NO SEPARATE INSTRUCTIONS SHOULD BE GIVEN</w:t>
      </w:r>
    </w:p>
    <w:p w14:paraId="2C432DC0" w14:textId="77777777" w:rsidR="0052537F" w:rsidRPr="009E3DA4" w:rsidRDefault="0052537F" w:rsidP="0052537F">
      <w:pPr>
        <w:spacing w:after="240"/>
        <w:ind w:left="720" w:hanging="720"/>
        <w:rPr>
          <w:rFonts w:eastAsia="Times New Roman"/>
          <w:b/>
          <w:sz w:val="24"/>
          <w:szCs w:val="24"/>
        </w:rPr>
      </w:pPr>
      <w:bookmarkStart w:id="50" w:name="a9_32"/>
      <w:bookmarkEnd w:id="50"/>
      <w:r w:rsidRPr="0052537F">
        <w:rPr>
          <w:rFonts w:eastAsia="Times New Roman"/>
          <w:b/>
          <w:sz w:val="24"/>
          <w:szCs w:val="24"/>
        </w:rPr>
        <w:t xml:space="preserve">9:32 </w:t>
      </w:r>
      <w:r w:rsidRPr="0052537F">
        <w:rPr>
          <w:rFonts w:eastAsia="Times New Roman"/>
          <w:b/>
          <w:sz w:val="24"/>
          <w:szCs w:val="24"/>
        </w:rPr>
        <w:tab/>
        <w:t>RESCUE DOCTRINE, UNAVOIDABLE ACCIDENT, AND LAST CLEAR CHANCE</w:t>
      </w:r>
    </w:p>
    <w:p w14:paraId="283EED5A"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should be given.</w:t>
      </w:r>
    </w:p>
    <w:p w14:paraId="11245DEE" w14:textId="77777777" w:rsidR="0052537F" w:rsidRDefault="0052537F" w:rsidP="0052537F">
      <w:pPr>
        <w:jc w:val="center"/>
        <w:rPr>
          <w:rFonts w:eastAsia="Times New Roman"/>
          <w:sz w:val="24"/>
          <w:szCs w:val="24"/>
        </w:rPr>
      </w:pPr>
    </w:p>
    <w:p w14:paraId="3B342AD5"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5B5C1022" w14:textId="1097912C" w:rsidR="0052537F" w:rsidRPr="0052537F" w:rsidRDefault="0052537F" w:rsidP="0052537F">
      <w:pPr>
        <w:spacing w:after="240"/>
        <w:ind w:firstLine="720"/>
        <w:rPr>
          <w:rFonts w:eastAsia="Times New Roman"/>
          <w:sz w:val="24"/>
          <w:szCs w:val="24"/>
        </w:rPr>
      </w:pPr>
      <w:r w:rsidRPr="0052537F">
        <w:rPr>
          <w:rFonts w:eastAsia="Times New Roman"/>
          <w:sz w:val="24"/>
          <w:szCs w:val="24"/>
        </w:rPr>
        <w:t>1.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usual instructions giv</w:t>
      </w:r>
      <w:smartTag w:uri="urn:schemas-microsoft-com:office:smarttags" w:element="PersonName">
        <w:r w:rsidRPr="0052537F">
          <w:rPr>
            <w:rFonts w:eastAsia="Times New Roman"/>
            <w:sz w:val="24"/>
            <w:szCs w:val="24"/>
          </w:rPr>
          <w:t>e</w:t>
        </w:r>
      </w:smartTag>
      <w:r w:rsidRPr="0052537F">
        <w:rPr>
          <w:rFonts w:eastAsia="Times New Roman"/>
          <w:sz w:val="24"/>
          <w:szCs w:val="24"/>
        </w:rPr>
        <w:t>n in a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 particularly thos</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lating to causation, </w:t>
      </w:r>
      <w:r w:rsidRPr="00202B81">
        <w:rPr>
          <w:rFonts w:eastAsia="Times New Roman"/>
          <w:i/>
          <w:sz w:val="24"/>
          <w:szCs w:val="24"/>
        </w:rPr>
        <w:t>s</w:t>
      </w:r>
      <w:smartTag w:uri="urn:schemas-microsoft-com:office:smarttags" w:element="PersonName">
        <w:r w:rsidRPr="00202B81">
          <w:rPr>
            <w:rFonts w:eastAsia="Times New Roman"/>
            <w:i/>
            <w:sz w:val="24"/>
            <w:szCs w:val="24"/>
          </w:rPr>
          <w:t>e</w:t>
        </w:r>
      </w:smartTag>
      <w:smartTag w:uri="urn:schemas-microsoft-com:office:smarttags" w:element="PersonName">
        <w:r w:rsidRPr="00202B81">
          <w:rPr>
            <w:rFonts w:eastAsia="Times New Roman"/>
            <w:i/>
            <w:sz w:val="24"/>
            <w:szCs w:val="24"/>
          </w:rPr>
          <w:t>e</w:t>
        </w:r>
      </w:smartTag>
      <w:r w:rsidRPr="0052537F">
        <w:rPr>
          <w:rFonts w:eastAsia="Times New Roman"/>
          <w:sz w:val="24"/>
          <w:szCs w:val="24"/>
        </w:rPr>
        <w:t xml:space="preserve"> Instructions 9:18-9:21, will normally cov</w:t>
      </w:r>
      <w:smartTag w:uri="urn:schemas-microsoft-com:office:smarttags" w:element="PersonName">
        <w:r w:rsidRPr="0052537F">
          <w:rPr>
            <w:rFonts w:eastAsia="Times New Roman"/>
            <w:sz w:val="24"/>
            <w:szCs w:val="24"/>
          </w:rPr>
          <w:t>e</w:t>
        </w:r>
      </w:smartTag>
      <w:r w:rsidRPr="0052537F">
        <w:rPr>
          <w:rFonts w:eastAsia="Times New Roman"/>
          <w:sz w:val="24"/>
          <w:szCs w:val="24"/>
        </w:rPr>
        <w:t>r ad</w:t>
      </w:r>
      <w:smartTag w:uri="urn:schemas-microsoft-com:office:smarttags" w:element="PersonName">
        <w:r w:rsidRPr="0052537F">
          <w:rPr>
            <w:rFonts w:eastAsia="Times New Roman"/>
            <w:sz w:val="24"/>
            <w:szCs w:val="24"/>
          </w:rPr>
          <w:t>e</w:t>
        </w:r>
      </w:smartTag>
      <w:r w:rsidRPr="0052537F">
        <w:rPr>
          <w:rFonts w:eastAsia="Times New Roman"/>
          <w:sz w:val="24"/>
          <w:szCs w:val="24"/>
        </w:rPr>
        <w:t>quat</w:t>
      </w:r>
      <w:smartTag w:uri="urn:schemas-microsoft-com:office:smarttags" w:element="PersonName">
        <w:r w:rsidRPr="0052537F">
          <w:rPr>
            <w:rFonts w:eastAsia="Times New Roman"/>
            <w:sz w:val="24"/>
            <w:szCs w:val="24"/>
          </w:rPr>
          <w:t>e</w:t>
        </w:r>
      </w:smartTag>
      <w:r w:rsidRPr="0052537F">
        <w:rPr>
          <w:rFonts w:eastAsia="Times New Roman"/>
          <w:sz w:val="24"/>
          <w:szCs w:val="24"/>
        </w:rPr>
        <w:t>ly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s in which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plaintiff is claiming damag</w:t>
      </w:r>
      <w:smartTag w:uri="urn:schemas-microsoft-com:office:smarttags" w:element="PersonName">
        <w:r w:rsidRPr="0052537F">
          <w:rPr>
            <w:rFonts w:eastAsia="Times New Roman"/>
            <w:sz w:val="24"/>
            <w:szCs w:val="24"/>
          </w:rPr>
          <w:t>e</w:t>
        </w:r>
      </w:smartTag>
      <w:r w:rsidRPr="0052537F">
        <w:rPr>
          <w:rFonts w:eastAsia="Times New Roman"/>
          <w:sz w:val="24"/>
          <w:szCs w:val="24"/>
        </w:rPr>
        <w:t>s for injuri</w:t>
      </w:r>
      <w:smartTag w:uri="urn:schemas-microsoft-com:office:smarttags" w:element="PersonName">
        <w:r w:rsidRPr="0052537F">
          <w:rPr>
            <w:rFonts w:eastAsia="Times New Roman"/>
            <w:sz w:val="24"/>
            <w:szCs w:val="24"/>
          </w:rPr>
          <w:t>e</w:t>
        </w:r>
      </w:smartTag>
      <w:r w:rsidRPr="0052537F">
        <w:rPr>
          <w:rFonts w:eastAsia="Times New Roman"/>
          <w:sz w:val="24"/>
          <w:szCs w:val="24"/>
        </w:rPr>
        <w:t>s incurr</w:t>
      </w:r>
      <w:smartTag w:uri="urn:schemas-microsoft-com:office:smarttags" w:element="PersonName">
        <w:r w:rsidRPr="0052537F">
          <w:rPr>
            <w:rFonts w:eastAsia="Times New Roman"/>
            <w:sz w:val="24"/>
            <w:szCs w:val="24"/>
          </w:rPr>
          <w:t>e</w:t>
        </w:r>
      </w:smartTag>
      <w:r w:rsidRPr="0052537F">
        <w:rPr>
          <w:rFonts w:eastAsia="Times New Roman"/>
          <w:sz w:val="24"/>
          <w:szCs w:val="24"/>
        </w:rPr>
        <w:t>d whil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scuing or att</w:t>
      </w:r>
      <w:smartTag w:uri="urn:schemas-microsoft-com:office:smarttags" w:element="PersonName">
        <w:r w:rsidRPr="0052537F">
          <w:rPr>
            <w:rFonts w:eastAsia="Times New Roman"/>
            <w:sz w:val="24"/>
            <w:szCs w:val="24"/>
          </w:rPr>
          <w:t>e</w:t>
        </w:r>
      </w:smartTag>
      <w:r w:rsidRPr="0052537F">
        <w:rPr>
          <w:rFonts w:eastAsia="Times New Roman"/>
          <w:sz w:val="24"/>
          <w:szCs w:val="24"/>
        </w:rPr>
        <w:t>mpting to r</w:t>
      </w:r>
      <w:smartTag w:uri="urn:schemas-microsoft-com:office:smarttags" w:element="PersonName">
        <w:r w:rsidRPr="0052537F">
          <w:rPr>
            <w:rFonts w:eastAsia="Times New Roman"/>
            <w:sz w:val="24"/>
            <w:szCs w:val="24"/>
          </w:rPr>
          <w:t>e</w:t>
        </w:r>
      </w:smartTag>
      <w:r w:rsidRPr="0052537F">
        <w:rPr>
          <w:rFonts w:eastAsia="Times New Roman"/>
          <w:sz w:val="24"/>
          <w:szCs w:val="24"/>
        </w:rPr>
        <w:t>scu</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anoth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r who was </w:t>
      </w:r>
      <w:smartTag w:uri="urn:schemas-microsoft-com:office:smarttags" w:element="PersonName">
        <w:r w:rsidRPr="0052537F">
          <w:rPr>
            <w:rFonts w:eastAsia="Times New Roman"/>
            <w:sz w:val="24"/>
            <w:szCs w:val="24"/>
          </w:rPr>
          <w:t>e</w:t>
        </w:r>
      </w:smartTag>
      <w:r w:rsidRPr="0052537F">
        <w:rPr>
          <w:rFonts w:eastAsia="Times New Roman"/>
          <w:sz w:val="24"/>
          <w:szCs w:val="24"/>
        </w:rPr>
        <w:t>ndang</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d or injur</w:t>
      </w:r>
      <w:smartTag w:uri="urn:schemas-microsoft-com:office:smarttags" w:element="PersonName">
        <w:r w:rsidRPr="0052537F">
          <w:rPr>
            <w:rFonts w:eastAsia="Times New Roman"/>
            <w:sz w:val="24"/>
            <w:szCs w:val="24"/>
          </w:rPr>
          <w:t>e</w:t>
        </w:r>
      </w:smartTag>
      <w:r w:rsidRPr="0052537F">
        <w:rPr>
          <w:rFonts w:eastAsia="Times New Roman"/>
          <w:sz w:val="24"/>
          <w:szCs w:val="24"/>
        </w:rPr>
        <w:t>d as a r</w:t>
      </w:r>
      <w:smartTag w:uri="urn:schemas-microsoft-com:office:smarttags" w:element="PersonName">
        <w:r w:rsidRPr="0052537F">
          <w:rPr>
            <w:rFonts w:eastAsia="Times New Roman"/>
            <w:sz w:val="24"/>
            <w:szCs w:val="24"/>
          </w:rPr>
          <w:t>e</w:t>
        </w:r>
      </w:smartTag>
      <w:r w:rsidRPr="0052537F">
        <w:rPr>
          <w:rFonts w:eastAsia="Times New Roman"/>
          <w:sz w:val="24"/>
          <w:szCs w:val="24"/>
        </w:rPr>
        <w:t>sult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claim</w:t>
      </w:r>
      <w:smartTag w:uri="urn:schemas-microsoft-com:office:smarttags" w:element="PersonName">
        <w:r w:rsidRPr="0052537F">
          <w:rPr>
            <w:rFonts w:eastAsia="Times New Roman"/>
            <w:sz w:val="24"/>
            <w:szCs w:val="24"/>
          </w:rPr>
          <w:t>e</w:t>
        </w:r>
      </w:smartTag>
      <w:r w:rsidRPr="0052537F">
        <w:rPr>
          <w:rFonts w:eastAsia="Times New Roman"/>
          <w:sz w:val="24"/>
          <w:szCs w:val="24"/>
        </w:rPr>
        <w:t>d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w:t>
      </w:r>
      <w:smartTag w:uri="urn:schemas-microsoft-com:office:smarttags" w:element="PersonName">
        <w:r w:rsidRPr="0052537F">
          <w:rPr>
            <w:rFonts w:eastAsia="Times New Roman"/>
            <w:sz w:val="24"/>
            <w:szCs w:val="24"/>
          </w:rPr>
          <w:t>e</w:t>
        </w:r>
      </w:smartTag>
      <w:r w:rsidRPr="0052537F">
        <w:rPr>
          <w:rFonts w:eastAsia="Times New Roman"/>
          <w:sz w:val="24"/>
          <w:szCs w:val="24"/>
        </w:rPr>
        <w:t>f</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ndant. For a discussion of the “Rescue Doctrine,” see </w:t>
      </w:r>
      <w:r w:rsidR="00EC09D3" w:rsidRPr="00981EFD">
        <w:rPr>
          <w:rFonts w:eastAsia="Times New Roman"/>
          <w:b/>
          <w:bCs/>
          <w:sz w:val="24"/>
          <w:szCs w:val="24"/>
        </w:rPr>
        <w:t>Garcia v. Colo. Cab Co.</w:t>
      </w:r>
      <w:r w:rsidR="00EC09D3" w:rsidRPr="00DA3FC3">
        <w:rPr>
          <w:rFonts w:eastAsia="Times New Roman"/>
          <w:sz w:val="24"/>
          <w:szCs w:val="24"/>
        </w:rPr>
        <w:t>, 2019 COA 3, ¶¶ 17-18</w:t>
      </w:r>
      <w:r w:rsidR="00EC09D3">
        <w:rPr>
          <w:rFonts w:eastAsia="Times New Roman"/>
          <w:sz w:val="24"/>
          <w:szCs w:val="24"/>
        </w:rPr>
        <w:t xml:space="preserve"> (</w:t>
      </w:r>
      <w:r w:rsidR="00EC09D3">
        <w:rPr>
          <w:rFonts w:eastAsia="Times New Roman"/>
          <w:i/>
          <w:iCs/>
          <w:sz w:val="24"/>
          <w:szCs w:val="24"/>
        </w:rPr>
        <w:t>cert. granted</w:t>
      </w:r>
      <w:r w:rsidR="00EC09D3">
        <w:rPr>
          <w:rFonts w:eastAsia="Times New Roman"/>
          <w:iCs/>
          <w:sz w:val="24"/>
          <w:szCs w:val="24"/>
        </w:rPr>
        <w:t xml:space="preserve"> July 1, 2019)</w:t>
      </w:r>
      <w:r w:rsidR="00EC09D3">
        <w:rPr>
          <w:rFonts w:eastAsia="Times New Roman"/>
          <w:sz w:val="24"/>
          <w:szCs w:val="24"/>
        </w:rPr>
        <w:t xml:space="preserve">; </w:t>
      </w:r>
      <w:r w:rsidRPr="00202B81">
        <w:rPr>
          <w:rFonts w:eastAsia="Times New Roman"/>
          <w:smallCaps/>
          <w:sz w:val="24"/>
          <w:szCs w:val="24"/>
        </w:rPr>
        <w:t>W. Page Keeton et al., Prosser and Keeton on the Law of Torts</w:t>
      </w:r>
      <w:r w:rsidRPr="0052537F">
        <w:rPr>
          <w:rFonts w:eastAsia="Times New Roman"/>
          <w:sz w:val="24"/>
          <w:szCs w:val="24"/>
        </w:rPr>
        <w:t xml:space="preserve"> § 44, at 307-09 (5th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1984), and </w:t>
      </w:r>
      <w:r w:rsidRPr="00202B81">
        <w:rPr>
          <w:rFonts w:eastAsia="Times New Roman"/>
          <w:smallCaps/>
          <w:sz w:val="24"/>
          <w:szCs w:val="24"/>
        </w:rPr>
        <w:t>R</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stat</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nt (S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cond) of Torts</w:t>
      </w:r>
      <w:r w:rsidRPr="0052537F">
        <w:rPr>
          <w:rFonts w:eastAsia="Times New Roman"/>
          <w:sz w:val="24"/>
          <w:szCs w:val="24"/>
        </w:rPr>
        <w:t xml:space="preserve"> § 294 (1965).</w:t>
      </w:r>
    </w:p>
    <w:p w14:paraId="75E3D1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2. In </w:t>
      </w:r>
      <w:r w:rsidRPr="0052537F">
        <w:rPr>
          <w:rFonts w:eastAsia="Times New Roman"/>
          <w:b/>
          <w:sz w:val="24"/>
          <w:szCs w:val="24"/>
        </w:rPr>
        <w:t>Lewis v. Buckskin Joe’s, Inc.</w:t>
      </w:r>
      <w:r w:rsidRPr="0052537F">
        <w:rPr>
          <w:rFonts w:eastAsia="Times New Roman"/>
          <w:sz w:val="24"/>
          <w:szCs w:val="24"/>
        </w:rPr>
        <w:t xml:space="preserve">, 156 </w:t>
      </w:r>
      <w:smartTag w:uri="urn:schemas-microsoft-com:office:smarttags" w:element="State">
        <w:smartTag w:uri="urn:schemas-microsoft-com:office:smarttags" w:element="place">
          <w:r w:rsidRPr="0052537F">
            <w:rPr>
              <w:rFonts w:eastAsia="Times New Roman"/>
              <w:sz w:val="24"/>
              <w:szCs w:val="24"/>
            </w:rPr>
            <w:t>Colo.</w:t>
          </w:r>
        </w:smartTag>
      </w:smartTag>
      <w:r w:rsidRPr="0052537F">
        <w:rPr>
          <w:rFonts w:eastAsia="Times New Roman"/>
          <w:sz w:val="24"/>
          <w:szCs w:val="24"/>
        </w:rPr>
        <w:t xml:space="preserve"> 46, 396 P.2d 933 (1964), overruling several earlier cases, the court held it was error to give an unavoidable accident instruction in a negligence case.</w:t>
      </w:r>
    </w:p>
    <w:p w14:paraId="3FEDC8D5" w14:textId="77777777" w:rsidR="008D609F" w:rsidRPr="0052537F" w:rsidRDefault="0052537F" w:rsidP="003837B6">
      <w:pPr>
        <w:spacing w:after="240"/>
        <w:ind w:firstLine="720"/>
        <w:rPr>
          <w:rFonts w:eastAsia="Times New Roman"/>
          <w:sz w:val="24"/>
          <w:szCs w:val="24"/>
        </w:rPr>
      </w:pPr>
      <w:r w:rsidRPr="0052537F">
        <w:rPr>
          <w:rFonts w:eastAsia="Times New Roman"/>
          <w:sz w:val="24"/>
          <w:szCs w:val="24"/>
        </w:rPr>
        <w:t>3.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doctrin</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is logically subsum</w:t>
      </w:r>
      <w:smartTag w:uri="urn:schemas-microsoft-com:office:smarttags" w:element="PersonName">
        <w:r w:rsidRPr="0052537F">
          <w:rPr>
            <w:rFonts w:eastAsia="Times New Roman"/>
            <w:sz w:val="24"/>
            <w:szCs w:val="24"/>
          </w:rPr>
          <w:t>e</w:t>
        </w:r>
      </w:smartTag>
      <w:r w:rsidRPr="0052537F">
        <w:rPr>
          <w:rFonts w:eastAsia="Times New Roman"/>
          <w:sz w:val="24"/>
          <w:szCs w:val="24"/>
        </w:rPr>
        <w:t>d und</w:t>
      </w:r>
      <w:smartTag w:uri="urn:schemas-microsoft-com:office:smarttags" w:element="PersonName">
        <w:r w:rsidRPr="0052537F">
          <w:rPr>
            <w:rFonts w:eastAsia="Times New Roman"/>
            <w:sz w:val="24"/>
            <w:szCs w:val="24"/>
          </w:rPr>
          <w:t>e</w:t>
        </w:r>
      </w:smartTag>
      <w:r w:rsidRPr="0052537F">
        <w:rPr>
          <w:rFonts w:eastAsia="Times New Roman"/>
          <w:sz w:val="24"/>
          <w:szCs w:val="24"/>
        </w:rPr>
        <w:t>r a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statut</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such as Colorado’s. </w:t>
      </w:r>
      <w:r w:rsidRPr="00202B81">
        <w:rPr>
          <w:rFonts w:eastAsia="Times New Roman"/>
          <w:smallCaps/>
          <w:sz w:val="24"/>
          <w:szCs w:val="24"/>
        </w:rPr>
        <w:t>Pross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and K</w:t>
      </w:r>
      <w:smartTag w:uri="urn:schemas-microsoft-com:office:smarttags" w:element="PersonName">
        <w:r w:rsidRPr="00202B81">
          <w:rPr>
            <w:rFonts w:eastAsia="Times New Roman"/>
            <w:smallCaps/>
            <w:sz w:val="24"/>
            <w:szCs w:val="24"/>
          </w:rPr>
          <w:t>e</w:t>
        </w:r>
      </w:smartTag>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xml:space="preserve">, § 67, at 477. </w:t>
      </w:r>
      <w:r w:rsidRPr="0052537F">
        <w:rPr>
          <w:rFonts w:eastAsia="Times New Roman"/>
          <w:i/>
          <w:sz w:val="24"/>
          <w:szCs w:val="24"/>
        </w:rPr>
        <w:t>S</w:t>
      </w:r>
      <w:smartTag w:uri="urn:schemas-microsoft-com:office:smarttags" w:element="PersonName">
        <w:r w:rsidRPr="0052537F">
          <w:rPr>
            <w:rFonts w:eastAsia="Times New Roman"/>
            <w:i/>
            <w:sz w:val="24"/>
            <w:szCs w:val="24"/>
          </w:rPr>
          <w:t>e</w:t>
        </w:r>
      </w:smartTag>
      <w:smartTag w:uri="urn:schemas-microsoft-com:office:smarttags" w:element="PersonName">
        <w:r w:rsidRPr="0052537F">
          <w:rPr>
            <w:rFonts w:eastAsia="Times New Roman"/>
            <w:i/>
            <w:sz w:val="24"/>
            <w:szCs w:val="24"/>
          </w:rPr>
          <w:t>e</w:t>
        </w:r>
      </w:smartTag>
      <w:r w:rsidRPr="0052537F">
        <w:rPr>
          <w:rFonts w:eastAsia="Times New Roman"/>
          <w:i/>
          <w:sz w:val="24"/>
          <w:szCs w:val="24"/>
        </w:rPr>
        <w:t xml:space="preserve"> also</w:t>
      </w:r>
      <w:r w:rsidRPr="0052537F">
        <w:rPr>
          <w:rFonts w:eastAsia="Times New Roman"/>
          <w:sz w:val="24"/>
          <w:szCs w:val="24"/>
        </w:rPr>
        <w:t xml:space="preserve"> </w:t>
      </w:r>
      <w:r w:rsidRPr="00202B81">
        <w:rPr>
          <w:rFonts w:eastAsia="Times New Roman"/>
          <w:smallCaps/>
          <w:sz w:val="24"/>
          <w:szCs w:val="24"/>
        </w:rPr>
        <w:t>J. Palm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&amp; S. Flanagan, Comparativ</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N</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glig</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nc</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Manual</w:t>
      </w:r>
      <w:r w:rsidRPr="0052537F">
        <w:rPr>
          <w:rFonts w:eastAsia="Times New Roman"/>
          <w:sz w:val="24"/>
          <w:szCs w:val="24"/>
        </w:rPr>
        <w:t xml:space="preserve"> § 1.230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v.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1986); </w:t>
      </w:r>
      <w:r w:rsidRPr="00202B81">
        <w:rPr>
          <w:rFonts w:eastAsia="Times New Roman"/>
          <w:smallCaps/>
          <w:sz w:val="24"/>
          <w:szCs w:val="24"/>
        </w:rPr>
        <w:t>4 F. Harper et al., Harper, James, and Gray on Torts</w:t>
      </w:r>
      <w:r w:rsidRPr="0052537F">
        <w:rPr>
          <w:rFonts w:eastAsia="Times New Roman"/>
          <w:sz w:val="24"/>
          <w:szCs w:val="24"/>
        </w:rPr>
        <w:t xml:space="preserve"> § 22.14 (3d ed. 1986). Th</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for</w:t>
      </w:r>
      <w:smartTag w:uri="urn:schemas-microsoft-com:office:smarttags" w:element="PersonName">
        <w:r w:rsidRPr="0052537F">
          <w:rPr>
            <w:rFonts w:eastAsia="Times New Roman"/>
            <w:sz w:val="24"/>
            <w:szCs w:val="24"/>
          </w:rPr>
          <w:t>e</w:t>
        </w:r>
      </w:smartTag>
      <w:r w:rsidRPr="0052537F">
        <w:rPr>
          <w:rFonts w:eastAsia="Times New Roman"/>
          <w:sz w:val="24"/>
          <w:szCs w:val="24"/>
        </w:rPr>
        <w:t>,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applicabl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instructions (Instructions 9:22-9:29), bas</w:t>
      </w:r>
      <w:smartTag w:uri="urn:schemas-microsoft-com:office:smarttags" w:element="PersonName">
        <w:r w:rsidRPr="0052537F">
          <w:rPr>
            <w:rFonts w:eastAsia="Times New Roman"/>
            <w:sz w:val="24"/>
            <w:szCs w:val="24"/>
          </w:rPr>
          <w:t>e</w:t>
        </w:r>
      </w:smartTag>
      <w:r w:rsidRPr="0052537F">
        <w:rPr>
          <w:rFonts w:eastAsia="Times New Roman"/>
          <w:sz w:val="24"/>
          <w:szCs w:val="24"/>
        </w:rPr>
        <w:t>d on section 13-21-111, C.R.S., should b</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w:t>
      </w:r>
      <w:smartTag w:uri="urn:schemas-microsoft-com:office:smarttags" w:element="PersonName">
        <w:r w:rsidRPr="0052537F">
          <w:rPr>
            <w:rFonts w:eastAsia="Times New Roman"/>
            <w:sz w:val="24"/>
            <w:szCs w:val="24"/>
          </w:rPr>
          <w:t>e</w:t>
        </w:r>
      </w:smartTag>
      <w:r w:rsidRPr="0052537F">
        <w:rPr>
          <w:rFonts w:eastAsia="Times New Roman"/>
          <w:sz w:val="24"/>
          <w:szCs w:val="24"/>
        </w:rPr>
        <w:t>d rath</w:t>
      </w:r>
      <w:smartTag w:uri="urn:schemas-microsoft-com:office:smarttags" w:element="PersonName">
        <w:r w:rsidRPr="0052537F">
          <w:rPr>
            <w:rFonts w:eastAsia="Times New Roman"/>
            <w:sz w:val="24"/>
            <w:szCs w:val="24"/>
          </w:rPr>
          <w:t>e</w:t>
        </w:r>
      </w:smartTag>
      <w:r w:rsidRPr="0052537F">
        <w:rPr>
          <w:rFonts w:eastAsia="Times New Roman"/>
          <w:sz w:val="24"/>
          <w:szCs w:val="24"/>
        </w:rPr>
        <w:t>r than an instruction on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w:t>
      </w:r>
    </w:p>
    <w:sectPr w:rsidR="008D609F"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39CA" w14:textId="77777777" w:rsidR="001E17FB" w:rsidRDefault="001E17FB" w:rsidP="0054263B">
      <w:r>
        <w:separator/>
      </w:r>
    </w:p>
    <w:p w14:paraId="7B39DAAA" w14:textId="77777777" w:rsidR="001E17FB" w:rsidRDefault="001E17FB"/>
  </w:endnote>
  <w:endnote w:type="continuationSeparator" w:id="0">
    <w:p w14:paraId="4718D53A" w14:textId="77777777" w:rsidR="001E17FB" w:rsidRDefault="001E17FB" w:rsidP="0054263B">
      <w:r>
        <w:continuationSeparator/>
      </w:r>
    </w:p>
    <w:p w14:paraId="1EB8DA3B" w14:textId="77777777" w:rsidR="001E17FB" w:rsidRDefault="001E1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53CB44BB" w14:textId="77777777" w:rsidR="00E35042" w:rsidRDefault="00E35042">
        <w:pPr>
          <w:pStyle w:val="Footer"/>
          <w:jc w:val="center"/>
        </w:pPr>
        <w:r>
          <w:fldChar w:fldCharType="begin"/>
        </w:r>
        <w:r>
          <w:instrText xml:space="preserve"> PAGE   \* MERGEFORMAT </w:instrText>
        </w:r>
        <w:r>
          <w:fldChar w:fldCharType="separate"/>
        </w:r>
        <w:r w:rsidR="006E761C">
          <w:rPr>
            <w:noProof/>
          </w:rPr>
          <w:t>130</w:t>
        </w:r>
        <w:r>
          <w:rPr>
            <w:noProof/>
          </w:rPr>
          <w:fldChar w:fldCharType="end"/>
        </w:r>
      </w:p>
    </w:sdtContent>
  </w:sdt>
  <w:p w14:paraId="3818A322" w14:textId="77777777" w:rsidR="00E35042" w:rsidRDefault="00E35042">
    <w:pPr>
      <w:pStyle w:val="Footer"/>
    </w:pPr>
  </w:p>
  <w:p w14:paraId="24372A17" w14:textId="77777777" w:rsidR="00E35042" w:rsidRDefault="00E350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6A5B3" w14:textId="77777777" w:rsidR="001E17FB" w:rsidRDefault="001E17FB" w:rsidP="0054263B">
      <w:r>
        <w:separator/>
      </w:r>
    </w:p>
    <w:p w14:paraId="612F8570" w14:textId="77777777" w:rsidR="001E17FB" w:rsidRDefault="001E17FB"/>
  </w:footnote>
  <w:footnote w:type="continuationSeparator" w:id="0">
    <w:p w14:paraId="7CBB8DD2" w14:textId="77777777" w:rsidR="001E17FB" w:rsidRDefault="001E17FB" w:rsidP="0054263B">
      <w:r>
        <w:continuationSeparator/>
      </w:r>
    </w:p>
    <w:p w14:paraId="423C9EE9" w14:textId="77777777" w:rsidR="001E17FB" w:rsidRDefault="001E17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ITRUS_DOC_GUID" w:val="21fb3db7-1d38-4bac-9aed-ed5cbf641b81"/>
  </w:docVars>
  <w:rsids>
    <w:rsidRoot w:val="00EC7C98"/>
    <w:rsid w:val="00004B85"/>
    <w:rsid w:val="00017CD9"/>
    <w:rsid w:val="00037111"/>
    <w:rsid w:val="0006367C"/>
    <w:rsid w:val="000824C8"/>
    <w:rsid w:val="00085495"/>
    <w:rsid w:val="00086D46"/>
    <w:rsid w:val="000921F1"/>
    <w:rsid w:val="000962C8"/>
    <w:rsid w:val="000A537B"/>
    <w:rsid w:val="000B1B7A"/>
    <w:rsid w:val="000C503A"/>
    <w:rsid w:val="000C67CA"/>
    <w:rsid w:val="000C6F97"/>
    <w:rsid w:val="000C7FB3"/>
    <w:rsid w:val="000D3A07"/>
    <w:rsid w:val="00101D65"/>
    <w:rsid w:val="001117D9"/>
    <w:rsid w:val="00112FF9"/>
    <w:rsid w:val="00126B7A"/>
    <w:rsid w:val="00144917"/>
    <w:rsid w:val="0014544B"/>
    <w:rsid w:val="001468C7"/>
    <w:rsid w:val="00152749"/>
    <w:rsid w:val="00172674"/>
    <w:rsid w:val="00173ADD"/>
    <w:rsid w:val="0018388B"/>
    <w:rsid w:val="00184F3E"/>
    <w:rsid w:val="001903CB"/>
    <w:rsid w:val="001913B1"/>
    <w:rsid w:val="00191498"/>
    <w:rsid w:val="00191C86"/>
    <w:rsid w:val="0019231E"/>
    <w:rsid w:val="001A2648"/>
    <w:rsid w:val="001B1779"/>
    <w:rsid w:val="001B3915"/>
    <w:rsid w:val="001E0F3B"/>
    <w:rsid w:val="001E17FB"/>
    <w:rsid w:val="00200BA5"/>
    <w:rsid w:val="00202B81"/>
    <w:rsid w:val="0020353E"/>
    <w:rsid w:val="002065D8"/>
    <w:rsid w:val="0021368F"/>
    <w:rsid w:val="0022134E"/>
    <w:rsid w:val="00223286"/>
    <w:rsid w:val="00227D3A"/>
    <w:rsid w:val="0024062B"/>
    <w:rsid w:val="00242366"/>
    <w:rsid w:val="00243938"/>
    <w:rsid w:val="0024597C"/>
    <w:rsid w:val="002547C3"/>
    <w:rsid w:val="002654B4"/>
    <w:rsid w:val="002654F4"/>
    <w:rsid w:val="00273777"/>
    <w:rsid w:val="00292D1C"/>
    <w:rsid w:val="00293F7E"/>
    <w:rsid w:val="002A23B0"/>
    <w:rsid w:val="002B7A57"/>
    <w:rsid w:val="002D163D"/>
    <w:rsid w:val="002E0970"/>
    <w:rsid w:val="002E1D11"/>
    <w:rsid w:val="002F48D6"/>
    <w:rsid w:val="0030647D"/>
    <w:rsid w:val="00307B08"/>
    <w:rsid w:val="00312863"/>
    <w:rsid w:val="00316D33"/>
    <w:rsid w:val="00320613"/>
    <w:rsid w:val="003247EA"/>
    <w:rsid w:val="00330AE6"/>
    <w:rsid w:val="00333886"/>
    <w:rsid w:val="00336CE4"/>
    <w:rsid w:val="003415DA"/>
    <w:rsid w:val="00343F53"/>
    <w:rsid w:val="00352111"/>
    <w:rsid w:val="00352696"/>
    <w:rsid w:val="00353044"/>
    <w:rsid w:val="003613FE"/>
    <w:rsid w:val="0037615B"/>
    <w:rsid w:val="00381584"/>
    <w:rsid w:val="0038323B"/>
    <w:rsid w:val="003837B6"/>
    <w:rsid w:val="003937B8"/>
    <w:rsid w:val="003A2F1C"/>
    <w:rsid w:val="003A6825"/>
    <w:rsid w:val="003C3F25"/>
    <w:rsid w:val="003C7EC7"/>
    <w:rsid w:val="003D370E"/>
    <w:rsid w:val="003E472A"/>
    <w:rsid w:val="003E5B38"/>
    <w:rsid w:val="003F108C"/>
    <w:rsid w:val="003F6E89"/>
    <w:rsid w:val="00434371"/>
    <w:rsid w:val="00441A42"/>
    <w:rsid w:val="004425AA"/>
    <w:rsid w:val="004432D9"/>
    <w:rsid w:val="004520DB"/>
    <w:rsid w:val="00456038"/>
    <w:rsid w:val="00464D73"/>
    <w:rsid w:val="00467B80"/>
    <w:rsid w:val="0047120C"/>
    <w:rsid w:val="00471618"/>
    <w:rsid w:val="00474B1B"/>
    <w:rsid w:val="004A4F5B"/>
    <w:rsid w:val="004B3F58"/>
    <w:rsid w:val="004B753E"/>
    <w:rsid w:val="004C62F9"/>
    <w:rsid w:val="004C723A"/>
    <w:rsid w:val="004E7EF1"/>
    <w:rsid w:val="005065E6"/>
    <w:rsid w:val="00516447"/>
    <w:rsid w:val="0052537F"/>
    <w:rsid w:val="00526BCC"/>
    <w:rsid w:val="00531F87"/>
    <w:rsid w:val="00535D9C"/>
    <w:rsid w:val="0054263B"/>
    <w:rsid w:val="00547D97"/>
    <w:rsid w:val="00550AFD"/>
    <w:rsid w:val="00551EB2"/>
    <w:rsid w:val="00557FCC"/>
    <w:rsid w:val="005648EF"/>
    <w:rsid w:val="00582521"/>
    <w:rsid w:val="005B3A78"/>
    <w:rsid w:val="005D3156"/>
    <w:rsid w:val="005E5F70"/>
    <w:rsid w:val="005E712D"/>
    <w:rsid w:val="005F1017"/>
    <w:rsid w:val="005F609F"/>
    <w:rsid w:val="005F6473"/>
    <w:rsid w:val="00623D1A"/>
    <w:rsid w:val="00624186"/>
    <w:rsid w:val="006272FE"/>
    <w:rsid w:val="00647CC5"/>
    <w:rsid w:val="00651A64"/>
    <w:rsid w:val="00661D05"/>
    <w:rsid w:val="00675252"/>
    <w:rsid w:val="00675AA2"/>
    <w:rsid w:val="00682B93"/>
    <w:rsid w:val="0068336D"/>
    <w:rsid w:val="00683FA1"/>
    <w:rsid w:val="00687304"/>
    <w:rsid w:val="00687808"/>
    <w:rsid w:val="006943C6"/>
    <w:rsid w:val="006A468E"/>
    <w:rsid w:val="006A74B6"/>
    <w:rsid w:val="006B2457"/>
    <w:rsid w:val="006B26D7"/>
    <w:rsid w:val="006D6691"/>
    <w:rsid w:val="006D7670"/>
    <w:rsid w:val="006E0D06"/>
    <w:rsid w:val="006E3575"/>
    <w:rsid w:val="006E62F0"/>
    <w:rsid w:val="006E761C"/>
    <w:rsid w:val="006F7DC0"/>
    <w:rsid w:val="0070130D"/>
    <w:rsid w:val="00702B5A"/>
    <w:rsid w:val="0070752A"/>
    <w:rsid w:val="007119D8"/>
    <w:rsid w:val="0071225B"/>
    <w:rsid w:val="007216DA"/>
    <w:rsid w:val="0073395C"/>
    <w:rsid w:val="007532AB"/>
    <w:rsid w:val="007623F0"/>
    <w:rsid w:val="007A3A0E"/>
    <w:rsid w:val="007A612E"/>
    <w:rsid w:val="007B1633"/>
    <w:rsid w:val="007D198E"/>
    <w:rsid w:val="007D2BCE"/>
    <w:rsid w:val="007D39CC"/>
    <w:rsid w:val="007E1675"/>
    <w:rsid w:val="007F3861"/>
    <w:rsid w:val="007F7129"/>
    <w:rsid w:val="00800108"/>
    <w:rsid w:val="00801691"/>
    <w:rsid w:val="0081161A"/>
    <w:rsid w:val="00813A6B"/>
    <w:rsid w:val="00813A8A"/>
    <w:rsid w:val="008175E6"/>
    <w:rsid w:val="0082168C"/>
    <w:rsid w:val="00831BE9"/>
    <w:rsid w:val="0083264A"/>
    <w:rsid w:val="00832DB4"/>
    <w:rsid w:val="0083763B"/>
    <w:rsid w:val="00837F81"/>
    <w:rsid w:val="00845F81"/>
    <w:rsid w:val="00850A48"/>
    <w:rsid w:val="00853ECF"/>
    <w:rsid w:val="008557E1"/>
    <w:rsid w:val="00875064"/>
    <w:rsid w:val="008812A8"/>
    <w:rsid w:val="00881431"/>
    <w:rsid w:val="0089310B"/>
    <w:rsid w:val="00895065"/>
    <w:rsid w:val="008A475A"/>
    <w:rsid w:val="008A5DD6"/>
    <w:rsid w:val="008A6339"/>
    <w:rsid w:val="008A637B"/>
    <w:rsid w:val="008B1617"/>
    <w:rsid w:val="008D2D56"/>
    <w:rsid w:val="008D4A28"/>
    <w:rsid w:val="008D609F"/>
    <w:rsid w:val="008E41F1"/>
    <w:rsid w:val="008F3E93"/>
    <w:rsid w:val="008F4C42"/>
    <w:rsid w:val="0090292A"/>
    <w:rsid w:val="00902A25"/>
    <w:rsid w:val="00914128"/>
    <w:rsid w:val="009266FB"/>
    <w:rsid w:val="00932723"/>
    <w:rsid w:val="00935DA8"/>
    <w:rsid w:val="00937436"/>
    <w:rsid w:val="00952BBB"/>
    <w:rsid w:val="0095709A"/>
    <w:rsid w:val="00973884"/>
    <w:rsid w:val="00981B2C"/>
    <w:rsid w:val="009865CF"/>
    <w:rsid w:val="009902F2"/>
    <w:rsid w:val="009920D0"/>
    <w:rsid w:val="009931B9"/>
    <w:rsid w:val="009B0810"/>
    <w:rsid w:val="009B2A23"/>
    <w:rsid w:val="009B6746"/>
    <w:rsid w:val="009E15AE"/>
    <w:rsid w:val="009E20C7"/>
    <w:rsid w:val="009E3DA4"/>
    <w:rsid w:val="009E3F03"/>
    <w:rsid w:val="00A06A5D"/>
    <w:rsid w:val="00A36457"/>
    <w:rsid w:val="00A369FB"/>
    <w:rsid w:val="00A55D2A"/>
    <w:rsid w:val="00A66100"/>
    <w:rsid w:val="00A66F05"/>
    <w:rsid w:val="00A73AE6"/>
    <w:rsid w:val="00A80C10"/>
    <w:rsid w:val="00A833C4"/>
    <w:rsid w:val="00A85AAA"/>
    <w:rsid w:val="00A92C18"/>
    <w:rsid w:val="00AA034C"/>
    <w:rsid w:val="00AB2019"/>
    <w:rsid w:val="00AB71A7"/>
    <w:rsid w:val="00AC0F43"/>
    <w:rsid w:val="00AC42FF"/>
    <w:rsid w:val="00AC78F7"/>
    <w:rsid w:val="00AD116E"/>
    <w:rsid w:val="00AE0B6B"/>
    <w:rsid w:val="00AE44E4"/>
    <w:rsid w:val="00AF7D47"/>
    <w:rsid w:val="00B0264D"/>
    <w:rsid w:val="00B12707"/>
    <w:rsid w:val="00B13AB0"/>
    <w:rsid w:val="00B14D0B"/>
    <w:rsid w:val="00B37722"/>
    <w:rsid w:val="00B42454"/>
    <w:rsid w:val="00B55AAD"/>
    <w:rsid w:val="00B567C1"/>
    <w:rsid w:val="00B579DF"/>
    <w:rsid w:val="00B6275E"/>
    <w:rsid w:val="00B64E5C"/>
    <w:rsid w:val="00B70D68"/>
    <w:rsid w:val="00B719C2"/>
    <w:rsid w:val="00B72D6B"/>
    <w:rsid w:val="00B80FD1"/>
    <w:rsid w:val="00B937E4"/>
    <w:rsid w:val="00B97801"/>
    <w:rsid w:val="00BA27A8"/>
    <w:rsid w:val="00BA510E"/>
    <w:rsid w:val="00BC49BF"/>
    <w:rsid w:val="00BC65EF"/>
    <w:rsid w:val="00BD4C0D"/>
    <w:rsid w:val="00BE2B09"/>
    <w:rsid w:val="00BE63D1"/>
    <w:rsid w:val="00BE654D"/>
    <w:rsid w:val="00BF2DBB"/>
    <w:rsid w:val="00BF30EC"/>
    <w:rsid w:val="00C1125E"/>
    <w:rsid w:val="00C131B3"/>
    <w:rsid w:val="00C26751"/>
    <w:rsid w:val="00C40968"/>
    <w:rsid w:val="00C455ED"/>
    <w:rsid w:val="00C473A2"/>
    <w:rsid w:val="00C60E95"/>
    <w:rsid w:val="00C724B6"/>
    <w:rsid w:val="00C84E71"/>
    <w:rsid w:val="00C87463"/>
    <w:rsid w:val="00C8797B"/>
    <w:rsid w:val="00C90E18"/>
    <w:rsid w:val="00CA111B"/>
    <w:rsid w:val="00CA1AF6"/>
    <w:rsid w:val="00CA41CC"/>
    <w:rsid w:val="00CA442E"/>
    <w:rsid w:val="00CA7EF2"/>
    <w:rsid w:val="00CB008B"/>
    <w:rsid w:val="00CB2680"/>
    <w:rsid w:val="00CC0502"/>
    <w:rsid w:val="00CC1AC8"/>
    <w:rsid w:val="00CC6A95"/>
    <w:rsid w:val="00CC7E17"/>
    <w:rsid w:val="00CD0873"/>
    <w:rsid w:val="00CD4A7D"/>
    <w:rsid w:val="00CE3BC1"/>
    <w:rsid w:val="00CE593D"/>
    <w:rsid w:val="00CF2710"/>
    <w:rsid w:val="00D014AE"/>
    <w:rsid w:val="00D05926"/>
    <w:rsid w:val="00D06D8D"/>
    <w:rsid w:val="00D207BC"/>
    <w:rsid w:val="00D23BD0"/>
    <w:rsid w:val="00D333AA"/>
    <w:rsid w:val="00D51E80"/>
    <w:rsid w:val="00D747D0"/>
    <w:rsid w:val="00D76F6F"/>
    <w:rsid w:val="00D8125F"/>
    <w:rsid w:val="00DB2C90"/>
    <w:rsid w:val="00DC63A9"/>
    <w:rsid w:val="00DC66A6"/>
    <w:rsid w:val="00DE2930"/>
    <w:rsid w:val="00DF2CB7"/>
    <w:rsid w:val="00DF3BF1"/>
    <w:rsid w:val="00E0004D"/>
    <w:rsid w:val="00E058BA"/>
    <w:rsid w:val="00E111AA"/>
    <w:rsid w:val="00E172C8"/>
    <w:rsid w:val="00E24E10"/>
    <w:rsid w:val="00E2769F"/>
    <w:rsid w:val="00E35042"/>
    <w:rsid w:val="00E543A5"/>
    <w:rsid w:val="00E551EB"/>
    <w:rsid w:val="00E67638"/>
    <w:rsid w:val="00E7526A"/>
    <w:rsid w:val="00E83B20"/>
    <w:rsid w:val="00E87C31"/>
    <w:rsid w:val="00E87FFB"/>
    <w:rsid w:val="00E95BDE"/>
    <w:rsid w:val="00E970B9"/>
    <w:rsid w:val="00EA23BA"/>
    <w:rsid w:val="00EC09D3"/>
    <w:rsid w:val="00EC17E3"/>
    <w:rsid w:val="00EC3919"/>
    <w:rsid w:val="00EC7C98"/>
    <w:rsid w:val="00ED2330"/>
    <w:rsid w:val="00ED5E52"/>
    <w:rsid w:val="00ED7176"/>
    <w:rsid w:val="00EF145D"/>
    <w:rsid w:val="00EF4043"/>
    <w:rsid w:val="00F022D4"/>
    <w:rsid w:val="00F21681"/>
    <w:rsid w:val="00F32AA4"/>
    <w:rsid w:val="00F573CF"/>
    <w:rsid w:val="00F57A2B"/>
    <w:rsid w:val="00F658E5"/>
    <w:rsid w:val="00F72DDA"/>
    <w:rsid w:val="00F764F4"/>
    <w:rsid w:val="00F86F49"/>
    <w:rsid w:val="00F94E84"/>
    <w:rsid w:val="00FA7B76"/>
    <w:rsid w:val="00FB347A"/>
    <w:rsid w:val="00FC327E"/>
    <w:rsid w:val="00FD2DF4"/>
    <w:rsid w:val="00FD3A25"/>
    <w:rsid w:val="00FE00D7"/>
    <w:rsid w:val="00FE156B"/>
    <w:rsid w:val="00FE2404"/>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091C9F01"/>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FD3A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63256215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134</Pages>
  <Words>44462</Words>
  <Characters>253436</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cp:lastPrinted>2018-04-20T17:45:00Z</cp:lastPrinted>
  <dcterms:created xsi:type="dcterms:W3CDTF">2019-12-12T17:35:00Z</dcterms:created>
  <dcterms:modified xsi:type="dcterms:W3CDTF">2019-12-12T17:35:00Z</dcterms:modified>
</cp:coreProperties>
</file>