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4C8A9" w14:textId="3F253A4F" w:rsidR="00CA41CC" w:rsidRPr="00914128" w:rsidRDefault="0068336D" w:rsidP="00914128">
      <w:pPr>
        <w:pStyle w:val="Heading1"/>
      </w:pPr>
      <w:bookmarkStart w:id="0" w:name="_GoBack"/>
      <w:bookmarkEnd w:id="0"/>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D07170"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D07170"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D07170"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D07170"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D07170"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D07170"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Between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D07170"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D07170"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D07170"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D07170" w:rsidP="00E007F8">
      <w:pPr>
        <w:pStyle w:val="ToC"/>
      </w:pPr>
      <w:hyperlink w:anchor="a12_09" w:history="1">
        <w:r w:rsidR="00E55147" w:rsidRPr="00BE6634">
          <w:rPr>
            <w:rStyle w:val="Hyperlink"/>
          </w:rPr>
          <w:t>12:9</w:t>
        </w:r>
      </w:hyperlink>
      <w:r w:rsidR="00E55147" w:rsidRPr="00BE6634">
        <w:t xml:space="preserve"> </w:t>
      </w:r>
      <w:r w:rsidR="00E55147" w:rsidRPr="00BE6634">
        <w:tab/>
        <w:t xml:space="preserve">Lessor’s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D07170"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D07170"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By Lessor’s Promise </w:t>
      </w:r>
      <w:r w:rsidR="00E50187">
        <w:t>to</w:t>
      </w:r>
      <w:r w:rsidR="00E55147" w:rsidRPr="00BE6634">
        <w:t xml:space="preserve"> Repair Premises</w:t>
      </w:r>
    </w:p>
    <w:p w14:paraId="1C5E45CB" w14:textId="77777777" w:rsidR="00BE6634" w:rsidRDefault="00D07170"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D07170"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Where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D07170"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D07170"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D07170"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By User </w:t>
      </w:r>
      <w:r w:rsidR="00E50187">
        <w:t>of</w:t>
      </w:r>
      <w:r w:rsidR="00E55147" w:rsidRPr="00BE6634">
        <w:t xml:space="preserve"> Public Way</w:t>
      </w:r>
    </w:p>
    <w:p w14:paraId="429D9118" w14:textId="77777777" w:rsidR="00BE6634" w:rsidRDefault="00D07170"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D07170"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place">
        <w:smartTag w:uri="urn:schemas-microsoft-com:office:smarttags" w:element="Stat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
    <w:p w14:paraId="1F824217"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13-21-115(3). Under the statute, whether an injured party is a trespasser, licensee, or invitee must be determined by the trial court. The fact finder determines the ultimate issues of liability and damages. § 13-21-115(4).</w:t>
      </w:r>
    </w:p>
    <w:p w14:paraId="632E2CB8"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13-21-115(2),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10.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2A0C9368" w14:textId="77777777" w:rsidR="00E007F8" w:rsidRDefault="00E007F8" w:rsidP="00E007F8">
      <w:pPr>
        <w:spacing w:after="240"/>
        <w:ind w:firstLine="720"/>
        <w:rPr>
          <w:rFonts w:eastAsia="Times New Roman"/>
          <w:sz w:val="24"/>
          <w:szCs w:val="24"/>
        </w:rPr>
      </w:pPr>
      <w:r w:rsidRPr="00E007F8">
        <w:rPr>
          <w:rFonts w:eastAsia="Times New Roman"/>
          <w:sz w:val="24"/>
          <w:szCs w:val="24"/>
        </w:rPr>
        <w:t xml:space="preserve">11.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2" w:name="a12_01"/>
      <w:bookmarkEnd w:id="2"/>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on (his) (her)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5E04052C"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w:t>
      </w:r>
      <w:r w:rsidR="00CE1336">
        <w:rPr>
          <w:rFonts w:eastAsia="Times New Roman"/>
          <w:b/>
          <w:sz w:val="24"/>
          <w:szCs w:val="24"/>
        </w:rPr>
        <w:t xml:space="preserve"> has</w:t>
      </w:r>
      <w:r w:rsidRPr="00AD4B56">
        <w:rPr>
          <w:rFonts w:eastAsia="Times New Roman"/>
          <w:b/>
          <w:sz w:val="24"/>
          <w:szCs w:val="24"/>
        </w:rPr>
        <w:t>) (any one or more of these affirmative defenses</w:t>
      </w:r>
      <w:r w:rsidR="00CE1336">
        <w:rPr>
          <w:rFonts w:eastAsia="Times New Roman"/>
          <w:b/>
          <w:sz w:val="24"/>
          <w:szCs w:val="24"/>
        </w:rPr>
        <w:t xml:space="preserve"> have</w:t>
      </w:r>
      <w:r w:rsidRPr="00AD4B56">
        <w:rPr>
          <w:rFonts w:eastAsia="Times New Roman"/>
          <w:b/>
          <w:sz w:val="24"/>
          <w:szCs w:val="24"/>
        </w:rPr>
        <w:t>) been proved by a preponderance of the evidence, then your verdict must be for the defendant.</w:t>
      </w:r>
    </w:p>
    <w:p w14:paraId="2F7F6B68" w14:textId="08DCFFD9"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w:t>
      </w:r>
      <w:r w:rsidR="00CE1336">
        <w:rPr>
          <w:rFonts w:eastAsia="Times New Roman"/>
          <w:b/>
          <w:sz w:val="24"/>
          <w:szCs w:val="24"/>
        </w:rPr>
        <w:t xml:space="preserve"> has not</w:t>
      </w:r>
      <w:r w:rsidRPr="00AD4B56">
        <w:rPr>
          <w:rFonts w:eastAsia="Times New Roman"/>
          <w:b/>
          <w:sz w:val="24"/>
          <w:szCs w:val="24"/>
        </w:rPr>
        <w:t>) (none of these affirmative defenses</w:t>
      </w:r>
      <w:r w:rsidR="00CE1336">
        <w:rPr>
          <w:rFonts w:eastAsia="Times New Roman"/>
          <w:b/>
          <w:sz w:val="24"/>
          <w:szCs w:val="24"/>
        </w:rPr>
        <w:t xml:space="preserve"> have</w:t>
      </w:r>
      <w:r w:rsidRPr="00AD4B56">
        <w:rPr>
          <w:rFonts w:eastAsia="Times New Roman"/>
          <w:b/>
          <w:sz w:val="24"/>
          <w:szCs w:val="24"/>
        </w:rPr>
        <w:t>)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condominium could </w:t>
      </w:r>
      <w:r w:rsidRPr="00AD4B56">
        <w:rPr>
          <w:rFonts w:eastAsia="Times New Roman"/>
          <w:sz w:val="24"/>
          <w:szCs w:val="24"/>
        </w:rPr>
        <w:lastRenderedPageBreak/>
        <w:t xml:space="preserve">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13-21-115(4), it is for the court and not for the jury to determine whether the person injured on the premises was a trespasser, a licensee, or an invitee, as defined in section 13-21-115(5) (quoted below in Source and Authority), it is not necessary to use the word “trespasser” in this instruction nor to provide the jury with its statutory definition.</w:t>
      </w:r>
    </w:p>
    <w:p w14:paraId="074BB90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11. The premises liability statute only applies if the injury occurs on the real property of another. § 13-21-115(2);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xml:space="preserve">, 2012 COA 208, ¶ 25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13-21-115(3)(a),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13-21-115(4), provides:</w:t>
      </w:r>
    </w:p>
    <w:p w14:paraId="087689E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46955901"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13-21-115(5), provides:</w:t>
      </w:r>
    </w:p>
    <w:p w14:paraId="6A845F6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As used in this section:</w:t>
      </w:r>
    </w:p>
    <w:p w14:paraId="734C6BF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 </w:t>
      </w:r>
    </w:p>
    <w:p w14:paraId="55D717D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37BA214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(c) “Trespasser” means a person who enters or remains on the land of another without the landowner’s consent. </w:t>
      </w:r>
    </w:p>
    <w:p w14:paraId="7A9B143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AD4B56">
        <w:rPr>
          <w:rFonts w:eastAsia="Times New Roman"/>
          <w:i/>
          <w:sz w:val="24"/>
          <w:szCs w:val="24"/>
        </w:rPr>
        <w:t xml:space="preserve">See also </w:t>
      </w:r>
      <w:r w:rsidRPr="00AD4B56">
        <w:rPr>
          <w:rFonts w:eastAsia="Times New Roman"/>
          <w:b/>
          <w:sz w:val="24"/>
          <w:szCs w:val="24"/>
        </w:rPr>
        <w:t>Tancrede</w:t>
      </w:r>
      <w:r w:rsidRPr="00AD4B56">
        <w:rPr>
          <w:rFonts w:eastAsia="Times New Roman"/>
          <w:sz w:val="24"/>
          <w:szCs w:val="24"/>
        </w:rPr>
        <w:t>, 2017 COA 36, ¶ 15 (holding motor vehicle passenger was a trespasser on private property and had to allege willful and deliberate conduct).</w:t>
      </w: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3" w:name="a12_02"/>
      <w:bookmarkEnd w:id="3"/>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on (his) (her)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(a) (failed to use reasonable care with respect to a danger on the property which (1) [he] [she] created and (2) [he] [she]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77777777"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[he] [she] did not create, (2) but which [he] [she]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214FE2BA"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w:t>
      </w:r>
      <w:r w:rsidR="00CE1336">
        <w:rPr>
          <w:rFonts w:eastAsia="Times New Roman"/>
          <w:b/>
          <w:sz w:val="24"/>
          <w:szCs w:val="24"/>
        </w:rPr>
        <w:t xml:space="preserve"> has</w:t>
      </w:r>
      <w:r w:rsidRPr="000C204E">
        <w:rPr>
          <w:rFonts w:eastAsia="Times New Roman"/>
          <w:b/>
          <w:sz w:val="24"/>
          <w:szCs w:val="24"/>
        </w:rPr>
        <w:t>) (any one or more of these affirmative defenses</w:t>
      </w:r>
      <w:r w:rsidR="00CE1336">
        <w:rPr>
          <w:rFonts w:eastAsia="Times New Roman"/>
          <w:b/>
          <w:sz w:val="24"/>
          <w:szCs w:val="24"/>
        </w:rPr>
        <w:t xml:space="preserve"> have</w:t>
      </w:r>
      <w:r w:rsidRPr="000C204E">
        <w:rPr>
          <w:rFonts w:eastAsia="Times New Roman"/>
          <w:b/>
          <w:sz w:val="24"/>
          <w:szCs w:val="24"/>
        </w:rPr>
        <w:t>) been proved by a preponderance of the evidence, then your verdict must be for the defendant.</w:t>
      </w:r>
    </w:p>
    <w:p w14:paraId="0271EDC5" w14:textId="10B9CA92"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w:t>
      </w:r>
      <w:r w:rsidR="00CE1336">
        <w:rPr>
          <w:rFonts w:eastAsia="Times New Roman"/>
          <w:b/>
          <w:sz w:val="24"/>
          <w:szCs w:val="24"/>
        </w:rPr>
        <w:t xml:space="preserve"> has not</w:t>
      </w:r>
      <w:r w:rsidRPr="000C204E">
        <w:rPr>
          <w:rFonts w:eastAsia="Times New Roman"/>
          <w:b/>
          <w:sz w:val="24"/>
          <w:szCs w:val="24"/>
        </w:rPr>
        <w:t>) (none of these affirmative defenses</w:t>
      </w:r>
      <w:r w:rsidR="00CE1336">
        <w:rPr>
          <w:rFonts w:eastAsia="Times New Roman"/>
          <w:b/>
          <w:sz w:val="24"/>
          <w:szCs w:val="24"/>
        </w:rPr>
        <w:t xml:space="preserve"> have</w:t>
      </w:r>
      <w:r w:rsidRPr="000C204E">
        <w:rPr>
          <w:rFonts w:eastAsia="Times New Roman"/>
          <w:b/>
          <w:sz w:val="24"/>
          <w:szCs w:val="24"/>
        </w:rPr>
        <w:t>)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w:t>
      </w:r>
      <w:r w:rsidRPr="000C204E">
        <w:rPr>
          <w:rFonts w:eastAsia="Times New Roman"/>
          <w:sz w:val="24"/>
          <w:szCs w:val="24"/>
        </w:rPr>
        <w:lastRenderedPageBreak/>
        <w:t xml:space="preserve">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 xml:space="preserve">Volunteers of Am. Colo. Branch </w:t>
      </w:r>
      <w:r w:rsidRPr="000C204E">
        <w:rPr>
          <w:rFonts w:eastAsia="Times New Roman"/>
          <w:b/>
          <w:sz w:val="24"/>
          <w:szCs w:val="24"/>
        </w:rPr>
        <w:lastRenderedPageBreak/>
        <w:t>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13-21-115(4), it is for the court and not the jury to determine whether the person injured on the premises was a trespasser, licensee, or invitee, as defined in section 13-21-115(5) (quoted in Source and Authority), it is not necessary to use the word “licensee” in this instruction nor provide the jury with its statutory definition.</w:t>
      </w:r>
    </w:p>
    <w:p w14:paraId="025D5EE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9. The premises liability statute applies only if the injury occurs on the real property of another. § 13-21-115(2);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xml:space="preserve">, 2012 COA 208, ¶ 25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13-21-115(3)(b), which provides:</w:t>
      </w:r>
    </w:p>
    <w:p w14:paraId="3B3E676E"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licensee may recover only for damages caused:</w:t>
      </w:r>
    </w:p>
    <w:p w14:paraId="6412C25F"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 By the landowner’s unreasonable failure to exercise reasonable care with respect to dangers created by the landowner of which the landowner actually knew; or</w:t>
      </w:r>
    </w:p>
    <w:p w14:paraId="3EB7A76E"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(II) By the landowner’s unreasonable failure to warn of dangers not created by the landowner which are not ordinarily present on property of the type involved and of which the landowner actually knew.</w:t>
      </w:r>
    </w:p>
    <w:p w14:paraId="269EF689"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13-21-115(4), provides:</w:t>
      </w:r>
    </w:p>
    <w:p w14:paraId="3B64BBDD"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2287DBD0"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13-21-115(5) provides:</w:t>
      </w:r>
    </w:p>
    <w:p w14:paraId="51087BD3"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As used in this section:</w:t>
      </w:r>
    </w:p>
    <w:p w14:paraId="4D832F82"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3CC2709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A66D71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w:t>
      </w:r>
      <w:r w:rsidRPr="00DC7533">
        <w:rPr>
          <w:rFonts w:eastAsia="Times New Roman"/>
          <w:sz w:val="24"/>
          <w:szCs w:val="24"/>
        </w:rPr>
        <w:lastRenderedPageBreak/>
        <w:t xml:space="preserve">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4" w:name="a12_03"/>
      <w:bookmarkEnd w:id="4"/>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on (his) (her)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429D0414"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w:t>
      </w:r>
      <w:r w:rsidR="00CE1336">
        <w:rPr>
          <w:rFonts w:eastAsia="Times New Roman"/>
          <w:b/>
          <w:sz w:val="24"/>
          <w:szCs w:val="24"/>
        </w:rPr>
        <w:t xml:space="preserve"> has</w:t>
      </w:r>
      <w:r w:rsidRPr="00DC7533">
        <w:rPr>
          <w:rFonts w:eastAsia="Times New Roman"/>
          <w:b/>
          <w:sz w:val="24"/>
          <w:szCs w:val="24"/>
        </w:rPr>
        <w:t>) (any one or more of these affirmative defenses</w:t>
      </w:r>
      <w:r w:rsidR="00CE1336">
        <w:rPr>
          <w:rFonts w:eastAsia="Times New Roman"/>
          <w:b/>
          <w:sz w:val="24"/>
          <w:szCs w:val="24"/>
        </w:rPr>
        <w:t xml:space="preserve"> have</w:t>
      </w:r>
      <w:r w:rsidRPr="00DC7533">
        <w:rPr>
          <w:rFonts w:eastAsia="Times New Roman"/>
          <w:b/>
          <w:sz w:val="24"/>
          <w:szCs w:val="24"/>
        </w:rPr>
        <w:t>) been proved by a preponderance of the evidence, then your verdict must be for the defendant.</w:t>
      </w:r>
    </w:p>
    <w:p w14:paraId="60E1D106" w14:textId="1CB24038"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w:t>
      </w:r>
      <w:r w:rsidR="00CE1336">
        <w:rPr>
          <w:rFonts w:eastAsia="Times New Roman"/>
          <w:b/>
          <w:sz w:val="24"/>
          <w:szCs w:val="24"/>
        </w:rPr>
        <w:t xml:space="preserve"> has not</w:t>
      </w:r>
      <w:r w:rsidRPr="00DC7533">
        <w:rPr>
          <w:rFonts w:eastAsia="Times New Roman"/>
          <w:b/>
          <w:sz w:val="24"/>
          <w:szCs w:val="24"/>
        </w:rPr>
        <w:t>) (none of these affirmative defenses</w:t>
      </w:r>
      <w:r w:rsidR="00CE1336">
        <w:rPr>
          <w:rFonts w:eastAsia="Times New Roman"/>
          <w:b/>
          <w:sz w:val="24"/>
          <w:szCs w:val="24"/>
        </w:rPr>
        <w:t xml:space="preserve"> have</w:t>
      </w:r>
      <w:r w:rsidRPr="00DC7533">
        <w:rPr>
          <w:rFonts w:eastAsia="Times New Roman"/>
          <w:b/>
          <w:sz w:val="24"/>
          <w:szCs w:val="24"/>
        </w:rPr>
        <w:t>)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 This instruction must be used in any action involving premises liability to persons on the premises to which section 13-21-115(3)(c),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 xml:space="preserve">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13-21-115(3)(c)(II) (quoted in full in Source and Authority).</w:t>
      </w:r>
    </w:p>
    <w:p w14:paraId="25505EFA"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13-21-115(4) it is for the court and not the jury to determine whether the person injured on the premises was a trespasser, licensee, or invitee, as defined in section 13-21-115(5) (quoted below in Source and Authority), it is not necessary to use the word “invitee” in this instruction nor provide the jury with its statutory definition.</w:t>
      </w:r>
    </w:p>
    <w:p w14:paraId="1758522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10. The premises liability statute only applies if the injury occurs on the real property of another. § 13-21-115(2);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xml:space="preserve">, 2012 COA 208, ¶ 25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13-21-115(3)(c), which provides:</w:t>
      </w:r>
    </w:p>
    <w:p w14:paraId="2B7E1AB8"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 Except as otherwise provided in subparagraph (II) of this paragraph (c), an invitee may recover for damages caused by the landowner’s unreasonable failure to exercise reasonable care to protect against dangers of which he actually knew or should have known.</w:t>
      </w:r>
    </w:p>
    <w:p w14:paraId="1FD3D52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(II) If the landowner’s real property is classified for property tax purposes as agricultural land or vacant land, an invitee may recover for damages caused by the landowner’s unreasonable failure to exercise reasonable care to protect against dangers of which he actually knew.</w:t>
      </w:r>
    </w:p>
    <w:p w14:paraId="1CA5AD2D"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13-21-115(4), provides:</w:t>
      </w:r>
    </w:p>
    <w:p w14:paraId="1AF14B5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35E3017C"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13-21-115(5), provides:</w:t>
      </w:r>
    </w:p>
    <w:p w14:paraId="60BCC3D4"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lastRenderedPageBreak/>
        <w:t>As used in this section:</w:t>
      </w:r>
    </w:p>
    <w:p w14:paraId="44B1930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6B6151E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F90AC4B"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3C2E7FE7" w14:textId="5E32EC0C"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2</w:t>
      </w:r>
      <w:r w:rsidR="007B330F">
        <w:rPr>
          <w:rFonts w:eastAsia="Times New Roman"/>
          <w:sz w:val="24"/>
          <w:szCs w:val="24"/>
        </w:rPr>
        <w:t>66 P.3d 412 (Colo. App. 2011).</w:t>
      </w:r>
    </w:p>
    <w:p w14:paraId="5EEDA5C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xml:space="preserve">, 991 P.2d at 340 (housekeeper injured when glass shelf fell on her foot while supervising cleaning of condominium could recover against condominium owner only </w:t>
      </w:r>
      <w:r w:rsidRPr="00DC7533">
        <w:rPr>
          <w:rFonts w:eastAsia="Times New Roman"/>
          <w:sz w:val="24"/>
          <w:szCs w:val="24"/>
        </w:rPr>
        <w:lastRenderedPageBreak/>
        <w:t>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5" w:name="a12_04"/>
      <w:bookmarkEnd w:id="5"/>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on (his) (her)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3. The plaintiff was on the premises at the time (he) (she)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6. The plaintiff was too young to appreciate or realize the risk of injury to (himself) (herself)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6BFB80DA"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w:t>
      </w:r>
      <w:r w:rsidR="00CE1336">
        <w:rPr>
          <w:rFonts w:eastAsia="Times New Roman"/>
          <w:b/>
          <w:sz w:val="24"/>
          <w:szCs w:val="24"/>
        </w:rPr>
        <w:t xml:space="preserve"> has</w:t>
      </w:r>
      <w:r w:rsidRPr="00D347CA">
        <w:rPr>
          <w:rFonts w:eastAsia="Times New Roman"/>
          <w:b/>
          <w:sz w:val="24"/>
          <w:szCs w:val="24"/>
        </w:rPr>
        <w:t>) (any one or more of these affirmative defenses</w:t>
      </w:r>
      <w:r w:rsidR="00CE1336">
        <w:rPr>
          <w:rFonts w:eastAsia="Times New Roman"/>
          <w:b/>
          <w:sz w:val="24"/>
          <w:szCs w:val="24"/>
        </w:rPr>
        <w:t xml:space="preserve"> have</w:t>
      </w:r>
      <w:r w:rsidRPr="00D347CA">
        <w:rPr>
          <w:rFonts w:eastAsia="Times New Roman"/>
          <w:b/>
          <w:sz w:val="24"/>
          <w:szCs w:val="24"/>
        </w:rPr>
        <w:t>) been proved by a preponderance of the evidence, then your verdict must be for the defendant.</w:t>
      </w:r>
    </w:p>
    <w:p w14:paraId="6E8DC2F0" w14:textId="2A8B1F69"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w:t>
      </w:r>
      <w:r w:rsidR="00CE1336">
        <w:rPr>
          <w:rFonts w:eastAsia="Times New Roman"/>
          <w:b/>
          <w:sz w:val="24"/>
          <w:szCs w:val="24"/>
        </w:rPr>
        <w:t xml:space="preserve"> has not</w:t>
      </w:r>
      <w:r w:rsidRPr="00D347CA">
        <w:rPr>
          <w:rFonts w:eastAsia="Times New Roman"/>
          <w:b/>
          <w:sz w:val="24"/>
          <w:szCs w:val="24"/>
        </w:rPr>
        <w:t>) (none of these affirmative defenses</w:t>
      </w:r>
      <w:r w:rsidR="00CE1336">
        <w:rPr>
          <w:rFonts w:eastAsia="Times New Roman"/>
          <w:b/>
          <w:sz w:val="24"/>
          <w:szCs w:val="24"/>
        </w:rPr>
        <w:t xml:space="preserve"> have</w:t>
      </w:r>
      <w:r w:rsidRPr="00D347CA">
        <w:rPr>
          <w:rFonts w:eastAsia="Times New Roman"/>
          <w:b/>
          <w:sz w:val="24"/>
          <w:szCs w:val="24"/>
        </w:rPr>
        <w:t>)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13-21-115(2),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1. This instruction is supported by section 13-21-115(2),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2013 CO 72, ¶ 24.</w:t>
      </w:r>
    </w:p>
    <w:p w14:paraId="7780210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xml:space="preserve">, 2013 CO 72, ¶ 24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(doctrine </w:t>
      </w:r>
      <w:r w:rsidRPr="00D347CA">
        <w:rPr>
          <w:rFonts w:eastAsia="Times New Roman"/>
          <w:sz w:val="24"/>
          <w:szCs w:val="24"/>
        </w:rPr>
        <w:lastRenderedPageBreak/>
        <w:t xml:space="preserve">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6" w:name="a12_05"/>
      <w:bookmarkEnd w:id="6"/>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(he) (she) was capable of appreciating or realizing any risks of harm to (himself) (herself)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in conjunction with Instruction 12:4. It should also be used only when there is sufficient evidence that the plaintiff was “at least fourteen years of age but . . . less than eighteen years of age . . . .” § 13-21-115(2), C.R.S. In addition, as explained in the Notes on Use to Instruction 3:5, this instruction has been prepared on the assumption that the statutory presumption created by section 13-21-115(2)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This instruction is supported by section 13-21-115(2),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7" w:name="a12_06"/>
      <w:bookmarkEnd w:id="7"/>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on (his) (her)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[b. This condition was one the defendant knew of, or reasonably should have known of, in sufficient time to have (removed it) (corrected it) (or) (adequately warned persons that the condition was there) so that injury could have been prevented, and [he] [she] failed to do so];)</w:t>
      </w:r>
    </w:p>
    <w:p w14:paraId="55294FF0"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4. The defendant was negligent because (he) (she) failed to use reasonable care (in the management or maintenance of [his] [her] premises) (with respect to the operation of [his] [her] business on the premises) (with respect to the conduct of [his] [her]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3640CE7F"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If you find that (this affirmative defense</w:t>
      </w:r>
      <w:r w:rsidR="00CE1336">
        <w:rPr>
          <w:rFonts w:eastAsia="Times New Roman"/>
          <w:b/>
          <w:sz w:val="24"/>
          <w:szCs w:val="24"/>
        </w:rPr>
        <w:t xml:space="preserve"> has</w:t>
      </w:r>
      <w:r w:rsidRPr="00FA333E">
        <w:rPr>
          <w:rFonts w:eastAsia="Times New Roman"/>
          <w:b/>
          <w:sz w:val="24"/>
          <w:szCs w:val="24"/>
        </w:rPr>
        <w:t>) (any one or more of these affirmative defenses</w:t>
      </w:r>
      <w:r w:rsidR="00CE1336">
        <w:rPr>
          <w:rFonts w:eastAsia="Times New Roman"/>
          <w:b/>
          <w:sz w:val="24"/>
          <w:szCs w:val="24"/>
        </w:rPr>
        <w:t xml:space="preserve"> have</w:t>
      </w:r>
      <w:r w:rsidRPr="00FA333E">
        <w:rPr>
          <w:rFonts w:eastAsia="Times New Roman"/>
          <w:b/>
          <w:sz w:val="24"/>
          <w:szCs w:val="24"/>
        </w:rPr>
        <w:t>) been proved by a preponderance of the evidence, then your verdict must be for the defendant.</w:t>
      </w:r>
    </w:p>
    <w:p w14:paraId="0A180FE2" w14:textId="6F3E9F52"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However, if you find that (this affirmative defense</w:t>
      </w:r>
      <w:r w:rsidR="00CE1336">
        <w:rPr>
          <w:rFonts w:eastAsia="Times New Roman"/>
          <w:b/>
          <w:sz w:val="24"/>
          <w:szCs w:val="24"/>
        </w:rPr>
        <w:t xml:space="preserve"> has not</w:t>
      </w:r>
      <w:r w:rsidRPr="00FA333E">
        <w:rPr>
          <w:rFonts w:eastAsia="Times New Roman"/>
          <w:b/>
          <w:sz w:val="24"/>
          <w:szCs w:val="24"/>
        </w:rPr>
        <w:t>) (none of these affirmative defenses</w:t>
      </w:r>
      <w:r w:rsidR="00CE1336">
        <w:rPr>
          <w:rFonts w:eastAsia="Times New Roman"/>
          <w:b/>
          <w:sz w:val="24"/>
          <w:szCs w:val="24"/>
        </w:rPr>
        <w:t xml:space="preserve"> have</w:t>
      </w:r>
      <w:r w:rsidRPr="00FA333E">
        <w:rPr>
          <w:rFonts w:eastAsia="Times New Roman"/>
          <w:b/>
          <w:sz w:val="24"/>
          <w:szCs w:val="24"/>
        </w:rPr>
        <w:t>)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t>
      </w:r>
      <w:r w:rsidRPr="00D5484F">
        <w:rPr>
          <w:rFonts w:eastAsia="Times New Roman"/>
          <w:sz w:val="24"/>
          <w:szCs w:val="24"/>
        </w:rPr>
        <w:lastRenderedPageBreak/>
        <w:t>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br w:type="page"/>
      </w:r>
    </w:p>
    <w:p w14:paraId="2916765A" w14:textId="77777777" w:rsidR="00D5484F" w:rsidRPr="009E3DA4" w:rsidRDefault="00A110C7" w:rsidP="00D5484F">
      <w:pPr>
        <w:spacing w:after="240"/>
        <w:ind w:left="720" w:hanging="720"/>
        <w:rPr>
          <w:rFonts w:eastAsia="Times New Roman"/>
          <w:b/>
          <w:sz w:val="24"/>
          <w:szCs w:val="24"/>
        </w:rPr>
      </w:pPr>
      <w:bookmarkStart w:id="8" w:name="a12_07"/>
      <w:bookmarkEnd w:id="8"/>
      <w:r w:rsidRPr="00A110C7">
        <w:rPr>
          <w:rFonts w:eastAsia="Times New Roman"/>
          <w:b/>
          <w:sz w:val="24"/>
          <w:szCs w:val="24"/>
        </w:rPr>
        <w:lastRenderedPageBreak/>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9" w:name="a12_08"/>
      <w:bookmarkEnd w:id="9"/>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10" w:name="a12_09"/>
      <w:bookmarkEnd w:id="10"/>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1" w:name="a12_10"/>
      <w:bookmarkEnd w:id="11"/>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2" w:name="a12_11"/>
      <w:bookmarkEnd w:id="12"/>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3" w:name="a12_12"/>
      <w:bookmarkEnd w:id="13"/>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4" w:name="a12_13"/>
      <w:bookmarkEnd w:id="14"/>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5" w:name="a12_14"/>
      <w:bookmarkEnd w:id="15"/>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6" w:name="a12_15"/>
      <w:bookmarkEnd w:id="16"/>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38AC43B5" w14:textId="68066975" w:rsidR="0050790D" w:rsidRPr="0049313F" w:rsidRDefault="0050790D" w:rsidP="0049313F">
      <w:pPr>
        <w:spacing w:after="240"/>
        <w:ind w:firstLine="720"/>
        <w:rPr>
          <w:rFonts w:eastAsia="Times New Roman"/>
          <w:sz w:val="24"/>
          <w:szCs w:val="24"/>
        </w:rPr>
      </w:pPr>
      <w:r w:rsidRPr="0050790D">
        <w:rPr>
          <w:rFonts w:eastAsia="Times New Roman"/>
          <w:sz w:val="24"/>
          <w:szCs w:val="24"/>
        </w:rPr>
        <w:t xml:space="preserve">5. A low-income housing facility with a private investor with a 99% ownership interest is an “instrumentality” of a public entity entitled to governmental immunity under the CGIA because of the public’s “extensive control over its operations and because of its public purpose.”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32.</w:t>
      </w:r>
    </w:p>
    <w:p w14:paraId="02F374AB" w14:textId="70AD08A6" w:rsidR="0049313F" w:rsidRPr="0049313F" w:rsidRDefault="0050790D" w:rsidP="0049313F">
      <w:pPr>
        <w:spacing w:after="240"/>
        <w:ind w:firstLine="720"/>
        <w:rPr>
          <w:rFonts w:eastAsia="Times New Roman"/>
          <w:sz w:val="24"/>
          <w:szCs w:val="24"/>
        </w:rPr>
      </w:pPr>
      <w:r>
        <w:rPr>
          <w:rFonts w:eastAsia="Times New Roman"/>
          <w:sz w:val="24"/>
          <w:szCs w:val="24"/>
        </w:rPr>
        <w:t>6</w:t>
      </w:r>
      <w:r w:rsidR="0049313F" w:rsidRPr="0049313F">
        <w:rPr>
          <w:rFonts w:eastAsia="Times New Roman"/>
          <w:sz w:val="24"/>
          <w:szCs w:val="24"/>
        </w:rPr>
        <w:t xml:space="preserve">. Under the CGIA, claims based on an inadequate or negligent design of a public facility are barred. </w:t>
      </w:r>
      <w:r w:rsidR="0049313F" w:rsidRPr="0049313F">
        <w:rPr>
          <w:rFonts w:eastAsia="Times New Roman"/>
          <w:b/>
          <w:sz w:val="24"/>
          <w:szCs w:val="24"/>
        </w:rPr>
        <w:t>Willer v. City of Thornton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817 P.2d 514 (Colo. 1991) (city’s alleged negligent failure to post signs warning of a dip at intersection constituted inadequate or negligent design, </w:t>
      </w:r>
      <w:r w:rsidR="0049313F" w:rsidRPr="0049313F">
        <w:rPr>
          <w:rFonts w:eastAsia="Times New Roman"/>
          <w:sz w:val="24"/>
          <w:szCs w:val="24"/>
        </w:rPr>
        <w:lastRenderedPageBreak/>
        <w:t xml:space="preserve">and therefore, claims based on any such negligence were barred); </w:t>
      </w:r>
      <w:r w:rsidR="0049313F" w:rsidRPr="0049313F">
        <w:rPr>
          <w:rFonts w:eastAsia="Times New Roman"/>
          <w:b/>
          <w:sz w:val="24"/>
          <w:szCs w:val="24"/>
        </w:rPr>
        <w:t>Szymanski v. Dep’t of Highways</w:t>
      </w:r>
      <w:r w:rsidR="0049313F"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3931CF07" w:rsidR="0049313F" w:rsidRPr="0049313F" w:rsidRDefault="0050790D" w:rsidP="0049313F">
      <w:pPr>
        <w:spacing w:after="240"/>
        <w:ind w:firstLine="720"/>
        <w:rPr>
          <w:rFonts w:eastAsia="Times New Roman"/>
          <w:sz w:val="24"/>
          <w:szCs w:val="24"/>
        </w:rPr>
      </w:pPr>
      <w:r>
        <w:rPr>
          <w:rFonts w:eastAsia="Times New Roman"/>
          <w:sz w:val="24"/>
          <w:szCs w:val="24"/>
        </w:rPr>
        <w:t>7</w:t>
      </w:r>
      <w:r w:rsidR="0049313F" w:rsidRPr="0049313F">
        <w:rPr>
          <w:rFonts w:eastAsia="Times New Roman"/>
          <w:sz w:val="24"/>
          <w:szCs w:val="24"/>
        </w:rPr>
        <w:t xml:space="preserve">.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0049313F" w:rsidRPr="0049313F">
        <w:rPr>
          <w:rFonts w:eastAsia="Times New Roman"/>
          <w:b/>
          <w:sz w:val="24"/>
          <w:szCs w:val="24"/>
        </w:rPr>
        <w:t>Walton v. State</w:t>
      </w:r>
      <w:r w:rsidR="0049313F" w:rsidRPr="0049313F">
        <w:rPr>
          <w:rFonts w:eastAsia="Times New Roman"/>
          <w:sz w:val="24"/>
          <w:szCs w:val="24"/>
        </w:rPr>
        <w:t xml:space="preserve">, 968 P.2d 636 (Colo. 1998); </w:t>
      </w:r>
      <w:r w:rsidR="0049313F" w:rsidRPr="0049313F">
        <w:rPr>
          <w:rFonts w:eastAsia="Times New Roman"/>
          <w:b/>
          <w:sz w:val="24"/>
          <w:szCs w:val="24"/>
        </w:rPr>
        <w:t>Martinez v. Weld Cty. Sch. Dist. RE-1</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60 P.3d 736 (Colo. App. 2002); </w:t>
      </w:r>
      <w:r w:rsidR="0049313F" w:rsidRPr="0049313F">
        <w:rPr>
          <w:rFonts w:eastAsia="Times New Roman"/>
          <w:b/>
          <w:sz w:val="24"/>
          <w:szCs w:val="24"/>
        </w:rPr>
        <w:t>Luenberger v. City of Golden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990 P.2d 1145 (Colo. App. 1999); </w:t>
      </w:r>
      <w:r w:rsidR="0049313F" w:rsidRPr="0049313F">
        <w:rPr>
          <w:rFonts w:eastAsia="Times New Roman"/>
          <w:b/>
          <w:sz w:val="24"/>
          <w:szCs w:val="24"/>
        </w:rPr>
        <w:t>Smith v. Town of Snowmass Village</w:t>
      </w:r>
      <w:r w:rsidR="0049313F" w:rsidRPr="0049313F">
        <w:rPr>
          <w:rFonts w:eastAsia="Times New Roman"/>
          <w:sz w:val="24"/>
          <w:szCs w:val="24"/>
        </w:rPr>
        <w:t xml:space="preserve">, 919 P.2d 868 (Colo. App. 1996). </w:t>
      </w:r>
    </w:p>
    <w:p w14:paraId="73119EF6" w14:textId="5CFD1031" w:rsidR="0050790D" w:rsidRDefault="0050790D" w:rsidP="0049313F">
      <w:pPr>
        <w:spacing w:after="240"/>
        <w:ind w:firstLine="720"/>
        <w:rPr>
          <w:rFonts w:eastAsia="Times New Roman"/>
          <w:sz w:val="24"/>
          <w:szCs w:val="24"/>
        </w:rPr>
      </w:pPr>
      <w:r>
        <w:rPr>
          <w:rFonts w:eastAsia="Times New Roman"/>
          <w:sz w:val="24"/>
          <w:szCs w:val="24"/>
        </w:rPr>
        <w:t xml:space="preserve">8.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 of Denver v. Dennis ex rel. Heyboer</w:t>
      </w:r>
      <w:r>
        <w:rPr>
          <w:rFonts w:eastAsia="Times New Roman"/>
          <w:sz w:val="24"/>
          <w:szCs w:val="24"/>
        </w:rPr>
        <w:t>, 2018 CO 37, ¶ 23, 418 P.3d 489.</w:t>
      </w:r>
    </w:p>
    <w:p w14:paraId="44738001" w14:textId="4F0B41FC" w:rsidR="0049313F" w:rsidRPr="0049313F" w:rsidRDefault="0050790D" w:rsidP="0049313F">
      <w:pPr>
        <w:spacing w:after="240"/>
        <w:ind w:firstLine="720"/>
        <w:rPr>
          <w:rFonts w:eastAsia="Times New Roman"/>
          <w:sz w:val="24"/>
          <w:szCs w:val="24"/>
        </w:rPr>
      </w:pPr>
      <w:r>
        <w:rPr>
          <w:rFonts w:eastAsia="Times New Roman"/>
          <w:sz w:val="24"/>
          <w:szCs w:val="24"/>
        </w:rPr>
        <w:t>9</w:t>
      </w:r>
      <w:r w:rsidR="0049313F" w:rsidRPr="0049313F">
        <w:rPr>
          <w:rFonts w:eastAsia="Times New Roman"/>
          <w:sz w:val="24"/>
          <w:szCs w:val="24"/>
        </w:rPr>
        <w:t xml:space="preserve">. The decisions of the Colorado Supreme Court in </w:t>
      </w:r>
      <w:r w:rsidR="0049313F" w:rsidRPr="0049313F">
        <w:rPr>
          <w:rFonts w:eastAsia="Times New Roman"/>
          <w:b/>
          <w:sz w:val="24"/>
          <w:szCs w:val="24"/>
        </w:rPr>
        <w:t>City of Longmont v. Henry-Hobbs</w:t>
      </w:r>
      <w:r w:rsidR="0049313F"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0049313F" w:rsidRPr="0049313F">
        <w:rPr>
          <w:rFonts w:eastAsia="Times New Roman"/>
          <w:b/>
          <w:sz w:val="24"/>
          <w:szCs w:val="24"/>
        </w:rPr>
        <w:t>City of Colorado Springs v. Powell</w:t>
      </w:r>
      <w:r w:rsidR="0049313F"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0049313F" w:rsidRPr="0049313F">
        <w:rPr>
          <w:rFonts w:eastAsia="Times New Roman"/>
          <w:b/>
          <w:sz w:val="24"/>
          <w:szCs w:val="24"/>
        </w:rPr>
        <w:t>City of Colo. Springs v. Powell</w:t>
      </w:r>
      <w:r w:rsidR="0049313F" w:rsidRPr="0049313F">
        <w:rPr>
          <w:rFonts w:eastAsia="Times New Roman"/>
          <w:sz w:val="24"/>
          <w:szCs w:val="24"/>
        </w:rPr>
        <w:t>, 156 P.3d 461 (Colo. 2007).</w:t>
      </w:r>
    </w:p>
    <w:p w14:paraId="1E0277D0" w14:textId="7DEF3D14" w:rsidR="0049313F" w:rsidRPr="0049313F" w:rsidRDefault="0050790D" w:rsidP="0049313F">
      <w:pPr>
        <w:spacing w:after="240"/>
        <w:ind w:firstLine="720"/>
        <w:rPr>
          <w:rFonts w:eastAsia="Times New Roman"/>
          <w:sz w:val="24"/>
          <w:szCs w:val="24"/>
        </w:rPr>
      </w:pPr>
      <w:r>
        <w:rPr>
          <w:rFonts w:eastAsia="Times New Roman"/>
          <w:sz w:val="24"/>
          <w:szCs w:val="24"/>
        </w:rPr>
        <w:t>10</w:t>
      </w:r>
      <w:r w:rsidR="0049313F" w:rsidRPr="0049313F">
        <w:rPr>
          <w:rFonts w:eastAsia="Times New Roman"/>
          <w:sz w:val="24"/>
          <w:szCs w:val="24"/>
        </w:rPr>
        <w:t xml:space="preserve">. Before a municipality may be held liable for defects in a public way caused by a third person, the city must have been on notice of the defect. </w:t>
      </w:r>
      <w:r w:rsidR="0049313F" w:rsidRPr="0049313F">
        <w:rPr>
          <w:rFonts w:eastAsia="Times New Roman"/>
          <w:i/>
          <w:sz w:val="24"/>
          <w:szCs w:val="24"/>
        </w:rPr>
        <w:t>See, e.g</w:t>
      </w:r>
      <w:r w:rsidR="0049313F" w:rsidRPr="0049313F">
        <w:rPr>
          <w:rFonts w:eastAsia="Times New Roman"/>
          <w:sz w:val="24"/>
          <w:szCs w:val="24"/>
        </w:rPr>
        <w:t xml:space="preserve">., </w:t>
      </w:r>
      <w:r w:rsidR="0049313F" w:rsidRPr="0049313F">
        <w:rPr>
          <w:rFonts w:eastAsia="Times New Roman"/>
          <w:b/>
          <w:sz w:val="24"/>
          <w:szCs w:val="24"/>
        </w:rPr>
        <w:t>Wold v. City of Boulder</w:t>
      </w:r>
      <w:r w:rsidR="0049313F" w:rsidRPr="0049313F">
        <w:rPr>
          <w:rFonts w:eastAsia="Times New Roman"/>
          <w:sz w:val="24"/>
          <w:szCs w:val="24"/>
        </w:rPr>
        <w:t xml:space="preserve">, 91 Colo. 44, 9 P.2d 931 (1932); </w:t>
      </w:r>
      <w:r w:rsidR="0049313F" w:rsidRPr="0049313F">
        <w:rPr>
          <w:rFonts w:eastAsia="Times New Roman"/>
          <w:i/>
          <w:sz w:val="24"/>
          <w:szCs w:val="24"/>
        </w:rPr>
        <w:t xml:space="preserve">see also </w:t>
      </w:r>
      <w:r w:rsidR="0049313F" w:rsidRPr="0049313F">
        <w:rPr>
          <w:rFonts w:eastAsia="Times New Roman"/>
          <w:sz w:val="24"/>
          <w:szCs w:val="24"/>
        </w:rPr>
        <w:t xml:space="preserve">§ 24-10-103(1); </w:t>
      </w:r>
      <w:r w:rsidR="0049313F" w:rsidRPr="0049313F">
        <w:rPr>
          <w:rFonts w:eastAsia="Times New Roman"/>
          <w:b/>
          <w:sz w:val="24"/>
          <w:szCs w:val="24"/>
        </w:rPr>
        <w:t>Stephen v. City &amp; Cty. of Denver</w:t>
      </w:r>
      <w:r w:rsidR="0049313F" w:rsidRPr="0049313F">
        <w:rPr>
          <w:rFonts w:eastAsia="Times New Roman"/>
          <w:sz w:val="24"/>
          <w:szCs w:val="24"/>
        </w:rPr>
        <w:t xml:space="preserve">, 659 P.2d 666 (Colo. 1983) (interpreting, prior to 1986 amendment, section 24-10-106(1)(d) relating to dangerous conditions of public highways, etc.); </w:t>
      </w:r>
      <w:r w:rsidR="0049313F" w:rsidRPr="0049313F">
        <w:rPr>
          <w:rFonts w:eastAsia="Times New Roman"/>
          <w:b/>
          <w:sz w:val="24"/>
          <w:szCs w:val="24"/>
        </w:rPr>
        <w:t>Broderick v. City &amp; Cty.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727 P.2d 881 (Colo. App. 1986) (insufficient evidence that icy condition of sidewalk existed long enough for city to have had constructive notice of it).</w:t>
      </w:r>
    </w:p>
    <w:p w14:paraId="5FBB2B0C" w14:textId="5E0734FB" w:rsidR="0049313F" w:rsidRPr="0049313F" w:rsidRDefault="0050790D" w:rsidP="0049313F">
      <w:pPr>
        <w:spacing w:after="240"/>
        <w:ind w:firstLine="720"/>
        <w:rPr>
          <w:rFonts w:eastAsia="Times New Roman"/>
          <w:sz w:val="24"/>
          <w:szCs w:val="24"/>
        </w:rPr>
      </w:pPr>
      <w:r>
        <w:rPr>
          <w:rFonts w:eastAsia="Times New Roman"/>
          <w:sz w:val="24"/>
          <w:szCs w:val="24"/>
        </w:rPr>
        <w:t>11</w:t>
      </w:r>
      <w:r w:rsidR="0049313F" w:rsidRPr="0049313F">
        <w:rPr>
          <w:rFonts w:eastAsia="Times New Roman"/>
          <w:sz w:val="24"/>
          <w:szCs w:val="24"/>
        </w:rPr>
        <w:t xml:space="preserve">. Once a public entity takes affirmative steps to alleviate a problem, it has a duty to use reasonable care to protect foreseeable plaintiffs. </w:t>
      </w:r>
      <w:r w:rsidR="0049313F" w:rsidRPr="0049313F">
        <w:rPr>
          <w:rFonts w:eastAsia="Times New Roman"/>
          <w:b/>
          <w:sz w:val="24"/>
          <w:szCs w:val="24"/>
        </w:rPr>
        <w:t>Martinez v. City of Lakewood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655 P.2d 1388 (Colo. App. 1982).</w:t>
      </w:r>
    </w:p>
    <w:p w14:paraId="2A6F45F3" w14:textId="55885FD1"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2</w:t>
      </w:r>
      <w:r w:rsidRPr="0049313F">
        <w:rPr>
          <w:rFonts w:eastAsia="Times New Roman"/>
          <w:sz w:val="24"/>
          <w:szCs w:val="24"/>
        </w:rPr>
        <w:t xml:space="preserve">.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9313F">
        <w:rPr>
          <w:rFonts w:eastAsia="Times New Roman"/>
          <w:b/>
          <w:sz w:val="24"/>
          <w:szCs w:val="24"/>
        </w:rPr>
        <w:t>Lawrence v. Buena Vista Sanitation Dist.</w:t>
      </w:r>
      <w:r w:rsidRPr="0049313F">
        <w:rPr>
          <w:rFonts w:eastAsia="Times New Roman"/>
          <w:sz w:val="24"/>
          <w:szCs w:val="24"/>
        </w:rPr>
        <w:t>, 989 P.2d 254 (Colo. App. 1999).</w:t>
      </w:r>
    </w:p>
    <w:p w14:paraId="09DB45E9" w14:textId="6BD0BE93" w:rsidR="006B5583" w:rsidRDefault="0049313F" w:rsidP="0049313F">
      <w:pPr>
        <w:spacing w:after="240"/>
        <w:ind w:firstLine="720"/>
        <w:rPr>
          <w:rFonts w:eastAsia="Times New Roman"/>
          <w:sz w:val="24"/>
          <w:szCs w:val="24"/>
        </w:rPr>
      </w:pPr>
      <w:r w:rsidRPr="0049313F">
        <w:rPr>
          <w:rFonts w:eastAsia="Times New Roman"/>
          <w:sz w:val="24"/>
          <w:szCs w:val="24"/>
        </w:rPr>
        <w:lastRenderedPageBreak/>
        <w:t>1</w:t>
      </w:r>
      <w:r w:rsidR="0050790D">
        <w:rPr>
          <w:rFonts w:eastAsia="Times New Roman"/>
          <w:sz w:val="24"/>
          <w:szCs w:val="24"/>
        </w:rPr>
        <w:t>3</w:t>
      </w:r>
      <w:r w:rsidRPr="0049313F">
        <w:rPr>
          <w:rFonts w:eastAsia="Times New Roman"/>
          <w:sz w:val="24"/>
          <w:szCs w:val="24"/>
        </w:rPr>
        <w:t xml:space="preserve">.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422BEB96" w:rsidR="004E1634" w:rsidRDefault="004E1634" w:rsidP="0050790D">
      <w:pPr>
        <w:ind w:firstLine="720"/>
        <w:rPr>
          <w:rFonts w:eastAsia="Times New Roman"/>
          <w:sz w:val="24"/>
          <w:szCs w:val="24"/>
        </w:rPr>
      </w:pPr>
      <w:r>
        <w:rPr>
          <w:rFonts w:eastAsia="Times New Roman"/>
          <w:sz w:val="24"/>
          <w:szCs w:val="24"/>
        </w:rPr>
        <w:t>1</w:t>
      </w:r>
      <w:r w:rsidR="0050790D">
        <w:rPr>
          <w:rFonts w:eastAsia="Times New Roman"/>
          <w:sz w:val="24"/>
          <w:szCs w:val="24"/>
        </w:rPr>
        <w:t>4</w:t>
      </w:r>
      <w:r>
        <w:rPr>
          <w:rFonts w:eastAsia="Times New Roman"/>
          <w:sz w:val="24"/>
          <w:szCs w:val="24"/>
        </w:rPr>
        <w:t xml:space="preserve">.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xml:space="preserve">, 2018 COA 97, ¶ 50. </w:t>
      </w:r>
    </w:p>
    <w:p w14:paraId="542BBC06" w14:textId="77777777" w:rsidR="004E1634" w:rsidRDefault="004E1634" w:rsidP="0050790D">
      <w:pPr>
        <w:rPr>
          <w:rFonts w:eastAsia="Times New Roman"/>
          <w:sz w:val="24"/>
          <w:szCs w:val="24"/>
        </w:rPr>
      </w:pPr>
    </w:p>
    <w:p w14:paraId="2CD91649" w14:textId="29F9BFC5" w:rsidR="004E1634" w:rsidRDefault="004E1634" w:rsidP="004E1634">
      <w:pPr>
        <w:ind w:firstLine="720"/>
        <w:rPr>
          <w:rFonts w:eastAsia="Times New Roman"/>
          <w:i/>
          <w:sz w:val="24"/>
          <w:szCs w:val="24"/>
        </w:rPr>
      </w:pPr>
      <w:r>
        <w:rPr>
          <w:rFonts w:eastAsia="Times New Roman"/>
          <w:sz w:val="24"/>
          <w:szCs w:val="24"/>
        </w:rPr>
        <w:t>1</w:t>
      </w:r>
      <w:r w:rsidR="0050790D">
        <w:rPr>
          <w:rFonts w:eastAsia="Times New Roman"/>
          <w:sz w:val="24"/>
          <w:szCs w:val="24"/>
        </w:rPr>
        <w:t>5</w:t>
      </w:r>
      <w:r>
        <w:rPr>
          <w:rFonts w:eastAsia="Times New Roman"/>
          <w:sz w:val="24"/>
          <w:szCs w:val="24"/>
        </w:rPr>
        <w:t xml:space="preserve">. A government’s duty to maintain a road is triggered only after the road presents an unreasonable risk to the public. </w:t>
      </w:r>
      <w:r w:rsidRPr="00705096">
        <w:rPr>
          <w:rFonts w:eastAsia="Times New Roman"/>
          <w:i/>
          <w:sz w:val="24"/>
          <w:szCs w:val="24"/>
        </w:rPr>
        <w:t>Id.</w:t>
      </w:r>
      <w:r w:rsidRPr="00705096">
        <w:rPr>
          <w:rFonts w:eastAsia="Times New Roman"/>
          <w:sz w:val="24"/>
          <w:szCs w:val="24"/>
        </w:rPr>
        <w:t xml:space="preserve"> </w:t>
      </w:r>
      <w:r>
        <w:rPr>
          <w:rFonts w:eastAsia="Times New Roman"/>
          <w:sz w:val="24"/>
          <w:szCs w:val="24"/>
        </w:rPr>
        <w:t xml:space="preserve">at ¶ 18. A road does not automatically constitute an unreasonable risk because the government has not kept it in the general state of repair as it was initially constructed. </w:t>
      </w:r>
      <w:r>
        <w:rPr>
          <w:rFonts w:eastAsia="Times New Roman"/>
          <w:i/>
          <w:sz w:val="24"/>
          <w:szCs w:val="24"/>
        </w:rPr>
        <w:t>Id.</w:t>
      </w:r>
    </w:p>
    <w:p w14:paraId="1F38BBC6" w14:textId="77777777" w:rsidR="004E1634" w:rsidRPr="004E1634" w:rsidRDefault="004E1634" w:rsidP="004E1634">
      <w:pPr>
        <w:ind w:firstLine="720"/>
        <w:rPr>
          <w:rFonts w:eastAsia="Times New Roman"/>
          <w:sz w:val="24"/>
          <w:szCs w:val="24"/>
        </w:rPr>
      </w:pP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6D3EC015"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6</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w:t>
      </w:r>
      <w:r w:rsidRPr="0049313F">
        <w:rPr>
          <w:rFonts w:eastAsia="Times New Roman"/>
          <w:sz w:val="24"/>
          <w:szCs w:val="24"/>
        </w:rPr>
        <w:lastRenderedPageBreak/>
        <w:t xml:space="preserve">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1B5BC57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7</w:t>
      </w:r>
      <w:r w:rsidRPr="0049313F">
        <w:rPr>
          <w:rFonts w:eastAsia="Times New Roman"/>
          <w:sz w:val="24"/>
          <w:szCs w:val="24"/>
        </w:rPr>
        <w:t xml:space="preserve">. For recent Colorado Court of Appeals cases holding that sovereign immunity was waived, see </w:t>
      </w:r>
      <w:r w:rsidRPr="0049313F">
        <w:rPr>
          <w:rFonts w:eastAsia="Times New Roman"/>
          <w:b/>
          <w:sz w:val="24"/>
          <w:szCs w:val="24"/>
        </w:rPr>
        <w:t>McKinley v. City of Glenwood Springs</w:t>
      </w:r>
      <w:r w:rsidRPr="0049313F">
        <w:rPr>
          <w:rFonts w:eastAsia="Times New Roman"/>
          <w:sz w:val="24"/>
          <w:szCs w:val="24"/>
        </w:rPr>
        <w:t xml:space="preserve">, 2015 COA 126, ¶¶ 6-7, 11, 361 P.3d 1080 (five-inch depression in municipal parking lot was a dangerous condition that interfered with the 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35C57138"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8</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 xml:space="preserve">Hendricks v. Weld County School District </w:t>
      </w:r>
      <w:r w:rsidRPr="0049313F">
        <w:rPr>
          <w:rFonts w:eastAsia="Times New Roman"/>
          <w:b/>
          <w:sz w:val="24"/>
          <w:szCs w:val="24"/>
        </w:rPr>
        <w:lastRenderedPageBreak/>
        <w:t>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Longbottom v. State Board of Community Colleges &amp; 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automobile on public highway); </w:t>
      </w:r>
      <w:r w:rsidRPr="0049313F">
        <w:rPr>
          <w:rFonts w:eastAsia="Times New Roman"/>
          <w:b/>
          <w:sz w:val="24"/>
          <w:szCs w:val="24"/>
        </w:rPr>
        <w:t>Morgan v. Board of Water Works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7295330E"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50790D">
        <w:rPr>
          <w:rFonts w:eastAsia="Times New Roman"/>
          <w:sz w:val="24"/>
          <w:szCs w:val="24"/>
        </w:rPr>
        <w:t>9</w:t>
      </w:r>
      <w:r w:rsidRPr="0049313F">
        <w:rPr>
          <w:rFonts w:eastAsia="Times New Roman"/>
          <w:sz w:val="24"/>
          <w:szCs w:val="24"/>
        </w:rPr>
        <w:t xml:space="preserve">. For Colorado Supreme Court cases holding that sovereign immunity was not waived, see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3,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0A4B1520" w:rsidR="0049313F" w:rsidRPr="0049313F" w:rsidRDefault="0050790D"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recent Colorado Court of Appeals cases holding that sovereign immunity was not waived, see </w:t>
      </w:r>
      <w:r w:rsidRPr="0050790D">
        <w:rPr>
          <w:rFonts w:eastAsia="Times New Roman"/>
          <w:b/>
          <w:sz w:val="24"/>
          <w:szCs w:val="24"/>
        </w:rPr>
        <w:t>Martinez v. CSG Redevelopment</w:t>
      </w:r>
      <w:r>
        <w:rPr>
          <w:rFonts w:eastAsia="Times New Roman"/>
          <w:b/>
          <w:sz w:val="24"/>
          <w:szCs w:val="24"/>
        </w:rPr>
        <w:t xml:space="preserve"> Partners LLLP</w:t>
      </w:r>
      <w:r w:rsidRPr="0050790D">
        <w:rPr>
          <w:rFonts w:eastAsia="Times New Roman"/>
          <w:sz w:val="24"/>
          <w:szCs w:val="24"/>
        </w:rPr>
        <w:t>, 2019 COA 91, ¶ 34 (injuries sustained by plaintiff on icy walkway since low-income housing facility is not a “public building open for public business” because it functions as a private residence)</w:t>
      </w:r>
      <w:r>
        <w:rPr>
          <w:rFonts w:eastAsia="Times New Roman"/>
          <w:sz w:val="24"/>
          <w:szCs w:val="24"/>
        </w:rPr>
        <w:t xml:space="preserve">; </w:t>
      </w:r>
      <w:r w:rsidR="0049313F" w:rsidRPr="0049313F">
        <w:rPr>
          <w:rFonts w:eastAsia="Times New Roman"/>
          <w:b/>
          <w:sz w:val="24"/>
          <w:szCs w:val="24"/>
        </w:rPr>
        <w:t>Ackerman v. City &amp; County of Denver</w:t>
      </w:r>
      <w:r w:rsidR="0049313F" w:rsidRPr="0049313F">
        <w:rPr>
          <w:rFonts w:eastAsia="Times New Roman"/>
          <w:sz w:val="24"/>
          <w:szCs w:val="24"/>
        </w:rPr>
        <w:t>, 2015 COA 96M, ¶ 30, 373 P.3d 665 (injuries sustained by plaintiffs when rocks fell from rock formation abutting city amphitheater</w:t>
      </w:r>
      <w:r>
        <w:rPr>
          <w:rFonts w:eastAsia="Times New Roman"/>
          <w:sz w:val="24"/>
          <w:szCs w:val="24"/>
        </w:rPr>
        <w:t xml:space="preserve"> since</w:t>
      </w:r>
      <w:r w:rsidR="0049313F" w:rsidRPr="0049313F">
        <w:rPr>
          <w:rFonts w:eastAsia="Times New Roman"/>
          <w:sz w:val="24"/>
          <w:szCs w:val="24"/>
        </w:rPr>
        <w:t xml:space="preserve"> the court held that a rock formation “is a natural condition of unimproved property”); </w:t>
      </w:r>
      <w:r w:rsidR="0049313F" w:rsidRPr="0049313F">
        <w:rPr>
          <w:rFonts w:eastAsia="Times New Roman"/>
          <w:b/>
          <w:sz w:val="24"/>
          <w:szCs w:val="24"/>
        </w:rPr>
        <w:t>Wark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47 P.3d 711 (Colo. App. 2002) (counties not included in statutory waiver of </w:t>
      </w:r>
      <w:r w:rsidR="0049313F" w:rsidRPr="0049313F">
        <w:rPr>
          <w:rFonts w:eastAsia="Times New Roman"/>
          <w:sz w:val="24"/>
          <w:szCs w:val="24"/>
        </w:rPr>
        <w:lastRenderedPageBreak/>
        <w:t xml:space="preserve">immunity for dangerous conditions of roadways); </w:t>
      </w:r>
      <w:r w:rsidR="0049313F" w:rsidRPr="0049313F">
        <w:rPr>
          <w:rFonts w:eastAsia="Times New Roman"/>
          <w:b/>
          <w:sz w:val="24"/>
          <w:szCs w:val="24"/>
        </w:rPr>
        <w:t>Moore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42 P.3d 82 (Colo. App. 2002) (injuries to pedestrian who was injured on crosswalk controlled by properly functioning pedestrian signal); </w:t>
      </w:r>
      <w:r w:rsidR="0049313F" w:rsidRPr="0049313F">
        <w:rPr>
          <w:rFonts w:eastAsia="Times New Roman"/>
          <w:b/>
          <w:sz w:val="24"/>
          <w:szCs w:val="24"/>
        </w:rPr>
        <w:t>Richardson v. Starks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36 P.3d 168 (Colo. App. 2001) (injuries suffered by elementary school pupil who was assaulted by another pupil on school playground); </w:t>
      </w:r>
      <w:r w:rsidR="0049313F" w:rsidRPr="0049313F">
        <w:rPr>
          <w:rFonts w:eastAsia="Times New Roman"/>
          <w:b/>
          <w:sz w:val="24"/>
          <w:szCs w:val="24"/>
        </w:rPr>
        <w:t>deBoer v. Ute Water Conservancy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17 P.3d 187 (Colo. App. 2000) (injuries sustained by plaintiff when she fell into water meter pit owned and operated by district since pit was not “public facility”); </w:t>
      </w:r>
      <w:r w:rsidR="0049313F" w:rsidRPr="0049313F">
        <w:rPr>
          <w:rFonts w:eastAsia="Times New Roman"/>
          <w:b/>
          <w:sz w:val="24"/>
          <w:szCs w:val="24"/>
        </w:rPr>
        <w:t>Jaffe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15 P.3d 806 (Colo. App. 2000) (city’s alleged failure to establish medical assistance system, automatic lighting system, foul weather detection system, or evacuation plan on golf course); </w:t>
      </w:r>
      <w:r w:rsidR="0049313F" w:rsidRPr="0049313F">
        <w:rPr>
          <w:rFonts w:eastAsia="Times New Roman"/>
          <w:b/>
          <w:sz w:val="24"/>
          <w:szCs w:val="24"/>
        </w:rPr>
        <w:t>Seder v. City of Fort Collins</w:t>
      </w:r>
      <w:r w:rsidR="0049313F"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0049313F" w:rsidRPr="0049313F">
        <w:rPr>
          <w:rFonts w:eastAsia="Times New Roman"/>
          <w:b/>
          <w:sz w:val="24"/>
          <w:szCs w:val="24"/>
        </w:rPr>
        <w:t>Lyons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7D763215" w:rsidR="0049313F" w:rsidRPr="0049313F" w:rsidRDefault="00517CE6" w:rsidP="0049313F">
      <w:pPr>
        <w:spacing w:after="240"/>
        <w:ind w:firstLine="720"/>
        <w:rPr>
          <w:rFonts w:eastAsia="Times New Roman"/>
          <w:sz w:val="24"/>
          <w:szCs w:val="24"/>
        </w:rPr>
      </w:pPr>
      <w:r>
        <w:rPr>
          <w:rFonts w:eastAsia="Times New Roman"/>
          <w:sz w:val="24"/>
          <w:szCs w:val="24"/>
        </w:rPr>
        <w:t>2</w:t>
      </w:r>
      <w:r w:rsidR="0050790D">
        <w:rPr>
          <w:rFonts w:eastAsia="Times New Roman"/>
          <w:sz w:val="24"/>
          <w:szCs w:val="24"/>
        </w:rPr>
        <w:t>1</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7" w:name="a12_16"/>
      <w:bookmarkEnd w:id="17"/>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8" w:name="a12_17"/>
      <w:bookmarkEnd w:id="18"/>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77777777"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A person who takes a route when that person knows or ought reasonably to know of a safer route is negligent if a reasonably careful person would have taken the safer way under the same or similar circumstances to protect (himself)(herself)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place">
        <w:smartTag w:uri="urn:schemas-microsoft-com:office:smarttags" w:element="Stat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42BCFC99" w:rsidR="00E70C9B" w:rsidRDefault="007B330F" w:rsidP="00E70C9B">
      <w:pPr>
        <w:spacing w:after="240"/>
        <w:jc w:val="center"/>
        <w:rPr>
          <w:rFonts w:eastAsia="Times New Roman"/>
          <w:b/>
          <w:sz w:val="24"/>
          <w:szCs w:val="24"/>
        </w:rPr>
      </w:pPr>
      <w:r>
        <w:rPr>
          <w:rFonts w:eastAsia="Times New Roman"/>
          <w:b/>
          <w:sz w:val="24"/>
          <w:szCs w:val="24"/>
        </w:rPr>
        <w:lastRenderedPageBreak/>
        <w:t xml:space="preserve">G. </w:t>
      </w:r>
      <w:r w:rsidR="00E70C9B" w:rsidRPr="00E70C9B">
        <w:rPr>
          <w:rFonts w:eastAsia="Times New Roman"/>
          <w:b/>
          <w:sz w:val="24"/>
          <w:szCs w:val="24"/>
        </w:rPr>
        <w:t>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9" w:name="a12_18"/>
      <w:bookmarkEnd w:id="19"/>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1A827CE9" w:rsidR="00936D0A" w:rsidRPr="00936D0A" w:rsidRDefault="00936D0A" w:rsidP="00936D0A">
      <w:pPr>
        <w:spacing w:after="240"/>
        <w:ind w:firstLine="720"/>
        <w:rPr>
          <w:rFonts w:eastAsia="Times New Roman"/>
          <w:sz w:val="24"/>
          <w:szCs w:val="24"/>
        </w:rPr>
      </w:pPr>
      <w:r w:rsidRPr="00936D0A">
        <w:rPr>
          <w:rFonts w:eastAsia="Times New Roman"/>
          <w:sz w:val="24"/>
          <w:szCs w:val="24"/>
        </w:rPr>
        <w:t>3. For a definition of reasonable care, see Instruction 9:8</w:t>
      </w:r>
      <w:r w:rsidR="007B330F">
        <w:rPr>
          <w:rFonts w:eastAsia="Times New Roman"/>
          <w:sz w:val="24"/>
          <w:szCs w:val="24"/>
        </w:rPr>
        <w:t>.</w:t>
      </w:r>
      <w:r w:rsidRPr="00936D0A">
        <w:rPr>
          <w:rFonts w:eastAsia="Times New Roman"/>
          <w:sz w:val="24"/>
          <w:szCs w:val="24"/>
        </w:rPr>
        <w:t xml:space="preserve">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80136" w14:textId="77777777" w:rsidR="00B73048" w:rsidRDefault="00B73048" w:rsidP="0054263B">
      <w:r>
        <w:separator/>
      </w:r>
    </w:p>
    <w:p w14:paraId="3A03471D" w14:textId="77777777" w:rsidR="00B73048" w:rsidRDefault="00B73048"/>
  </w:endnote>
  <w:endnote w:type="continuationSeparator" w:id="0">
    <w:p w14:paraId="6EAFFE73" w14:textId="77777777" w:rsidR="00B73048" w:rsidRDefault="00B73048" w:rsidP="0054263B">
      <w:r>
        <w:continuationSeparator/>
      </w:r>
    </w:p>
    <w:p w14:paraId="70C17803" w14:textId="77777777" w:rsidR="00B73048" w:rsidRDefault="00B73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92733B">
          <w:rPr>
            <w:noProof/>
          </w:rPr>
          <w:t>45</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9A7C5" w14:textId="77777777" w:rsidR="00B73048" w:rsidRDefault="00B73048" w:rsidP="0054263B">
      <w:r>
        <w:separator/>
      </w:r>
    </w:p>
    <w:p w14:paraId="71961A23" w14:textId="77777777" w:rsidR="00B73048" w:rsidRDefault="00B73048"/>
  </w:footnote>
  <w:footnote w:type="continuationSeparator" w:id="0">
    <w:p w14:paraId="0BAF3D85" w14:textId="77777777" w:rsidR="00B73048" w:rsidRDefault="00B73048" w:rsidP="0054263B">
      <w:r>
        <w:continuationSeparator/>
      </w:r>
    </w:p>
    <w:p w14:paraId="5CD7C3F9" w14:textId="77777777" w:rsidR="00B73048" w:rsidRDefault="00B73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6599"/>
    <w:rsid w:val="00037111"/>
    <w:rsid w:val="0006367C"/>
    <w:rsid w:val="000824C8"/>
    <w:rsid w:val="00085495"/>
    <w:rsid w:val="000921F1"/>
    <w:rsid w:val="000962C8"/>
    <w:rsid w:val="000A0872"/>
    <w:rsid w:val="000B1B7A"/>
    <w:rsid w:val="000C204E"/>
    <w:rsid w:val="000C503A"/>
    <w:rsid w:val="000C6F97"/>
    <w:rsid w:val="000D4956"/>
    <w:rsid w:val="001117D9"/>
    <w:rsid w:val="00112C8E"/>
    <w:rsid w:val="00112FF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1F045F"/>
    <w:rsid w:val="00200BA5"/>
    <w:rsid w:val="00202B81"/>
    <w:rsid w:val="002065D8"/>
    <w:rsid w:val="002132CB"/>
    <w:rsid w:val="0021368F"/>
    <w:rsid w:val="0021730E"/>
    <w:rsid w:val="0022134E"/>
    <w:rsid w:val="002218BD"/>
    <w:rsid w:val="00223286"/>
    <w:rsid w:val="00227D3A"/>
    <w:rsid w:val="0024062B"/>
    <w:rsid w:val="0024597C"/>
    <w:rsid w:val="002547C3"/>
    <w:rsid w:val="002654B4"/>
    <w:rsid w:val="00273777"/>
    <w:rsid w:val="00285AE7"/>
    <w:rsid w:val="002937A4"/>
    <w:rsid w:val="00293F7E"/>
    <w:rsid w:val="002A23B0"/>
    <w:rsid w:val="002D163D"/>
    <w:rsid w:val="002E0970"/>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34371"/>
    <w:rsid w:val="00435D3E"/>
    <w:rsid w:val="004425AA"/>
    <w:rsid w:val="00456038"/>
    <w:rsid w:val="00465FA4"/>
    <w:rsid w:val="00467B80"/>
    <w:rsid w:val="0047120C"/>
    <w:rsid w:val="00471618"/>
    <w:rsid w:val="00474B1B"/>
    <w:rsid w:val="0049313F"/>
    <w:rsid w:val="004A15C1"/>
    <w:rsid w:val="004B753E"/>
    <w:rsid w:val="004C62F9"/>
    <w:rsid w:val="004C723A"/>
    <w:rsid w:val="004E1634"/>
    <w:rsid w:val="004E7EF1"/>
    <w:rsid w:val="004F3B7D"/>
    <w:rsid w:val="005065E6"/>
    <w:rsid w:val="0050790D"/>
    <w:rsid w:val="00516447"/>
    <w:rsid w:val="00517CE6"/>
    <w:rsid w:val="0052537F"/>
    <w:rsid w:val="005272F2"/>
    <w:rsid w:val="00531F87"/>
    <w:rsid w:val="0054263B"/>
    <w:rsid w:val="00547D97"/>
    <w:rsid w:val="00550AFD"/>
    <w:rsid w:val="00557FCC"/>
    <w:rsid w:val="005648EF"/>
    <w:rsid w:val="00573D55"/>
    <w:rsid w:val="0057771F"/>
    <w:rsid w:val="005B3A78"/>
    <w:rsid w:val="005C56C9"/>
    <w:rsid w:val="005D1AD3"/>
    <w:rsid w:val="005D3156"/>
    <w:rsid w:val="005E077D"/>
    <w:rsid w:val="005E712D"/>
    <w:rsid w:val="005F1017"/>
    <w:rsid w:val="005F19FD"/>
    <w:rsid w:val="005F5A94"/>
    <w:rsid w:val="0060023A"/>
    <w:rsid w:val="006272FE"/>
    <w:rsid w:val="00647CC5"/>
    <w:rsid w:val="00651A64"/>
    <w:rsid w:val="00661D05"/>
    <w:rsid w:val="00672BAB"/>
    <w:rsid w:val="00675252"/>
    <w:rsid w:val="00682B93"/>
    <w:rsid w:val="0068336D"/>
    <w:rsid w:val="00683FA1"/>
    <w:rsid w:val="00687304"/>
    <w:rsid w:val="006A74B6"/>
    <w:rsid w:val="006B2457"/>
    <w:rsid w:val="006B26D7"/>
    <w:rsid w:val="006B5583"/>
    <w:rsid w:val="006E06ED"/>
    <w:rsid w:val="006E0D06"/>
    <w:rsid w:val="006E3575"/>
    <w:rsid w:val="006E62F0"/>
    <w:rsid w:val="006F7DC0"/>
    <w:rsid w:val="00702B5A"/>
    <w:rsid w:val="00705096"/>
    <w:rsid w:val="0070752A"/>
    <w:rsid w:val="007119D8"/>
    <w:rsid w:val="0071225B"/>
    <w:rsid w:val="00713866"/>
    <w:rsid w:val="007216DA"/>
    <w:rsid w:val="007523D9"/>
    <w:rsid w:val="007532AB"/>
    <w:rsid w:val="00774E59"/>
    <w:rsid w:val="00792028"/>
    <w:rsid w:val="007974E2"/>
    <w:rsid w:val="007A3A0E"/>
    <w:rsid w:val="007A5B99"/>
    <w:rsid w:val="007A612E"/>
    <w:rsid w:val="007B1633"/>
    <w:rsid w:val="007B330F"/>
    <w:rsid w:val="007B5B1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8F7DB6"/>
    <w:rsid w:val="0090292A"/>
    <w:rsid w:val="00902A25"/>
    <w:rsid w:val="00914128"/>
    <w:rsid w:val="00925AE1"/>
    <w:rsid w:val="0092733B"/>
    <w:rsid w:val="00932723"/>
    <w:rsid w:val="00935DA8"/>
    <w:rsid w:val="00936D0A"/>
    <w:rsid w:val="009507A9"/>
    <w:rsid w:val="00952BBB"/>
    <w:rsid w:val="0095709A"/>
    <w:rsid w:val="00966B53"/>
    <w:rsid w:val="009725D8"/>
    <w:rsid w:val="00973884"/>
    <w:rsid w:val="009902F2"/>
    <w:rsid w:val="009931B9"/>
    <w:rsid w:val="009B18F0"/>
    <w:rsid w:val="009B6746"/>
    <w:rsid w:val="009E20C7"/>
    <w:rsid w:val="009E3DA4"/>
    <w:rsid w:val="00A01DB9"/>
    <w:rsid w:val="00A110C7"/>
    <w:rsid w:val="00A36457"/>
    <w:rsid w:val="00A632A0"/>
    <w:rsid w:val="00A73AE6"/>
    <w:rsid w:val="00A80C10"/>
    <w:rsid w:val="00A82D0A"/>
    <w:rsid w:val="00A85AAA"/>
    <w:rsid w:val="00A92C18"/>
    <w:rsid w:val="00AB2019"/>
    <w:rsid w:val="00AB71A7"/>
    <w:rsid w:val="00AC1A52"/>
    <w:rsid w:val="00AC78F7"/>
    <w:rsid w:val="00AD4B56"/>
    <w:rsid w:val="00AD6178"/>
    <w:rsid w:val="00AE667D"/>
    <w:rsid w:val="00AF7D47"/>
    <w:rsid w:val="00B0264D"/>
    <w:rsid w:val="00B06939"/>
    <w:rsid w:val="00B12BDB"/>
    <w:rsid w:val="00B3689C"/>
    <w:rsid w:val="00B37722"/>
    <w:rsid w:val="00B45E07"/>
    <w:rsid w:val="00B567C1"/>
    <w:rsid w:val="00B579DF"/>
    <w:rsid w:val="00B6275E"/>
    <w:rsid w:val="00B70D68"/>
    <w:rsid w:val="00B719C2"/>
    <w:rsid w:val="00B72D6B"/>
    <w:rsid w:val="00B73048"/>
    <w:rsid w:val="00B80FD1"/>
    <w:rsid w:val="00B937E4"/>
    <w:rsid w:val="00B97801"/>
    <w:rsid w:val="00BA2389"/>
    <w:rsid w:val="00BA27A8"/>
    <w:rsid w:val="00BA510E"/>
    <w:rsid w:val="00BC336C"/>
    <w:rsid w:val="00BC49BF"/>
    <w:rsid w:val="00BC65EF"/>
    <w:rsid w:val="00BD4988"/>
    <w:rsid w:val="00BE2B09"/>
    <w:rsid w:val="00BE3D70"/>
    <w:rsid w:val="00BE654D"/>
    <w:rsid w:val="00BE6634"/>
    <w:rsid w:val="00BF3BA2"/>
    <w:rsid w:val="00C26751"/>
    <w:rsid w:val="00C40968"/>
    <w:rsid w:val="00C473A2"/>
    <w:rsid w:val="00C60E95"/>
    <w:rsid w:val="00C65686"/>
    <w:rsid w:val="00C65E31"/>
    <w:rsid w:val="00C724B6"/>
    <w:rsid w:val="00C803F3"/>
    <w:rsid w:val="00C84E71"/>
    <w:rsid w:val="00C87463"/>
    <w:rsid w:val="00C8797B"/>
    <w:rsid w:val="00C93B0B"/>
    <w:rsid w:val="00C94C5E"/>
    <w:rsid w:val="00CA41CC"/>
    <w:rsid w:val="00CA4C39"/>
    <w:rsid w:val="00CA7EF2"/>
    <w:rsid w:val="00CB008B"/>
    <w:rsid w:val="00CC0502"/>
    <w:rsid w:val="00CC1AC8"/>
    <w:rsid w:val="00CC6A95"/>
    <w:rsid w:val="00CC7E17"/>
    <w:rsid w:val="00CD4A7D"/>
    <w:rsid w:val="00CE1336"/>
    <w:rsid w:val="00CE593D"/>
    <w:rsid w:val="00CF3788"/>
    <w:rsid w:val="00D014AE"/>
    <w:rsid w:val="00D048E6"/>
    <w:rsid w:val="00D05926"/>
    <w:rsid w:val="00D06D8D"/>
    <w:rsid w:val="00D07170"/>
    <w:rsid w:val="00D23BD0"/>
    <w:rsid w:val="00D333AA"/>
    <w:rsid w:val="00D347CA"/>
    <w:rsid w:val="00D503E5"/>
    <w:rsid w:val="00D51E80"/>
    <w:rsid w:val="00D53848"/>
    <w:rsid w:val="00D53AC5"/>
    <w:rsid w:val="00D5484F"/>
    <w:rsid w:val="00D8125F"/>
    <w:rsid w:val="00DA1796"/>
    <w:rsid w:val="00DA2814"/>
    <w:rsid w:val="00DB2C90"/>
    <w:rsid w:val="00DC63A9"/>
    <w:rsid w:val="00DC66A6"/>
    <w:rsid w:val="00DC7533"/>
    <w:rsid w:val="00DD5708"/>
    <w:rsid w:val="00DE2930"/>
    <w:rsid w:val="00DF2CB7"/>
    <w:rsid w:val="00DF3BF1"/>
    <w:rsid w:val="00E007F8"/>
    <w:rsid w:val="00E00FBD"/>
    <w:rsid w:val="00E058BA"/>
    <w:rsid w:val="00E111AA"/>
    <w:rsid w:val="00E172C8"/>
    <w:rsid w:val="00E210A4"/>
    <w:rsid w:val="00E24E10"/>
    <w:rsid w:val="00E50187"/>
    <w:rsid w:val="00E55147"/>
    <w:rsid w:val="00E551EB"/>
    <w:rsid w:val="00E559D8"/>
    <w:rsid w:val="00E61A72"/>
    <w:rsid w:val="00E67638"/>
    <w:rsid w:val="00E70C9B"/>
    <w:rsid w:val="00E7526A"/>
    <w:rsid w:val="00E87C31"/>
    <w:rsid w:val="00E87FFB"/>
    <w:rsid w:val="00E970B9"/>
    <w:rsid w:val="00EB113C"/>
    <w:rsid w:val="00EC17E3"/>
    <w:rsid w:val="00EC3919"/>
    <w:rsid w:val="00EC7C98"/>
    <w:rsid w:val="00ED5E52"/>
    <w:rsid w:val="00ED7176"/>
    <w:rsid w:val="00ED75EA"/>
    <w:rsid w:val="00EF4043"/>
    <w:rsid w:val="00F00B80"/>
    <w:rsid w:val="00F022D4"/>
    <w:rsid w:val="00F062A4"/>
    <w:rsid w:val="00F27B14"/>
    <w:rsid w:val="00F32AA4"/>
    <w:rsid w:val="00F573CF"/>
    <w:rsid w:val="00F57A2B"/>
    <w:rsid w:val="00F643FB"/>
    <w:rsid w:val="00F658E5"/>
    <w:rsid w:val="00F70F81"/>
    <w:rsid w:val="00F764F4"/>
    <w:rsid w:val="00F76D32"/>
    <w:rsid w:val="00F84802"/>
    <w:rsid w:val="00F86F49"/>
    <w:rsid w:val="00FA333E"/>
    <w:rsid w:val="00FA7B76"/>
    <w:rsid w:val="00FB0E65"/>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1D15164"/>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16192</Words>
  <Characters>92298</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2019-12-12T17:38:00Z</dcterms:created>
  <dcterms:modified xsi:type="dcterms:W3CDTF">2019-12-12T17:38:00Z</dcterms:modified>
</cp:coreProperties>
</file>