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D8CA" w14:textId="77777777" w:rsidR="00CA41CC" w:rsidRPr="00914128" w:rsidRDefault="0068336D" w:rsidP="00914128">
      <w:pPr>
        <w:pStyle w:val="Heading1"/>
      </w:pPr>
      <w:bookmarkStart w:id="0" w:name="_GoBack"/>
      <w:bookmarkEnd w:id="0"/>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FC3783"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FC3783" w:rsidP="00914128">
      <w:pPr>
        <w:pStyle w:val="ToC"/>
      </w:pPr>
      <w:hyperlink w:anchor="a7_2" w:history="1">
        <w:proofErr w:type="gramStart"/>
        <w:r w:rsidR="00107D25" w:rsidRPr="00144917">
          <w:rPr>
            <w:rStyle w:val="Hyperlink"/>
          </w:rPr>
          <w:t>7:2</w:t>
        </w:r>
      </w:hyperlink>
      <w:r w:rsidR="00107D25" w:rsidRPr="00144917">
        <w:t xml:space="preserve"> </w:t>
      </w:r>
      <w:r w:rsidR="00107D25" w:rsidRPr="00144917">
        <w:tab/>
        <w:t>Emancipation —</w:t>
      </w:r>
      <w:proofErr w:type="gramEnd"/>
      <w:r w:rsidR="00107D25" w:rsidRPr="00144917">
        <w:t xml:space="preserve">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FC3783" w:rsidP="0068336D">
      <w:pPr>
        <w:pStyle w:val="ToC"/>
      </w:pPr>
      <w:hyperlink w:anchor="a7_3" w:history="1">
        <w:r w:rsidR="00107D25" w:rsidRPr="00144917">
          <w:rPr>
            <w:rStyle w:val="Hyperlink"/>
          </w:rPr>
          <w:t>7:3</w:t>
        </w:r>
      </w:hyperlink>
      <w:r w:rsidR="00107D25" w:rsidRPr="00144917">
        <w:t xml:space="preserve"> </w:t>
      </w:r>
      <w:r w:rsidR="00107D25" w:rsidRPr="00144917">
        <w:tab/>
        <w:t xml:space="preserve">General </w:t>
      </w:r>
      <w:proofErr w:type="gramStart"/>
      <w:r w:rsidR="00107D25" w:rsidRPr="00144917">
        <w:t>Partnership</w:t>
      </w:r>
      <w:proofErr w:type="gramEnd"/>
      <w:r w:rsidR="00107D25" w:rsidRPr="00144917">
        <w:t xml:space="preserve"> — Defined</w:t>
      </w:r>
    </w:p>
    <w:p w14:paraId="56A8A251" w14:textId="77777777" w:rsidR="00144917" w:rsidRDefault="00FC3783" w:rsidP="0068336D">
      <w:pPr>
        <w:pStyle w:val="ToC"/>
      </w:pPr>
      <w:hyperlink w:anchor="a7_4" w:history="1">
        <w:r w:rsidR="00107D25" w:rsidRPr="00144917">
          <w:rPr>
            <w:rStyle w:val="Hyperlink"/>
          </w:rPr>
          <w:t>7:4</w:t>
        </w:r>
      </w:hyperlink>
      <w:r w:rsidR="00107D25" w:rsidRPr="00144917">
        <w:t xml:space="preserve"> </w:t>
      </w:r>
      <w:r w:rsidR="00107D25" w:rsidRPr="00144917">
        <w:tab/>
        <w:t xml:space="preserve">Joint </w:t>
      </w:r>
      <w:proofErr w:type="gramStart"/>
      <w:r w:rsidR="00107D25" w:rsidRPr="00144917">
        <w:t>Venture</w:t>
      </w:r>
      <w:proofErr w:type="gramEnd"/>
      <w:r w:rsidR="00107D25" w:rsidRPr="00144917">
        <w:t xml:space="preserve"> — Defined</w:t>
      </w:r>
    </w:p>
    <w:p w14:paraId="1E67E4FB" w14:textId="77777777" w:rsidR="00144917" w:rsidRDefault="00FC3783"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w:t>
      </w:r>
      <w:proofErr w:type="gramStart"/>
      <w:r w:rsidR="00107D25" w:rsidRPr="00144917">
        <w:t>Venture</w:t>
      </w:r>
      <w:proofErr w:type="gramEnd"/>
      <w:r w:rsidR="00107D25" w:rsidRPr="00144917">
        <w:t xml:space="preserv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FC3783" w:rsidP="0068336D">
      <w:pPr>
        <w:pStyle w:val="ToC"/>
      </w:pPr>
      <w:hyperlink w:anchor="a7_6" w:history="1">
        <w:r w:rsidR="00107D25" w:rsidRPr="00144917">
          <w:rPr>
            <w:rStyle w:val="Hyperlink"/>
          </w:rPr>
          <w:t>7:6</w:t>
        </w:r>
      </w:hyperlink>
      <w:r w:rsidR="00107D25" w:rsidRPr="00144917">
        <w:t xml:space="preserve"> </w:t>
      </w:r>
      <w:r w:rsidR="00107D25" w:rsidRPr="00144917">
        <w:tab/>
        <w:t xml:space="preserve">Joint Venture — Imputing Negligence </w:t>
      </w:r>
      <w:proofErr w:type="gramStart"/>
      <w:r w:rsidR="00107D25" w:rsidRPr="00144917">
        <w:t>Among</w:t>
      </w:r>
      <w:proofErr w:type="gramEnd"/>
      <w:r w:rsidR="00107D25" w:rsidRPr="00144917">
        <w:t xml:space="preserve"> Joint Venturers</w:t>
      </w: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1" w:name="a7_1"/>
      <w:bookmarkEnd w:id="1"/>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This instruction is supported by C.R.C.P. 17(c) and 317(c), and section 13-22-101(1</w:t>
      </w:r>
      <w:proofErr w:type="gramStart"/>
      <w:r w:rsidRPr="000C503A">
        <w:rPr>
          <w:rFonts w:eastAsia="Times New Roman"/>
          <w:sz w:val="24"/>
          <w:szCs w:val="24"/>
        </w:rPr>
        <w:t>)(</w:t>
      </w:r>
      <w:proofErr w:type="gramEnd"/>
      <w:r w:rsidRPr="000C503A">
        <w:rPr>
          <w:rFonts w:eastAsia="Times New Roman"/>
          <w:sz w:val="24"/>
          <w:szCs w:val="24"/>
        </w:rPr>
        <w:t xml:space="preserve">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p>
    <w:p w14:paraId="76760D37"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proofErr w:type="gramStart"/>
      <w:r w:rsidRPr="000C503A">
        <w:rPr>
          <w:rFonts w:eastAsia="Times New Roman"/>
          <w:b/>
          <w:sz w:val="24"/>
          <w:szCs w:val="24"/>
        </w:rPr>
        <w:t>Elgin v. Bartlett</w:t>
      </w:r>
      <w:r w:rsidRPr="000C503A">
        <w:rPr>
          <w:rFonts w:eastAsia="Times New Roman"/>
          <w:sz w:val="24"/>
          <w:szCs w:val="24"/>
        </w:rPr>
        <w:t>, 994 P.2d 411 (Colo. 1999).</w:t>
      </w:r>
      <w:proofErr w:type="gramEnd"/>
      <w:r w:rsidRPr="000C503A">
        <w:rPr>
          <w:rFonts w:eastAsia="Times New Roman"/>
          <w:sz w:val="24"/>
          <w:szCs w:val="24"/>
        </w:rPr>
        <w:t xml:space="preserve"> 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 For a discussion of whether a minor or the parents are entitled to sue for pre-majority expenses and damages, see</w:t>
      </w:r>
      <w:r w:rsidRPr="000C503A">
        <w:rPr>
          <w:rFonts w:eastAsia="Times New Roman"/>
          <w:i/>
          <w:sz w:val="24"/>
          <w:szCs w:val="24"/>
        </w:rPr>
        <w:t xml:space="preserve"> </w:t>
      </w:r>
      <w:r w:rsidRPr="000C503A">
        <w:rPr>
          <w:rFonts w:eastAsia="Times New Roman"/>
          <w:b/>
          <w:sz w:val="24"/>
          <w:szCs w:val="24"/>
        </w:rPr>
        <w:t>Pressey v. Children’s Hospital Colorado</w:t>
      </w:r>
      <w:r w:rsidRPr="000C503A">
        <w:rPr>
          <w:rFonts w:eastAsia="Times New Roman"/>
          <w:sz w:val="24"/>
          <w:szCs w:val="24"/>
        </w:rPr>
        <w:t xml:space="preserve">, 2017 COA 28, ¶¶ 26-31.  </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2" w:name="a7_2"/>
      <w:bookmarkEnd w:id="2"/>
      <w:proofErr w:type="gramStart"/>
      <w:r w:rsidRPr="003D370E">
        <w:rPr>
          <w:rFonts w:eastAsia="Times New Roman"/>
          <w:b/>
          <w:sz w:val="24"/>
          <w:szCs w:val="24"/>
        </w:rPr>
        <w:lastRenderedPageBreak/>
        <w:t xml:space="preserve">7:2 </w:t>
      </w:r>
      <w:r w:rsidRPr="003D370E">
        <w:rPr>
          <w:rFonts w:eastAsia="Times New Roman"/>
          <w:b/>
          <w:sz w:val="24"/>
          <w:szCs w:val="24"/>
        </w:rPr>
        <w:tab/>
        <w:t>EMANCIPATION —</w:t>
      </w:r>
      <w:proofErr w:type="gramEnd"/>
      <w:r w:rsidRPr="003D370E">
        <w:rPr>
          <w:rFonts w:eastAsia="Times New Roman"/>
          <w:b/>
          <w:sz w:val="24"/>
          <w:szCs w:val="24"/>
        </w:rPr>
        <w:t xml:space="preserve">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r w:rsidRPr="003D370E">
        <w:rPr>
          <w:rFonts w:eastAsia="Times New Roman"/>
          <w:i/>
          <w:sz w:val="24"/>
          <w:szCs w:val="24"/>
        </w:rPr>
        <w:t>rev’d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In re Marriage of Weisbart</w:t>
      </w:r>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75003B58"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3. An emancipated minor has the right to sue for all pre-majority damages and expenses. </w:t>
      </w:r>
      <w:proofErr w:type="gramStart"/>
      <w:r w:rsidRPr="003D370E">
        <w:rPr>
          <w:rFonts w:eastAsia="Times New Roman"/>
          <w:b/>
          <w:sz w:val="24"/>
          <w:szCs w:val="24"/>
        </w:rPr>
        <w:t>Pressey v. Children’s Hosp. Colo.</w:t>
      </w:r>
      <w:r w:rsidRPr="003D370E">
        <w:rPr>
          <w:rFonts w:eastAsia="Times New Roman"/>
          <w:sz w:val="24"/>
          <w:szCs w:val="24"/>
        </w:rPr>
        <w:t>, 2017 COA 28, ¶¶ 25-31.</w:t>
      </w:r>
      <w:proofErr w:type="gramEnd"/>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3" w:name="a7_3"/>
      <w:bookmarkEnd w:id="3"/>
      <w:r w:rsidRPr="003E5B38">
        <w:rPr>
          <w:rFonts w:eastAsia="Times New Roman"/>
          <w:b/>
          <w:sz w:val="24"/>
          <w:szCs w:val="24"/>
        </w:rPr>
        <w:t xml:space="preserve">7:3 </w:t>
      </w:r>
      <w:r w:rsidRPr="003E5B38">
        <w:rPr>
          <w:rFonts w:eastAsia="Times New Roman"/>
          <w:b/>
          <w:sz w:val="24"/>
          <w:szCs w:val="24"/>
        </w:rPr>
        <w:tab/>
        <w:t xml:space="preserve">GENERAL </w:t>
      </w:r>
      <w:proofErr w:type="gramStart"/>
      <w:r w:rsidRPr="003E5B38">
        <w:rPr>
          <w:rFonts w:eastAsia="Times New Roman"/>
          <w:b/>
          <w:sz w:val="24"/>
          <w:szCs w:val="24"/>
        </w:rPr>
        <w:t>PARTNERSHIP</w:t>
      </w:r>
      <w:proofErr w:type="gramEnd"/>
      <w:r w:rsidRPr="003E5B38">
        <w:rPr>
          <w:rFonts w:eastAsia="Times New Roman"/>
          <w:b/>
          <w:sz w:val="24"/>
          <w:szCs w:val="24"/>
        </w:rPr>
        <w:t xml:space="preserve">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proofErr w:type="gramStart"/>
      <w:r w:rsidRPr="001E0F3B">
        <w:rPr>
          <w:rFonts w:eastAsia="Times New Roman"/>
          <w:b/>
          <w:sz w:val="24"/>
          <w:szCs w:val="24"/>
        </w:rPr>
        <w:t>Black v.</w:t>
      </w:r>
      <w:proofErr w:type="gramEnd"/>
      <w:r w:rsidRPr="001E0F3B">
        <w:rPr>
          <w:rFonts w:eastAsia="Times New Roman"/>
          <w:b/>
          <w:sz w:val="24"/>
          <w:szCs w:val="24"/>
        </w:rPr>
        <w:t xml:space="preserve"> First Fed. </w:t>
      </w:r>
      <w:proofErr w:type="gramStart"/>
      <w:r w:rsidRPr="001E0F3B">
        <w:rPr>
          <w:rFonts w:eastAsia="Times New Roman"/>
          <w:b/>
          <w:sz w:val="24"/>
          <w:szCs w:val="24"/>
        </w:rPr>
        <w:t>Sav.</w:t>
      </w:r>
      <w:proofErr w:type="gramEnd"/>
      <w:r w:rsidRPr="001E0F3B">
        <w:rPr>
          <w:rFonts w:eastAsia="Times New Roman"/>
          <w:b/>
          <w:sz w:val="24"/>
          <w:szCs w:val="24"/>
        </w:rPr>
        <w:t xml:space="preserve"> &amp; Loan Ass’n</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proofErr w:type="gramStart"/>
      <w:r w:rsidRPr="001E0F3B">
        <w:rPr>
          <w:rFonts w:eastAsia="Times New Roman"/>
          <w:b/>
          <w:sz w:val="24"/>
          <w:szCs w:val="24"/>
        </w:rPr>
        <w:t>Bond-Connell Sheep &amp; Wool Co. v. Snyder</w:t>
      </w:r>
      <w:r w:rsidRPr="001E0F3B">
        <w:rPr>
          <w:rFonts w:eastAsia="Times New Roman"/>
          <w:sz w:val="24"/>
          <w:szCs w:val="24"/>
        </w:rPr>
        <w:t>, 68 Colo. 238, 188 P. 740 (1920).</w:t>
      </w:r>
      <w:proofErr w:type="gramEnd"/>
    </w:p>
    <w:p w14:paraId="64119935" w14:textId="77777777" w:rsidR="001E0F3B"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proofErr w:type="gramStart"/>
      <w:r w:rsidRPr="001E0F3B">
        <w:rPr>
          <w:rFonts w:eastAsia="Times New Roman"/>
          <w:b/>
          <w:sz w:val="24"/>
          <w:szCs w:val="24"/>
        </w:rPr>
        <w:t>Kayser v. Mongham</w:t>
      </w:r>
      <w:r w:rsidRPr="001E0F3B">
        <w:rPr>
          <w:rFonts w:eastAsia="Times New Roman"/>
          <w:sz w:val="24"/>
          <w:szCs w:val="24"/>
        </w:rPr>
        <w:t>, 8 Colo. 232, 6 P. 803 (1885).</w:t>
      </w:r>
      <w:proofErr w:type="gramEnd"/>
      <w:r>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4" w:name="a7_4"/>
      <w:bookmarkEnd w:id="4"/>
      <w:r w:rsidRPr="001E0F3B">
        <w:rPr>
          <w:rFonts w:eastAsia="Times New Roman"/>
          <w:b/>
          <w:sz w:val="24"/>
          <w:szCs w:val="24"/>
        </w:rPr>
        <w:lastRenderedPageBreak/>
        <w:t xml:space="preserve">7:4 </w:t>
      </w:r>
      <w:r w:rsidRPr="001E0F3B">
        <w:rPr>
          <w:rFonts w:eastAsia="Times New Roman"/>
          <w:b/>
          <w:sz w:val="24"/>
          <w:szCs w:val="24"/>
        </w:rPr>
        <w:tab/>
        <w:t xml:space="preserve">JOINT </w:t>
      </w:r>
      <w:proofErr w:type="gramStart"/>
      <w:r w:rsidRPr="001E0F3B">
        <w:rPr>
          <w:rFonts w:eastAsia="Times New Roman"/>
          <w:b/>
          <w:sz w:val="24"/>
          <w:szCs w:val="24"/>
        </w:rPr>
        <w:t>VENTURE</w:t>
      </w:r>
      <w:proofErr w:type="gramEnd"/>
      <w:r w:rsidRPr="001E0F3B">
        <w:rPr>
          <w:rFonts w:eastAsia="Times New Roman"/>
          <w:b/>
          <w:sz w:val="24"/>
          <w:szCs w:val="24"/>
        </w:rPr>
        <w:t xml:space="preserv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Transit Equipment Co. v. Dyonisio</w:t>
      </w:r>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Larson, P.C. v. Grinnan</w:t>
      </w:r>
      <w:r w:rsidRPr="001E0F3B">
        <w:rPr>
          <w:rFonts w:eastAsia="Times New Roman"/>
          <w:sz w:val="24"/>
          <w:szCs w:val="24"/>
        </w:rPr>
        <w:t xml:space="preserve">, 2017 COA 85, ¶ 45; </w:t>
      </w:r>
      <w:r w:rsidRPr="001E0F3B">
        <w:rPr>
          <w:rFonts w:eastAsia="Times New Roman"/>
          <w:b/>
          <w:sz w:val="24"/>
          <w:szCs w:val="24"/>
        </w:rPr>
        <w:t>Freyer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r w:rsidRPr="001E0F3B">
        <w:rPr>
          <w:rFonts w:eastAsia="Times New Roman"/>
          <w:b/>
          <w:sz w:val="24"/>
          <w:szCs w:val="24"/>
        </w:rPr>
        <w:t>Agland,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r w:rsidRPr="001E0F3B">
        <w:rPr>
          <w:rFonts w:eastAsia="Times New Roman"/>
          <w:b/>
          <w:sz w:val="24"/>
          <w:szCs w:val="24"/>
        </w:rPr>
        <w:t>Werkmeister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r w:rsidRPr="001E0F3B">
        <w:rPr>
          <w:rFonts w:eastAsia="Times New Roman"/>
          <w:b/>
          <w:sz w:val="24"/>
          <w:szCs w:val="24"/>
        </w:rPr>
        <w:t>Bainbrich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proofErr w:type="gramStart"/>
      <w:r w:rsidRPr="001E0F3B">
        <w:rPr>
          <w:rFonts w:eastAsia="Times New Roman"/>
          <w:sz w:val="24"/>
          <w:szCs w:val="24"/>
        </w:rPr>
        <w:t>802 P.2d 1112</w:t>
      </w:r>
      <w:proofErr w:type="gramEnd"/>
      <w:r w:rsidRPr="001E0F3B">
        <w:rPr>
          <w:rFonts w:eastAsia="Times New Roman"/>
          <w:sz w:val="24"/>
          <w:szCs w:val="24"/>
        </w:rPr>
        <w:t xml:space="preserve">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xml:space="preserve">, 2017 COA 85, ¶¶ 45-47.   </w:t>
      </w:r>
    </w:p>
    <w:p w14:paraId="7372569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proofErr w:type="gramStart"/>
      <w:r w:rsidRPr="001E0F3B">
        <w:rPr>
          <w:rFonts w:eastAsia="Times New Roman"/>
          <w:b/>
          <w:sz w:val="24"/>
          <w:szCs w:val="24"/>
        </w:rPr>
        <w:t>Turkey Creek, LLC v. Rosania</w:t>
      </w:r>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Fey Concert Co. v. City &amp; Cty.</w:t>
      </w:r>
      <w:proofErr w:type="gramEnd"/>
      <w:r w:rsidRPr="001E0F3B">
        <w:rPr>
          <w:rFonts w:eastAsia="Times New Roman"/>
          <w:b/>
          <w:sz w:val="24"/>
          <w:szCs w:val="24"/>
        </w:rPr>
        <w:t xml:space="preserve"> </w:t>
      </w:r>
      <w:proofErr w:type="gramStart"/>
      <w:r w:rsidRPr="001E0F3B">
        <w:rPr>
          <w:rFonts w:eastAsia="Times New Roman"/>
          <w:b/>
          <w:sz w:val="24"/>
          <w:szCs w:val="24"/>
        </w:rPr>
        <w:t>of</w:t>
      </w:r>
      <w:proofErr w:type="gramEnd"/>
      <w:r w:rsidRPr="001E0F3B">
        <w:rPr>
          <w:rFonts w:eastAsia="Times New Roman"/>
          <w:b/>
          <w:sz w:val="24"/>
          <w:szCs w:val="24"/>
        </w:rPr>
        <w:t xml:space="preserve"> Denver</w:t>
      </w:r>
      <w:r w:rsidRPr="001E0F3B">
        <w:rPr>
          <w:rFonts w:eastAsia="Times New Roman"/>
          <w:sz w:val="24"/>
          <w:szCs w:val="24"/>
        </w:rPr>
        <w:t xml:space="preserve">, 940 P.2d 972 (Colo. App. 1996) (holding joint venture subject to general law of partnerships), </w:t>
      </w:r>
      <w:r w:rsidRPr="001E0F3B">
        <w:rPr>
          <w:rFonts w:eastAsia="Times New Roman"/>
          <w:i/>
          <w:sz w:val="24"/>
          <w:szCs w:val="24"/>
        </w:rPr>
        <w:t>rev’d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2017 COA 85, ¶ 45 (holding “substantive law of partnership must be applied in determining whether a joint venture exists”).</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5" w:name="a7_5"/>
      <w:bookmarkEnd w:id="5"/>
      <w:r w:rsidRPr="003F6E89">
        <w:rPr>
          <w:rFonts w:eastAsia="Times New Roman"/>
          <w:b/>
          <w:sz w:val="24"/>
          <w:szCs w:val="24"/>
        </w:rPr>
        <w:lastRenderedPageBreak/>
        <w:t xml:space="preserve">7:5 </w:t>
      </w:r>
      <w:r w:rsidRPr="003F6E89">
        <w:rPr>
          <w:rFonts w:eastAsia="Times New Roman"/>
          <w:b/>
          <w:sz w:val="24"/>
          <w:szCs w:val="24"/>
        </w:rPr>
        <w:tab/>
        <w:t xml:space="preserve">JOINT </w:t>
      </w:r>
      <w:proofErr w:type="gramStart"/>
      <w:r w:rsidRPr="003F6E89">
        <w:rPr>
          <w:rFonts w:eastAsia="Times New Roman"/>
          <w:b/>
          <w:sz w:val="24"/>
          <w:szCs w:val="24"/>
        </w:rPr>
        <w:t>VENTURE</w:t>
      </w:r>
      <w:proofErr w:type="gramEnd"/>
      <w:r w:rsidRPr="003F6E89">
        <w:rPr>
          <w:rFonts w:eastAsia="Times New Roman"/>
          <w:b/>
          <w:sz w:val="24"/>
          <w:szCs w:val="24"/>
        </w:rPr>
        <w:t xml:space="preserv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When two or more joint owners occupy a </w:t>
      </w:r>
      <w:proofErr w:type="gramStart"/>
      <w:r w:rsidRPr="00144917">
        <w:rPr>
          <w:rFonts w:eastAsia="Times New Roman"/>
          <w:sz w:val="24"/>
          <w:szCs w:val="24"/>
        </w:rPr>
        <w:t>vehicle,</w:t>
      </w:r>
      <w:proofErr w:type="gramEnd"/>
      <w:r w:rsidRPr="00144917">
        <w:rPr>
          <w:rFonts w:eastAsia="Times New Roman"/>
          <w:sz w:val="24"/>
          <w:szCs w:val="24"/>
        </w:rPr>
        <w:t xml:space="preserv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Parker v. Ullom</w:t>
      </w:r>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r w:rsidR="004C27E8" w:rsidRPr="00144917">
        <w:rPr>
          <w:rFonts w:eastAsia="Times New Roman"/>
          <w:b/>
          <w:sz w:val="24"/>
          <w:szCs w:val="24"/>
        </w:rPr>
        <w:t>Bainbrich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r w:rsidR="001715BD" w:rsidRPr="001715BD">
        <w:rPr>
          <w:rFonts w:eastAsia="Times New Roman"/>
          <w:b/>
          <w:sz w:val="24"/>
          <w:szCs w:val="24"/>
        </w:rPr>
        <w:t>Pyles-Knutzen v. Bd. of County Comm’rs</w:t>
      </w:r>
      <w:r w:rsidR="001715BD">
        <w:rPr>
          <w:rFonts w:eastAsia="Times New Roman"/>
          <w:sz w:val="24"/>
          <w:szCs w:val="24"/>
        </w:rPr>
        <w:t xml:space="preserve">, 781 P.2d 164 (Colo. App. 1989); </w:t>
      </w:r>
      <w:r w:rsidR="007C00FE" w:rsidRPr="00144917">
        <w:rPr>
          <w:rFonts w:eastAsia="Times New Roman"/>
          <w:b/>
          <w:sz w:val="24"/>
          <w:szCs w:val="24"/>
        </w:rPr>
        <w:t>Bainbrich</w:t>
      </w:r>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Seal v. Lemmel</w:t>
      </w:r>
      <w:r w:rsidRPr="00144917">
        <w:rPr>
          <w:rFonts w:eastAsia="Times New Roman"/>
          <w:sz w:val="24"/>
          <w:szCs w:val="24"/>
        </w:rPr>
        <w:t xml:space="preserve">, 140 Colo. 387, 344 P.2d 694 (1959);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r w:rsidRPr="00144917">
        <w:rPr>
          <w:rFonts w:eastAsia="Times New Roman"/>
          <w:sz w:val="24"/>
          <w:szCs w:val="24"/>
        </w:rPr>
        <w:t xml:space="preserve"> </w:t>
      </w:r>
      <w:r w:rsidRPr="00144917">
        <w:rPr>
          <w:rFonts w:eastAsia="Times New Roman"/>
          <w:b/>
          <w:sz w:val="24"/>
          <w:szCs w:val="24"/>
        </w:rPr>
        <w:t>Bilsten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venturer is not imputed to the other to bar or reduce the latter’s claim against the former. </w:t>
      </w:r>
      <w:r w:rsidRPr="00144917">
        <w:rPr>
          <w:rFonts w:eastAsia="Times New Roman"/>
          <w:b/>
          <w:sz w:val="24"/>
          <w:szCs w:val="24"/>
        </w:rPr>
        <w:t>Price v. Sommermeyer</w:t>
      </w:r>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xml:space="preserve">, 2015 COA 129, ¶ 13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proofErr w:type="gramStart"/>
      <w:r w:rsidRPr="00144917">
        <w:rPr>
          <w:rFonts w:eastAsia="Times New Roman"/>
          <w:b/>
          <w:sz w:val="24"/>
          <w:szCs w:val="24"/>
        </w:rPr>
        <w:t>AN/</w:t>
      </w:r>
      <w:proofErr w:type="gramEnd"/>
      <w:r w:rsidRPr="00144917">
        <w:rPr>
          <w:rFonts w:eastAsia="Times New Roman"/>
          <w:b/>
          <w:sz w:val="24"/>
          <w:szCs w:val="24"/>
        </w:rPr>
        <w:t>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6" w:name="a7_6"/>
      <w:bookmarkEnd w:id="6"/>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If a joint venture is proved, and you find by a preponderance of the evidence that one joint venturer was negligent, then all joint venturers are considered to be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1. This instruction applies only when a third party sues a joint venturer or a joint venturer sues a third party. It does not apply when the suit is between the joint venturers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1703A79D" w14:textId="77777777" w:rsidR="001E0F3B" w:rsidRDefault="00144917" w:rsidP="002D380B">
      <w:pPr>
        <w:spacing w:after="240"/>
        <w:ind w:firstLine="720"/>
        <w:rPr>
          <w:rFonts w:eastAsia="Times New Roman"/>
          <w:sz w:val="24"/>
          <w:szCs w:val="24"/>
        </w:rPr>
      </w:pPr>
      <w:r w:rsidRPr="00144917">
        <w:rPr>
          <w:rFonts w:eastAsia="Times New Roman"/>
          <w:sz w:val="24"/>
          <w:szCs w:val="24"/>
        </w:rPr>
        <w:t xml:space="preserve">This instruction is supported by </w:t>
      </w:r>
      <w:r w:rsidRPr="00144917">
        <w:rPr>
          <w:rFonts w:eastAsia="Times New Roman"/>
          <w:b/>
          <w:sz w:val="24"/>
          <w:szCs w:val="24"/>
        </w:rPr>
        <w:t>Bebo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sectPr w:rsidR="001E0F3B"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05C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CFCF" w16cid:durableId="1F72FE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76B4" w14:textId="77777777" w:rsidR="00FC3783" w:rsidRDefault="00FC3783" w:rsidP="0054263B">
      <w:r>
        <w:separator/>
      </w:r>
    </w:p>
    <w:p w14:paraId="30E4DA71" w14:textId="77777777" w:rsidR="00FC3783" w:rsidRDefault="00FC3783"/>
  </w:endnote>
  <w:endnote w:type="continuationSeparator" w:id="0">
    <w:p w14:paraId="5D8BA2EF" w14:textId="77777777" w:rsidR="00FC3783" w:rsidRDefault="00FC3783" w:rsidP="0054263B">
      <w:r>
        <w:continuationSeparator/>
      </w:r>
    </w:p>
    <w:p w14:paraId="50F6832A" w14:textId="77777777" w:rsidR="00FC3783" w:rsidRDefault="00FC3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E8B34B1" w14:textId="77777777" w:rsidR="001715BD" w:rsidRDefault="001715BD">
        <w:pPr>
          <w:pStyle w:val="Footer"/>
          <w:jc w:val="center"/>
        </w:pPr>
        <w:r>
          <w:fldChar w:fldCharType="begin"/>
        </w:r>
        <w:r>
          <w:instrText xml:space="preserve"> PAGE   \* MERGEFORMAT </w:instrText>
        </w:r>
        <w:r>
          <w:fldChar w:fldCharType="separate"/>
        </w:r>
        <w:r w:rsidR="00CC4332">
          <w:rPr>
            <w:noProof/>
          </w:rPr>
          <w:t>8</w:t>
        </w:r>
        <w:r>
          <w:rPr>
            <w:noProof/>
          </w:rPr>
          <w:fldChar w:fldCharType="end"/>
        </w:r>
      </w:p>
    </w:sdtContent>
  </w:sdt>
  <w:p w14:paraId="6D7165A1" w14:textId="77777777" w:rsidR="001715BD" w:rsidRDefault="001715BD">
    <w:pPr>
      <w:pStyle w:val="Footer"/>
    </w:pPr>
  </w:p>
  <w:p w14:paraId="3254D118" w14:textId="77777777" w:rsidR="001715BD" w:rsidRDefault="00171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20BC" w14:textId="77777777" w:rsidR="00FC3783" w:rsidRDefault="00FC3783" w:rsidP="0054263B">
      <w:r>
        <w:separator/>
      </w:r>
    </w:p>
    <w:p w14:paraId="0DF0B9EC" w14:textId="77777777" w:rsidR="00FC3783" w:rsidRDefault="00FC3783"/>
  </w:footnote>
  <w:footnote w:type="continuationSeparator" w:id="0">
    <w:p w14:paraId="4E29087D" w14:textId="77777777" w:rsidR="00FC3783" w:rsidRDefault="00FC3783" w:rsidP="0054263B">
      <w:r>
        <w:continuationSeparator/>
      </w:r>
    </w:p>
    <w:p w14:paraId="173787D1" w14:textId="77777777" w:rsidR="00FC3783" w:rsidRDefault="00FC37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253F8"/>
    <w:rsid w:val="00037111"/>
    <w:rsid w:val="00052963"/>
    <w:rsid w:val="00085495"/>
    <w:rsid w:val="000921F1"/>
    <w:rsid w:val="000962C8"/>
    <w:rsid w:val="000C503A"/>
    <w:rsid w:val="000C6F97"/>
    <w:rsid w:val="00107D25"/>
    <w:rsid w:val="001117D9"/>
    <w:rsid w:val="00117F7D"/>
    <w:rsid w:val="00144917"/>
    <w:rsid w:val="001715BD"/>
    <w:rsid w:val="00172674"/>
    <w:rsid w:val="00180924"/>
    <w:rsid w:val="001903CB"/>
    <w:rsid w:val="001913B1"/>
    <w:rsid w:val="00191498"/>
    <w:rsid w:val="001A2648"/>
    <w:rsid w:val="001B485E"/>
    <w:rsid w:val="001E092B"/>
    <w:rsid w:val="001E0F3B"/>
    <w:rsid w:val="00200BA5"/>
    <w:rsid w:val="002065D8"/>
    <w:rsid w:val="0021368F"/>
    <w:rsid w:val="0022134E"/>
    <w:rsid w:val="00223286"/>
    <w:rsid w:val="002A23B0"/>
    <w:rsid w:val="002A2A74"/>
    <w:rsid w:val="002D380B"/>
    <w:rsid w:val="002E0970"/>
    <w:rsid w:val="002E3AB8"/>
    <w:rsid w:val="002F48D6"/>
    <w:rsid w:val="00320613"/>
    <w:rsid w:val="003247EA"/>
    <w:rsid w:val="00336CE4"/>
    <w:rsid w:val="00352111"/>
    <w:rsid w:val="003613FE"/>
    <w:rsid w:val="003937B8"/>
    <w:rsid w:val="003D370E"/>
    <w:rsid w:val="003E5B38"/>
    <w:rsid w:val="003F108C"/>
    <w:rsid w:val="003F6E89"/>
    <w:rsid w:val="00434371"/>
    <w:rsid w:val="004425AA"/>
    <w:rsid w:val="00456038"/>
    <w:rsid w:val="00467B80"/>
    <w:rsid w:val="00471618"/>
    <w:rsid w:val="004B1873"/>
    <w:rsid w:val="004C27E8"/>
    <w:rsid w:val="004C62F9"/>
    <w:rsid w:val="004C723A"/>
    <w:rsid w:val="004E7EF1"/>
    <w:rsid w:val="00531F87"/>
    <w:rsid w:val="0054263B"/>
    <w:rsid w:val="00557FCC"/>
    <w:rsid w:val="005B3A78"/>
    <w:rsid w:val="005D3156"/>
    <w:rsid w:val="005E712D"/>
    <w:rsid w:val="00611AC9"/>
    <w:rsid w:val="006272FE"/>
    <w:rsid w:val="00661D05"/>
    <w:rsid w:val="00675252"/>
    <w:rsid w:val="00682B93"/>
    <w:rsid w:val="0068336D"/>
    <w:rsid w:val="00683FA1"/>
    <w:rsid w:val="006A74B6"/>
    <w:rsid w:val="006E0D06"/>
    <w:rsid w:val="006E3575"/>
    <w:rsid w:val="006E62F0"/>
    <w:rsid w:val="00702B5A"/>
    <w:rsid w:val="00704DEC"/>
    <w:rsid w:val="0070752A"/>
    <w:rsid w:val="007119D8"/>
    <w:rsid w:val="007532AB"/>
    <w:rsid w:val="007722A9"/>
    <w:rsid w:val="00776151"/>
    <w:rsid w:val="00791698"/>
    <w:rsid w:val="007A3A0E"/>
    <w:rsid w:val="007A612E"/>
    <w:rsid w:val="007C00FE"/>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35DA8"/>
    <w:rsid w:val="0095709A"/>
    <w:rsid w:val="00973884"/>
    <w:rsid w:val="009902F2"/>
    <w:rsid w:val="00993AFC"/>
    <w:rsid w:val="009B6746"/>
    <w:rsid w:val="009C2EAC"/>
    <w:rsid w:val="009E20C7"/>
    <w:rsid w:val="009E3DA4"/>
    <w:rsid w:val="00A36457"/>
    <w:rsid w:val="00A65CC9"/>
    <w:rsid w:val="00A70CDA"/>
    <w:rsid w:val="00A73AE6"/>
    <w:rsid w:val="00A80C10"/>
    <w:rsid w:val="00A82002"/>
    <w:rsid w:val="00A85AAA"/>
    <w:rsid w:val="00A95395"/>
    <w:rsid w:val="00AA3D45"/>
    <w:rsid w:val="00AC78F7"/>
    <w:rsid w:val="00AF7D47"/>
    <w:rsid w:val="00B0264D"/>
    <w:rsid w:val="00B37722"/>
    <w:rsid w:val="00B567C1"/>
    <w:rsid w:val="00B579DF"/>
    <w:rsid w:val="00B6275E"/>
    <w:rsid w:val="00B70D68"/>
    <w:rsid w:val="00B72D6B"/>
    <w:rsid w:val="00B937E4"/>
    <w:rsid w:val="00BA510E"/>
    <w:rsid w:val="00BC49BF"/>
    <w:rsid w:val="00BE2B09"/>
    <w:rsid w:val="00BE654D"/>
    <w:rsid w:val="00C168CF"/>
    <w:rsid w:val="00C40968"/>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0776A"/>
    <w:rsid w:val="00E172C8"/>
    <w:rsid w:val="00E551EB"/>
    <w:rsid w:val="00E87C31"/>
    <w:rsid w:val="00E970B9"/>
    <w:rsid w:val="00EC17E3"/>
    <w:rsid w:val="00EC3919"/>
    <w:rsid w:val="00EC7C98"/>
    <w:rsid w:val="00ED5E52"/>
    <w:rsid w:val="00ED7176"/>
    <w:rsid w:val="00EF4043"/>
    <w:rsid w:val="00F32AA4"/>
    <w:rsid w:val="00F67C60"/>
    <w:rsid w:val="00F764F4"/>
    <w:rsid w:val="00FA676A"/>
    <w:rsid w:val="00FA7B76"/>
    <w:rsid w:val="00FC2CE3"/>
    <w:rsid w:val="00FC3783"/>
    <w:rsid w:val="00FE00D7"/>
    <w:rsid w:val="00FE67EE"/>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2018-12-15T20:13:00Z</dcterms:created>
  <dcterms:modified xsi:type="dcterms:W3CDTF">2018-12-15T20:13:00Z</dcterms:modified>
</cp:coreProperties>
</file>