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E9DB" w14:textId="77777777" w:rsidR="00CA41CC" w:rsidRPr="00914128" w:rsidRDefault="0068336D" w:rsidP="00914128">
      <w:pPr>
        <w:pStyle w:val="Heading1"/>
      </w:pPr>
      <w:bookmarkStart w:id="0" w:name="_GoBack"/>
      <w:bookmarkEnd w:id="0"/>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9B0A4A" w:rsidP="00914128">
      <w:pPr>
        <w:pStyle w:val="ToC"/>
      </w:pPr>
      <w:hyperlink w:anchor="a16_01" w:history="1">
        <w:r w:rsidR="00AD2536" w:rsidRPr="00AD2536">
          <w:rPr>
            <w:rStyle w:val="Hyperlink"/>
          </w:rPr>
          <w:t>16:1</w:t>
        </w:r>
      </w:hyperlink>
      <w:r w:rsidR="00AD2536" w:rsidRPr="00AD2536">
        <w:t xml:space="preserve"> </w:t>
      </w:r>
      <w:r w:rsidR="00AD2536" w:rsidRPr="00AD2536">
        <w:tab/>
        <w:t>Bailment — Bailor — Bailee — Defined</w:t>
      </w:r>
    </w:p>
    <w:p w14:paraId="473D7094" w14:textId="77777777" w:rsidR="00AD2536" w:rsidRDefault="009B0A4A" w:rsidP="00914128">
      <w:pPr>
        <w:pStyle w:val="ToC"/>
      </w:pPr>
      <w:hyperlink w:anchor="a16_02" w:history="1">
        <w:r w:rsidR="00AD2536" w:rsidRPr="00AD2536">
          <w:rPr>
            <w:rStyle w:val="Hyperlink"/>
          </w:rPr>
          <w:t>16:2</w:t>
        </w:r>
      </w:hyperlink>
      <w:r w:rsidR="00AD2536" w:rsidRPr="00AD2536">
        <w:t xml:space="preserve"> </w:t>
      </w:r>
      <w:r w:rsidR="00AD2536" w:rsidRPr="00AD2536">
        <w:tab/>
      </w:r>
      <w:proofErr w:type="gramStart"/>
      <w:r w:rsidR="00AD2536" w:rsidRPr="00AD2536">
        <w:t>Bailor</w:t>
      </w:r>
      <w:proofErr w:type="gramEnd"/>
      <w:r w:rsidR="00AD2536" w:rsidRPr="00AD2536">
        <w:t xml:space="preserve"> Not Liable </w:t>
      </w:r>
      <w:r w:rsidR="00AD2536">
        <w:t>t</w:t>
      </w:r>
      <w:r w:rsidR="00AD2536" w:rsidRPr="00AD2536">
        <w:t xml:space="preserve">o Third Persons </w:t>
      </w:r>
      <w:r w:rsidR="00AD2536">
        <w:t>f</w:t>
      </w:r>
      <w:r w:rsidR="00AD2536" w:rsidRPr="00AD2536">
        <w:t xml:space="preserve">or Negligence </w:t>
      </w:r>
      <w:r w:rsidR="00AD2536">
        <w:t>o</w:t>
      </w:r>
      <w:r w:rsidR="00AD2536" w:rsidRPr="00AD2536">
        <w:t>f Bailee</w:t>
      </w:r>
    </w:p>
    <w:p w14:paraId="1B14BF7A" w14:textId="77777777" w:rsidR="00AD2536" w:rsidRDefault="009B0A4A" w:rsidP="00914128">
      <w:pPr>
        <w:pStyle w:val="ToC"/>
      </w:pPr>
      <w:hyperlink w:anchor="a16_03" w:history="1">
        <w:r w:rsidR="00AD2536" w:rsidRPr="00AD2536">
          <w:rPr>
            <w:rStyle w:val="Hyperlink"/>
          </w:rPr>
          <w:t>16:3</w:t>
        </w:r>
      </w:hyperlink>
      <w:r w:rsidR="00AD2536" w:rsidRPr="00AD2536">
        <w:t xml:space="preserve"> </w:t>
      </w:r>
      <w:r w:rsidR="00AD2536" w:rsidRPr="00AD2536">
        <w:tab/>
        <w:t xml:space="preserve">Gratuitous Bailment — Duty </w:t>
      </w:r>
      <w:r w:rsidR="00AD2536">
        <w:t>o</w:t>
      </w:r>
      <w:r w:rsidR="00AD2536" w:rsidRPr="00AD2536">
        <w:t xml:space="preserve">f Bailor </w:t>
      </w:r>
      <w:r w:rsidR="00AD2536">
        <w:t>t</w:t>
      </w:r>
      <w:r w:rsidR="00AD2536" w:rsidRPr="00AD2536">
        <w:t xml:space="preserve">o Warn Bailee — Definition </w:t>
      </w:r>
      <w:r w:rsidR="00AD2536">
        <w:t>o</w:t>
      </w:r>
      <w:r w:rsidR="00AD2536" w:rsidRPr="00AD2536">
        <w:t>f Negligence</w:t>
      </w:r>
    </w:p>
    <w:p w14:paraId="06025968" w14:textId="77777777" w:rsidR="00AD2536" w:rsidRDefault="009B0A4A" w:rsidP="00914128">
      <w:pPr>
        <w:pStyle w:val="ToC"/>
      </w:pPr>
      <w:hyperlink w:anchor="a16_04" w:history="1">
        <w:r w:rsidR="00AD2536" w:rsidRPr="00AD2536">
          <w:rPr>
            <w:rStyle w:val="Hyperlink"/>
          </w:rPr>
          <w:t>16:4</w:t>
        </w:r>
      </w:hyperlink>
      <w:r w:rsidR="00AD2536" w:rsidRPr="00AD2536">
        <w:t xml:space="preserve"> </w:t>
      </w:r>
      <w:r w:rsidR="00AD2536" w:rsidRPr="00AD2536">
        <w:tab/>
        <w:t xml:space="preserve">Non-Gratuitous Bailment — Duty </w:t>
      </w:r>
      <w:r w:rsidR="00AD2536">
        <w:t>o</w:t>
      </w:r>
      <w:r w:rsidR="00AD2536" w:rsidRPr="00AD2536">
        <w:t xml:space="preserve">f Non-Commercial Bailor </w:t>
      </w:r>
      <w:r w:rsidR="00AD2536">
        <w:t>t</w:t>
      </w:r>
      <w:r w:rsidR="00AD2536" w:rsidRPr="00AD2536">
        <w:t xml:space="preserve">o Bailee — Definition </w:t>
      </w:r>
      <w:r w:rsidR="00AD2536">
        <w:t>o</w:t>
      </w:r>
      <w:r w:rsidR="00AD2536" w:rsidRPr="00AD2536">
        <w:t>f Negligence</w:t>
      </w:r>
    </w:p>
    <w:p w14:paraId="232C9318" w14:textId="77777777" w:rsidR="00AD2536" w:rsidRDefault="009B0A4A" w:rsidP="00914128">
      <w:pPr>
        <w:pStyle w:val="ToC"/>
      </w:pPr>
      <w:hyperlink w:anchor="a16_05" w:history="1">
        <w:r w:rsidR="00AD2536" w:rsidRPr="00AD2536">
          <w:rPr>
            <w:rStyle w:val="Hyperlink"/>
          </w:rPr>
          <w:t>16:5</w:t>
        </w:r>
      </w:hyperlink>
      <w:r w:rsidR="00AD2536" w:rsidRPr="00AD2536">
        <w:t xml:space="preserve"> </w:t>
      </w:r>
      <w:r w:rsidR="00AD2536" w:rsidRPr="00AD2536">
        <w:tab/>
        <w:t xml:space="preserve">Duty </w:t>
      </w:r>
      <w:r w:rsidR="00AD2536">
        <w:t>o</w:t>
      </w:r>
      <w:r w:rsidR="00AD2536" w:rsidRPr="00AD2536">
        <w:t xml:space="preserve">f Bailee </w:t>
      </w:r>
      <w:r w:rsidR="00AD2536">
        <w:t>t</w:t>
      </w:r>
      <w:r w:rsidR="00AD2536" w:rsidRPr="00AD2536">
        <w:t>o Bailor</w:t>
      </w:r>
    </w:p>
    <w:p w14:paraId="0013CEEC" w14:textId="77777777" w:rsidR="00AD2536" w:rsidRDefault="009B0A4A" w:rsidP="00914128">
      <w:pPr>
        <w:pStyle w:val="ToC"/>
      </w:pPr>
      <w:hyperlink w:anchor="a16_06" w:history="1">
        <w:r w:rsidR="00AD2536" w:rsidRPr="00AD2536">
          <w:rPr>
            <w:rStyle w:val="Hyperlink"/>
          </w:rPr>
          <w:t>16:6</w:t>
        </w:r>
      </w:hyperlink>
      <w:r w:rsidR="00AD2536" w:rsidRPr="00AD2536">
        <w:t xml:space="preserve"> </w:t>
      </w:r>
      <w:r w:rsidR="00AD2536" w:rsidRPr="00AD2536">
        <w:tab/>
        <w:t xml:space="preserve">Failure </w:t>
      </w:r>
      <w:r w:rsidR="00AD2536">
        <w:t>o</w:t>
      </w:r>
      <w:r w:rsidR="00AD2536" w:rsidRPr="00AD2536">
        <w:t xml:space="preserve">f Bailee </w:t>
      </w:r>
      <w:r w:rsidR="00AD2536">
        <w:t>t</w:t>
      </w:r>
      <w:r w:rsidR="00AD2536" w:rsidRPr="00AD2536">
        <w:t xml:space="preserve">o Return Property </w:t>
      </w:r>
      <w:r w:rsidR="00AD2536">
        <w:t>o</w:t>
      </w:r>
      <w:r w:rsidR="00AD2536" w:rsidRPr="00AD2536">
        <w:t xml:space="preserve">r Return It </w:t>
      </w:r>
      <w:r w:rsidR="00AD2536">
        <w:t>i</w:t>
      </w:r>
      <w:r w:rsidR="00AD2536" w:rsidRPr="00AD2536">
        <w:t xml:space="preserve">n Undamaged Condition — Presumption </w:t>
      </w:r>
      <w:r w:rsidR="00AD2536">
        <w:t>o</w:t>
      </w:r>
      <w:r w:rsidR="00AD2536"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1" w:name="a16_01"/>
      <w:bookmarkEnd w:id="1"/>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proofErr w:type="gramStart"/>
      <w:r w:rsidRPr="00035971">
        <w:rPr>
          <w:rFonts w:eastAsia="Times New Roman"/>
          <w:b/>
          <w:sz w:val="24"/>
          <w:szCs w:val="24"/>
        </w:rPr>
        <w:t>Montano v. Land Title Guar. Co.</w:t>
      </w:r>
      <w:r w:rsidRPr="00035971">
        <w:rPr>
          <w:rFonts w:eastAsia="Times New Roman"/>
          <w:sz w:val="24"/>
          <w:szCs w:val="24"/>
        </w:rPr>
        <w:t>, 778 P.2d 328 (Colo. App. 1989).</w:t>
      </w:r>
      <w:proofErr w:type="gramEnd"/>
      <w:r w:rsidRPr="00035971">
        <w:rPr>
          <w:rFonts w:eastAsia="Times New Roman"/>
          <w:sz w:val="24"/>
          <w:szCs w:val="24"/>
        </w:rPr>
        <w:t xml:space="preserve"> It may also arise when there is no direct agreement between the parties, but the transaction is for their mutual benefit. </w:t>
      </w:r>
      <w:proofErr w:type="gramStart"/>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w:t>
      </w:r>
      <w:proofErr w:type="gramEnd"/>
      <w:r w:rsidRPr="00035971">
        <w:rPr>
          <w:rFonts w:eastAsia="Times New Roman"/>
          <w:sz w:val="24"/>
          <w:szCs w:val="24"/>
        </w:rPr>
        <w:t xml:space="preserve">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Christensen</w:t>
      </w:r>
      <w:r w:rsidRPr="00035971">
        <w:rPr>
          <w:rFonts w:eastAsia="Times New Roman"/>
          <w:sz w:val="24"/>
          <w:szCs w:val="24"/>
        </w:rPr>
        <w:t xml:space="preserve">, 643 P.2d at 528-29; </w:t>
      </w:r>
      <w:r w:rsidRPr="00035971">
        <w:rPr>
          <w:rFonts w:eastAsia="Times New Roman"/>
          <w:b/>
          <w:sz w:val="24"/>
          <w:szCs w:val="24"/>
        </w:rPr>
        <w:t>Foster v. Bd. of Governors</w:t>
      </w:r>
      <w:r w:rsidRPr="00035971">
        <w:rPr>
          <w:rFonts w:eastAsia="Times New Roman"/>
          <w:sz w:val="24"/>
          <w:szCs w:val="24"/>
        </w:rPr>
        <w:t>,</w:t>
      </w:r>
      <w:r w:rsidRPr="00035971">
        <w:rPr>
          <w:rFonts w:eastAsia="Times New Roman"/>
          <w:b/>
          <w:sz w:val="24"/>
          <w:szCs w:val="24"/>
        </w:rPr>
        <w:t xml:space="preserve"> </w:t>
      </w:r>
      <w:r w:rsidRPr="00035971">
        <w:rPr>
          <w:rFonts w:eastAsia="Times New Roman"/>
          <w:sz w:val="24"/>
          <w:szCs w:val="24"/>
        </w:rPr>
        <w:t xml:space="preserve">2014 COA 18, ¶ 16, 342 P.3d 497; </w:t>
      </w:r>
      <w:r w:rsidRPr="00035971">
        <w:rPr>
          <w:rFonts w:eastAsia="Times New Roman"/>
          <w:b/>
          <w:sz w:val="24"/>
          <w:szCs w:val="24"/>
        </w:rPr>
        <w:t>Montoya v. Connolly’s Towing, Inc.</w:t>
      </w:r>
      <w:r w:rsidRPr="00035971">
        <w:rPr>
          <w:rFonts w:eastAsia="Times New Roman"/>
          <w:sz w:val="24"/>
          <w:szCs w:val="24"/>
        </w:rPr>
        <w:t xml:space="preserve">, 216 P.3d 98 (Colo. App. 2008); </w:t>
      </w:r>
      <w:proofErr w:type="spellStart"/>
      <w:r w:rsidRPr="00035971">
        <w:rPr>
          <w:rFonts w:eastAsia="Times New Roman"/>
          <w:b/>
          <w:sz w:val="24"/>
          <w:szCs w:val="24"/>
        </w:rPr>
        <w:t>Passamano</w:t>
      </w:r>
      <w:proofErr w:type="spellEnd"/>
      <w:r w:rsidRPr="00035971">
        <w:rPr>
          <w:rFonts w:eastAsia="Times New Roman"/>
          <w:b/>
          <w:sz w:val="24"/>
          <w:szCs w:val="24"/>
        </w:rPr>
        <w:t xml:space="preserve"> v. Travelers </w:t>
      </w:r>
      <w:proofErr w:type="spellStart"/>
      <w:r w:rsidRPr="00035971">
        <w:rPr>
          <w:rFonts w:eastAsia="Times New Roman"/>
          <w:b/>
          <w:sz w:val="24"/>
          <w:szCs w:val="24"/>
        </w:rPr>
        <w:t>Indem</w:t>
      </w:r>
      <w:proofErr w:type="spellEnd"/>
      <w:r w:rsidRPr="00035971">
        <w:rPr>
          <w:rFonts w:eastAsia="Times New Roman"/>
          <w:b/>
          <w:sz w:val="24"/>
          <w:szCs w:val="24"/>
        </w:rPr>
        <w:t>. Co.</w:t>
      </w:r>
      <w:r w:rsidRPr="00035971">
        <w:rPr>
          <w:rFonts w:eastAsia="Times New Roman"/>
          <w:sz w:val="24"/>
          <w:szCs w:val="24"/>
        </w:rPr>
        <w:t>, 835 P.2d 514 (Colo. App. 1991),</w:t>
      </w:r>
      <w:r w:rsidRPr="00035971">
        <w:rPr>
          <w:rFonts w:eastAsia="Times New Roman"/>
          <w:i/>
          <w:sz w:val="24"/>
          <w:szCs w:val="24"/>
        </w:rPr>
        <w:t xml:space="preserve"> rev’d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 xml:space="preserve">In re Marriage of </w:t>
      </w:r>
      <w:proofErr w:type="spellStart"/>
      <w:r w:rsidRPr="00035971">
        <w:rPr>
          <w:rFonts w:eastAsia="Times New Roman"/>
          <w:b/>
          <w:sz w:val="24"/>
          <w:szCs w:val="24"/>
        </w:rPr>
        <w:t>Amich</w:t>
      </w:r>
      <w:proofErr w:type="spellEnd"/>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2" w:name="a16_02"/>
      <w:bookmarkEnd w:id="2"/>
      <w:r w:rsidRPr="00035971">
        <w:rPr>
          <w:rFonts w:eastAsia="Times New Roman"/>
          <w:b/>
          <w:sz w:val="24"/>
          <w:szCs w:val="24"/>
        </w:rPr>
        <w:lastRenderedPageBreak/>
        <w:t xml:space="preserve">16:2 </w:t>
      </w:r>
      <w:r w:rsidRPr="00035971">
        <w:rPr>
          <w:rFonts w:eastAsia="Times New Roman"/>
          <w:b/>
          <w:sz w:val="24"/>
          <w:szCs w:val="24"/>
        </w:rPr>
        <w:tab/>
      </w:r>
      <w:proofErr w:type="gramStart"/>
      <w:r w:rsidRPr="00035971">
        <w:rPr>
          <w:rFonts w:eastAsia="Times New Roman"/>
          <w:b/>
          <w:sz w:val="24"/>
          <w:szCs w:val="24"/>
        </w:rPr>
        <w:t>BAILOR</w:t>
      </w:r>
      <w:proofErr w:type="gramEnd"/>
      <w:r w:rsidRPr="00035971">
        <w:rPr>
          <w:rFonts w:eastAsia="Times New Roman"/>
          <w:b/>
          <w:sz w:val="24"/>
          <w:szCs w:val="24"/>
        </w:rPr>
        <w:t xml:space="preserve">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proofErr w:type="gramStart"/>
      <w:r w:rsidRPr="00035971">
        <w:rPr>
          <w:rFonts w:eastAsia="Times New Roman"/>
          <w:b/>
          <w:sz w:val="24"/>
          <w:szCs w:val="24"/>
        </w:rPr>
        <w:t xml:space="preserve">Baker v. </w:t>
      </w:r>
      <w:proofErr w:type="spellStart"/>
      <w:r w:rsidRPr="00035971">
        <w:rPr>
          <w:rFonts w:eastAsia="Times New Roman"/>
          <w:b/>
          <w:sz w:val="24"/>
          <w:szCs w:val="24"/>
        </w:rPr>
        <w:t>Bratrsovsky</w:t>
      </w:r>
      <w:proofErr w:type="spellEnd"/>
      <w:r w:rsidRPr="00035971">
        <w:rPr>
          <w:rFonts w:eastAsia="Times New Roman"/>
          <w:sz w:val="24"/>
          <w:szCs w:val="24"/>
        </w:rPr>
        <w:t>, 689 P.2d 722 (Colo. App. 1984) (recognizing the doctrine of negligent entrustment, but finding it inapplicable to the facts of the case).</w:t>
      </w:r>
      <w:proofErr w:type="gramEnd"/>
      <w:r w:rsidRPr="00035971">
        <w:rPr>
          <w:rFonts w:eastAsia="Times New Roman"/>
          <w:sz w:val="24"/>
          <w:szCs w:val="24"/>
        </w:rPr>
        <w:t xml:space="preserve"> Nor is this instruction applicable when there is some other relationship between the parties that might permit the negligence of the bailee to be imputable vicariously to the bailor. </w:t>
      </w:r>
      <w:proofErr w:type="gramStart"/>
      <w:r w:rsidRPr="00035971">
        <w:rPr>
          <w:rFonts w:eastAsia="Times New Roman"/>
          <w:i/>
          <w:sz w:val="24"/>
          <w:szCs w:val="24"/>
        </w:rPr>
        <w:t>See, e.g.</w:t>
      </w:r>
      <w:r w:rsidRPr="00035971">
        <w:rPr>
          <w:rFonts w:eastAsia="Times New Roman"/>
          <w:sz w:val="24"/>
          <w:szCs w:val="24"/>
        </w:rPr>
        <w:t>, Chapter 8 and Chapter 11, Part C.</w:t>
      </w:r>
      <w:proofErr w:type="gramEnd"/>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proofErr w:type="spellStart"/>
      <w:r w:rsidRPr="00035971">
        <w:rPr>
          <w:rFonts w:eastAsia="Times New Roman"/>
          <w:b/>
          <w:sz w:val="24"/>
          <w:szCs w:val="24"/>
        </w:rPr>
        <w:t>Otoupalik</w:t>
      </w:r>
      <w:proofErr w:type="spellEnd"/>
      <w:r w:rsidRPr="00035971">
        <w:rPr>
          <w:rFonts w:eastAsia="Times New Roman"/>
          <w:b/>
          <w:sz w:val="24"/>
          <w:szCs w:val="24"/>
        </w:rPr>
        <w:t xml:space="preserve"> v. Phelps</w:t>
      </w:r>
      <w:r w:rsidRPr="00035971">
        <w:rPr>
          <w:rFonts w:eastAsia="Times New Roman"/>
          <w:sz w:val="24"/>
          <w:szCs w:val="24"/>
        </w:rPr>
        <w:t xml:space="preserve">, 73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3" w:name="a16_03"/>
      <w:bookmarkEnd w:id="3"/>
      <w:r w:rsidRPr="00035971">
        <w:rPr>
          <w:rFonts w:eastAsia="Times New Roman"/>
          <w:b/>
          <w:sz w:val="24"/>
          <w:szCs w:val="24"/>
        </w:rPr>
        <w:lastRenderedPageBreak/>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4" w:name="a16_04"/>
      <w:bookmarkEnd w:id="4"/>
      <w:r w:rsidRPr="00FD2B6D">
        <w:rPr>
          <w:rFonts w:eastAsia="Times New Roman"/>
          <w:b/>
          <w:sz w:val="24"/>
          <w:szCs w:val="24"/>
        </w:rPr>
        <w:lastRenderedPageBreak/>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w:t>
      </w:r>
      <w:proofErr w:type="spellStart"/>
      <w:r w:rsidR="008B338F">
        <w:rPr>
          <w:rFonts w:eastAsia="Times New Roman"/>
          <w:sz w:val="24"/>
          <w:szCs w:val="24"/>
        </w:rPr>
        <w:t>Korpela</w:t>
      </w:r>
      <w:proofErr w:type="spellEnd"/>
      <w:r w:rsidR="008B338F">
        <w:rPr>
          <w:rFonts w:eastAsia="Times New Roman"/>
          <w:sz w:val="24"/>
          <w:szCs w:val="24"/>
        </w:rPr>
        <w:t xml:space="preserve">, Annotation, </w:t>
      </w:r>
      <w:proofErr w:type="gramStart"/>
      <w:r w:rsidRPr="008453F2">
        <w:rPr>
          <w:rFonts w:eastAsia="Times New Roman"/>
          <w:i/>
          <w:sz w:val="24"/>
          <w:szCs w:val="24"/>
        </w:rPr>
        <w:t>Products</w:t>
      </w:r>
      <w:proofErr w:type="gramEnd"/>
      <w:r w:rsidRPr="008453F2">
        <w:rPr>
          <w:rFonts w:eastAsia="Times New Roman"/>
          <w:i/>
          <w:sz w:val="24"/>
          <w:szCs w:val="24"/>
        </w:rPr>
        <w:t xml:space="preserve">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5" w:name="a16_05"/>
      <w:bookmarkEnd w:id="5"/>
      <w:r w:rsidRPr="00FD2B6D">
        <w:rPr>
          <w:rFonts w:eastAsia="Times New Roman"/>
          <w:b/>
          <w:sz w:val="24"/>
          <w:szCs w:val="24"/>
        </w:rPr>
        <w:lastRenderedPageBreak/>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proofErr w:type="gramStart"/>
      <w:r w:rsidRPr="00FD2B6D">
        <w:rPr>
          <w:rFonts w:eastAsia="Times New Roman"/>
          <w:b/>
          <w:sz w:val="24"/>
          <w:szCs w:val="24"/>
        </w:rPr>
        <w:t>Christensen v. Hoover</w:t>
      </w:r>
      <w:r w:rsidRPr="00FD2B6D">
        <w:rPr>
          <w:rFonts w:eastAsia="Times New Roman"/>
          <w:sz w:val="24"/>
          <w:szCs w:val="24"/>
        </w:rPr>
        <w:t>, 643 P.2d 525 (Colo. 1982).</w:t>
      </w:r>
      <w:proofErr w:type="gramEnd"/>
      <w:r w:rsidRPr="00FD2B6D">
        <w:rPr>
          <w:rFonts w:eastAsia="Times New Roman"/>
          <w:sz w:val="24"/>
          <w:szCs w:val="24"/>
        </w:rPr>
        <w:t xml:space="preserve">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proofErr w:type="gramStart"/>
      <w:r w:rsidRPr="00FD2B6D">
        <w:rPr>
          <w:rFonts w:eastAsia="Times New Roman"/>
          <w:i/>
          <w:sz w:val="24"/>
          <w:szCs w:val="24"/>
        </w:rPr>
        <w:t>Id.</w:t>
      </w:r>
      <w:r w:rsidRPr="00FD2B6D">
        <w:rPr>
          <w:rFonts w:eastAsia="Times New Roman"/>
          <w:sz w:val="24"/>
          <w:szCs w:val="24"/>
        </w:rPr>
        <w:t xml:space="preserve"> at 525.</w:t>
      </w:r>
      <w:proofErr w:type="gramEnd"/>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xml:space="preserve">, 643 P.2d </w:t>
      </w:r>
      <w:proofErr w:type="gramStart"/>
      <w:r w:rsidR="00F4655A">
        <w:rPr>
          <w:rFonts w:eastAsia="Times New Roman"/>
          <w:sz w:val="24"/>
          <w:szCs w:val="24"/>
        </w:rPr>
        <w:t>at 529 n.2 (</w:t>
      </w:r>
      <w:r>
        <w:rPr>
          <w:rFonts w:eastAsia="Times New Roman"/>
          <w:sz w:val="24"/>
          <w:szCs w:val="24"/>
        </w:rPr>
        <w:t>describing the three categories of bailments)</w:t>
      </w:r>
      <w:proofErr w:type="gramEnd"/>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w:t>
      </w:r>
      <w:proofErr w:type="spellStart"/>
      <w:r w:rsidRPr="00FD2B6D">
        <w:rPr>
          <w:rFonts w:eastAsia="Times New Roman"/>
          <w:sz w:val="24"/>
          <w:szCs w:val="24"/>
        </w:rPr>
        <w:t>misdelivery</w:t>
      </w:r>
      <w:proofErr w:type="spellEnd"/>
      <w:r w:rsidRPr="00FD2B6D">
        <w:rPr>
          <w:rFonts w:eastAsia="Times New Roman"/>
          <w:sz w:val="24"/>
          <w:szCs w:val="24"/>
        </w:rPr>
        <w:t xml:space="preserve">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xml:space="preserve">, </w:t>
      </w:r>
      <w:proofErr w:type="gramStart"/>
      <w:r w:rsidRPr="00FD2B6D">
        <w:rPr>
          <w:rFonts w:eastAsia="Times New Roman"/>
          <w:sz w:val="24"/>
          <w:szCs w:val="24"/>
        </w:rPr>
        <w:t>778 P.2d 328</w:t>
      </w:r>
      <w:proofErr w:type="gramEnd"/>
      <w:r w:rsidRPr="00FD2B6D">
        <w:rPr>
          <w:rFonts w:eastAsia="Times New Roman"/>
          <w:sz w:val="24"/>
          <w:szCs w:val="24"/>
        </w:rPr>
        <w:t xml:space="preserve"> (Colo.</w:t>
      </w:r>
      <w:r w:rsidR="009D4FED">
        <w:rPr>
          <w:rFonts w:eastAsia="Times New Roman"/>
          <w:sz w:val="24"/>
          <w:szCs w:val="24"/>
        </w:rPr>
        <w:t xml:space="preserve"> </w:t>
      </w:r>
      <w:r w:rsidRPr="00FD2B6D">
        <w:rPr>
          <w:rFonts w:eastAsia="Times New Roman"/>
          <w:sz w:val="24"/>
          <w:szCs w:val="24"/>
        </w:rPr>
        <w:t>App. 1989).</w:t>
      </w:r>
    </w:p>
    <w:p w14:paraId="59197FC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6" w:name="a16_06"/>
      <w:bookmarkEnd w:id="6"/>
      <w:r w:rsidRPr="00FD2B6D">
        <w:rPr>
          <w:rFonts w:eastAsia="Times New Roman"/>
          <w:b/>
          <w:sz w:val="24"/>
          <w:szCs w:val="24"/>
        </w:rPr>
        <w:lastRenderedPageBreak/>
        <w:t xml:space="preserve">16:6 </w:t>
      </w:r>
      <w:r w:rsidRPr="00FD2B6D">
        <w:rPr>
          <w:rFonts w:eastAsia="Times New Roman"/>
          <w:b/>
          <w:sz w:val="24"/>
          <w:szCs w:val="24"/>
        </w:rPr>
        <w:tab/>
        <w:t>FAILURE OF BAILEE TO RETURN PROPERTY OR RETURN IT IN UNDAMAGED CONDITION — PRESUMPTION OF NEGLIGENCE</w:t>
      </w:r>
    </w:p>
    <w:p w14:paraId="275A11C3" w14:textId="77777777"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 xml:space="preserve">Chapman v. </w:t>
      </w:r>
      <w:proofErr w:type="spellStart"/>
      <w:r w:rsidRPr="00FD2B6D">
        <w:rPr>
          <w:rFonts w:eastAsia="Times New Roman"/>
          <w:b/>
          <w:i/>
          <w:sz w:val="24"/>
          <w:szCs w:val="24"/>
        </w:rPr>
        <w:t>Harner</w:t>
      </w:r>
      <w:proofErr w:type="spellEnd"/>
      <w:r w:rsidRPr="00FD2B6D">
        <w:rPr>
          <w:rFonts w:eastAsia="Times New Roman"/>
          <w:i/>
          <w:sz w:val="24"/>
          <w:szCs w:val="24"/>
        </w:rPr>
        <w:t xml:space="preserve">, 2014 CO 78, 339 P.3d 519, and </w:t>
      </w:r>
      <w:r w:rsidRPr="00FD2B6D">
        <w:rPr>
          <w:rFonts w:eastAsia="Times New Roman"/>
          <w:b/>
          <w:i/>
          <w:sz w:val="24"/>
          <w:szCs w:val="24"/>
        </w:rPr>
        <w:t xml:space="preserve">Krueger v. </w:t>
      </w:r>
      <w:proofErr w:type="spellStart"/>
      <w:r w:rsidRPr="00FD2B6D">
        <w:rPr>
          <w:rFonts w:eastAsia="Times New Roman"/>
          <w:b/>
          <w:i/>
          <w:sz w:val="24"/>
          <w:szCs w:val="24"/>
        </w:rPr>
        <w:t>Ary</w:t>
      </w:r>
      <w:proofErr w:type="spellEnd"/>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xml:space="preserve">, </w:t>
      </w:r>
      <w:proofErr w:type="gramStart"/>
      <w:r w:rsidRPr="00FD2B6D">
        <w:rPr>
          <w:rFonts w:eastAsia="Times New Roman"/>
          <w:bCs/>
          <w:i/>
          <w:iCs/>
          <w:sz w:val="24"/>
          <w:szCs w:val="24"/>
        </w:rPr>
        <w:t>250 P.3d at 1154</w:t>
      </w:r>
      <w:proofErr w:type="gramEnd"/>
      <w:r w:rsidRPr="00FD2B6D">
        <w:rPr>
          <w:rFonts w:eastAsia="Times New Roman"/>
          <w:bCs/>
          <w:i/>
          <w:iCs/>
          <w:sz w:val="24"/>
          <w:szCs w:val="24"/>
        </w:rPr>
        <w:t xml:space="preserve">. If the presumption applies and is not rebutted by legally sufficient evidence, then the presumed fact is established as a matter of law. </w:t>
      </w:r>
      <w:proofErr w:type="gramStart"/>
      <w:r w:rsidRPr="00FD2B6D">
        <w:rPr>
          <w:rFonts w:eastAsia="Times New Roman"/>
          <w:bCs/>
          <w:i/>
          <w:iCs/>
          <w:sz w:val="24"/>
          <w:szCs w:val="24"/>
        </w:rPr>
        <w:t>Id.</w:t>
      </w:r>
      <w:r w:rsidRPr="00FD2B6D">
        <w:rPr>
          <w:rFonts w:eastAsia="Times New Roman"/>
          <w:b/>
          <w:bCs/>
          <w:i/>
          <w:iCs/>
          <w:sz w:val="24"/>
          <w:szCs w:val="24"/>
        </w:rPr>
        <w:t xml:space="preserve"> </w:t>
      </w:r>
      <w:r w:rsidRPr="00FD2B6D">
        <w:rPr>
          <w:rFonts w:eastAsia="Times New Roman"/>
          <w:bCs/>
          <w:i/>
          <w:iCs/>
          <w:sz w:val="24"/>
          <w:szCs w:val="24"/>
        </w:rPr>
        <w:t>at 1156.</w:t>
      </w:r>
      <w:proofErr w:type="gramEnd"/>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xml:space="preserve">, </w:t>
      </w:r>
      <w:proofErr w:type="gramStart"/>
      <w:r w:rsidRPr="00FD2B6D">
        <w:rPr>
          <w:rFonts w:eastAsia="Times New Roman"/>
          <w:bCs/>
          <w:i/>
          <w:iCs/>
          <w:sz w:val="24"/>
          <w:szCs w:val="24"/>
        </w:rPr>
        <w:t>205 P.3d at 1154,</w:t>
      </w:r>
      <w:proofErr w:type="gramEnd"/>
      <w:r w:rsidRPr="00FD2B6D">
        <w:rPr>
          <w:rFonts w:eastAsia="Times New Roman"/>
          <w:bCs/>
          <w:i/>
          <w:iCs/>
          <w:sz w:val="24"/>
          <w:szCs w:val="24"/>
        </w:rPr>
        <w:t xml:space="preserve"> 1156. In neither scenario is the jury instructed about the presumption.  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However, these two cases address only: (a) the presumption of negligence arising from res ipsa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w:t>
      </w:r>
      <w:proofErr w:type="gramStart"/>
      <w:r w:rsidRPr="00FD2B6D">
        <w:rPr>
          <w:rFonts w:eastAsia="Times New Roman"/>
          <w:sz w:val="24"/>
          <w:szCs w:val="24"/>
        </w:rPr>
        <w:t>As</w:t>
      </w:r>
      <w:proofErr w:type="gramEnd"/>
      <w:r w:rsidRPr="00FD2B6D">
        <w:rPr>
          <w:rFonts w:eastAsia="Times New Roman"/>
          <w:sz w:val="24"/>
          <w:szCs w:val="24"/>
        </w:rPr>
        <w:t xml:space="preserve">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Foster v. Bd. of Governors</w:t>
      </w:r>
      <w:r w:rsidRPr="00FD2B6D">
        <w:rPr>
          <w:rFonts w:eastAsia="Times New Roman"/>
          <w:sz w:val="24"/>
          <w:szCs w:val="24"/>
        </w:rPr>
        <w:t xml:space="preserve">, 2014 COA 18, ¶ 19, 342 P.3d 497, as well as to bailments made for only the benefit of the bailee. It does not apply to bailments made only for the benefit of the bailor. </w:t>
      </w:r>
      <w:proofErr w:type="gramStart"/>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roofErr w:type="gramEnd"/>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lastRenderedPageBreak/>
        <w:t xml:space="preserve">5. This instruction is not applicable to a claim for conversion of bailed property, but only to a claim for negligence where the conditions set forth in the instruction are established. </w:t>
      </w:r>
      <w:proofErr w:type="gramStart"/>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roofErr w:type="gramEnd"/>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 xml:space="preserve">In re Marriage of </w:t>
      </w:r>
      <w:proofErr w:type="spellStart"/>
      <w:r w:rsidRPr="00FD2B6D">
        <w:rPr>
          <w:rFonts w:eastAsia="Times New Roman"/>
          <w:b/>
          <w:sz w:val="24"/>
          <w:szCs w:val="24"/>
        </w:rPr>
        <w:t>Amich</w:t>
      </w:r>
      <w:proofErr w:type="spellEnd"/>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77777777"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w:t>
      </w:r>
      <w:r w:rsidRPr="00FD2B6D">
        <w:rPr>
          <w:rFonts w:eastAsia="Times New Roman"/>
          <w:b/>
          <w:sz w:val="24"/>
          <w:szCs w:val="24"/>
        </w:rPr>
        <w:t>Foster</w:t>
      </w:r>
      <w:r w:rsidRPr="00FD2B6D">
        <w:rPr>
          <w:rFonts w:eastAsia="Times New Roman"/>
          <w:sz w:val="24"/>
          <w:szCs w:val="24"/>
        </w:rPr>
        <w:t xml:space="preserve">, 2014 COA 18, ¶ 19;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A38CA" w15:done="0"/>
  <w15:commentEx w15:paraId="3BD17B0B" w15:done="0"/>
  <w15:commentEx w15:paraId="6E6A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A38CA" w16cid:durableId="1F7335E3"/>
  <w16cid:commentId w16cid:paraId="3BD17B0B" w16cid:durableId="1F7335CF"/>
  <w16cid:commentId w16cid:paraId="6E6A30C8" w16cid:durableId="1F7335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62990" w14:textId="77777777" w:rsidR="009B0A4A" w:rsidRDefault="009B0A4A" w:rsidP="0054263B">
      <w:r>
        <w:separator/>
      </w:r>
    </w:p>
    <w:p w14:paraId="2B6533D5" w14:textId="77777777" w:rsidR="009B0A4A" w:rsidRDefault="009B0A4A"/>
  </w:endnote>
  <w:endnote w:type="continuationSeparator" w:id="0">
    <w:p w14:paraId="74E6BB32" w14:textId="77777777" w:rsidR="009B0A4A" w:rsidRDefault="009B0A4A" w:rsidP="0054263B">
      <w:r>
        <w:continuationSeparator/>
      </w:r>
    </w:p>
    <w:p w14:paraId="52A85E9B" w14:textId="77777777" w:rsidR="009B0A4A" w:rsidRDefault="009B0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C40D4A">
          <w:rPr>
            <w:noProof/>
          </w:rPr>
          <w:t>6</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57B52" w14:textId="77777777" w:rsidR="009B0A4A" w:rsidRDefault="009B0A4A" w:rsidP="0054263B">
      <w:r>
        <w:separator/>
      </w:r>
    </w:p>
    <w:p w14:paraId="10E8E224" w14:textId="77777777" w:rsidR="009B0A4A" w:rsidRDefault="009B0A4A"/>
  </w:footnote>
  <w:footnote w:type="continuationSeparator" w:id="0">
    <w:p w14:paraId="763169A6" w14:textId="77777777" w:rsidR="009B0A4A" w:rsidRDefault="009B0A4A" w:rsidP="0054263B">
      <w:r>
        <w:continuationSeparator/>
      </w:r>
    </w:p>
    <w:p w14:paraId="60AEFAB7" w14:textId="77777777" w:rsidR="009B0A4A" w:rsidRDefault="009B0A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6753"/>
    <w:rsid w:val="000F5205"/>
    <w:rsid w:val="001117D9"/>
    <w:rsid w:val="00112C8E"/>
    <w:rsid w:val="00112FF9"/>
    <w:rsid w:val="00126B7A"/>
    <w:rsid w:val="00144917"/>
    <w:rsid w:val="00172674"/>
    <w:rsid w:val="0018388B"/>
    <w:rsid w:val="00185BF1"/>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7B80"/>
    <w:rsid w:val="0047120C"/>
    <w:rsid w:val="00471618"/>
    <w:rsid w:val="00474B1B"/>
    <w:rsid w:val="0049313F"/>
    <w:rsid w:val="004B753E"/>
    <w:rsid w:val="004C62F9"/>
    <w:rsid w:val="004C723A"/>
    <w:rsid w:val="004E7EF1"/>
    <w:rsid w:val="00505E9A"/>
    <w:rsid w:val="005065E6"/>
    <w:rsid w:val="00516447"/>
    <w:rsid w:val="0052537F"/>
    <w:rsid w:val="00531F87"/>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4E41"/>
    <w:rsid w:val="005F5A94"/>
    <w:rsid w:val="006272FE"/>
    <w:rsid w:val="00647CC5"/>
    <w:rsid w:val="00651A64"/>
    <w:rsid w:val="00661D05"/>
    <w:rsid w:val="00675252"/>
    <w:rsid w:val="00682B93"/>
    <w:rsid w:val="0068336D"/>
    <w:rsid w:val="00683FA1"/>
    <w:rsid w:val="00687304"/>
    <w:rsid w:val="006A74B6"/>
    <w:rsid w:val="006B2457"/>
    <w:rsid w:val="006B26D7"/>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5DA8"/>
    <w:rsid w:val="00936D0A"/>
    <w:rsid w:val="00952BBB"/>
    <w:rsid w:val="0095709A"/>
    <w:rsid w:val="009725D8"/>
    <w:rsid w:val="00973884"/>
    <w:rsid w:val="00976FDF"/>
    <w:rsid w:val="009902F2"/>
    <w:rsid w:val="009931B9"/>
    <w:rsid w:val="009B0A4A"/>
    <w:rsid w:val="009B6746"/>
    <w:rsid w:val="009C505E"/>
    <w:rsid w:val="009D4FED"/>
    <w:rsid w:val="009E20C7"/>
    <w:rsid w:val="009E3DA4"/>
    <w:rsid w:val="00A110C7"/>
    <w:rsid w:val="00A36457"/>
    <w:rsid w:val="00A36B31"/>
    <w:rsid w:val="00A632A0"/>
    <w:rsid w:val="00A73AE6"/>
    <w:rsid w:val="00A80C10"/>
    <w:rsid w:val="00A82D0A"/>
    <w:rsid w:val="00A85AAA"/>
    <w:rsid w:val="00A92C18"/>
    <w:rsid w:val="00AB2019"/>
    <w:rsid w:val="00AB6F37"/>
    <w:rsid w:val="00AB71A7"/>
    <w:rsid w:val="00AC78F7"/>
    <w:rsid w:val="00AD2536"/>
    <w:rsid w:val="00AD4B56"/>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0D4A"/>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72C8"/>
    <w:rsid w:val="00E24E10"/>
    <w:rsid w:val="00E50187"/>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F022D4"/>
    <w:rsid w:val="00F062A4"/>
    <w:rsid w:val="00F32AA4"/>
    <w:rsid w:val="00F4655A"/>
    <w:rsid w:val="00F573CF"/>
    <w:rsid w:val="00F57A2B"/>
    <w:rsid w:val="00F658E5"/>
    <w:rsid w:val="00F764F4"/>
    <w:rsid w:val="00F77276"/>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480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2018-12-15T20:19:00Z</dcterms:created>
  <dcterms:modified xsi:type="dcterms:W3CDTF">2018-12-15T20:19:00Z</dcterms:modified>
</cp:coreProperties>
</file>