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A109BC">
        <w:t>18</w:t>
      </w:r>
    </w:p>
    <w:p w:rsidR="00EC7C98" w:rsidRPr="00914128" w:rsidRDefault="00167A38" w:rsidP="00914128">
      <w:pPr>
        <w:pStyle w:val="Heading1"/>
      </w:pPr>
      <w:r w:rsidRPr="00167A38">
        <w:t>TRESPASS TO LAND</w:t>
      </w:r>
    </w:p>
    <w:p w:rsidR="00EC7C98" w:rsidRDefault="00FA3D57"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rsidR="00A109BC" w:rsidRDefault="00FA3D57" w:rsidP="00914128">
      <w:pPr>
        <w:pStyle w:val="ToC"/>
      </w:pPr>
      <w:hyperlink w:anchor="a18_02" w:history="1">
        <w:r w:rsidR="003F78F0" w:rsidRPr="00A109BC">
          <w:rPr>
            <w:rStyle w:val="Hyperlink"/>
          </w:rPr>
          <w:t>18:2</w:t>
        </w:r>
      </w:hyperlink>
      <w:r w:rsidR="003F78F0">
        <w:tab/>
      </w:r>
      <w:r w:rsidR="003F78F0" w:rsidRPr="00A109BC">
        <w:t>Intentionally — Defined</w:t>
      </w:r>
    </w:p>
    <w:p w:rsidR="00A109BC" w:rsidRDefault="00FA3D57" w:rsidP="00914128">
      <w:pPr>
        <w:pStyle w:val="ToC"/>
      </w:pPr>
      <w:hyperlink w:anchor="a18_03" w:history="1">
        <w:r w:rsidR="003F78F0" w:rsidRPr="00A109BC">
          <w:rPr>
            <w:rStyle w:val="Hyperlink"/>
          </w:rPr>
          <w:t>18:3</w:t>
        </w:r>
      </w:hyperlink>
      <w:r w:rsidR="003F78F0" w:rsidRPr="00A109BC">
        <w:t xml:space="preserve"> </w:t>
      </w:r>
      <w:r w:rsidR="003F78F0" w:rsidRPr="00A109BC">
        <w:tab/>
        <w:t>Consent</w:t>
      </w:r>
    </w:p>
    <w:p w:rsidR="00A109BC" w:rsidRDefault="00FA3D57"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167A38" w:rsidP="00CC0502">
      <w:pPr>
        <w:spacing w:after="240"/>
        <w:ind w:left="720" w:hanging="720"/>
        <w:rPr>
          <w:rFonts w:eastAsia="Times New Roman"/>
          <w:b/>
          <w:sz w:val="24"/>
          <w:szCs w:val="24"/>
        </w:rPr>
      </w:pPr>
      <w:bookmarkStart w:id="1" w:name="a18_01"/>
      <w:bookmarkEnd w:id="1"/>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on (his) (her) claim of trespass, you must find that (both) (all) of the following have been proved by a preponderance of the evidence:</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 (any one or more of these affirmative defenses have) not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Pub. Serv. Co. of Colo. v. Van Wyk</w:t>
      </w:r>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Sanderson v. Heath Mesa Homeowners Ass’n</w:t>
      </w:r>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r w:rsidRPr="00167A38">
        <w:rPr>
          <w:rFonts w:eastAsia="Times New Roman"/>
          <w:b/>
          <w:sz w:val="24"/>
          <w:szCs w:val="24"/>
        </w:rPr>
        <w:t>Cobai v. Young</w:t>
      </w:r>
      <w:r w:rsidRPr="00167A38">
        <w:rPr>
          <w:rFonts w:eastAsia="Times New Roman"/>
          <w:sz w:val="24"/>
          <w:szCs w:val="24"/>
        </w:rPr>
        <w:t xml:space="preserve">, 679 P.2d 121 (Colo. App. 1984) (defendants constructed their house so as to cause snow to slide off the roof and hit the plaintiff’s house). </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Hugunin v. McCunniff</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Hoery v. United States</w:t>
      </w:r>
      <w:r w:rsidRPr="00167A38">
        <w:rPr>
          <w:rFonts w:eastAsia="Times New Roman"/>
          <w:sz w:val="24"/>
          <w:szCs w:val="24"/>
        </w:rPr>
        <w:t xml:space="preserve">, 64 P.3d 214 (Colo. 2003); </w:t>
      </w:r>
      <w:r w:rsidRPr="00167A38">
        <w:rPr>
          <w:rFonts w:eastAsia="Times New Roman"/>
          <w:b/>
          <w:sz w:val="24"/>
          <w:szCs w:val="24"/>
        </w:rPr>
        <w:t>Antolovich v. Brown Grp. Retail, Inc.</w:t>
      </w:r>
      <w:r w:rsidRPr="00167A38">
        <w:rPr>
          <w:rFonts w:eastAsia="Times New Roman"/>
          <w:sz w:val="24"/>
          <w:szCs w:val="24"/>
        </w:rPr>
        <w:t xml:space="preserve">, 183 P.3d 582 (Colo. App. 2007); </w:t>
      </w:r>
      <w:r w:rsidRPr="00167A38">
        <w:rPr>
          <w:rFonts w:eastAsia="Times New Roman"/>
          <w:b/>
          <w:sz w:val="24"/>
          <w:szCs w:val="24"/>
        </w:rPr>
        <w:t>Trask v. Nozisko</w:t>
      </w:r>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r w:rsidRPr="00167A38">
        <w:rPr>
          <w:rFonts w:eastAsia="Times New Roman"/>
          <w:b/>
          <w:sz w:val="24"/>
          <w:szCs w:val="24"/>
        </w:rPr>
        <w:t>Magliocco v. Olson</w:t>
      </w:r>
      <w:r w:rsidRPr="00167A38">
        <w:rPr>
          <w:rFonts w:eastAsia="Times New Roman"/>
          <w:sz w:val="24"/>
          <w:szCs w:val="24"/>
        </w:rPr>
        <w:t xml:space="preserve">, 762 P.2d 681 (Colo. App. 1987); </w:t>
      </w:r>
      <w:r w:rsidRPr="00167A38">
        <w:rPr>
          <w:rFonts w:eastAsia="Times New Roman"/>
          <w:b/>
          <w:sz w:val="24"/>
          <w:szCs w:val="24"/>
        </w:rPr>
        <w:t>Docheff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Betterview Invs., LLC v. Pub. Serv. Co. of Colo.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r w:rsidRPr="00167A38">
        <w:rPr>
          <w:rFonts w:eastAsia="Times New Roman"/>
          <w:b/>
          <w:sz w:val="24"/>
          <w:szCs w:val="24"/>
        </w:rPr>
        <w:t>Ass’n</w:t>
      </w:r>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r w:rsidRPr="00167A38">
        <w:rPr>
          <w:rFonts w:eastAsia="Times New Roman"/>
          <w:b/>
          <w:sz w:val="24"/>
          <w:szCs w:val="24"/>
        </w:rPr>
        <w:t>Grynberg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terminated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r w:rsidRPr="00167A38">
        <w:rPr>
          <w:rFonts w:eastAsia="Times New Roman"/>
          <w:b/>
          <w:sz w:val="24"/>
          <w:szCs w:val="24"/>
        </w:rPr>
        <w:t>Steiger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Plaintiff need not establish defendant’s “willfulness” to prevail on a trespass claim. </w:t>
      </w:r>
      <w:r w:rsidRPr="00167A38">
        <w:rPr>
          <w:rFonts w:eastAsia="Times New Roman"/>
          <w:b/>
          <w:sz w:val="24"/>
          <w:szCs w:val="24"/>
        </w:rPr>
        <w:t>Bittersweet Farms, Inc. v. Zimbelman</w:t>
      </w:r>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r w:rsidRPr="00167A38">
        <w:rPr>
          <w:rFonts w:eastAsia="Times New Roman"/>
          <w:b/>
          <w:sz w:val="24"/>
          <w:szCs w:val="24"/>
        </w:rPr>
        <w:t>Antolovich</w:t>
      </w:r>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5. Trespass may occur without direct entry: “‘A landowner who sets in motion a force which, in the usual course of events, will damage property of another is guilty of a trespass on such property.’” </w:t>
      </w:r>
      <w:r w:rsidRPr="00167A38">
        <w:rPr>
          <w:rFonts w:eastAsia="Times New Roman"/>
          <w:b/>
          <w:sz w:val="24"/>
          <w:szCs w:val="24"/>
        </w:rPr>
        <w:t>Hoery</w:t>
      </w:r>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r w:rsidRPr="00167A38">
        <w:rPr>
          <w:rFonts w:eastAsia="Times New Roman"/>
          <w:b/>
          <w:sz w:val="24"/>
          <w:szCs w:val="24"/>
        </w:rPr>
        <w:t>Hoery</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r w:rsidR="002E12FC" w:rsidRPr="00273CCA">
        <w:rPr>
          <w:rFonts w:eastAsia="Times New Roman"/>
          <w:b/>
          <w:sz w:val="24"/>
          <w:szCs w:val="24"/>
        </w:rPr>
        <w:t>Smokebrush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rsidR="00167A38" w:rsidRDefault="00167A38">
      <w:pPr>
        <w:rPr>
          <w:rFonts w:eastAsia="Times New Roman"/>
          <w:sz w:val="24"/>
          <w:szCs w:val="24"/>
        </w:rPr>
      </w:pPr>
      <w:r>
        <w:rPr>
          <w:rFonts w:eastAsia="Times New Roman"/>
          <w:sz w:val="24"/>
          <w:szCs w:val="24"/>
        </w:rPr>
        <w:br w:type="page"/>
      </w:r>
    </w:p>
    <w:p w:rsidR="00167A38" w:rsidRPr="009E3DA4" w:rsidRDefault="00167A38" w:rsidP="00167A38">
      <w:pPr>
        <w:spacing w:after="240"/>
        <w:ind w:left="720" w:hanging="720"/>
        <w:rPr>
          <w:rFonts w:eastAsia="Times New Roman"/>
          <w:b/>
          <w:sz w:val="24"/>
          <w:szCs w:val="24"/>
        </w:rPr>
      </w:pPr>
      <w:bookmarkStart w:id="2" w:name="a18_02"/>
      <w:bookmarkEnd w:id="2"/>
      <w:r w:rsidRPr="00167A38">
        <w:rPr>
          <w:rFonts w:eastAsia="Times New Roman"/>
          <w:b/>
          <w:sz w:val="24"/>
          <w:szCs w:val="24"/>
        </w:rPr>
        <w:t>18:2</w:t>
      </w:r>
      <w:r w:rsidR="00A109BC">
        <w:rPr>
          <w:rFonts w:eastAsia="Times New Roman"/>
          <w:b/>
          <w:sz w:val="24"/>
          <w:szCs w:val="24"/>
        </w:rPr>
        <w:tab/>
      </w:r>
      <w:r w:rsidRPr="00167A38">
        <w:rPr>
          <w:rFonts w:eastAsia="Times New Roman"/>
          <w:b/>
          <w:sz w:val="24"/>
          <w:szCs w:val="24"/>
        </w:rPr>
        <w:t>INTENTIONALLY — DEFINED</w:t>
      </w:r>
    </w:p>
    <w:p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his or her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his or her purpose to do the act that in the natural course of events results in the intrusion.</w:t>
      </w:r>
      <w:r w:rsidRPr="00167A38">
        <w:rPr>
          <w:rFonts w:eastAsia="Times New Roman"/>
          <w:sz w:val="24"/>
          <w:szCs w:val="24"/>
        </w:rPr>
        <w:t xml:space="preserve"> </w:t>
      </w:r>
    </w:p>
    <w:p w:rsidR="00167A38" w:rsidRDefault="00167A38" w:rsidP="00167A38">
      <w:pPr>
        <w:jc w:val="center"/>
        <w:rPr>
          <w:rFonts w:eastAsia="Times New Roman"/>
          <w:sz w:val="24"/>
          <w:szCs w:val="24"/>
        </w:rPr>
      </w:pPr>
    </w:p>
    <w:p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r w:rsidRPr="00B15A7A">
        <w:rPr>
          <w:rFonts w:eastAsia="Times New Roman"/>
          <w:b/>
          <w:sz w:val="24"/>
          <w:szCs w:val="24"/>
        </w:rPr>
        <w:t>Hoery v. United States</w:t>
      </w:r>
      <w:r w:rsidRPr="00B15A7A">
        <w:rPr>
          <w:rFonts w:eastAsia="Times New Roman"/>
          <w:sz w:val="24"/>
          <w:szCs w:val="24"/>
        </w:rPr>
        <w:t xml:space="preserve">, 64 P.3d 214 (Colo. 2003);  </w:t>
      </w:r>
      <w:r w:rsidRPr="00B15A7A">
        <w:rPr>
          <w:rFonts w:eastAsia="Times New Roman"/>
          <w:b/>
          <w:sz w:val="24"/>
          <w:szCs w:val="24"/>
        </w:rPr>
        <w:t>Antolovich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r w:rsidRPr="00B15A7A">
        <w:rPr>
          <w:rFonts w:eastAsia="Times New Roman"/>
          <w:b/>
          <w:sz w:val="24"/>
          <w:szCs w:val="24"/>
        </w:rPr>
        <w:t>Hoery</w:t>
      </w:r>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cmt. i (1965): “It is enough that an act is done with knowledge that it will to a substantial certainty result in the entry of the foreign matter.” As a result, there is a question about whether knowledge is an element of trespass. </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r w:rsidRPr="00B15A7A">
        <w:rPr>
          <w:rFonts w:eastAsia="Times New Roman"/>
          <w:b/>
          <w:sz w:val="24"/>
          <w:szCs w:val="24"/>
        </w:rPr>
        <w:t>Antolovich</w:t>
      </w:r>
      <w:r w:rsidRPr="00B15A7A">
        <w:rPr>
          <w:rFonts w:eastAsia="Times New Roman"/>
          <w:sz w:val="24"/>
          <w:szCs w:val="24"/>
        </w:rPr>
        <w:t>, 183 P.3d at 603.</w:t>
      </w:r>
    </w:p>
    <w:p w:rsidR="00B15A7A" w:rsidRDefault="00B15A7A">
      <w:pPr>
        <w:rPr>
          <w:rFonts w:eastAsia="Times New Roman"/>
          <w:sz w:val="24"/>
          <w:szCs w:val="24"/>
        </w:rPr>
      </w:pPr>
      <w:r>
        <w:rPr>
          <w:rFonts w:eastAsia="Times New Roman"/>
          <w:sz w:val="24"/>
          <w:szCs w:val="24"/>
        </w:rPr>
        <w:br w:type="page"/>
      </w:r>
    </w:p>
    <w:p w:rsidR="00B15A7A" w:rsidRPr="009E3DA4" w:rsidRDefault="00B15A7A" w:rsidP="00B15A7A">
      <w:pPr>
        <w:spacing w:after="240"/>
        <w:ind w:left="720" w:hanging="720"/>
        <w:rPr>
          <w:rFonts w:eastAsia="Times New Roman"/>
          <w:b/>
          <w:sz w:val="24"/>
          <w:szCs w:val="24"/>
        </w:rPr>
      </w:pPr>
      <w:bookmarkStart w:id="3" w:name="a18_03"/>
      <w:bookmarkEnd w:id="3"/>
      <w:r w:rsidRPr="00B15A7A">
        <w:rPr>
          <w:rFonts w:eastAsia="Times New Roman"/>
          <w:b/>
          <w:sz w:val="24"/>
          <w:szCs w:val="24"/>
        </w:rPr>
        <w:t xml:space="preserve">18:3 </w:t>
      </w:r>
      <w:r w:rsidRPr="00B15A7A">
        <w:rPr>
          <w:rFonts w:eastAsia="Times New Roman"/>
          <w:b/>
          <w:sz w:val="24"/>
          <w:szCs w:val="24"/>
        </w:rPr>
        <w:tab/>
        <w:t>CONSENT</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on (his) (her) claim of trespass if the affirmative defense of consent is proved. This defense is proved if you find both of the following:</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rsidR="00B15A7A" w:rsidRDefault="00B15A7A" w:rsidP="00B15A7A">
      <w:pPr>
        <w:jc w:val="center"/>
        <w:rPr>
          <w:rFonts w:eastAsia="Times New Roman"/>
          <w:sz w:val="24"/>
          <w:szCs w:val="24"/>
        </w:rPr>
      </w:pPr>
    </w:p>
    <w:p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cmt. c (1965) (“The burden of establishing the possessor’s consent is upon the person who relies upon it.”).</w:t>
      </w:r>
    </w:p>
    <w:p w:rsidR="00B15A7A" w:rsidRDefault="00B15A7A">
      <w:pPr>
        <w:rPr>
          <w:rFonts w:eastAsia="Times New Roman"/>
          <w:sz w:val="24"/>
          <w:szCs w:val="24"/>
        </w:rPr>
      </w:pPr>
      <w:r>
        <w:rPr>
          <w:rFonts w:eastAsia="Times New Roman"/>
          <w:sz w:val="24"/>
          <w:szCs w:val="24"/>
        </w:rPr>
        <w:br w:type="page"/>
      </w:r>
    </w:p>
    <w:p w:rsidR="00B15A7A" w:rsidRPr="009E3DA4" w:rsidRDefault="00B15A7A" w:rsidP="00B15A7A">
      <w:pPr>
        <w:spacing w:after="240"/>
        <w:ind w:left="720" w:hanging="720"/>
        <w:rPr>
          <w:rFonts w:eastAsia="Times New Roman"/>
          <w:b/>
          <w:sz w:val="24"/>
          <w:szCs w:val="24"/>
        </w:rPr>
      </w:pPr>
      <w:bookmarkStart w:id="4" w:name="a18_04"/>
      <w:bookmarkEnd w:id="4"/>
      <w:r w:rsidRPr="00B15A7A">
        <w:rPr>
          <w:rFonts w:eastAsia="Times New Roman"/>
          <w:b/>
          <w:sz w:val="24"/>
          <w:szCs w:val="24"/>
        </w:rPr>
        <w:t>18:4</w:t>
      </w:r>
      <w:r w:rsidRPr="00B15A7A">
        <w:rPr>
          <w:rFonts w:eastAsia="Times New Roman"/>
          <w:b/>
          <w:sz w:val="24"/>
          <w:szCs w:val="24"/>
        </w:rPr>
        <w:tab/>
        <w:t>ACTUAL OR NOMINAL DAMAGES</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If you find in favor of the plaintiff but do not find any actual damages, you shall award (him) (her) nominal damages of one dollar.</w:t>
      </w:r>
    </w:p>
    <w:p w:rsidR="00B15A7A" w:rsidRDefault="00B15A7A" w:rsidP="00B15A7A">
      <w:pPr>
        <w:jc w:val="center"/>
        <w:rPr>
          <w:rFonts w:eastAsia="Times New Roman"/>
          <w:sz w:val="24"/>
          <w:szCs w:val="24"/>
        </w:rPr>
      </w:pPr>
    </w:p>
    <w:p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Bd. of Cty. Comm’rs v. 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Heritage Vill. Owners Ass’n v. Golden Heritage Inv’rs, Ltd.</w:t>
      </w:r>
      <w:r w:rsidRPr="00B15A7A">
        <w:rPr>
          <w:rFonts w:eastAsia="Times New Roman"/>
          <w:sz w:val="24"/>
          <w:szCs w:val="24"/>
        </w:rPr>
        <w:t xml:space="preserve">, 89 P.3d 513 (Colo. App. 2004). In such situations, this instruction must be appropriately modified. </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Calvaresi v. Nat’l Dev. Co.</w:t>
      </w:r>
      <w:r w:rsidRPr="00B15A7A">
        <w:rPr>
          <w:rFonts w:eastAsia="Times New Roman"/>
          <w:sz w:val="24"/>
          <w:szCs w:val="24"/>
        </w:rPr>
        <w:t>, 772 P.2d 640 (Colo. App. 1988).</w:t>
      </w:r>
    </w:p>
    <w:p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Bridge &amp; Construction Co. v. Preuit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Mustang Reservoir, Canal &amp; Land Co. v. Hissman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Dandrea v. Bd. of Cty.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r w:rsidRPr="00B15A7A">
        <w:rPr>
          <w:rFonts w:eastAsia="Times New Roman"/>
          <w:b/>
          <w:sz w:val="24"/>
          <w:szCs w:val="24"/>
        </w:rPr>
        <w:t>Slovek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r w:rsidRPr="00B15A7A">
        <w:rPr>
          <w:rFonts w:eastAsia="Times New Roman"/>
          <w:b/>
          <w:sz w:val="24"/>
          <w:szCs w:val="24"/>
        </w:rPr>
        <w:t>Gladin v. Von Engeln</w:t>
      </w:r>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Evans v. Colo. Ute Elec. Ass’n</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r w:rsidRPr="00B15A7A">
        <w:rPr>
          <w:rFonts w:eastAsia="Times New Roman"/>
          <w:b/>
          <w:sz w:val="24"/>
          <w:szCs w:val="24"/>
        </w:rPr>
        <w:t>Slovek</w:t>
      </w:r>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For a discussion of the difference in damages recoverable for a “continuing trespass” as distinguished from a “permanent trespass,” see </w:t>
      </w:r>
      <w:r w:rsidRPr="00B15A7A">
        <w:rPr>
          <w:rFonts w:eastAsia="Times New Roman"/>
          <w:b/>
          <w:sz w:val="24"/>
          <w:szCs w:val="24"/>
        </w:rPr>
        <w:t>Hawley v. Mowatt</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Hunter v. Mansell</w:t>
      </w:r>
      <w:r w:rsidRPr="00B15A7A">
        <w:rPr>
          <w:rFonts w:eastAsia="Times New Roman"/>
          <w:sz w:val="24"/>
          <w:szCs w:val="24"/>
        </w:rPr>
        <w:t>, 240 P.3d 469 (Colo. App. 2010) (reversing legal remedy of damages for continuing trespass where equitable remedy of mandatory injunction was more appropriate).</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Livingston v. Utah-Colo. Land &amp; Live Stock Co.</w:t>
      </w:r>
      <w:r w:rsidRPr="00B15A7A">
        <w:rPr>
          <w:rFonts w:eastAsia="Times New Roman"/>
          <w:sz w:val="24"/>
          <w:szCs w:val="24"/>
        </w:rPr>
        <w:t>, 106 Colo. 278, 103 P.2d 684 (1940).</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Slovek</w:t>
      </w:r>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Sanderson v. Heath Mesa Homeowners Ass’n</w:t>
      </w:r>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 v. Lehl</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accord</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r w:rsidRPr="00B15A7A">
        <w:rPr>
          <w:rFonts w:eastAsia="Times New Roman"/>
          <w:i/>
          <w:sz w:val="24"/>
          <w:szCs w:val="24"/>
        </w:rPr>
        <w:t>rev’d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Smith v. Eichheim</w:t>
      </w:r>
      <w:r w:rsidRPr="00B15A7A">
        <w:rPr>
          <w:rFonts w:eastAsia="Times New Roman"/>
          <w:sz w:val="24"/>
          <w:szCs w:val="24"/>
        </w:rPr>
        <w:t>, 147 Colo. 180, 363 P.2d 185 (1961).</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r w:rsidRPr="00B15A7A">
        <w:rPr>
          <w:rFonts w:eastAsia="Times New Roman"/>
          <w:b/>
          <w:sz w:val="24"/>
          <w:szCs w:val="24"/>
        </w:rPr>
        <w:t>Bullerdick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r w:rsidRPr="00B15A7A">
        <w:rPr>
          <w:rFonts w:eastAsia="Times New Roman"/>
          <w:b/>
          <w:sz w:val="24"/>
          <w:szCs w:val="24"/>
        </w:rPr>
        <w:t>Kroulik v. Knuppel</w:t>
      </w:r>
      <w:r w:rsidRPr="00B15A7A">
        <w:rPr>
          <w:rFonts w:eastAsia="Times New Roman"/>
          <w:sz w:val="24"/>
          <w:szCs w:val="24"/>
        </w:rPr>
        <w:t>, 634 P.2d 1027 (Colo. App. 1981).</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the timber and its products as improved by defendant’s labor without any allowance for costs of cutting, milling, or other processing. </w:t>
      </w:r>
      <w:r w:rsidRPr="00B15A7A">
        <w:rPr>
          <w:rFonts w:eastAsia="Times New Roman"/>
          <w:i/>
          <w:sz w:val="24"/>
          <w:szCs w:val="24"/>
        </w:rPr>
        <w:t>Id.</w:t>
      </w:r>
    </w:p>
    <w:p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Colo. Cent. Consol. Mining Co. v. Turck</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accord</w:t>
      </w:r>
      <w:r w:rsidRPr="00B15A7A">
        <w:rPr>
          <w:rFonts w:eastAsia="Times New Roman"/>
          <w:sz w:val="24"/>
          <w:szCs w:val="24"/>
        </w:rPr>
        <w:t xml:space="preserve"> </w:t>
      </w:r>
      <w:r w:rsidRPr="00B15A7A">
        <w:rPr>
          <w:rFonts w:eastAsia="Times New Roman"/>
          <w:b/>
          <w:sz w:val="24"/>
          <w:szCs w:val="24"/>
        </w:rPr>
        <w:t>O’Connor v. Rolfes</w:t>
      </w:r>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Pr="00B15A7A">
        <w:rPr>
          <w:rFonts w:eastAsia="Times New Roman"/>
          <w:i/>
          <w:sz w:val="24"/>
          <w:szCs w:val="24"/>
        </w:rPr>
        <w:t>accord</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r w:rsidRPr="00B15A7A">
        <w:rPr>
          <w:rFonts w:eastAsia="Times New Roman"/>
          <w:b/>
          <w:sz w:val="24"/>
          <w:szCs w:val="24"/>
        </w:rPr>
        <w:t>Kroulik</w:t>
      </w:r>
      <w:r w:rsidRPr="00B15A7A">
        <w:rPr>
          <w:rFonts w:eastAsia="Times New Roman"/>
          <w:sz w:val="24"/>
          <w:szCs w:val="24"/>
        </w:rPr>
        <w:t>, 634 P.2d at 1030-31 (citing this instruction).</w:t>
      </w:r>
    </w:p>
    <w:p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rule, but allowed trial court to apply nonwillful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rsidR="009007E8" w:rsidRPr="0052537F"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57" w:rsidRDefault="00FA3D57" w:rsidP="0054263B">
      <w:r>
        <w:separator/>
      </w:r>
    </w:p>
    <w:p w:rsidR="00FA3D57" w:rsidRDefault="00FA3D57"/>
  </w:endnote>
  <w:endnote w:type="continuationSeparator" w:id="0">
    <w:p w:rsidR="00FA3D57" w:rsidRDefault="00FA3D57" w:rsidP="0054263B">
      <w:r>
        <w:continuationSeparator/>
      </w:r>
    </w:p>
    <w:p w:rsidR="00FA3D57" w:rsidRDefault="00FA3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5A22A6" w:rsidRDefault="005A22A6">
        <w:pPr>
          <w:pStyle w:val="Footer"/>
          <w:jc w:val="center"/>
        </w:pPr>
        <w:r>
          <w:fldChar w:fldCharType="begin"/>
        </w:r>
        <w:r>
          <w:instrText xml:space="preserve"> PAGE   \* MERGEFORMAT </w:instrText>
        </w:r>
        <w:r>
          <w:fldChar w:fldCharType="separate"/>
        </w:r>
        <w:r w:rsidR="0032073B">
          <w:rPr>
            <w:noProof/>
          </w:rPr>
          <w:t>2</w:t>
        </w:r>
        <w:r>
          <w:rPr>
            <w:noProof/>
          </w:rPr>
          <w:fldChar w:fldCharType="end"/>
        </w:r>
      </w:p>
    </w:sdtContent>
  </w:sdt>
  <w:p w:rsidR="005A22A6" w:rsidRDefault="005A22A6">
    <w:pPr>
      <w:pStyle w:val="Footer"/>
    </w:pPr>
  </w:p>
  <w:p w:rsidR="005A22A6" w:rsidRDefault="005A22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57" w:rsidRDefault="00FA3D57" w:rsidP="0054263B">
      <w:r>
        <w:separator/>
      </w:r>
    </w:p>
    <w:p w:rsidR="00FA3D57" w:rsidRDefault="00FA3D57"/>
  </w:footnote>
  <w:footnote w:type="continuationSeparator" w:id="0">
    <w:p w:rsidR="00FA3D57" w:rsidRDefault="00FA3D57" w:rsidP="0054263B">
      <w:r>
        <w:continuationSeparator/>
      </w:r>
    </w:p>
    <w:p w:rsidR="00FA3D57" w:rsidRDefault="00FA3D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547C3"/>
    <w:rsid w:val="00264B49"/>
    <w:rsid w:val="002654B4"/>
    <w:rsid w:val="00267805"/>
    <w:rsid w:val="00273777"/>
    <w:rsid w:val="00293F7E"/>
    <w:rsid w:val="002A23B0"/>
    <w:rsid w:val="002A6EC7"/>
    <w:rsid w:val="002D163D"/>
    <w:rsid w:val="002E0970"/>
    <w:rsid w:val="002E12FC"/>
    <w:rsid w:val="002F48D6"/>
    <w:rsid w:val="00304398"/>
    <w:rsid w:val="0031067D"/>
    <w:rsid w:val="00316D33"/>
    <w:rsid w:val="00320613"/>
    <w:rsid w:val="0032073B"/>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3F78F0"/>
    <w:rsid w:val="00434371"/>
    <w:rsid w:val="004425AA"/>
    <w:rsid w:val="00456038"/>
    <w:rsid w:val="00467B80"/>
    <w:rsid w:val="0047120C"/>
    <w:rsid w:val="00471618"/>
    <w:rsid w:val="00474B1B"/>
    <w:rsid w:val="0047575F"/>
    <w:rsid w:val="0048541F"/>
    <w:rsid w:val="0049313F"/>
    <w:rsid w:val="00494645"/>
    <w:rsid w:val="004A1210"/>
    <w:rsid w:val="004A32E6"/>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4FA"/>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E20C7"/>
    <w:rsid w:val="009E3DA4"/>
    <w:rsid w:val="009F581C"/>
    <w:rsid w:val="00A005E6"/>
    <w:rsid w:val="00A109BC"/>
    <w:rsid w:val="00A10F3D"/>
    <w:rsid w:val="00A110C7"/>
    <w:rsid w:val="00A250A2"/>
    <w:rsid w:val="00A36457"/>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5A7A"/>
    <w:rsid w:val="00B338E2"/>
    <w:rsid w:val="00B33FF6"/>
    <w:rsid w:val="00B35185"/>
    <w:rsid w:val="00B37722"/>
    <w:rsid w:val="00B567C1"/>
    <w:rsid w:val="00B579DF"/>
    <w:rsid w:val="00B6275E"/>
    <w:rsid w:val="00B70D68"/>
    <w:rsid w:val="00B719C2"/>
    <w:rsid w:val="00B72D6B"/>
    <w:rsid w:val="00B80FD1"/>
    <w:rsid w:val="00B81D5C"/>
    <w:rsid w:val="00B937E4"/>
    <w:rsid w:val="00B97801"/>
    <w:rsid w:val="00BA2389"/>
    <w:rsid w:val="00BA27A8"/>
    <w:rsid w:val="00BA510E"/>
    <w:rsid w:val="00BB344E"/>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3D57"/>
    <w:rsid w:val="00FA7B76"/>
    <w:rsid w:val="00FD1EE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2018-12-15T20:21:00Z</dcterms:created>
  <dcterms:modified xsi:type="dcterms:W3CDTF">2018-12-15T20:21:00Z</dcterms:modified>
</cp:coreProperties>
</file>