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2B5FCF">
        <w:t>20</w:t>
      </w:r>
    </w:p>
    <w:p w:rsidR="00EC7C98" w:rsidRPr="00914128" w:rsidRDefault="002B5FCF" w:rsidP="00914128">
      <w:pPr>
        <w:pStyle w:val="Heading1"/>
      </w:pPr>
      <w:r w:rsidRPr="002B5FCF">
        <w:t>ASSAULT AND BATTERY</w:t>
      </w:r>
    </w:p>
    <w:p w:rsidR="0022134E" w:rsidRPr="009B6746" w:rsidRDefault="0022134E" w:rsidP="00F658E5">
      <w:pPr>
        <w:pStyle w:val="Heading1"/>
        <w:keepNext/>
        <w:jc w:val="left"/>
        <w:rPr>
          <w:b w:val="0"/>
        </w:rPr>
      </w:pPr>
      <w:r w:rsidRPr="009B6746">
        <w:rPr>
          <w:b w:val="0"/>
        </w:rPr>
        <w:t xml:space="preserve">A. </w:t>
      </w:r>
      <w:r w:rsidR="002B5FCF" w:rsidRPr="002B5FCF">
        <w:rPr>
          <w:b w:val="0"/>
        </w:rPr>
        <w:t>ASSAULT</w:t>
      </w:r>
    </w:p>
    <w:p w:rsidR="00EC7C98" w:rsidRDefault="00BB4613" w:rsidP="00914128">
      <w:pPr>
        <w:pStyle w:val="ToC"/>
      </w:pPr>
      <w:hyperlink w:anchor="a20_01" w:history="1">
        <w:r w:rsidR="00473B65" w:rsidRPr="00074558">
          <w:rPr>
            <w:rStyle w:val="Hyperlink"/>
          </w:rPr>
          <w:t>20:1</w:t>
        </w:r>
      </w:hyperlink>
      <w:r w:rsidR="00473B65" w:rsidRPr="00074558">
        <w:t xml:space="preserve"> </w:t>
      </w:r>
      <w:r w:rsidR="00473B65" w:rsidRPr="00074558">
        <w:tab/>
        <w:t xml:space="preserve">Elements </w:t>
      </w:r>
      <w:r w:rsidR="00473B65">
        <w:t>o</w:t>
      </w:r>
      <w:r w:rsidR="00473B65" w:rsidRPr="00074558">
        <w:t>f Liability</w:t>
      </w:r>
    </w:p>
    <w:p w:rsidR="00074558" w:rsidRDefault="00BB4613" w:rsidP="00914128">
      <w:pPr>
        <w:pStyle w:val="ToC"/>
      </w:pPr>
      <w:hyperlink w:anchor="a20_02" w:history="1">
        <w:r w:rsidR="00473B65" w:rsidRPr="00074558">
          <w:rPr>
            <w:rStyle w:val="Hyperlink"/>
          </w:rPr>
          <w:t>20:2</w:t>
        </w:r>
      </w:hyperlink>
      <w:r w:rsidR="00473B65" w:rsidRPr="00074558">
        <w:t xml:space="preserve"> </w:t>
      </w:r>
      <w:r w:rsidR="00473B65" w:rsidRPr="00074558">
        <w:tab/>
        <w:t>Apprehension — Defined</w:t>
      </w:r>
    </w:p>
    <w:p w:rsidR="00074558" w:rsidRDefault="00BB4613" w:rsidP="00914128">
      <w:pPr>
        <w:pStyle w:val="ToC"/>
      </w:pPr>
      <w:hyperlink w:anchor="a20_03" w:history="1">
        <w:r w:rsidR="00473B65" w:rsidRPr="00074558">
          <w:rPr>
            <w:rStyle w:val="Hyperlink"/>
          </w:rPr>
          <w:t>20:3</w:t>
        </w:r>
      </w:hyperlink>
      <w:r w:rsidR="00473B65" w:rsidRPr="00074558">
        <w:t xml:space="preserve"> </w:t>
      </w:r>
      <w:r w:rsidR="00473B65" w:rsidRPr="00074558">
        <w:tab/>
        <w:t xml:space="preserve">Intent </w:t>
      </w:r>
      <w:r w:rsidR="00473B65">
        <w:t>t</w:t>
      </w:r>
      <w:r w:rsidR="00473B65" w:rsidRPr="00074558">
        <w:t xml:space="preserve">o Place Another </w:t>
      </w:r>
      <w:r w:rsidR="00473B65">
        <w:t>i</w:t>
      </w:r>
      <w:r w:rsidR="00473B65" w:rsidRPr="00074558">
        <w:t>n Apprehension — Defined</w:t>
      </w:r>
    </w:p>
    <w:p w:rsidR="00074558" w:rsidRDefault="00BB4613" w:rsidP="00914128">
      <w:pPr>
        <w:pStyle w:val="ToC"/>
      </w:pPr>
      <w:hyperlink w:anchor="a20_04" w:history="1">
        <w:r w:rsidR="00473B65" w:rsidRPr="00074558">
          <w:rPr>
            <w:rStyle w:val="Hyperlink"/>
          </w:rPr>
          <w:t>20:4</w:t>
        </w:r>
      </w:hyperlink>
      <w:r w:rsidR="00473B65" w:rsidRPr="00074558">
        <w:t xml:space="preserve"> </w:t>
      </w:r>
      <w:r w:rsidR="00473B65" w:rsidRPr="00074558">
        <w:tab/>
        <w:t xml:space="preserve">Actual </w:t>
      </w:r>
      <w:r w:rsidR="00473B65">
        <w:t>o</w:t>
      </w:r>
      <w:r w:rsidR="00473B65" w:rsidRPr="00074558">
        <w:t>r Nominal Damages</w:t>
      </w:r>
    </w:p>
    <w:p w:rsidR="002B5FCF" w:rsidRDefault="002B5FCF" w:rsidP="002B5FCF">
      <w:pPr>
        <w:pStyle w:val="ToC"/>
      </w:pPr>
    </w:p>
    <w:p w:rsidR="002B5FCF" w:rsidRPr="009B6746" w:rsidRDefault="002B5FCF" w:rsidP="002B5FCF">
      <w:pPr>
        <w:pStyle w:val="Heading1"/>
        <w:keepNext/>
        <w:jc w:val="left"/>
        <w:rPr>
          <w:b w:val="0"/>
        </w:rPr>
      </w:pPr>
      <w:r>
        <w:rPr>
          <w:b w:val="0"/>
        </w:rPr>
        <w:t>B</w:t>
      </w:r>
      <w:r w:rsidRPr="00973884">
        <w:rPr>
          <w:b w:val="0"/>
        </w:rPr>
        <w:t xml:space="preserve">. </w:t>
      </w:r>
      <w:smartTag w:uri="urn:schemas-microsoft-com:office:smarttags" w:element="place">
        <w:r w:rsidRPr="002B5FCF">
          <w:rPr>
            <w:b w:val="0"/>
          </w:rPr>
          <w:t>BATTERY</w:t>
        </w:r>
      </w:smartTag>
    </w:p>
    <w:p w:rsidR="002B5FCF" w:rsidRDefault="00074558" w:rsidP="002B5FCF">
      <w:pPr>
        <w:pStyle w:val="ToC"/>
      </w:pPr>
      <w:hyperlink w:anchor="a20_05" w:history="1">
        <w:r w:rsidR="00473B65" w:rsidRPr="00074558">
          <w:rPr>
            <w:rStyle w:val="Hyperlink"/>
          </w:rPr>
          <w:t>20:5</w:t>
        </w:r>
      </w:hyperlink>
      <w:r w:rsidR="00473B65" w:rsidRPr="00074558">
        <w:t xml:space="preserve"> </w:t>
      </w:r>
      <w:r w:rsidR="00473B65" w:rsidRPr="00074558">
        <w:tab/>
        <w:t xml:space="preserve">Elements </w:t>
      </w:r>
      <w:r w:rsidR="00473B65">
        <w:t>o</w:t>
      </w:r>
      <w:r w:rsidR="00473B65" w:rsidRPr="00074558">
        <w:t>f Liability</w:t>
      </w:r>
    </w:p>
    <w:p w:rsidR="00074558" w:rsidRDefault="00BB4613" w:rsidP="002B5FCF">
      <w:pPr>
        <w:pStyle w:val="ToC"/>
      </w:pPr>
      <w:hyperlink w:anchor="a20_06" w:history="1">
        <w:r w:rsidR="00473B65" w:rsidRPr="00074558">
          <w:rPr>
            <w:rStyle w:val="Hyperlink"/>
          </w:rPr>
          <w:t>20:6</w:t>
        </w:r>
      </w:hyperlink>
      <w:r w:rsidR="00473B65" w:rsidRPr="00074558">
        <w:t xml:space="preserve"> </w:t>
      </w:r>
      <w:r w:rsidR="00473B65" w:rsidRPr="00074558">
        <w:tab/>
        <w:t>Contact — Defined</w:t>
      </w:r>
    </w:p>
    <w:p w:rsidR="00074558" w:rsidRDefault="00074558" w:rsidP="002B5FCF">
      <w:pPr>
        <w:pStyle w:val="ToC"/>
      </w:pPr>
      <w:hyperlink w:anchor="a20_07" w:history="1">
        <w:r w:rsidR="00473B65" w:rsidRPr="00074558">
          <w:rPr>
            <w:rStyle w:val="Hyperlink"/>
          </w:rPr>
          <w:t>20:7</w:t>
        </w:r>
      </w:hyperlink>
      <w:r w:rsidR="00473B65" w:rsidRPr="00074558">
        <w:t xml:space="preserve"> </w:t>
      </w:r>
      <w:r w:rsidR="00473B65" w:rsidRPr="00074558">
        <w:tab/>
        <w:t>Intent — Defined</w:t>
      </w:r>
    </w:p>
    <w:p w:rsidR="00074558" w:rsidRDefault="00074558" w:rsidP="002B5FCF">
      <w:pPr>
        <w:pStyle w:val="ToC"/>
      </w:pPr>
      <w:hyperlink w:anchor="a20_08" w:history="1">
        <w:r w:rsidR="00473B65" w:rsidRPr="00074558">
          <w:rPr>
            <w:rStyle w:val="Hyperlink"/>
          </w:rPr>
          <w:t>20:8</w:t>
        </w:r>
      </w:hyperlink>
      <w:r w:rsidR="00473B65" w:rsidRPr="00074558">
        <w:t xml:space="preserve"> </w:t>
      </w:r>
      <w:r w:rsidR="00473B65" w:rsidRPr="00074558">
        <w:tab/>
        <w:t>Transferred Intent</w:t>
      </w:r>
    </w:p>
    <w:p w:rsidR="00074558" w:rsidRDefault="00074558" w:rsidP="002B5FCF">
      <w:pPr>
        <w:pStyle w:val="ToC"/>
      </w:pPr>
      <w:hyperlink w:anchor="a20_09" w:history="1">
        <w:r w:rsidR="00473B65" w:rsidRPr="00074558">
          <w:rPr>
            <w:rStyle w:val="Hyperlink"/>
          </w:rPr>
          <w:t>20:9</w:t>
        </w:r>
      </w:hyperlink>
      <w:r w:rsidR="00473B65" w:rsidRPr="00074558">
        <w:t xml:space="preserve"> </w:t>
      </w:r>
      <w:r w:rsidR="00473B65" w:rsidRPr="00074558">
        <w:tab/>
        <w:t xml:space="preserve">Actual </w:t>
      </w:r>
      <w:r w:rsidR="00473B65">
        <w:t>o</w:t>
      </w:r>
      <w:r w:rsidR="00473B65" w:rsidRPr="00074558">
        <w:t>r Nominal Damages</w:t>
      </w:r>
    </w:p>
    <w:p w:rsidR="00BB344E" w:rsidRDefault="00BB344E" w:rsidP="00914128">
      <w:pPr>
        <w:pStyle w:val="ToC"/>
      </w:pPr>
    </w:p>
    <w:p w:rsidR="00E007F8" w:rsidRPr="009B6746" w:rsidRDefault="002B5FCF" w:rsidP="00E007F8">
      <w:pPr>
        <w:pStyle w:val="Heading1"/>
        <w:keepNext/>
        <w:jc w:val="left"/>
        <w:rPr>
          <w:b w:val="0"/>
        </w:rPr>
      </w:pPr>
      <w:r>
        <w:rPr>
          <w:b w:val="0"/>
        </w:rPr>
        <w:t>C</w:t>
      </w:r>
      <w:r w:rsidR="00E007F8" w:rsidRPr="00973884">
        <w:rPr>
          <w:b w:val="0"/>
        </w:rPr>
        <w:t xml:space="preserve">. </w:t>
      </w:r>
      <w:r w:rsidRPr="002B5FCF">
        <w:rPr>
          <w:b w:val="0"/>
        </w:rPr>
        <w:t>AFFIRMATIVE DEFENSES</w:t>
      </w:r>
    </w:p>
    <w:p w:rsidR="00E007F8" w:rsidRDefault="00BB4613" w:rsidP="00E007F8">
      <w:pPr>
        <w:pStyle w:val="ToC"/>
      </w:pPr>
      <w:hyperlink w:anchor="a20_10" w:history="1">
        <w:r w:rsidR="00473B65" w:rsidRPr="00074558">
          <w:rPr>
            <w:rStyle w:val="Hyperlink"/>
          </w:rPr>
          <w:t>20:10</w:t>
        </w:r>
      </w:hyperlink>
      <w:r w:rsidR="00473B65" w:rsidRPr="00074558">
        <w:t xml:space="preserve"> </w:t>
      </w:r>
      <w:r w:rsidR="00473B65" w:rsidRPr="00074558">
        <w:tab/>
        <w:t>Words Alone Do Not Justify</w:t>
      </w:r>
    </w:p>
    <w:p w:rsidR="00074558" w:rsidRDefault="00BB4613" w:rsidP="00E007F8">
      <w:pPr>
        <w:pStyle w:val="ToC"/>
      </w:pPr>
      <w:hyperlink w:anchor="a20_11" w:history="1">
        <w:r w:rsidR="00473B65" w:rsidRPr="00074558">
          <w:rPr>
            <w:rStyle w:val="Hyperlink"/>
          </w:rPr>
          <w:t>20:11</w:t>
        </w:r>
      </w:hyperlink>
      <w:r w:rsidR="00473B65" w:rsidRPr="00074558">
        <w:t xml:space="preserve"> </w:t>
      </w:r>
      <w:r w:rsidR="00473B65" w:rsidRPr="00074558">
        <w:tab/>
        <w:t>Consent</w:t>
      </w:r>
    </w:p>
    <w:p w:rsidR="00074558" w:rsidRDefault="00BB4613" w:rsidP="00E007F8">
      <w:pPr>
        <w:pStyle w:val="ToC"/>
      </w:pPr>
      <w:hyperlink w:anchor="a20_12" w:history="1">
        <w:r w:rsidR="00473B65" w:rsidRPr="00074558">
          <w:rPr>
            <w:rStyle w:val="Hyperlink"/>
          </w:rPr>
          <w:t>20:12</w:t>
        </w:r>
      </w:hyperlink>
      <w:r w:rsidR="00473B65" w:rsidRPr="00074558">
        <w:t xml:space="preserve"> </w:t>
      </w:r>
      <w:r w:rsidR="00473B65" w:rsidRPr="00074558">
        <w:tab/>
        <w:t>Self-Defense</w:t>
      </w:r>
      <w:r w:rsidR="00473B65">
        <w:t xml:space="preserve"> o</w:t>
      </w:r>
      <w:r w:rsidR="00473B65" w:rsidRPr="00074558">
        <w:t>f Person</w:t>
      </w:r>
    </w:p>
    <w:p w:rsidR="00074558" w:rsidRDefault="00BB4613" w:rsidP="00E007F8">
      <w:pPr>
        <w:pStyle w:val="ToC"/>
      </w:pPr>
      <w:hyperlink w:anchor="a20_13" w:history="1">
        <w:r w:rsidR="00473B65" w:rsidRPr="00074558">
          <w:rPr>
            <w:rStyle w:val="Hyperlink"/>
          </w:rPr>
          <w:t>20:13</w:t>
        </w:r>
      </w:hyperlink>
      <w:r w:rsidR="00473B65" w:rsidRPr="00074558">
        <w:t xml:space="preserve"> </w:t>
      </w:r>
      <w:r w:rsidR="00473B65" w:rsidRPr="00074558">
        <w:tab/>
        <w:t>Self-Defense</w:t>
      </w:r>
      <w:r w:rsidR="00473B65">
        <w:t xml:space="preserve"> — Force Calculated t</w:t>
      </w:r>
      <w:r w:rsidR="00473B65" w:rsidRPr="00074558">
        <w:t xml:space="preserve">o Inflict Death </w:t>
      </w:r>
      <w:r w:rsidR="00473B65">
        <w:t>o</w:t>
      </w:r>
      <w:r w:rsidR="00473B65" w:rsidRPr="00074558">
        <w:t>r Serious Bodily Injury</w:t>
      </w:r>
    </w:p>
    <w:p w:rsidR="00074558" w:rsidRDefault="00BB4613" w:rsidP="00E007F8">
      <w:pPr>
        <w:pStyle w:val="ToC"/>
      </w:pPr>
      <w:hyperlink w:anchor="a20_14" w:history="1">
        <w:r w:rsidR="00473B65" w:rsidRPr="00074558">
          <w:rPr>
            <w:rStyle w:val="Hyperlink"/>
          </w:rPr>
          <w:t>20:14</w:t>
        </w:r>
      </w:hyperlink>
      <w:r w:rsidR="00473B65" w:rsidRPr="00074558">
        <w:t xml:space="preserve"> </w:t>
      </w:r>
      <w:r w:rsidR="00473B65" w:rsidRPr="00074558">
        <w:tab/>
        <w:t xml:space="preserve">Defense </w:t>
      </w:r>
      <w:r w:rsidR="00473B65">
        <w:t>o</w:t>
      </w:r>
      <w:r w:rsidR="00473B65" w:rsidRPr="00074558">
        <w:t>f Another Person</w:t>
      </w:r>
    </w:p>
    <w:p w:rsidR="00074558" w:rsidRDefault="00BB4613" w:rsidP="00E007F8">
      <w:pPr>
        <w:pStyle w:val="ToC"/>
      </w:pPr>
      <w:hyperlink w:anchor="a20_15" w:history="1">
        <w:r w:rsidR="00473B65" w:rsidRPr="00074558">
          <w:rPr>
            <w:rStyle w:val="Hyperlink"/>
          </w:rPr>
          <w:t>20:15</w:t>
        </w:r>
      </w:hyperlink>
      <w:r w:rsidR="00473B65" w:rsidRPr="00074558">
        <w:t xml:space="preserve"> </w:t>
      </w:r>
      <w:r w:rsidR="00473B65" w:rsidRPr="00074558">
        <w:tab/>
        <w:t xml:space="preserve">Battery Defenses — Defense </w:t>
      </w:r>
      <w:r w:rsidR="00473B65">
        <w:t>o</w:t>
      </w:r>
      <w:r w:rsidR="00473B65" w:rsidRPr="00074558">
        <w:t>f Real Property</w:t>
      </w:r>
    </w:p>
    <w:p w:rsidR="00074558" w:rsidRDefault="00BB4613" w:rsidP="00E007F8">
      <w:pPr>
        <w:pStyle w:val="ToC"/>
      </w:pPr>
      <w:hyperlink w:anchor="a20_16" w:history="1">
        <w:r w:rsidR="00473B65" w:rsidRPr="00074558">
          <w:rPr>
            <w:rStyle w:val="Hyperlink"/>
          </w:rPr>
          <w:t>20:16</w:t>
        </w:r>
      </w:hyperlink>
      <w:r w:rsidR="00473B65" w:rsidRPr="00074558">
        <w:t xml:space="preserve"> </w:t>
      </w:r>
      <w:r w:rsidR="00473B65" w:rsidRPr="00074558">
        <w:tab/>
        <w:t xml:space="preserve">Battery Defenses — Defense </w:t>
      </w:r>
      <w:r w:rsidR="00473B65">
        <w:t>o</w:t>
      </w:r>
      <w:r w:rsidR="00473B65" w:rsidRPr="00074558">
        <w:t>f Personal Property</w:t>
      </w:r>
    </w:p>
    <w:p w:rsidR="00074558" w:rsidRDefault="00BB4613" w:rsidP="00E007F8">
      <w:pPr>
        <w:pStyle w:val="ToC"/>
      </w:pPr>
      <w:hyperlink w:anchor="a20_17" w:history="1">
        <w:r w:rsidR="00473B65" w:rsidRPr="00074558">
          <w:rPr>
            <w:rStyle w:val="Hyperlink"/>
          </w:rPr>
          <w:t>20:17</w:t>
        </w:r>
      </w:hyperlink>
      <w:r w:rsidR="00473B65" w:rsidRPr="00074558">
        <w:t xml:space="preserve"> </w:t>
      </w:r>
      <w:r w:rsidR="00473B65" w:rsidRPr="00074558">
        <w:tab/>
        <w:t xml:space="preserve">Battery Defenses — Recapture </w:t>
      </w:r>
      <w:r w:rsidR="00473B65">
        <w:t>o</w:t>
      </w:r>
      <w:r w:rsidR="00473B65" w:rsidRPr="00074558">
        <w:t>f Personal Property</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2B5FCF" w:rsidRPr="002B5FCF">
        <w:rPr>
          <w:rFonts w:eastAsia="Times New Roman"/>
          <w:b/>
          <w:sz w:val="24"/>
          <w:szCs w:val="24"/>
        </w:rPr>
        <w:t>ASSAULT</w:t>
      </w:r>
    </w:p>
    <w:p w:rsidR="009E3DA4" w:rsidRPr="009E3DA4" w:rsidRDefault="002B5FCF" w:rsidP="00CC0502">
      <w:pPr>
        <w:spacing w:after="240"/>
        <w:ind w:left="720" w:hanging="720"/>
        <w:rPr>
          <w:rFonts w:eastAsia="Times New Roman"/>
          <w:b/>
          <w:sz w:val="24"/>
          <w:szCs w:val="24"/>
        </w:rPr>
      </w:pPr>
      <w:bookmarkStart w:id="1" w:name="a20_01"/>
      <w:bookmarkEnd w:id="1"/>
      <w:r w:rsidRPr="002B5FCF">
        <w:rPr>
          <w:rFonts w:eastAsia="Times New Roman"/>
          <w:b/>
          <w:sz w:val="24"/>
          <w:szCs w:val="24"/>
        </w:rPr>
        <w:t xml:space="preserve">20:1 </w:t>
      </w:r>
      <w:r w:rsidRPr="002B5FCF">
        <w:rPr>
          <w:rFonts w:eastAsia="Times New Roman"/>
          <w:b/>
          <w:sz w:val="24"/>
          <w:szCs w:val="24"/>
        </w:rPr>
        <w:tab/>
        <w:t>ELEMENTS OF LIABILITY</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For the plaintiff, </w:t>
      </w:r>
      <w:r w:rsidRPr="002B5FCF">
        <w:rPr>
          <w:rFonts w:eastAsia="Times New Roman"/>
          <w:i/>
          <w:sz w:val="24"/>
          <w:szCs w:val="24"/>
        </w:rPr>
        <w:t>(name)</w:t>
      </w:r>
      <w:r w:rsidRPr="002B5FCF">
        <w:rPr>
          <w:rFonts w:eastAsia="Times New Roman"/>
          <w:b/>
          <w:sz w:val="24"/>
          <w:szCs w:val="24"/>
        </w:rPr>
        <w:t xml:space="preserve">, to recover from the defendant, </w:t>
      </w:r>
      <w:r w:rsidRPr="002B5FCF">
        <w:rPr>
          <w:rFonts w:eastAsia="Times New Roman"/>
          <w:i/>
          <w:sz w:val="24"/>
          <w:szCs w:val="24"/>
        </w:rPr>
        <w:t>(name)</w:t>
      </w:r>
      <w:r w:rsidRPr="002B5FCF">
        <w:rPr>
          <w:rFonts w:eastAsia="Times New Roman"/>
          <w:sz w:val="24"/>
          <w:szCs w:val="24"/>
        </w:rPr>
        <w:t>,</w:t>
      </w:r>
      <w:r w:rsidRPr="002B5FCF">
        <w:rPr>
          <w:rFonts w:eastAsia="Times New Roman"/>
          <w:b/>
          <w:sz w:val="24"/>
          <w:szCs w:val="24"/>
        </w:rPr>
        <w:t xml:space="preserve"> on (his) (her) claim of assault, you must find that all of the following have been proved by a preponderance of the evidence:</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1. The defendant intended to cause an offensive or harmful physical contact with the plaintiff or intended to place the plaintiff in apprehension of such contact; and</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2. The defendant placed the plaintiff in apprehension of immediate physical contact; and</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(3. That contact [was] [appeared to be] [harmful] [or] [offensive].)</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If you find that any one or more of these </w:t>
      </w:r>
      <w:r w:rsidRPr="002B5FCF">
        <w:rPr>
          <w:rFonts w:eastAsia="Times New Roman"/>
          <w:i/>
          <w:sz w:val="24"/>
          <w:szCs w:val="24"/>
        </w:rPr>
        <w:t xml:space="preserve">(number) </w:t>
      </w:r>
      <w:r w:rsidRPr="002B5FCF">
        <w:rPr>
          <w:rFonts w:eastAsia="Times New Roman"/>
          <w:b/>
          <w:sz w:val="24"/>
          <w:szCs w:val="24"/>
        </w:rPr>
        <w:t>statements has not been proved, then your verdict must be for the defendant.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On the other hand, if you find that all of these </w:t>
      </w:r>
      <w:r w:rsidRPr="002B5FCF">
        <w:rPr>
          <w:rFonts w:eastAsia="Times New Roman"/>
          <w:i/>
          <w:sz w:val="24"/>
          <w:szCs w:val="24"/>
        </w:rPr>
        <w:t>(number)</w:t>
      </w:r>
      <w:r w:rsidRPr="002B5FCF">
        <w:rPr>
          <w:rFonts w:eastAsia="Times New Roman"/>
          <w:b/>
          <w:sz w:val="24"/>
          <w:szCs w:val="24"/>
        </w:rPr>
        <w:t xml:space="preserve"> statements have been proved, (then your verdict must be for the plaintiff) (then you must consider the defendant’s affirmative defense(s) of </w:t>
      </w:r>
      <w:r w:rsidRPr="002B5FCF">
        <w:rPr>
          <w:rFonts w:eastAsia="Times New Roman"/>
          <w:i/>
          <w:sz w:val="24"/>
          <w:szCs w:val="24"/>
        </w:rPr>
        <w:t>[insert any affirmative defense that would be a complete defense to plaintiff’s claim]</w:t>
      </w:r>
      <w:r w:rsidRPr="002B5FCF">
        <w:rPr>
          <w:rFonts w:eastAsia="Times New Roman"/>
          <w:b/>
          <w:sz w:val="24"/>
          <w:szCs w:val="24"/>
        </w:rPr>
        <w: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1. Omit any numbered paragraph the facts of which are not in dispute, and make such other changes as are necessary in such circumstances to make the instruction understandable.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2. In cases involving multiple defendants or designated nonparties where the pro rata liability statute, § 13-21-111.5, C.R.S., is applicable, see the Notes on Use to Instruction 4:20.</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3. Use whichever parenthesized or bracketed words are appropriate and omit the last two paragraphs if the defendant has put no affirmative defense in issue or there is insufficient evidence to support any defense.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4. In some circumstances, for a “contact” to be actionable, whether as a threatened one for an assault or as an actual one for a battery, it need not be “harmful” or “offensive.” </w:t>
      </w:r>
      <w:r w:rsidRPr="002B5FCF">
        <w:rPr>
          <w:rFonts w:eastAsia="Times New Roman"/>
          <w:i/>
          <w:sz w:val="24"/>
          <w:szCs w:val="24"/>
        </w:rPr>
        <w:t>See, e.g.</w:t>
      </w:r>
      <w:r w:rsidRPr="002B5FCF">
        <w:rPr>
          <w:rFonts w:eastAsia="Times New Roman"/>
          <w:sz w:val="24"/>
          <w:szCs w:val="24"/>
        </w:rPr>
        <w:t>,</w:t>
      </w:r>
      <w:r w:rsidRPr="002B5FCF">
        <w:rPr>
          <w:rFonts w:eastAsia="Times New Roman"/>
          <w:i/>
          <w:sz w:val="24"/>
          <w:szCs w:val="24"/>
        </w:rPr>
        <w:t xml:space="preserve"> </w:t>
      </w:r>
      <w:r w:rsidRPr="002B5FCF">
        <w:rPr>
          <w:rFonts w:eastAsia="Times New Roman"/>
          <w:b/>
          <w:sz w:val="24"/>
          <w:szCs w:val="24"/>
        </w:rPr>
        <w:t>Bloskas v. Murray</w:t>
      </w:r>
      <w:r w:rsidRPr="002B5FCF">
        <w:rPr>
          <w:rFonts w:eastAsia="Times New Roman"/>
          <w:sz w:val="24"/>
          <w:szCs w:val="24"/>
        </w:rPr>
        <w:t xml:space="preserve">, 646 P.2d 907 (Colo. 1982). In such cases, the parenthesized numbered paragraph 3 of this instruction, as well as the parenthesized definitions of “harmful” and </w:t>
      </w:r>
      <w:r w:rsidRPr="002B5FCF">
        <w:rPr>
          <w:rFonts w:eastAsia="Times New Roman"/>
          <w:sz w:val="24"/>
          <w:szCs w:val="24"/>
        </w:rPr>
        <w:lastRenderedPageBreak/>
        <w:t>“offensive” in Instruction 20:6, when that instruction is given with this instruction, must be omitted.</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5. Though mitigation of damages is an affirmative defense, </w:t>
      </w:r>
      <w:r w:rsidRPr="002B5FCF">
        <w:rPr>
          <w:rFonts w:eastAsia="Times New Roman"/>
          <w:i/>
          <w:sz w:val="24"/>
          <w:szCs w:val="24"/>
        </w:rPr>
        <w:t>see</w:t>
      </w:r>
      <w:r w:rsidRPr="002B5FCF">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6. Other appropriate instructions defining the terms used in this instruction, for example, Instruction 20:2, defining “apprehension,” and Instruction 20:6, defining “contact,” must also be given with this instruction.</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7. An assault may exist if the defendant’s intentional conduct was directed toward a third person, rather than the plaintiff. In such cases, numbered paragraph 1 should be modified accordingly. </w:t>
      </w:r>
      <w:r w:rsidRPr="002B5FCF">
        <w:rPr>
          <w:rFonts w:eastAsia="Times New Roman"/>
          <w:i/>
          <w:sz w:val="24"/>
          <w:szCs w:val="24"/>
        </w:rPr>
        <w:t>See, e.g.</w:t>
      </w:r>
      <w:r w:rsidRPr="002B5FCF">
        <w:rPr>
          <w:rFonts w:eastAsia="Times New Roman"/>
          <w:sz w:val="24"/>
          <w:szCs w:val="24"/>
        </w:rPr>
        <w:t>, numbered paragraph 1 of Instruction 20:5.</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8. This instruction must be appropriately modified in cases in which there is sufficient evidence that the claimed assault may have occurred under circumstances that would immunize the defendant from liability under certain conditions. </w:t>
      </w:r>
      <w:r w:rsidRPr="002B5FCF">
        <w:rPr>
          <w:rFonts w:eastAsia="Times New Roman"/>
          <w:i/>
          <w:sz w:val="24"/>
          <w:szCs w:val="24"/>
        </w:rPr>
        <w:t>See, e.g.</w:t>
      </w:r>
      <w:r w:rsidRPr="002B5FCF">
        <w:rPr>
          <w:rFonts w:eastAsia="Times New Roman"/>
          <w:sz w:val="24"/>
          <w:szCs w:val="24"/>
        </w:rPr>
        <w:t>, § 13-21-108, C.R.S. (the “Good Samaritan” statute).</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9007E8" w:rsidRDefault="002B5FCF" w:rsidP="00E007F8">
      <w:pPr>
        <w:spacing w:after="240"/>
        <w:ind w:firstLine="720"/>
        <w:rPr>
          <w:rFonts w:eastAsia="Times New Roman"/>
          <w:sz w:val="24"/>
          <w:szCs w:val="24"/>
        </w:rPr>
      </w:pPr>
      <w:r w:rsidRPr="002B5FCF">
        <w:rPr>
          <w:rFonts w:eastAsia="Times New Roman"/>
          <w:sz w:val="24"/>
          <w:szCs w:val="24"/>
        </w:rPr>
        <w:t xml:space="preserve">This instruction is supported by </w:t>
      </w:r>
      <w:r w:rsidRPr="002B5FCF">
        <w:rPr>
          <w:rFonts w:eastAsia="Times New Roman"/>
          <w:b/>
          <w:sz w:val="24"/>
          <w:szCs w:val="24"/>
        </w:rPr>
        <w:t>White v. Muniz</w:t>
      </w:r>
      <w:r w:rsidRPr="002B5FCF">
        <w:rPr>
          <w:rFonts w:eastAsia="Times New Roman"/>
          <w:sz w:val="24"/>
          <w:szCs w:val="24"/>
        </w:rPr>
        <w:t xml:space="preserve">, 999 P.2d 814, 819 (Colo. 2000) (for assault or battery, plaintiff must prove that defendant intended “to cause offensive or harmful consequences by his act,” but need not prove that the defendant intended the harm that actually occurred); </w:t>
      </w:r>
      <w:r w:rsidRPr="002B5FCF">
        <w:rPr>
          <w:rFonts w:eastAsia="Times New Roman"/>
          <w:b/>
          <w:sz w:val="24"/>
          <w:szCs w:val="24"/>
        </w:rPr>
        <w:t>Horton v. Reaves</w:t>
      </w:r>
      <w:r w:rsidRPr="002B5FCF">
        <w:rPr>
          <w:rFonts w:eastAsia="Times New Roman"/>
          <w:sz w:val="24"/>
          <w:szCs w:val="24"/>
        </w:rPr>
        <w:t xml:space="preserve">, 186 Colo. 149, 526 P.2d 304 (1974); </w:t>
      </w:r>
      <w:r w:rsidRPr="002B5FCF">
        <w:rPr>
          <w:rFonts w:eastAsia="Times New Roman"/>
          <w:b/>
          <w:sz w:val="24"/>
          <w:szCs w:val="24"/>
        </w:rPr>
        <w:t>Adams v. Corrections Corp. of America</w:t>
      </w:r>
      <w:r w:rsidRPr="002B5FCF">
        <w:rPr>
          <w:rFonts w:eastAsia="Times New Roman"/>
          <w:sz w:val="24"/>
          <w:szCs w:val="24"/>
        </w:rPr>
        <w:t xml:space="preserve">, 187 P.3d 1190 (Colo. App. 2008); and </w:t>
      </w:r>
      <w:r w:rsidRPr="002B5FCF">
        <w:rPr>
          <w:rFonts w:eastAsia="Times New Roman"/>
          <w:b/>
          <w:sz w:val="24"/>
          <w:szCs w:val="24"/>
        </w:rPr>
        <w:t>Bohrer v. DeHart</w:t>
      </w:r>
      <w:r w:rsidRPr="002B5FCF">
        <w:rPr>
          <w:rFonts w:eastAsia="Times New Roman"/>
          <w:sz w:val="24"/>
          <w:szCs w:val="24"/>
        </w:rPr>
        <w:t xml:space="preserve">, 943 P.2d 1220 (Colo. App. 1996). </w:t>
      </w:r>
      <w:r w:rsidRPr="002B5FCF">
        <w:rPr>
          <w:rFonts w:eastAsia="Times New Roman"/>
          <w:i/>
          <w:sz w:val="24"/>
          <w:szCs w:val="24"/>
        </w:rPr>
        <w:t>See also</w:t>
      </w:r>
      <w:r w:rsidRPr="002B5FCF">
        <w:rPr>
          <w:rFonts w:eastAsia="Times New Roman"/>
          <w:sz w:val="24"/>
          <w:szCs w:val="24"/>
        </w:rPr>
        <w:t xml:space="preserve"> </w:t>
      </w:r>
      <w:r w:rsidRPr="002B5FCF">
        <w:rPr>
          <w:rFonts w:eastAsia="Times New Roman"/>
          <w:smallCaps/>
          <w:sz w:val="24"/>
          <w:szCs w:val="24"/>
        </w:rPr>
        <w:t>Restatement (Second) of Torts</w:t>
      </w:r>
      <w:r w:rsidRPr="002B5FCF">
        <w:rPr>
          <w:rFonts w:eastAsia="Times New Roman"/>
          <w:sz w:val="24"/>
          <w:szCs w:val="24"/>
        </w:rPr>
        <w:t xml:space="preserve"> § 21(1) (1965); 1 </w:t>
      </w:r>
      <w:r w:rsidRPr="002B5FCF">
        <w:rPr>
          <w:rFonts w:eastAsia="Times New Roman"/>
          <w:smallCaps/>
          <w:sz w:val="24"/>
          <w:szCs w:val="24"/>
        </w:rPr>
        <w:t>F. Harper et al., Harper, James, and Gray on Torts</w:t>
      </w:r>
      <w:r w:rsidRPr="002B5FCF">
        <w:rPr>
          <w:rFonts w:eastAsia="Times New Roman"/>
          <w:sz w:val="24"/>
          <w:szCs w:val="24"/>
        </w:rPr>
        <w:t xml:space="preserve"> §§ 3.4, 3.5 (3d. ed. 2006); </w:t>
      </w:r>
      <w:r w:rsidRPr="002B5FCF">
        <w:rPr>
          <w:rFonts w:eastAsia="Times New Roman"/>
          <w:smallCaps/>
          <w:sz w:val="24"/>
          <w:szCs w:val="24"/>
        </w:rPr>
        <w:t xml:space="preserve">W. Page Keeton, Prosser and Keeton on the </w:t>
      </w:r>
      <w:r>
        <w:rPr>
          <w:rFonts w:eastAsia="Times New Roman"/>
          <w:smallCaps/>
          <w:sz w:val="24"/>
          <w:szCs w:val="24"/>
        </w:rPr>
        <w:t>L</w:t>
      </w:r>
      <w:r w:rsidRPr="002B5FCF">
        <w:rPr>
          <w:rFonts w:eastAsia="Times New Roman"/>
          <w:smallCaps/>
          <w:sz w:val="24"/>
          <w:szCs w:val="24"/>
        </w:rPr>
        <w:t>aw of Torts</w:t>
      </w:r>
      <w:r w:rsidRPr="002B5FCF">
        <w:rPr>
          <w:rFonts w:eastAsia="Times New Roman"/>
          <w:sz w:val="24"/>
          <w:szCs w:val="24"/>
        </w:rPr>
        <w:t xml:space="preserve"> § 10 (5th ed. 1984).</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2" w:name="a20_02"/>
      <w:bookmarkEnd w:id="2"/>
      <w:r w:rsidRPr="002F0E75">
        <w:rPr>
          <w:rFonts w:eastAsia="Times New Roman"/>
          <w:b/>
          <w:sz w:val="24"/>
          <w:szCs w:val="24"/>
        </w:rPr>
        <w:lastRenderedPageBreak/>
        <w:t xml:space="preserve">20:2 </w:t>
      </w:r>
      <w:r w:rsidRPr="002F0E75">
        <w:rPr>
          <w:rFonts w:eastAsia="Times New Roman"/>
          <w:b/>
          <w:sz w:val="24"/>
          <w:szCs w:val="24"/>
        </w:rPr>
        <w:tab/>
        <w:t>APPREHENSION — DEFINED</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Apprehension is a state of mind experienced when a person anticipates immediate harmful or offensive physical contact.</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This instruction should be used with Instruction 20:1.</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This instruction is supported by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43-44 (5th ed. 1984); and </w:t>
      </w:r>
      <w:r w:rsidRPr="002F0E75">
        <w:rPr>
          <w:rFonts w:eastAsia="Times New Roman"/>
          <w:smallCaps/>
          <w:sz w:val="24"/>
          <w:szCs w:val="24"/>
        </w:rPr>
        <w:t>Restatement (Second) of Torts</w:t>
      </w:r>
      <w:r w:rsidRPr="002F0E75">
        <w:rPr>
          <w:rFonts w:eastAsia="Times New Roman"/>
          <w:sz w:val="24"/>
          <w:szCs w:val="24"/>
        </w:rPr>
        <w:t xml:space="preserve"> §§ 24, 27 (1965). </w:t>
      </w:r>
      <w:r w:rsidRPr="002F0E75">
        <w:rPr>
          <w:rFonts w:eastAsia="Times New Roman"/>
          <w:i/>
          <w:sz w:val="24"/>
          <w:szCs w:val="24"/>
        </w:rPr>
        <w:t>See also</w:t>
      </w:r>
      <w:r w:rsidRPr="002F0E75">
        <w:rPr>
          <w:rFonts w:eastAsia="Times New Roman"/>
          <w:b/>
          <w:sz w:val="24"/>
          <w:szCs w:val="24"/>
        </w:rPr>
        <w:t xml:space="preserve"> Campbell v. Jenkins</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458, 608 P.2d 363 (1979).</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3" w:name="a20_03"/>
      <w:bookmarkEnd w:id="3"/>
      <w:r w:rsidRPr="002F0E75">
        <w:rPr>
          <w:rFonts w:eastAsia="Times New Roman"/>
          <w:b/>
          <w:sz w:val="24"/>
          <w:szCs w:val="24"/>
        </w:rPr>
        <w:t xml:space="preserve">20:3 </w:t>
      </w:r>
      <w:r w:rsidRPr="002F0E75">
        <w:rPr>
          <w:rFonts w:eastAsia="Times New Roman"/>
          <w:b/>
          <w:sz w:val="24"/>
          <w:szCs w:val="24"/>
        </w:rPr>
        <w:tab/>
        <w:t>INTENT TO PLACE ANOTHER IN APPREHENSION — DEFINED</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 person intends to place another in apprehension of physical contact when (he) (she):</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1. Acts with the purpose of causing apprehension of physical contact; or</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2. Knows that (his) (her) conduct will probably place the other person in apprehension of physical contact.</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Where the intent may have been directed to a third person, rather than the plaintiff, this instruction should be appropriately modified.</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White v. Muniz</w:t>
      </w:r>
      <w:r w:rsidRPr="002F0E75">
        <w:rPr>
          <w:rFonts w:eastAsia="Times New Roman"/>
          <w:sz w:val="24"/>
          <w:szCs w:val="24"/>
        </w:rPr>
        <w:t xml:space="preserve">, 999 P.2d 814 (Colo. 2000). </w:t>
      </w:r>
      <w:r w:rsidRPr="002F0E75">
        <w:rPr>
          <w:rFonts w:eastAsia="Times New Roman"/>
          <w:i/>
          <w:sz w:val="24"/>
          <w:szCs w:val="24"/>
        </w:rPr>
        <w:t>See also</w:t>
      </w:r>
      <w:r w:rsidRPr="002F0E75">
        <w:rPr>
          <w:rFonts w:eastAsia="Times New Roman"/>
          <w:sz w:val="24"/>
          <w:szCs w:val="24"/>
        </w:rPr>
        <w:t xml:space="preserve"> </w:t>
      </w:r>
      <w:r w:rsidRPr="002F0E75">
        <w:rPr>
          <w:rFonts w:eastAsia="Times New Roman"/>
          <w:b/>
          <w:sz w:val="24"/>
          <w:szCs w:val="24"/>
        </w:rPr>
        <w:t>Mooney v. Carter</w:t>
      </w:r>
      <w:r w:rsidRPr="002F0E75">
        <w:rPr>
          <w:rFonts w:eastAsia="Times New Roman"/>
          <w:sz w:val="24"/>
          <w:szCs w:val="24"/>
        </w:rPr>
        <w:t xml:space="preserve">, 114 Colo. 267, 160 P.2d 390 (1945); </w:t>
      </w:r>
      <w:r w:rsidRPr="002F0E75">
        <w:rPr>
          <w:rFonts w:eastAsia="Times New Roman"/>
          <w:smallCaps/>
          <w:sz w:val="24"/>
          <w:szCs w:val="24"/>
        </w:rPr>
        <w:t>Restatement (Second) of Torts</w:t>
      </w:r>
      <w:r w:rsidRPr="002F0E75">
        <w:rPr>
          <w:rFonts w:eastAsia="Times New Roman"/>
          <w:sz w:val="24"/>
          <w:szCs w:val="24"/>
        </w:rPr>
        <w:t xml:space="preserve"> § 32 (1965);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46 (5th ed. 1984).</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2F0E75">
        <w:rPr>
          <w:rFonts w:eastAsia="Times New Roman"/>
          <w:b/>
          <w:sz w:val="24"/>
          <w:szCs w:val="24"/>
        </w:rPr>
        <w:t>White</w:t>
      </w:r>
      <w:r w:rsidRPr="002F0E75">
        <w:rPr>
          <w:rFonts w:eastAsia="Times New Roman"/>
          <w:sz w:val="24"/>
          <w:szCs w:val="24"/>
        </w:rPr>
        <w:t>, 999 P.2d at 819.</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4" w:name="a20_04"/>
      <w:bookmarkEnd w:id="4"/>
      <w:r w:rsidRPr="002F0E75">
        <w:rPr>
          <w:rFonts w:eastAsia="Times New Roman"/>
          <w:b/>
          <w:sz w:val="24"/>
          <w:szCs w:val="24"/>
        </w:rPr>
        <w:t xml:space="preserve">20:4 </w:t>
      </w:r>
      <w:r w:rsidRPr="002F0E75">
        <w:rPr>
          <w:rFonts w:eastAsia="Times New Roman"/>
          <w:b/>
          <w:sz w:val="24"/>
          <w:szCs w:val="24"/>
        </w:rPr>
        <w:tab/>
        <w:t>ACTUAL OR NOMINAL DAMAGES</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Plaintiff, </w:t>
      </w:r>
      <w:r w:rsidRPr="002F0E75">
        <w:rPr>
          <w:rFonts w:eastAsia="Times New Roman"/>
          <w:i/>
          <w:sz w:val="24"/>
          <w:szCs w:val="24"/>
        </w:rPr>
        <w:t>(name)</w:t>
      </w:r>
      <w:r w:rsidRPr="002F0E75">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2F0E75">
        <w:rPr>
          <w:rFonts w:eastAsia="Times New Roman"/>
          <w:i/>
          <w:sz w:val="24"/>
          <w:szCs w:val="24"/>
        </w:rPr>
        <w:t xml:space="preserve">(insert appropriate description, e.g., “assault” or “battery”) </w:t>
      </w:r>
      <w:r w:rsidRPr="002F0E75">
        <w:rPr>
          <w:rFonts w:eastAsia="Times New Roman"/>
          <w:b/>
          <w:sz w:val="24"/>
          <w:szCs w:val="24"/>
        </w:rPr>
        <w:t xml:space="preserve">of the defendant(s), </w:t>
      </w:r>
      <w:r w:rsidRPr="002F0E75">
        <w:rPr>
          <w:rFonts w:eastAsia="Times New Roman"/>
          <w:i/>
          <w:sz w:val="24"/>
          <w:szCs w:val="24"/>
        </w:rPr>
        <w:t>(name[s])</w:t>
      </w:r>
      <w:r w:rsidRPr="002F0E75">
        <w:rPr>
          <w:rFonts w:eastAsia="Times New Roman"/>
          <w:b/>
          <w:sz w:val="24"/>
          <w:szCs w:val="24"/>
        </w:rPr>
        <w:t xml:space="preserve">, (and the </w:t>
      </w:r>
      <w:r w:rsidRPr="002F0E75">
        <w:rPr>
          <w:rFonts w:eastAsia="Times New Roman"/>
          <w:i/>
          <w:sz w:val="24"/>
          <w:szCs w:val="24"/>
        </w:rPr>
        <w:t>[insert appropriate description, e.g., “negligence”]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if any, of any designated nonparties).</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In determining these damages, you shall consider the following:</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2F0E75">
        <w:rPr>
          <w:rFonts w:eastAsia="Times New Roman"/>
          <w:i/>
          <w:sz w:val="24"/>
          <w:szCs w:val="24"/>
        </w:rPr>
        <w:t>[insert any other recoverable noneconomic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because these damages, if any, are to be considered in a separate category.)</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2. Any economic losses or injuries the plaintiff has had to the present time or that the plaintiff will probably have in the future, including: loss of earnings or income; impairment of earning capacity; (reasonable and necessary) medical, hospital and other expenses, and </w:t>
      </w:r>
      <w:r w:rsidRPr="002F0E75">
        <w:rPr>
          <w:rFonts w:eastAsia="Times New Roman"/>
          <w:i/>
          <w:sz w:val="24"/>
          <w:szCs w:val="24"/>
        </w:rPr>
        <w:t>[insert any other recoverable 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since these damages, if any, are to be considered in a separate category.)</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If you find in favor of the plaintiff, but do not find any actual damages, you shall award (him) (her) nominal damages of one dollar.</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1. Use only those numbered, parenthesized paragraphs or portions that are appropriate to the evidence in the case.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2. This instruction is also applicable to damages recoverable for a battery. In such cases the parenthesized word “battery” should be substituted for the word “assault.”</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some cases an appropriate instruction relating to causation may need to be given with this instruction. </w:t>
      </w:r>
      <w:r w:rsidRPr="002F0E75">
        <w:rPr>
          <w:rFonts w:eastAsia="Times New Roman"/>
          <w:i/>
          <w:sz w:val="24"/>
          <w:szCs w:val="24"/>
        </w:rPr>
        <w:t>See</w:t>
      </w:r>
      <w:r w:rsidRPr="002F0E75">
        <w:rPr>
          <w:rFonts w:eastAsia="Times New Roman"/>
          <w:sz w:val="24"/>
          <w:szCs w:val="24"/>
        </w:rPr>
        <w:t xml:space="preserve"> Instructions 9:18-9:21.</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4. Where there is uncontroverted evidence of actual damages, the last paragraph referring to nominal damages should be deleted. </w:t>
      </w:r>
      <w:r w:rsidRPr="002F0E75">
        <w:rPr>
          <w:rFonts w:eastAsia="Times New Roman"/>
          <w:b/>
          <w:sz w:val="24"/>
          <w:szCs w:val="24"/>
        </w:rPr>
        <w:t>Whitley v. Andersen</w:t>
      </w:r>
      <w:r w:rsidRPr="002F0E75">
        <w:rPr>
          <w:rFonts w:eastAsia="Times New Roman"/>
          <w:sz w:val="24"/>
          <w:szCs w:val="24"/>
        </w:rPr>
        <w:t xml:space="preserve">, 37 Colo. App. 486, 551 P.2d 1083 (1976), </w:t>
      </w:r>
      <w:r w:rsidRPr="002F0E75">
        <w:rPr>
          <w:rFonts w:eastAsia="Times New Roman"/>
          <w:i/>
          <w:sz w:val="24"/>
          <w:szCs w:val="24"/>
        </w:rPr>
        <w:t>aff’d on other grounds</w:t>
      </w:r>
      <w:r w:rsidRPr="002F0E75">
        <w:rPr>
          <w:rFonts w:eastAsia="Times New Roman"/>
          <w:sz w:val="24"/>
          <w:szCs w:val="24"/>
        </w:rPr>
        <w:t>, 194 Colo. 87, 570 P.2d 525 (1977).</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5. Comparative negligence is not a defense to an intentional tort claim. </w:t>
      </w:r>
      <w:r w:rsidRPr="002F0E75">
        <w:rPr>
          <w:rFonts w:eastAsia="Times New Roman"/>
          <w:b/>
          <w:sz w:val="24"/>
          <w:szCs w:val="24"/>
        </w:rPr>
        <w:t>Carman v. Heber</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Jones v. Franklin</w:t>
      </w:r>
      <w:r w:rsidRPr="002F0E75">
        <w:rPr>
          <w:rFonts w:eastAsia="Times New Roman"/>
          <w:sz w:val="24"/>
          <w:szCs w:val="24"/>
        </w:rPr>
        <w:t xml:space="preserve">, 139 Colo. 384, 340 P.2d 123 (1959) (in an assault and battery case, instruction enumerating basically the same elements of damages approved); </w:t>
      </w:r>
      <w:r w:rsidRPr="002F0E75">
        <w:rPr>
          <w:rFonts w:eastAsia="Times New Roman"/>
          <w:b/>
          <w:sz w:val="24"/>
          <w:szCs w:val="24"/>
        </w:rPr>
        <w:t>Whitley</w:t>
      </w:r>
      <w:r w:rsidRPr="002F0E75">
        <w:rPr>
          <w:rFonts w:eastAsia="Times New Roman"/>
          <w:sz w:val="24"/>
          <w:szCs w:val="24"/>
        </w:rPr>
        <w:t xml:space="preserve">, 37 Colo. App. at 488-89, 551 P.2d at 1085; and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 (5th ed. 1984).</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Plaintiff’s words alone, “even if spoken immediately preceding the assault and battery, cannot be considered by a jury in mitigation of compensatory damages.” </w:t>
      </w:r>
      <w:r w:rsidRPr="002F0E75">
        <w:rPr>
          <w:rFonts w:eastAsia="Times New Roman"/>
          <w:b/>
          <w:sz w:val="24"/>
          <w:szCs w:val="24"/>
        </w:rPr>
        <w:t>Whitley</w:t>
      </w:r>
      <w:r w:rsidRPr="002F0E75">
        <w:rPr>
          <w:rFonts w:eastAsia="Times New Roman"/>
          <w:sz w:val="24"/>
          <w:szCs w:val="24"/>
        </w:rPr>
        <w:t>,</w:t>
      </w:r>
      <w:r w:rsidRPr="002F0E75">
        <w:rPr>
          <w:rFonts w:eastAsia="Times New Roman"/>
          <w:i/>
          <w:sz w:val="24"/>
          <w:szCs w:val="24"/>
        </w:rPr>
        <w:t xml:space="preserve"> </w:t>
      </w:r>
      <w:r w:rsidRPr="002F0E75">
        <w:rPr>
          <w:rFonts w:eastAsia="Times New Roman"/>
          <w:sz w:val="24"/>
          <w:szCs w:val="24"/>
        </w:rPr>
        <w:t xml:space="preserve">194 Colo. at 88, 570 P.2d at 526. They may, however, be considered in mitigation of punitive damages. </w:t>
      </w:r>
      <w:r w:rsidRPr="002F0E75">
        <w:rPr>
          <w:rFonts w:eastAsia="Times New Roman"/>
          <w:i/>
          <w:sz w:val="24"/>
          <w:szCs w:val="24"/>
        </w:rPr>
        <w:t>Id</w:t>
      </w:r>
      <w:r w:rsidRPr="002F0E75">
        <w:rPr>
          <w:rFonts w:eastAsia="Times New Roman"/>
          <w:sz w:val="24"/>
          <w:szCs w:val="24"/>
        </w:rPr>
        <w:t>.</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an assault action, where there is “no evidence that the fright manifested itself in any physical or mental problems [or] that any medical assistance had been sought[,]” or any other actual damages were incurred, the plaintiff is entitled to recover only nominal damages. </w:t>
      </w:r>
      <w:r w:rsidRPr="002F0E75">
        <w:rPr>
          <w:rFonts w:eastAsia="Times New Roman"/>
          <w:b/>
          <w:sz w:val="24"/>
          <w:szCs w:val="24"/>
        </w:rPr>
        <w:t>Campbell v. Jenkins</w:t>
      </w:r>
      <w:r w:rsidRPr="002F0E75">
        <w:rPr>
          <w:rFonts w:eastAsia="Times New Roman"/>
          <w:sz w:val="24"/>
          <w:szCs w:val="24"/>
        </w:rPr>
        <w:t xml:space="preserve">, 43 Colo. App. 458, 459, 608 P.2d 363, 364 (1979). For more than a nominal damage recovery based only on emotional distress, such distress must have manifested itself in some form of physical or mental illness. </w:t>
      </w:r>
      <w:r w:rsidRPr="002F0E75">
        <w:rPr>
          <w:rFonts w:eastAsia="Times New Roman"/>
          <w:i/>
          <w:sz w:val="24"/>
          <w:szCs w:val="24"/>
        </w:rPr>
        <w:t>Id.</w:t>
      </w:r>
    </w:p>
    <w:p w:rsidR="004D2C99" w:rsidRDefault="004D2C99">
      <w:pPr>
        <w:rPr>
          <w:rFonts w:eastAsia="Times New Roman"/>
          <w:sz w:val="24"/>
          <w:szCs w:val="24"/>
        </w:rPr>
      </w:pPr>
      <w:r>
        <w:rPr>
          <w:rFonts w:eastAsia="Times New Roman"/>
          <w:sz w:val="24"/>
          <w:szCs w:val="24"/>
        </w:rPr>
        <w:br w:type="page"/>
      </w:r>
    </w:p>
    <w:p w:rsidR="004D2C99" w:rsidRDefault="00642649" w:rsidP="004D2C99">
      <w:pPr>
        <w:spacing w:after="240"/>
        <w:jc w:val="center"/>
        <w:rPr>
          <w:rFonts w:eastAsia="Times New Roman"/>
          <w:b/>
          <w:sz w:val="24"/>
          <w:szCs w:val="24"/>
        </w:rPr>
      </w:pPr>
      <w:r>
        <w:rPr>
          <w:rFonts w:eastAsia="Times New Roman"/>
          <w:b/>
          <w:sz w:val="24"/>
          <w:szCs w:val="24"/>
        </w:rPr>
        <w:t>B</w:t>
      </w:r>
      <w:r w:rsidR="004D2C99" w:rsidRPr="002547C3">
        <w:rPr>
          <w:rFonts w:eastAsia="Times New Roman"/>
          <w:b/>
          <w:sz w:val="24"/>
          <w:szCs w:val="24"/>
        </w:rPr>
        <w:t xml:space="preserve">. </w:t>
      </w:r>
      <w:r w:rsidR="004D2C99">
        <w:rPr>
          <w:rFonts w:eastAsia="Times New Roman"/>
          <w:b/>
          <w:sz w:val="24"/>
          <w:szCs w:val="24"/>
        </w:rPr>
        <w:t>BATTERY</w:t>
      </w:r>
    </w:p>
    <w:p w:rsidR="004D2C99" w:rsidRPr="009E3DA4" w:rsidRDefault="004D2C99" w:rsidP="004D2C99">
      <w:pPr>
        <w:spacing w:after="240"/>
        <w:ind w:left="720" w:hanging="720"/>
        <w:rPr>
          <w:rFonts w:eastAsia="Times New Roman"/>
          <w:b/>
          <w:sz w:val="24"/>
          <w:szCs w:val="24"/>
        </w:rPr>
      </w:pPr>
      <w:bookmarkStart w:id="5" w:name="a20_05"/>
      <w:bookmarkEnd w:id="5"/>
      <w:r w:rsidRPr="004D2C99">
        <w:rPr>
          <w:rFonts w:eastAsia="Times New Roman"/>
          <w:b/>
          <w:sz w:val="24"/>
          <w:szCs w:val="24"/>
        </w:rPr>
        <w:t xml:space="preserve">20:5 </w:t>
      </w:r>
      <w:r w:rsidRPr="004D2C99">
        <w:rPr>
          <w:rFonts w:eastAsia="Times New Roman"/>
          <w:b/>
          <w:sz w:val="24"/>
          <w:szCs w:val="24"/>
        </w:rPr>
        <w:tab/>
        <w:t>ELEMENTS OF LIABILITY</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For the plaintiff, </w:t>
      </w:r>
      <w:r w:rsidRPr="004D2C99">
        <w:rPr>
          <w:rFonts w:eastAsia="Times New Roman"/>
          <w:i/>
          <w:sz w:val="24"/>
          <w:szCs w:val="24"/>
        </w:rPr>
        <w:t>(name)</w:t>
      </w:r>
      <w:r w:rsidRPr="004D2C99">
        <w:rPr>
          <w:rFonts w:eastAsia="Times New Roman"/>
          <w:b/>
          <w:sz w:val="24"/>
          <w:szCs w:val="24"/>
        </w:rPr>
        <w:t xml:space="preserve">, to recover from the defendant, </w:t>
      </w:r>
      <w:r w:rsidRPr="004D2C99">
        <w:rPr>
          <w:rFonts w:eastAsia="Times New Roman"/>
          <w:i/>
          <w:sz w:val="24"/>
          <w:szCs w:val="24"/>
        </w:rPr>
        <w:t>(name)</w:t>
      </w:r>
      <w:r w:rsidRPr="004D2C99">
        <w:rPr>
          <w:rFonts w:eastAsia="Times New Roman"/>
          <w:b/>
          <w:sz w:val="24"/>
          <w:szCs w:val="24"/>
        </w:rPr>
        <w:t>, on (his) (her) claim of battery, you must find that all of the following have been proved by a preponderance of the evidence:</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1. The defendant’s act resulted in physical contact with the plaintiff; and</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2. The defendant intended to make harmful or offensive physical contact with the plaintiff (or another person) (or knew that [he] [she] would probably make such contact); and</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(3. The contact was [harmful] [or] [offensive].)</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If you find that any one or more of these </w:t>
      </w:r>
      <w:r w:rsidRPr="004D2C99">
        <w:rPr>
          <w:rFonts w:eastAsia="Times New Roman"/>
          <w:i/>
          <w:sz w:val="24"/>
          <w:szCs w:val="24"/>
        </w:rPr>
        <w:t>(number)</w:t>
      </w:r>
      <w:r w:rsidRPr="004D2C99">
        <w:rPr>
          <w:rFonts w:eastAsia="Times New Roman"/>
          <w:b/>
          <w:sz w:val="24"/>
          <w:szCs w:val="24"/>
        </w:rPr>
        <w:t xml:space="preserve"> statements has not been proved, then your verdict must be for the defendant.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On the other hand, if you find that all of these </w:t>
      </w:r>
      <w:r w:rsidRPr="004D2C99">
        <w:rPr>
          <w:rFonts w:eastAsia="Times New Roman"/>
          <w:i/>
          <w:sz w:val="24"/>
          <w:szCs w:val="24"/>
        </w:rPr>
        <w:t>(number)</w:t>
      </w:r>
      <w:r w:rsidRPr="004D2C99">
        <w:rPr>
          <w:rFonts w:eastAsia="Times New Roman"/>
          <w:b/>
          <w:sz w:val="24"/>
          <w:szCs w:val="24"/>
        </w:rPr>
        <w:t xml:space="preserve"> statements have been proved, (then your verdict must be for the plaintiff) (then you must consider the defendant’s affirmative defense(s) of </w:t>
      </w:r>
      <w:r w:rsidRPr="004D2C99">
        <w:rPr>
          <w:rFonts w:eastAsia="Times New Roman"/>
          <w:i/>
          <w:sz w:val="24"/>
          <w:szCs w:val="24"/>
        </w:rPr>
        <w:t>[insert any affirmative defense that would be a complete defense to plaintiff’s claim]</w:t>
      </w:r>
      <w:r w:rsidRPr="004D2C99">
        <w:rPr>
          <w:rFonts w:eastAsia="Times New Roman"/>
          <w:b/>
          <w:sz w:val="24"/>
          <w:szCs w:val="24"/>
        </w:rPr>
        <w: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However, if you find that (this affirmative defense has not) (none of these affirmative defenses have) been proved, then your verdict must be for the plaintiff.</w:t>
      </w:r>
    </w:p>
    <w:p w:rsidR="004D2C99" w:rsidRDefault="004D2C99" w:rsidP="004D2C99">
      <w:pPr>
        <w:jc w:val="center"/>
        <w:rPr>
          <w:rFonts w:eastAsia="Times New Roman"/>
          <w:sz w:val="24"/>
          <w:szCs w:val="24"/>
        </w:rPr>
      </w:pPr>
    </w:p>
    <w:p w:rsidR="004D2C99" w:rsidRPr="0054263B" w:rsidRDefault="004D2C99" w:rsidP="004D2C99">
      <w:pPr>
        <w:keepNext/>
        <w:spacing w:after="240"/>
        <w:jc w:val="center"/>
        <w:rPr>
          <w:rFonts w:eastAsia="Times New Roman"/>
          <w:b/>
          <w:sz w:val="24"/>
          <w:szCs w:val="24"/>
        </w:rPr>
      </w:pPr>
      <w:r w:rsidRPr="0054263B">
        <w:rPr>
          <w:rFonts w:eastAsia="Times New Roman"/>
          <w:b/>
          <w:sz w:val="24"/>
          <w:szCs w:val="24"/>
        </w:rPr>
        <w:t>Notes on Use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1. Note 4 of the Notes on Use to Instruction 20:1 also applies to this instruction.</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2. In cases involving multiple defendants or designated nonparties where the pro rata liability statute, § 13-21-111.5, C.R.S., is applicable, see the Notes on Use to Instruction 4:20.</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3. Omit any numbered paragraph the facts of which are not in dispute, and make such other changes as are necessary in such circumstances to make the instruction understandable.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5. Though mitigation of damages is an affirmative defense, </w:t>
      </w:r>
      <w:r w:rsidRPr="004D2C99">
        <w:rPr>
          <w:rFonts w:eastAsia="Times New Roman"/>
          <w:i/>
          <w:sz w:val="24"/>
          <w:szCs w:val="24"/>
        </w:rPr>
        <w:t>see</w:t>
      </w:r>
      <w:r w:rsidRPr="004D2C99">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6. Other appropriate instructions defining the terms used in this instruction, for example, Instruction 20:6, defining “contact,” and Instruction 20:7, defining “intent,” must also be given with this instruction.</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7. For cases involving persons who allegedly committed a battery while practicing one of the healing arts, see the instructions in subparts B and C of Part I of Chapter 15.</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8. This instruction must be appropriately modified in cases in which there is sufficient evidence that the claimed battery may have occurred under circumstances that would immunize the defendant from liability under certain conditions. </w:t>
      </w:r>
      <w:r w:rsidRPr="004D2C99">
        <w:rPr>
          <w:rFonts w:eastAsia="Times New Roman"/>
          <w:i/>
          <w:sz w:val="24"/>
          <w:szCs w:val="24"/>
        </w:rPr>
        <w:t>See, e.g.</w:t>
      </w:r>
      <w:r w:rsidRPr="004D2C99">
        <w:rPr>
          <w:rFonts w:eastAsia="Times New Roman"/>
          <w:sz w:val="24"/>
          <w:szCs w:val="24"/>
        </w:rPr>
        <w:t>, § 13-21-108, C.R.S. (the “Good Samaritan” statute).</w:t>
      </w:r>
    </w:p>
    <w:p w:rsidR="004D2C99" w:rsidRPr="0054263B" w:rsidRDefault="004D2C99" w:rsidP="004D2C99">
      <w:pPr>
        <w:keepNext/>
        <w:spacing w:after="240"/>
        <w:jc w:val="center"/>
        <w:rPr>
          <w:rFonts w:eastAsia="Times New Roman"/>
          <w:b/>
          <w:sz w:val="24"/>
          <w:szCs w:val="24"/>
        </w:rPr>
      </w:pPr>
      <w:r>
        <w:rPr>
          <w:rFonts w:eastAsia="Times New Roman"/>
          <w:b/>
          <w:sz w:val="24"/>
          <w:szCs w:val="24"/>
        </w:rPr>
        <w:t>Source and Authority</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1. This instruction is supported by </w:t>
      </w:r>
      <w:r w:rsidRPr="004D2C99">
        <w:rPr>
          <w:rFonts w:eastAsia="Times New Roman"/>
          <w:smallCaps/>
          <w:sz w:val="24"/>
          <w:szCs w:val="24"/>
        </w:rPr>
        <w:t>Restatement (Second) of Torts</w:t>
      </w:r>
      <w:r w:rsidRPr="004D2C99">
        <w:rPr>
          <w:rFonts w:eastAsia="Times New Roman"/>
          <w:sz w:val="24"/>
          <w:szCs w:val="24"/>
        </w:rPr>
        <w:t xml:space="preserve"> §§ 13, 18 (1965); 1 </w:t>
      </w:r>
      <w:r w:rsidRPr="004D2C99">
        <w:rPr>
          <w:rFonts w:eastAsia="Times New Roman"/>
          <w:smallCaps/>
          <w:sz w:val="24"/>
          <w:szCs w:val="24"/>
        </w:rPr>
        <w:t>F. Harper et al., Harper, James, and Gray on Torts</w:t>
      </w:r>
      <w:r w:rsidRPr="004D2C99">
        <w:rPr>
          <w:rFonts w:eastAsia="Times New Roman"/>
          <w:sz w:val="24"/>
          <w:szCs w:val="24"/>
        </w:rPr>
        <w:t xml:space="preserve"> §§ 3.1-3.3 (3d ed. 2006); and </w:t>
      </w:r>
      <w:r w:rsidRPr="004D2C99">
        <w:rPr>
          <w:rFonts w:eastAsia="Times New Roman"/>
          <w:smallCaps/>
          <w:sz w:val="24"/>
          <w:szCs w:val="24"/>
        </w:rPr>
        <w:t>W. Page Keeton et al., Prosser and Keeton on the Law of Torts</w:t>
      </w:r>
      <w:r w:rsidRPr="004D2C99">
        <w:rPr>
          <w:rFonts w:eastAsia="Times New Roman"/>
          <w:sz w:val="24"/>
          <w:szCs w:val="24"/>
        </w:rPr>
        <w:t xml:space="preserve"> § 9 (5th ed. 1984). </w:t>
      </w:r>
      <w:r w:rsidRPr="004D2C99">
        <w:rPr>
          <w:rFonts w:eastAsia="Times New Roman"/>
          <w:i/>
          <w:sz w:val="24"/>
          <w:szCs w:val="24"/>
        </w:rPr>
        <w:t>See also</w:t>
      </w:r>
      <w:r w:rsidRPr="004D2C99">
        <w:rPr>
          <w:rFonts w:eastAsia="Times New Roman"/>
          <w:sz w:val="24"/>
          <w:szCs w:val="24"/>
        </w:rPr>
        <w:t xml:space="preserve"> </w:t>
      </w:r>
      <w:r w:rsidRPr="004D2C99">
        <w:rPr>
          <w:rFonts w:eastAsia="Times New Roman"/>
          <w:b/>
          <w:sz w:val="24"/>
          <w:szCs w:val="24"/>
        </w:rPr>
        <w:t>White v. Muniz</w:t>
      </w:r>
      <w:r w:rsidRPr="004D2C99">
        <w:rPr>
          <w:rFonts w:eastAsia="Times New Roman"/>
          <w:sz w:val="24"/>
          <w:szCs w:val="24"/>
        </w:rPr>
        <w:t xml:space="preserve">, 999 P.2d 814 (Colo. 2000); </w:t>
      </w:r>
      <w:r w:rsidRPr="004D2C99">
        <w:rPr>
          <w:rFonts w:eastAsia="Times New Roman"/>
          <w:b/>
          <w:sz w:val="24"/>
          <w:szCs w:val="24"/>
        </w:rPr>
        <w:t>Horton v. Reaves</w:t>
      </w:r>
      <w:r w:rsidRPr="004D2C99">
        <w:rPr>
          <w:rFonts w:eastAsia="Times New Roman"/>
          <w:sz w:val="24"/>
          <w:szCs w:val="24"/>
        </w:rPr>
        <w:t xml:space="preserve">, 186 Colo. 149, 526 P.2d 304 (1974); </w:t>
      </w:r>
      <w:r w:rsidRPr="004D2C99">
        <w:rPr>
          <w:rFonts w:eastAsia="Times New Roman"/>
          <w:b/>
          <w:sz w:val="24"/>
          <w:szCs w:val="24"/>
        </w:rPr>
        <w:t>Mooney v. Carter</w:t>
      </w:r>
      <w:r w:rsidRPr="004D2C99">
        <w:rPr>
          <w:rFonts w:eastAsia="Times New Roman"/>
          <w:sz w:val="24"/>
          <w:szCs w:val="24"/>
        </w:rPr>
        <w:t xml:space="preserve">, 114 Colo. 267, 160 P.2d 390 (1945); </w:t>
      </w:r>
      <w:r w:rsidRPr="004D2C99">
        <w:rPr>
          <w:rFonts w:eastAsia="Times New Roman"/>
          <w:b/>
          <w:sz w:val="24"/>
          <w:szCs w:val="24"/>
        </w:rPr>
        <w:t>Whitley v. Andersen</w:t>
      </w:r>
      <w:r w:rsidRPr="004D2C99">
        <w:rPr>
          <w:rFonts w:eastAsia="Times New Roman"/>
          <w:sz w:val="24"/>
          <w:szCs w:val="24"/>
        </w:rPr>
        <w:t xml:space="preserve">, 37 Colo. App. 486, 551 P.2d 1083 (1976), </w:t>
      </w:r>
      <w:r w:rsidRPr="004D2C99">
        <w:rPr>
          <w:rFonts w:eastAsia="Times New Roman"/>
          <w:i/>
          <w:sz w:val="24"/>
          <w:szCs w:val="24"/>
        </w:rPr>
        <w:t>aff’d on other grounds</w:t>
      </w:r>
      <w:r w:rsidRPr="004D2C99">
        <w:rPr>
          <w:rFonts w:eastAsia="Times New Roman"/>
          <w:sz w:val="24"/>
          <w:szCs w:val="24"/>
        </w:rPr>
        <w:t>, 194 Colo. 87, 570 P.2d 525 (1977).</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2. In addition to the defenses set out in Part C of this chapter (Instructions 20:10 through 20:17), see section 13-80-119, C.R.S. (circumstances in which a person may not be entitled to recover damages sustained while engaged in the commission of, or during immediate flight from, an act constituting a felony (discussed in </w:t>
      </w:r>
      <w:r w:rsidRPr="004D2C99">
        <w:rPr>
          <w:rFonts w:eastAsia="Times New Roman"/>
          <w:b/>
          <w:sz w:val="24"/>
          <w:szCs w:val="24"/>
        </w:rPr>
        <w:t>Molnar v. Law</w:t>
      </w:r>
      <w:r w:rsidRPr="004D2C99">
        <w:rPr>
          <w:rFonts w:eastAsia="Times New Roman"/>
          <w:sz w:val="24"/>
          <w:szCs w:val="24"/>
        </w:rPr>
        <w:t>, 776 P.2d 1156 (Colo. App. 1989))).</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3. This instruction should be appropriately modified where there is evidence that the defendant did not intend to make contact with the plaintiff or another, but did intend to put the plaintiff or another “in apprehension of a harmful or offensive bodily contact.” </w:t>
      </w:r>
      <w:r w:rsidRPr="004D2C99">
        <w:rPr>
          <w:rFonts w:eastAsia="Times New Roman"/>
          <w:b/>
          <w:sz w:val="24"/>
          <w:szCs w:val="24"/>
        </w:rPr>
        <w:t>Hall v. McBryde</w:t>
      </w:r>
      <w:r w:rsidRPr="004D2C99">
        <w:rPr>
          <w:rFonts w:eastAsia="Times New Roman"/>
          <w:sz w:val="24"/>
          <w:szCs w:val="24"/>
        </w:rPr>
        <w:t>, 919 P.2d 910, 914 (Colo. App. 1996).</w:t>
      </w:r>
    </w:p>
    <w:p w:rsidR="004D2C99" w:rsidRDefault="004D2C99" w:rsidP="004D2C99">
      <w:pPr>
        <w:spacing w:after="240"/>
        <w:ind w:firstLine="720"/>
        <w:rPr>
          <w:rFonts w:eastAsia="Times New Roman"/>
          <w:sz w:val="24"/>
          <w:szCs w:val="24"/>
        </w:rPr>
      </w:pPr>
      <w:r w:rsidRPr="004D2C99">
        <w:rPr>
          <w:rFonts w:eastAsia="Times New Roman"/>
          <w:sz w:val="24"/>
          <w:szCs w:val="24"/>
        </w:rPr>
        <w:t xml:space="preserve">4.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4D2C99">
        <w:rPr>
          <w:rFonts w:eastAsia="Times New Roman"/>
          <w:b/>
          <w:sz w:val="24"/>
          <w:szCs w:val="24"/>
        </w:rPr>
        <w:t>White</w:t>
      </w:r>
      <w:r w:rsidRPr="004D2C99">
        <w:rPr>
          <w:rFonts w:eastAsia="Times New Roman"/>
          <w:sz w:val="24"/>
          <w:szCs w:val="24"/>
        </w:rPr>
        <w:t>, 999 P.2d at 819.</w:t>
      </w:r>
    </w:p>
    <w:p w:rsidR="00642649" w:rsidRDefault="00642649">
      <w:pPr>
        <w:rPr>
          <w:rFonts w:eastAsia="Times New Roman"/>
          <w:sz w:val="24"/>
          <w:szCs w:val="24"/>
        </w:rPr>
      </w:pPr>
      <w:r>
        <w:rPr>
          <w:rFonts w:eastAsia="Times New Roman"/>
          <w:sz w:val="24"/>
          <w:szCs w:val="24"/>
        </w:rPr>
        <w:br w:type="page"/>
      </w:r>
    </w:p>
    <w:p w:rsidR="00642649" w:rsidRPr="009E3DA4" w:rsidRDefault="00642649" w:rsidP="00642649">
      <w:pPr>
        <w:spacing w:after="240"/>
        <w:ind w:left="720" w:hanging="720"/>
        <w:rPr>
          <w:rFonts w:eastAsia="Times New Roman"/>
          <w:b/>
          <w:sz w:val="24"/>
          <w:szCs w:val="24"/>
        </w:rPr>
      </w:pPr>
      <w:bookmarkStart w:id="6" w:name="a20_06"/>
      <w:bookmarkEnd w:id="6"/>
      <w:r w:rsidRPr="00642649">
        <w:rPr>
          <w:rFonts w:eastAsia="Times New Roman"/>
          <w:b/>
          <w:sz w:val="24"/>
          <w:szCs w:val="24"/>
        </w:rPr>
        <w:t xml:space="preserve">20:6 </w:t>
      </w:r>
      <w:r w:rsidRPr="00642649">
        <w:rPr>
          <w:rFonts w:eastAsia="Times New Roman"/>
          <w:b/>
          <w:sz w:val="24"/>
          <w:szCs w:val="24"/>
        </w:rPr>
        <w:tab/>
        <w:t>CONTACT — DEFINED</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 contact is the physical touching of another person.</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 xml:space="preserve">(A harmful contact is one that causes physical pain, injury, illness or emotional distress.) </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(An offensive contact is one that would offend another’s reasonable sense of personal dignity.)</w:t>
      </w:r>
    </w:p>
    <w:p w:rsidR="00642649" w:rsidRDefault="00642649" w:rsidP="00642649">
      <w:pPr>
        <w:jc w:val="center"/>
        <w:rPr>
          <w:rFonts w:eastAsia="Times New Roman"/>
          <w:sz w:val="24"/>
          <w:szCs w:val="24"/>
        </w:rPr>
      </w:pPr>
    </w:p>
    <w:p w:rsidR="00642649" w:rsidRPr="0054263B" w:rsidRDefault="00642649" w:rsidP="00642649">
      <w:pPr>
        <w:keepNext/>
        <w:spacing w:after="240"/>
        <w:jc w:val="center"/>
        <w:rPr>
          <w:rFonts w:eastAsia="Times New Roman"/>
          <w:b/>
          <w:sz w:val="24"/>
          <w:szCs w:val="24"/>
        </w:rPr>
      </w:pPr>
      <w:r w:rsidRPr="0054263B">
        <w:rPr>
          <w:rFonts w:eastAsia="Times New Roman"/>
          <w:b/>
          <w:sz w:val="24"/>
          <w:szCs w:val="24"/>
        </w:rPr>
        <w:t>Notes on Use</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1. Note 4 of the Notes on Use to Instruction 20:1 is also applicable to this instruction.</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2. Use whichever one, or both, of the parenthesized sentences in the second paragraph as is appropriate.</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3. In appropriate cases, the first sentence should be modified to read: “A contact is the physical touching of another person or putting into motion anything which touches another person.” In addition, in appropriate cases, the following phrase should be added to the first sentence, either as it appears in the instruction or as modified above: “or anything that is connected with or in contact with the other person.” Also in appropriate cases, the first sentence should be changed to read: “A contact is the physical touching of another person or causing another person to come in contact with some physical object.” </w:t>
      </w:r>
      <w:r w:rsidRPr="00642649">
        <w:rPr>
          <w:rFonts w:eastAsia="Times New Roman"/>
          <w:i/>
          <w:sz w:val="24"/>
          <w:szCs w:val="24"/>
        </w:rPr>
        <w:t>See, e.g.</w:t>
      </w:r>
      <w:r w:rsidRPr="00642649">
        <w:rPr>
          <w:rFonts w:eastAsia="Times New Roman"/>
          <w:sz w:val="24"/>
          <w:szCs w:val="24"/>
        </w:rPr>
        <w:t xml:space="preserve">, </w:t>
      </w:r>
      <w:r w:rsidRPr="00642649">
        <w:rPr>
          <w:rFonts w:eastAsia="Times New Roman"/>
          <w:b/>
          <w:sz w:val="24"/>
          <w:szCs w:val="24"/>
        </w:rPr>
        <w:t>Mooney v. Carter</w:t>
      </w:r>
      <w:r w:rsidRPr="00642649">
        <w:rPr>
          <w:rFonts w:eastAsia="Times New Roman"/>
          <w:sz w:val="24"/>
          <w:szCs w:val="24"/>
        </w:rPr>
        <w:t>,</w:t>
      </w:r>
      <w:r w:rsidRPr="00642649">
        <w:rPr>
          <w:rFonts w:eastAsia="Times New Roman"/>
          <w:b/>
          <w:sz w:val="24"/>
          <w:szCs w:val="24"/>
        </w:rPr>
        <w:t xml:space="preserve"> </w:t>
      </w:r>
      <w:r w:rsidRPr="00642649">
        <w:rPr>
          <w:rFonts w:eastAsia="Times New Roman"/>
          <w:sz w:val="24"/>
          <w:szCs w:val="24"/>
        </w:rPr>
        <w:t>114 Colo. 267, 160 P.2d 390 (1945) (intentionally trying to throw plaintiff from running board of moving car by swerving the car, when the probable result would be that the plaintiff would be thrown to the ground).</w:t>
      </w:r>
    </w:p>
    <w:p w:rsidR="00642649" w:rsidRPr="0054263B" w:rsidRDefault="00642649" w:rsidP="00642649">
      <w:pPr>
        <w:keepNext/>
        <w:spacing w:after="240"/>
        <w:jc w:val="center"/>
        <w:rPr>
          <w:rFonts w:eastAsia="Times New Roman"/>
          <w:b/>
          <w:sz w:val="24"/>
          <w:szCs w:val="24"/>
        </w:rPr>
      </w:pPr>
      <w:r>
        <w:rPr>
          <w:rFonts w:eastAsia="Times New Roman"/>
          <w:b/>
          <w:sz w:val="24"/>
          <w:szCs w:val="24"/>
        </w:rPr>
        <w:t>Source and Authority</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This instruction is supported by the authorities cited in the Source and Authority to Instruction 20:5 and </w:t>
      </w:r>
      <w:r w:rsidRPr="00642649">
        <w:rPr>
          <w:rFonts w:eastAsia="Times New Roman"/>
          <w:smallCaps/>
          <w:sz w:val="24"/>
          <w:szCs w:val="24"/>
        </w:rPr>
        <w:t>Restatement (Second) of Torts</w:t>
      </w:r>
      <w:r w:rsidRPr="00642649">
        <w:rPr>
          <w:rFonts w:eastAsia="Times New Roman"/>
          <w:sz w:val="24"/>
          <w:szCs w:val="24"/>
        </w:rPr>
        <w:t xml:space="preserve"> §§ 15, 19 (1965).</w:t>
      </w:r>
    </w:p>
    <w:p w:rsidR="00A06ED6" w:rsidRDefault="00A06ED6">
      <w:pPr>
        <w:rPr>
          <w:rFonts w:eastAsia="Times New Roman"/>
          <w:sz w:val="24"/>
          <w:szCs w:val="24"/>
        </w:rPr>
      </w:pPr>
      <w:r>
        <w:rPr>
          <w:rFonts w:eastAsia="Times New Roman"/>
          <w:sz w:val="24"/>
          <w:szCs w:val="24"/>
        </w:rPr>
        <w:br w:type="page"/>
      </w:r>
    </w:p>
    <w:p w:rsidR="00A06ED6" w:rsidRPr="009E3DA4" w:rsidRDefault="00A06ED6" w:rsidP="00A06ED6">
      <w:pPr>
        <w:spacing w:after="240"/>
        <w:ind w:left="720" w:hanging="720"/>
        <w:rPr>
          <w:rFonts w:eastAsia="Times New Roman"/>
          <w:b/>
          <w:sz w:val="24"/>
          <w:szCs w:val="24"/>
        </w:rPr>
      </w:pPr>
      <w:bookmarkStart w:id="7" w:name="a20_07"/>
      <w:bookmarkEnd w:id="7"/>
      <w:r w:rsidRPr="00A06ED6">
        <w:rPr>
          <w:rFonts w:eastAsia="Times New Roman"/>
          <w:b/>
          <w:sz w:val="24"/>
          <w:szCs w:val="24"/>
        </w:rPr>
        <w:t xml:space="preserve">20:7 </w:t>
      </w:r>
      <w:r w:rsidRPr="00A06ED6">
        <w:rPr>
          <w:rFonts w:eastAsia="Times New Roman"/>
          <w:b/>
          <w:sz w:val="24"/>
          <w:szCs w:val="24"/>
        </w:rPr>
        <w:tab/>
        <w:t>INTENT — DEFINED</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A person intends to make (harmful) (or) (offensive) physical contact with someone else if (he) (she) acts with the purpose of causing such contact even if (he) (she) did not intend to cause the specific harm that actually occurred.</w:t>
      </w:r>
    </w:p>
    <w:p w:rsidR="00A06ED6" w:rsidRDefault="00A06ED6" w:rsidP="00A06ED6">
      <w:pPr>
        <w:jc w:val="center"/>
        <w:rPr>
          <w:rFonts w:eastAsia="Times New Roman"/>
          <w:sz w:val="24"/>
          <w:szCs w:val="24"/>
        </w:rPr>
      </w:pPr>
    </w:p>
    <w:p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1. This instruction should be given with Instruction 20:5 whenever numbered paragraph 1 of that instruction is given.</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A06ED6">
        <w:rPr>
          <w:rFonts w:eastAsia="Times New Roman"/>
          <w:b/>
          <w:sz w:val="24"/>
          <w:szCs w:val="24"/>
        </w:rPr>
        <w:t>White v. Muniz</w:t>
      </w:r>
      <w:r w:rsidRPr="00A06ED6">
        <w:rPr>
          <w:rFonts w:eastAsia="Times New Roman"/>
          <w:sz w:val="24"/>
          <w:szCs w:val="24"/>
        </w:rPr>
        <w:t xml:space="preserve">, 999 P.2d 814 (Colo. 2000); and </w:t>
      </w:r>
      <w:r w:rsidRPr="00A06ED6">
        <w:rPr>
          <w:rFonts w:eastAsia="Times New Roman"/>
          <w:b/>
          <w:sz w:val="24"/>
          <w:szCs w:val="24"/>
        </w:rPr>
        <w:t>Mooney v. Carter</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114 Colo. 267, 160 P.2d 390 (1945) (defendant had sufficient intent for battery where she intentionally sped up her car and swerved for the purpose of throwing the plaintiff from the running board, because willfully setting in motion a force which in its ordinary course would bring about the injury is sufficient). </w:t>
      </w:r>
      <w:r w:rsidRPr="00A06ED6">
        <w:rPr>
          <w:rFonts w:eastAsia="Times New Roman"/>
          <w:i/>
          <w:sz w:val="24"/>
          <w:szCs w:val="24"/>
        </w:rPr>
        <w:t>See also</w:t>
      </w:r>
      <w:r w:rsidRPr="00A06ED6">
        <w:rPr>
          <w:rFonts w:eastAsia="Times New Roman"/>
          <w:sz w:val="24"/>
          <w:szCs w:val="24"/>
        </w:rPr>
        <w:t xml:space="preserve"> </w:t>
      </w:r>
      <w:r w:rsidRPr="00A06ED6">
        <w:rPr>
          <w:rFonts w:eastAsia="Times New Roman"/>
          <w:b/>
          <w:sz w:val="24"/>
          <w:szCs w:val="24"/>
        </w:rPr>
        <w:t>Horton v. Reaves</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186 Colo. 149, 526 P.2d 304 (1974) (in the case of a very young child, the requisite intent must include some awareness of the natural consequences of intentional acts); </w:t>
      </w:r>
      <w:r w:rsidRPr="00A06ED6">
        <w:rPr>
          <w:rFonts w:eastAsia="Times New Roman"/>
          <w:smallCaps/>
          <w:sz w:val="24"/>
          <w:szCs w:val="24"/>
        </w:rPr>
        <w:t>Restatement (Second) of Torts</w:t>
      </w:r>
      <w:r w:rsidRPr="00A06ED6">
        <w:rPr>
          <w:rFonts w:eastAsia="Times New Roman"/>
          <w:sz w:val="24"/>
          <w:szCs w:val="24"/>
        </w:rPr>
        <w:t xml:space="preserve"> §§ 16, 20 (1965); </w:t>
      </w:r>
      <w:r w:rsidRPr="00A06ED6">
        <w:rPr>
          <w:rFonts w:eastAsia="Times New Roman"/>
          <w:smallCaps/>
          <w:sz w:val="24"/>
          <w:szCs w:val="24"/>
        </w:rPr>
        <w:t>W. Page Keeton et al., Prosser and Keeton on the Law of Torts</w:t>
      </w:r>
      <w:r w:rsidRPr="00A06ED6">
        <w:rPr>
          <w:rFonts w:eastAsia="Times New Roman"/>
          <w:sz w:val="24"/>
          <w:szCs w:val="24"/>
        </w:rPr>
        <w:t xml:space="preserve"> §§ 8, 9 (5th ed. 1984).</w:t>
      </w:r>
      <w:r w:rsidRPr="00A06ED6">
        <w:rPr>
          <w:rFonts w:eastAsia="Times New Roman"/>
          <w:sz w:val="24"/>
          <w:szCs w:val="24"/>
        </w:rPr>
        <w:tab/>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w:t>
      </w:r>
      <w:r w:rsidRPr="00A06ED6">
        <w:rPr>
          <w:rFonts w:eastAsia="Times New Roman"/>
          <w:sz w:val="24"/>
          <w:szCs w:val="24"/>
        </w:rPr>
        <w:t>, 999 P.2d at 819.</w:t>
      </w:r>
    </w:p>
    <w:p w:rsidR="00A06ED6" w:rsidRDefault="00A06ED6">
      <w:pPr>
        <w:rPr>
          <w:rFonts w:eastAsia="Times New Roman"/>
          <w:sz w:val="24"/>
          <w:szCs w:val="24"/>
        </w:rPr>
      </w:pPr>
      <w:r>
        <w:rPr>
          <w:rFonts w:eastAsia="Times New Roman"/>
          <w:sz w:val="24"/>
          <w:szCs w:val="24"/>
        </w:rPr>
        <w:br w:type="page"/>
      </w:r>
    </w:p>
    <w:p w:rsidR="00A06ED6" w:rsidRPr="009E3DA4" w:rsidRDefault="00A06ED6" w:rsidP="00A06ED6">
      <w:pPr>
        <w:spacing w:after="240"/>
        <w:ind w:left="720" w:hanging="720"/>
        <w:rPr>
          <w:rFonts w:eastAsia="Times New Roman"/>
          <w:b/>
          <w:sz w:val="24"/>
          <w:szCs w:val="24"/>
        </w:rPr>
      </w:pPr>
      <w:bookmarkStart w:id="8" w:name="a20_08"/>
      <w:bookmarkEnd w:id="8"/>
      <w:r w:rsidRPr="00A06ED6">
        <w:rPr>
          <w:rFonts w:eastAsia="Times New Roman"/>
          <w:b/>
          <w:sz w:val="24"/>
          <w:szCs w:val="24"/>
        </w:rPr>
        <w:t xml:space="preserve">20:8 </w:t>
      </w:r>
      <w:r w:rsidRPr="00A06ED6">
        <w:rPr>
          <w:rFonts w:eastAsia="Times New Roman"/>
          <w:b/>
          <w:sz w:val="24"/>
          <w:szCs w:val="24"/>
        </w:rPr>
        <w:tab/>
        <w:t>TRANSFERRED INTENT</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 xml:space="preserve">It is not necessary that the defendant intended to make (harmful) (or) (offensive) physical contact specifically with the plaintiff. </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Intent exists even if the defendant originally intended to make (harmful) (or) (offensive) physical contact with someone else.</w:t>
      </w:r>
    </w:p>
    <w:p w:rsidR="00A06ED6" w:rsidRDefault="00A06ED6" w:rsidP="00A06ED6">
      <w:pPr>
        <w:jc w:val="center"/>
        <w:rPr>
          <w:rFonts w:eastAsia="Times New Roman"/>
          <w:sz w:val="24"/>
          <w:szCs w:val="24"/>
        </w:rPr>
      </w:pPr>
    </w:p>
    <w:p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1. As to whether the parenthesized word “harmful” or “offensive” should be given, see Note 4 of the Notes on Use to Instruction 20:1.</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2. This instruction should be given only when there is evidence that the defendant may have or did intend to touch the person of another, as well as, or rather than, the person of the plaintiff.</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3. When this instruction is given, Instruction 20:7, defining “intent,” must also be given.</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4.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074558">
        <w:rPr>
          <w:rFonts w:eastAsia="Times New Roman"/>
          <w:smallCaps/>
          <w:sz w:val="24"/>
          <w:szCs w:val="24"/>
        </w:rPr>
        <w:t>W. Page Keeton et al., Prosser and Keeton on the Law of Torts</w:t>
      </w:r>
      <w:r w:rsidRPr="00A06ED6">
        <w:rPr>
          <w:rFonts w:eastAsia="Times New Roman"/>
          <w:sz w:val="24"/>
          <w:szCs w:val="24"/>
        </w:rPr>
        <w:t xml:space="preserve"> § 8, at 37-39 (5th ed. 1984); 1 </w:t>
      </w:r>
      <w:r w:rsidRPr="00A06ED6">
        <w:rPr>
          <w:rFonts w:eastAsia="Times New Roman"/>
          <w:smallCaps/>
          <w:sz w:val="24"/>
          <w:szCs w:val="24"/>
        </w:rPr>
        <w:t>F. Harper et al. Harper, James, and Gray on Torts</w:t>
      </w:r>
      <w:r w:rsidRPr="00A06ED6">
        <w:rPr>
          <w:rFonts w:eastAsia="Times New Roman"/>
          <w:sz w:val="24"/>
          <w:szCs w:val="24"/>
        </w:rPr>
        <w:t xml:space="preserve"> § 3.3, at 317-19 (3d ed. 2006); and </w:t>
      </w:r>
      <w:r w:rsidRPr="00A06ED6">
        <w:rPr>
          <w:rFonts w:eastAsia="Times New Roman"/>
          <w:smallCaps/>
          <w:sz w:val="24"/>
          <w:szCs w:val="24"/>
        </w:rPr>
        <w:t>Restatement (Second) of Torts</w:t>
      </w:r>
      <w:r w:rsidRPr="00A06ED6">
        <w:rPr>
          <w:rFonts w:eastAsia="Times New Roman"/>
          <w:sz w:val="24"/>
          <w:szCs w:val="24"/>
        </w:rPr>
        <w:t xml:space="preserve"> §§ 16(2), 20(2) (1965).</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 v. Muniz</w:t>
      </w:r>
      <w:r w:rsidRPr="00A06ED6">
        <w:rPr>
          <w:rFonts w:eastAsia="Times New Roman"/>
          <w:sz w:val="24"/>
          <w:szCs w:val="24"/>
        </w:rPr>
        <w:t>, 999 P.2d 814, 819 (Colo. 2000).</w:t>
      </w:r>
    </w:p>
    <w:p w:rsidR="00E30D4B" w:rsidRDefault="00E30D4B">
      <w:pPr>
        <w:rPr>
          <w:rFonts w:eastAsia="Times New Roman"/>
          <w:sz w:val="24"/>
          <w:szCs w:val="24"/>
        </w:rPr>
      </w:pPr>
      <w:r>
        <w:rPr>
          <w:rFonts w:eastAsia="Times New Roman"/>
          <w:sz w:val="24"/>
          <w:szCs w:val="24"/>
        </w:rPr>
        <w:br w:type="page"/>
      </w:r>
    </w:p>
    <w:p w:rsidR="00E30D4B" w:rsidRPr="009E3DA4" w:rsidRDefault="00E30D4B" w:rsidP="00E30D4B">
      <w:pPr>
        <w:spacing w:after="240"/>
        <w:ind w:left="720" w:hanging="720"/>
        <w:rPr>
          <w:rFonts w:eastAsia="Times New Roman"/>
          <w:b/>
          <w:sz w:val="24"/>
          <w:szCs w:val="24"/>
        </w:rPr>
      </w:pPr>
      <w:bookmarkStart w:id="9" w:name="a20_09"/>
      <w:bookmarkEnd w:id="9"/>
      <w:r w:rsidRPr="00E30D4B">
        <w:rPr>
          <w:rFonts w:eastAsia="Times New Roman"/>
          <w:b/>
          <w:sz w:val="24"/>
          <w:szCs w:val="24"/>
        </w:rPr>
        <w:t xml:space="preserve">20:9 </w:t>
      </w:r>
      <w:r w:rsidRPr="00E30D4B">
        <w:rPr>
          <w:rFonts w:eastAsia="Times New Roman"/>
          <w:b/>
          <w:sz w:val="24"/>
          <w:szCs w:val="24"/>
        </w:rPr>
        <w:tab/>
        <w:t>ACTUAL OR NOMINAL DAMAGES</w:t>
      </w:r>
    </w:p>
    <w:p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Use Instruction 20:4.</w:t>
      </w:r>
    </w:p>
    <w:p w:rsidR="00E30D4B" w:rsidRDefault="00E30D4B" w:rsidP="00E30D4B">
      <w:pPr>
        <w:jc w:val="center"/>
        <w:rPr>
          <w:rFonts w:eastAsia="Times New Roman"/>
          <w:sz w:val="24"/>
          <w:szCs w:val="24"/>
        </w:rPr>
      </w:pPr>
    </w:p>
    <w:p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The damages instruction for battery is the same as that for assault.</w:t>
      </w:r>
    </w:p>
    <w:p w:rsidR="00E30D4B" w:rsidRDefault="00E30D4B">
      <w:pPr>
        <w:rPr>
          <w:rFonts w:eastAsia="Times New Roman"/>
          <w:sz w:val="24"/>
          <w:szCs w:val="24"/>
        </w:rPr>
      </w:pPr>
      <w:r>
        <w:rPr>
          <w:rFonts w:eastAsia="Times New Roman"/>
          <w:sz w:val="24"/>
          <w:szCs w:val="24"/>
        </w:rPr>
        <w:br w:type="page"/>
      </w:r>
    </w:p>
    <w:p w:rsidR="00E30D4B" w:rsidRDefault="00E30D4B" w:rsidP="00E30D4B">
      <w:pPr>
        <w:spacing w:after="240"/>
        <w:jc w:val="center"/>
        <w:rPr>
          <w:rFonts w:eastAsia="Times New Roman"/>
          <w:b/>
          <w:sz w:val="24"/>
          <w:szCs w:val="24"/>
        </w:rPr>
      </w:pPr>
      <w:r w:rsidRPr="00E30D4B">
        <w:rPr>
          <w:rFonts w:eastAsia="Times New Roman"/>
          <w:b/>
          <w:sz w:val="24"/>
          <w:szCs w:val="24"/>
        </w:rPr>
        <w:t>C. AFFIRMATIVE DEFENSES</w:t>
      </w:r>
    </w:p>
    <w:p w:rsidR="00E30D4B" w:rsidRPr="009E3DA4" w:rsidRDefault="00E30D4B" w:rsidP="00E30D4B">
      <w:pPr>
        <w:spacing w:after="240"/>
        <w:ind w:left="720" w:hanging="720"/>
        <w:rPr>
          <w:rFonts w:eastAsia="Times New Roman"/>
          <w:b/>
          <w:sz w:val="24"/>
          <w:szCs w:val="24"/>
        </w:rPr>
      </w:pPr>
      <w:bookmarkStart w:id="10" w:name="a20_10"/>
      <w:bookmarkEnd w:id="10"/>
      <w:r w:rsidRPr="00E30D4B">
        <w:rPr>
          <w:rFonts w:eastAsia="Times New Roman"/>
          <w:b/>
          <w:sz w:val="24"/>
          <w:szCs w:val="24"/>
        </w:rPr>
        <w:t xml:space="preserve">20:10 </w:t>
      </w:r>
      <w:r w:rsidRPr="00E30D4B">
        <w:rPr>
          <w:rFonts w:eastAsia="Times New Roman"/>
          <w:b/>
          <w:sz w:val="24"/>
          <w:szCs w:val="24"/>
        </w:rPr>
        <w:tab/>
        <w:t>WORDS ALONE DO NOT JUSTIFY</w:t>
      </w:r>
    </w:p>
    <w:p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Words alone do not justify an assault or battery even if they are offensive.</w:t>
      </w:r>
    </w:p>
    <w:p w:rsidR="00E30D4B" w:rsidRDefault="00E30D4B" w:rsidP="00E30D4B">
      <w:pPr>
        <w:jc w:val="center"/>
        <w:rPr>
          <w:rFonts w:eastAsia="Times New Roman"/>
          <w:sz w:val="24"/>
          <w:szCs w:val="24"/>
        </w:rPr>
      </w:pPr>
    </w:p>
    <w:p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Notes on Use</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If there is evidence that an assault or battery was occasioned by an offensive or provocative gesture or gestures, this instruction should be appropriately modified.</w:t>
      </w:r>
    </w:p>
    <w:p w:rsidR="00E30D4B" w:rsidRPr="0054263B" w:rsidRDefault="00E30D4B" w:rsidP="00E30D4B">
      <w:pPr>
        <w:keepNext/>
        <w:spacing w:after="240"/>
        <w:jc w:val="center"/>
        <w:rPr>
          <w:rFonts w:eastAsia="Times New Roman"/>
          <w:b/>
          <w:sz w:val="24"/>
          <w:szCs w:val="24"/>
        </w:rPr>
      </w:pPr>
      <w:r>
        <w:rPr>
          <w:rFonts w:eastAsia="Times New Roman"/>
          <w:b/>
          <w:sz w:val="24"/>
          <w:szCs w:val="24"/>
        </w:rPr>
        <w:t>Source and Authority</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1. This instruction is supported by </w:t>
      </w:r>
      <w:r w:rsidRPr="00E30D4B">
        <w:rPr>
          <w:rFonts w:eastAsia="Times New Roman"/>
          <w:b/>
          <w:sz w:val="24"/>
          <w:szCs w:val="24"/>
        </w:rPr>
        <w:t>Goldblatt v. Chase</w:t>
      </w:r>
      <w:r w:rsidRPr="00E30D4B">
        <w:rPr>
          <w:rFonts w:eastAsia="Times New Roman"/>
          <w:sz w:val="24"/>
          <w:szCs w:val="24"/>
        </w:rPr>
        <w:t xml:space="preserve">, 121 Colo. 355, 216 P.2d 435 (1950); </w:t>
      </w:r>
      <w:r w:rsidRPr="00E30D4B">
        <w:rPr>
          <w:rFonts w:eastAsia="Times New Roman"/>
          <w:smallCaps/>
          <w:sz w:val="24"/>
          <w:szCs w:val="24"/>
        </w:rPr>
        <w:t>W. Page Keeton et al., Prosser and Keeton on the Law of Torts</w:t>
      </w:r>
      <w:r w:rsidRPr="00E30D4B">
        <w:rPr>
          <w:rFonts w:eastAsia="Times New Roman"/>
          <w:sz w:val="24"/>
          <w:szCs w:val="24"/>
        </w:rPr>
        <w:t xml:space="preserve"> § 19, at 126 (5th ed. 1984); and </w:t>
      </w:r>
      <w:r w:rsidRPr="00E30D4B">
        <w:rPr>
          <w:rFonts w:eastAsia="Times New Roman"/>
          <w:smallCaps/>
          <w:sz w:val="24"/>
          <w:szCs w:val="24"/>
        </w:rPr>
        <w:t>Restatement (Second) of Torts</w:t>
      </w:r>
      <w:r w:rsidRPr="00E30D4B">
        <w:rPr>
          <w:rFonts w:eastAsia="Times New Roman"/>
          <w:sz w:val="24"/>
          <w:szCs w:val="24"/>
        </w:rPr>
        <w:t xml:space="preserve"> § 31 cmt. a (1965).</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2. Words alone, “even if spoken immediately preceding the assault and battery, cannot be considered by a jury in mitigation of compensatory damages.” </w:t>
      </w:r>
      <w:r w:rsidRPr="00E30D4B">
        <w:rPr>
          <w:rFonts w:eastAsia="Times New Roman"/>
          <w:b/>
          <w:sz w:val="24"/>
          <w:szCs w:val="24"/>
        </w:rPr>
        <w:t>Andersen v. Whitley</w:t>
      </w:r>
      <w:r w:rsidRPr="00E30D4B">
        <w:rPr>
          <w:rFonts w:eastAsia="Times New Roman"/>
          <w:sz w:val="24"/>
          <w:szCs w:val="24"/>
        </w:rPr>
        <w:t xml:space="preserve">, 194 Colo. 87, 88, 570 P.2d 525, 526 (1977). They may, however, be considered in mitigation of exemplary damages. </w:t>
      </w:r>
      <w:r w:rsidRPr="00E30D4B">
        <w:rPr>
          <w:rFonts w:eastAsia="Times New Roman"/>
          <w:b/>
          <w:sz w:val="24"/>
          <w:szCs w:val="24"/>
        </w:rPr>
        <w:t>Heil v. Zink</w:t>
      </w:r>
      <w:r w:rsidRPr="00E30D4B">
        <w:rPr>
          <w:rFonts w:eastAsia="Times New Roman"/>
          <w:sz w:val="24"/>
          <w:szCs w:val="24"/>
        </w:rPr>
        <w:t>, 120 Colo. 481, 210 P.2d 610 (1949).</w:t>
      </w:r>
    </w:p>
    <w:p w:rsidR="00631BFF" w:rsidRDefault="00631BFF">
      <w:pPr>
        <w:rPr>
          <w:rFonts w:eastAsia="Times New Roman"/>
          <w:sz w:val="24"/>
          <w:szCs w:val="24"/>
        </w:rPr>
      </w:pPr>
      <w:r>
        <w:rPr>
          <w:rFonts w:eastAsia="Times New Roman"/>
          <w:sz w:val="24"/>
          <w:szCs w:val="24"/>
        </w:rPr>
        <w:br w:type="page"/>
      </w:r>
    </w:p>
    <w:p w:rsidR="00631BFF" w:rsidRPr="009E3DA4" w:rsidRDefault="00631BFF" w:rsidP="00631BFF">
      <w:pPr>
        <w:spacing w:after="240"/>
        <w:ind w:left="720" w:hanging="720"/>
        <w:rPr>
          <w:rFonts w:eastAsia="Times New Roman"/>
          <w:b/>
          <w:sz w:val="24"/>
          <w:szCs w:val="24"/>
        </w:rPr>
      </w:pPr>
      <w:bookmarkStart w:id="11" w:name="a20_11"/>
      <w:bookmarkEnd w:id="11"/>
      <w:r w:rsidRPr="00631BFF">
        <w:rPr>
          <w:rFonts w:eastAsia="Times New Roman"/>
          <w:b/>
          <w:sz w:val="24"/>
          <w:szCs w:val="24"/>
        </w:rPr>
        <w:t xml:space="preserve">20:11 </w:t>
      </w:r>
      <w:r w:rsidRPr="00631BFF">
        <w:rPr>
          <w:rFonts w:eastAsia="Times New Roman"/>
          <w:b/>
          <w:sz w:val="24"/>
          <w:szCs w:val="24"/>
        </w:rPr>
        <w:tab/>
        <w:t>CONSENT</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 xml:space="preserve">The defendant, </w:t>
      </w:r>
      <w:r w:rsidRPr="00631BFF">
        <w:rPr>
          <w:rFonts w:eastAsia="Times New Roman"/>
          <w:i/>
          <w:sz w:val="24"/>
          <w:szCs w:val="24"/>
        </w:rPr>
        <w:t>(name)</w:t>
      </w:r>
      <w:r w:rsidRPr="00631BFF">
        <w:rPr>
          <w:rFonts w:eastAsia="Times New Roman"/>
          <w:b/>
          <w:sz w:val="24"/>
          <w:szCs w:val="24"/>
        </w:rPr>
        <w:t xml:space="preserve">, is not legally responsible to the plaintiff, </w:t>
      </w:r>
      <w:r w:rsidRPr="00631BFF">
        <w:rPr>
          <w:rFonts w:eastAsia="Times New Roman"/>
          <w:i/>
          <w:sz w:val="24"/>
          <w:szCs w:val="24"/>
        </w:rPr>
        <w:t>(name)</w:t>
      </w:r>
      <w:r w:rsidRPr="00631BFF">
        <w:rPr>
          <w:rFonts w:eastAsia="Times New Roman"/>
          <w:b/>
          <w:sz w:val="24"/>
          <w:szCs w:val="24"/>
        </w:rPr>
        <w:t>,</w:t>
      </w:r>
      <w:r w:rsidRPr="00631BFF">
        <w:rPr>
          <w:rFonts w:eastAsia="Times New Roman"/>
          <w:i/>
          <w:sz w:val="24"/>
          <w:szCs w:val="24"/>
        </w:rPr>
        <w:t xml:space="preserve"> </w:t>
      </w:r>
      <w:r w:rsidRPr="00631BFF">
        <w:rPr>
          <w:rFonts w:eastAsia="Times New Roman"/>
          <w:b/>
          <w:sz w:val="24"/>
          <w:szCs w:val="24"/>
        </w:rPr>
        <w:t>on (his) (her) claim of (assault) (battery) if the affirmative defense of consent is proved. This defense is proved if you find all of the following:</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1. The plaintiff, by words or conduct, (consented) (or) (led the defendant reasonably to believe that [he] [she] consented) to the (contact) (or) (threatened contact) by the defendant; and</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2. The (contact) (or) (threatened contact) by the defendant was the same or substantially similar to that consented to by the plaintiff; and</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(3. The plaintiff was capable of giving consent.)</w:t>
      </w:r>
    </w:p>
    <w:p w:rsidR="00631BFF" w:rsidRDefault="00631BFF" w:rsidP="00631BFF">
      <w:pPr>
        <w:jc w:val="center"/>
        <w:rPr>
          <w:rFonts w:eastAsia="Times New Roman"/>
          <w:sz w:val="24"/>
          <w:szCs w:val="24"/>
        </w:rPr>
      </w:pPr>
    </w:p>
    <w:p w:rsidR="00631BFF" w:rsidRPr="0054263B" w:rsidRDefault="00631BFF" w:rsidP="00631BFF">
      <w:pPr>
        <w:keepNext/>
        <w:spacing w:after="240"/>
        <w:jc w:val="center"/>
        <w:rPr>
          <w:rFonts w:eastAsia="Times New Roman"/>
          <w:b/>
          <w:sz w:val="24"/>
          <w:szCs w:val="24"/>
        </w:rPr>
      </w:pPr>
      <w:r w:rsidRPr="0054263B">
        <w:rPr>
          <w:rFonts w:eastAsia="Times New Roman"/>
          <w:b/>
          <w:sz w:val="24"/>
          <w:szCs w:val="24"/>
        </w:rPr>
        <w:t>Notes on Use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1. Use whichever parenthesized or bracketed words are appropriate.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2. Omit numbered paragraph 3 if there is no evidence of incapacity in the case and omit either of the other numbered paragraphs if the facts are not in dispute.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3. If there is evidence of some particular reason why the plaintiff was incapable of giving consent, for example, infancy or intoxication, paragraph 3 should be included and the following should be added to this instruction: “The plaintiff was not capable of effectively consenting if at the time </w:t>
      </w:r>
      <w:r w:rsidRPr="00631BFF">
        <w:rPr>
          <w:rFonts w:eastAsia="Times New Roman"/>
          <w:i/>
          <w:sz w:val="24"/>
          <w:szCs w:val="24"/>
        </w:rPr>
        <w:t>(insert a brief description of any conditions which would render the plaintiff incapable of giving effective consent).</w:t>
      </w:r>
      <w:r w:rsidRPr="00631BFF">
        <w:rPr>
          <w:rFonts w:eastAsia="Times New Roman"/>
          <w:sz w:val="24"/>
          <w:szCs w:val="24"/>
        </w:rPr>
        <w:t>” Similarly, if the plaintiff’s consent would not be effective for some other reason, for example, because it was obtained by fraud or duress, this instruction must be appropriately modified.</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4. If there is a dispute as to whether the defendant made or threatened any contact, this instruction must be appropriately modified.</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5. For cases involving persons who allegedly committed a battery while practicing one of the healing arts, see the instructions in Part I of Subparts B and C of Chapter 15.</w:t>
      </w:r>
    </w:p>
    <w:p w:rsidR="00631BFF" w:rsidRPr="0054263B" w:rsidRDefault="00631BFF" w:rsidP="00631BFF">
      <w:pPr>
        <w:keepNext/>
        <w:spacing w:after="240"/>
        <w:jc w:val="center"/>
        <w:rPr>
          <w:rFonts w:eastAsia="Times New Roman"/>
          <w:b/>
          <w:sz w:val="24"/>
          <w:szCs w:val="24"/>
        </w:rPr>
      </w:pPr>
      <w:r>
        <w:rPr>
          <w:rFonts w:eastAsia="Times New Roman"/>
          <w:b/>
          <w:sz w:val="24"/>
          <w:szCs w:val="24"/>
        </w:rPr>
        <w:t>Source and Authority</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This instruction is supported by </w:t>
      </w:r>
      <w:r w:rsidRPr="00631BFF">
        <w:rPr>
          <w:rFonts w:eastAsia="Times New Roman"/>
          <w:smallCaps/>
          <w:sz w:val="24"/>
          <w:szCs w:val="24"/>
        </w:rPr>
        <w:t>W. Page Keeton et al., Prosser and Keeton on the Law of Torts</w:t>
      </w:r>
      <w:r w:rsidRPr="00631BFF">
        <w:rPr>
          <w:rFonts w:eastAsia="Times New Roman"/>
          <w:sz w:val="24"/>
          <w:szCs w:val="24"/>
        </w:rPr>
        <w:t xml:space="preserve"> § 18 (5th ed. 1984); and </w:t>
      </w:r>
      <w:r w:rsidRPr="00631BFF">
        <w:rPr>
          <w:rFonts w:eastAsia="Times New Roman"/>
          <w:smallCaps/>
          <w:sz w:val="24"/>
          <w:szCs w:val="24"/>
        </w:rPr>
        <w:t>Restatement (Second) of Torts</w:t>
      </w:r>
      <w:r w:rsidRPr="00631BFF">
        <w:rPr>
          <w:rFonts w:eastAsia="Times New Roman"/>
          <w:sz w:val="24"/>
          <w:szCs w:val="24"/>
        </w:rPr>
        <w:t xml:space="preserve"> §§ 49-62 (1965).</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2" w:name="a20_12"/>
      <w:bookmarkEnd w:id="12"/>
      <w:r w:rsidRPr="00FC544C">
        <w:rPr>
          <w:rFonts w:eastAsia="Times New Roman"/>
          <w:b/>
          <w:sz w:val="24"/>
          <w:szCs w:val="24"/>
        </w:rPr>
        <w:t xml:space="preserve">20:12 </w:t>
      </w:r>
      <w:r w:rsidRPr="00FC544C">
        <w:rPr>
          <w:rFonts w:eastAsia="Times New Roman"/>
          <w:b/>
          <w:sz w:val="24"/>
          <w:szCs w:val="24"/>
        </w:rPr>
        <w:tab/>
        <w:t>SELF-DEFENSE OF PERSON</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self-defense of person is proved. This defense is proved if you find both of the following:</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1. The defendant reasonably believed (even if mistakenly) that under the circumstances it was necessary to use force to protect (himself) (herself) from an actual or threatened (harmful) (or) (offensive) contact;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2. The defendant used no more force than a reasonable person would have used under the same or similar circumstances to protect (himself) (herself) from the actual or</w:t>
      </w:r>
      <w:r w:rsidRPr="00FC544C">
        <w:rPr>
          <w:rFonts w:eastAsia="Times New Roman"/>
          <w:sz w:val="24"/>
          <w:szCs w:val="24"/>
        </w:rPr>
        <w:t xml:space="preserve"> </w:t>
      </w:r>
      <w:r w:rsidRPr="00FC544C">
        <w:rPr>
          <w:rFonts w:eastAsia="Times New Roman"/>
          <w:b/>
          <w:sz w:val="24"/>
          <w:szCs w:val="24"/>
        </w:rPr>
        <w:t>threatened contact.</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2. When applicable, Instruction 20:13 should also be given with this instruction.</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Omit either numbered paragraph or portions thereof if the facts are not in dispute, and make such other changes as are necessary in such circumstances to make the instruction understandable.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there is a dispute as to whether the defendant made or threatened any contact,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b/>
          <w:sz w:val="24"/>
          <w:szCs w:val="24"/>
        </w:rPr>
        <w:t>Minowitz v. Failing</w:t>
      </w:r>
      <w:r w:rsidRPr="00FC544C">
        <w:rPr>
          <w:rFonts w:eastAsia="Times New Roman"/>
          <w:sz w:val="24"/>
          <w:szCs w:val="24"/>
        </w:rPr>
        <w:t xml:space="preserve">, 109 Colo. 182, 123 P.2d 417 (1942) (numbered paragraph 2); </w:t>
      </w:r>
      <w:r w:rsidRPr="00FC544C">
        <w:rPr>
          <w:rFonts w:eastAsia="Times New Roman"/>
          <w:b/>
          <w:sz w:val="24"/>
          <w:szCs w:val="24"/>
        </w:rPr>
        <w:t>Courvoisier v. Raymond</w:t>
      </w:r>
      <w:r w:rsidRPr="00FC544C">
        <w:rPr>
          <w:rFonts w:eastAsia="Times New Roman"/>
          <w:sz w:val="24"/>
          <w:szCs w:val="24"/>
        </w:rPr>
        <w:t xml:space="preserve">, 23 Colo. 113, 47 P. 284 (1896) (numbered paragraph 1); </w:t>
      </w:r>
      <w:r w:rsidRPr="00FC544C">
        <w:rPr>
          <w:rFonts w:eastAsia="Times New Roman"/>
          <w:smallCaps/>
          <w:sz w:val="24"/>
          <w:szCs w:val="24"/>
        </w:rPr>
        <w:t>W. Page Keeton et al., Prosser and Keeton on the Law of Torts</w:t>
      </w:r>
      <w:r w:rsidRPr="00FC544C">
        <w:rPr>
          <w:rFonts w:eastAsia="Times New Roman"/>
          <w:sz w:val="24"/>
          <w:szCs w:val="24"/>
        </w:rPr>
        <w:t xml:space="preserve"> § 19 (5th ed. 1984); 1 </w:t>
      </w:r>
      <w:r w:rsidRPr="00FC544C">
        <w:rPr>
          <w:rFonts w:eastAsia="Times New Roman"/>
          <w:smallCaps/>
          <w:sz w:val="24"/>
          <w:szCs w:val="24"/>
        </w:rPr>
        <w:t>F. Harper et al., Harper, James, and Gray on Torts</w:t>
      </w:r>
      <w:r w:rsidRPr="00FC544C">
        <w:rPr>
          <w:rFonts w:eastAsia="Times New Roman"/>
          <w:sz w:val="24"/>
          <w:szCs w:val="24"/>
        </w:rPr>
        <w:t xml:space="preserve"> § 3.11 (3d ed. 2006); and </w:t>
      </w:r>
      <w:r w:rsidRPr="00FC544C">
        <w:rPr>
          <w:rFonts w:eastAsia="Times New Roman"/>
          <w:smallCaps/>
          <w:sz w:val="24"/>
          <w:szCs w:val="24"/>
        </w:rPr>
        <w:t>Restatement (Second) of Torts</w:t>
      </w:r>
      <w:r w:rsidRPr="00FC544C">
        <w:rPr>
          <w:rFonts w:eastAsia="Times New Roman"/>
          <w:sz w:val="24"/>
          <w:szCs w:val="24"/>
        </w:rPr>
        <w:t xml:space="preserve"> §§ 63, 65 (1965).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Valdez v. City &amp; Cty. of Denver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764 P.2d 393 (Colo. App. 1988) (question of reasonableness of force used is ordinarily one for the jury).</w:t>
      </w:r>
      <w:r w:rsidRPr="00FC544C">
        <w:rPr>
          <w:rFonts w:eastAsia="Times New Roman"/>
          <w:sz w:val="24"/>
          <w:szCs w:val="24"/>
        </w:rPr>
        <w:cr/>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Section 18-1-704, C.R.S., the “make-my-day” statute, creates a defense in criminal cases (use of physical force, including deadly physical force, against an intruder of a dwelling). Section 18-1-704.5 creates immunity from civil liability if the statutory standards and circumstances of the “make my day” criminal defense are met. Although no Colorado appellate case has considered these statutes as applied in civil cases, if they are applicable, an appropriate instruction based on those statutes must be given, and this instruction should not be given, or, if given, must be appropriately modified as may be necessary to distinguish the privilege covered by this instruction from the privilege provided by the statute. </w:t>
      </w:r>
      <w:r w:rsidRPr="00FC544C">
        <w:rPr>
          <w:rFonts w:eastAsia="Times New Roman"/>
          <w:i/>
          <w:sz w:val="24"/>
          <w:szCs w:val="24"/>
        </w:rPr>
        <w:t xml:space="preserve">See </w:t>
      </w:r>
      <w:r w:rsidRPr="00FC544C">
        <w:rPr>
          <w:rFonts w:eastAsia="Times New Roman"/>
          <w:b/>
          <w:sz w:val="24"/>
          <w:szCs w:val="24"/>
        </w:rPr>
        <w:t>People v. 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 xml:space="preserve">740 P.2d 971, 981 (Colo. 1987) (holding that in criminal cases, under section 18-1-704.5(3), the phrase “immune from criminal prosecution” (which is comparable to the phrase “immune from any civil liability for injuries or death” in subsection (4)) requires the trial court to make a preliminary determination of the possible applicability of the statutory immunity to the facts of the case). If at a pretrial hearing the court determines that the defendant has shown by a preponderance of the evidence that the statute applies, the court must dismiss those “charges to which the immunity bar applies.” </w:t>
      </w:r>
      <w:r w:rsidRPr="00FC544C">
        <w:rPr>
          <w:rFonts w:eastAsia="Times New Roman"/>
          <w:i/>
          <w:sz w:val="24"/>
          <w:szCs w:val="24"/>
        </w:rPr>
        <w:t>Id.</w:t>
      </w:r>
      <w:r w:rsidRPr="00FC544C">
        <w:rPr>
          <w:rFonts w:eastAsia="Times New Roman"/>
          <w:sz w:val="24"/>
          <w:szCs w:val="24"/>
        </w:rPr>
        <w:t xml:space="preserve"> If the court does not determine that right to immunity has been so proved, then the defendant may still raise the issue again at trial as an affirmative defense to be determined by the jury. </w:t>
      </w:r>
      <w:r w:rsidRPr="00FC544C">
        <w:rPr>
          <w:rFonts w:eastAsia="Times New Roman"/>
          <w:i/>
          <w:sz w:val="24"/>
          <w:szCs w:val="24"/>
        </w:rPr>
        <w:t>See, e.g.</w:t>
      </w:r>
      <w:r w:rsidRPr="00FC544C">
        <w:rPr>
          <w:rFonts w:eastAsia="Times New Roman"/>
          <w:sz w:val="24"/>
          <w:szCs w:val="24"/>
        </w:rPr>
        <w:t xml:space="preserve">, </w:t>
      </w:r>
      <w:r w:rsidRPr="00FC544C">
        <w:rPr>
          <w:rFonts w:eastAsia="Times New Roman"/>
          <w:b/>
          <w:sz w:val="24"/>
          <w:szCs w:val="24"/>
        </w:rPr>
        <w:t>People v. Janes</w:t>
      </w:r>
      <w:r w:rsidRPr="00FC544C">
        <w:rPr>
          <w:rFonts w:eastAsia="Times New Roman"/>
          <w:sz w:val="24"/>
          <w:szCs w:val="24"/>
        </w:rPr>
        <w:t xml:space="preserve">, 982 P.2d 300 (Colo. 1999). In </w:t>
      </w:r>
      <w:r w:rsidRPr="00FC544C">
        <w:rPr>
          <w:rFonts w:eastAsia="Times New Roman"/>
          <w:b/>
          <w:sz w:val="24"/>
          <w:szCs w:val="24"/>
        </w:rPr>
        <w:t>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740 P.2d at 981, the court also set out the specific factual elements which must be proved under the statute.</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3" w:name="a20_13"/>
      <w:bookmarkEnd w:id="13"/>
      <w:r w:rsidRPr="00FC544C">
        <w:rPr>
          <w:rFonts w:eastAsia="Times New Roman"/>
          <w:b/>
          <w:sz w:val="24"/>
          <w:szCs w:val="24"/>
        </w:rPr>
        <w:t xml:space="preserve">20:13 </w:t>
      </w:r>
      <w:r w:rsidRPr="00FC544C">
        <w:rPr>
          <w:rFonts w:eastAsia="Times New Roman"/>
          <w:b/>
          <w:sz w:val="24"/>
          <w:szCs w:val="24"/>
        </w:rPr>
        <w:tab/>
        <w:t>SELF-DEFENSE — FORCE CALCULATED TO INFLICT DEATH OR SERIOUS BODILY INJURY</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When a person acts in self-defense, the person may not use force that is likely to cause death or serious bodily harm, unless the person reasonably believes that he or she is in danger of death or serious bodily harm and that there is no other reasonable means of defense.</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When the evidence shows that a force likely to inflict death or cause serious bodily injury may have been used in self-defense, this instruction, which elaborates more fully the rule stated in numbered paragraph 2 of Instruction 20:12, should also be given. </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the cases cited in the Source and Authority to Instruction 20:12.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Kaufman v. People</w:t>
      </w:r>
      <w:r w:rsidRPr="00FC544C">
        <w:rPr>
          <w:rFonts w:eastAsia="Times New Roman"/>
          <w:sz w:val="24"/>
          <w:szCs w:val="24"/>
        </w:rPr>
        <w:t>, 202 P.3d 542 (Colo. 2009).</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For a discussion of the use of deadly physical force in self-defense under section 18-1-704, C.R.S., see </w:t>
      </w:r>
      <w:r w:rsidRPr="00FC544C">
        <w:rPr>
          <w:rFonts w:eastAsia="Times New Roman"/>
          <w:b/>
          <w:sz w:val="24"/>
          <w:szCs w:val="24"/>
        </w:rPr>
        <w:t>People v. Toler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9 P.3d 341 (Colo. 2000) (no duty to retreat before using deadly force in self-defense except in certain specifically identified circumstances).</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See paragraph 2 of the Source and Authority to Instruction 20:12, which discusses the civil immunity provided in section 18-1-704.5, C.R.S. (“make-my-day” statute).</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4" w:name="a20_14"/>
      <w:bookmarkEnd w:id="14"/>
      <w:r w:rsidRPr="00FC544C">
        <w:rPr>
          <w:rFonts w:eastAsia="Times New Roman"/>
          <w:b/>
          <w:sz w:val="24"/>
          <w:szCs w:val="24"/>
        </w:rPr>
        <w:t xml:space="preserve">20:14 </w:t>
      </w:r>
      <w:r w:rsidRPr="00FC544C">
        <w:rPr>
          <w:rFonts w:eastAsia="Times New Roman"/>
          <w:b/>
          <w:sz w:val="24"/>
          <w:szCs w:val="24"/>
        </w:rPr>
        <w:tab/>
        <w:t>DEFENSE OF ANOTHER PERSON</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defense of another person is proved. This defense is proved if you find all of the following:</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1. The defendant reasonably believed (even if mistakenly) that the plaintiff was making or was about to make (a) (an) (harmful) (or) (offensive) contact with </w:t>
      </w:r>
      <w:r w:rsidRPr="00FC544C">
        <w:rPr>
          <w:rFonts w:eastAsia="Times New Roman"/>
          <w:i/>
          <w:sz w:val="24"/>
          <w:szCs w:val="24"/>
        </w:rPr>
        <w:t>(name of third person)</w:t>
      </w:r>
      <w:r w:rsidRPr="00FC544C">
        <w:rPr>
          <w:rFonts w:eastAsia="Times New Roman"/>
          <w:b/>
          <w:sz w:val="24"/>
          <w:szCs w:val="24"/>
        </w:rPr>
        <w: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2. The defendant reasonably believed (even if mistakenly) that under the circumstances it was necessary for (him) (her) to intervene and use force to protect </w:t>
      </w:r>
      <w:r w:rsidRPr="00FC544C">
        <w:rPr>
          <w:rFonts w:eastAsia="Times New Roman"/>
          <w:i/>
          <w:sz w:val="24"/>
          <w:szCs w:val="24"/>
        </w:rPr>
        <w:t>(name of third person)</w:t>
      </w:r>
      <w:r w:rsidRPr="00FC544C">
        <w:rPr>
          <w:rFonts w:eastAsia="Times New Roman"/>
          <w:b/>
          <w:sz w:val="24"/>
          <w:szCs w:val="24"/>
        </w:rPr>
        <w: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3. The defendant used no more force than a reasonable person would have used under the same or similar circumstances to protect </w:t>
      </w:r>
      <w:r w:rsidRPr="00FC544C">
        <w:rPr>
          <w:rFonts w:eastAsia="Times New Roman"/>
          <w:i/>
          <w:sz w:val="24"/>
          <w:szCs w:val="24"/>
        </w:rPr>
        <w:t>(name of third person)</w:t>
      </w:r>
      <w:r w:rsidRPr="00FC544C">
        <w:rPr>
          <w:rFonts w:eastAsia="Times New Roman"/>
          <w:b/>
          <w:sz w:val="24"/>
          <w:szCs w:val="24"/>
        </w:rPr>
        <w:t xml:space="preserve"> from the actual or threatened contact by the plaintiff.</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2. Omit any numbered paragraph or portions thereof if the facts are not in dispute.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If a force calculated to inflict serious bodily injury or death is involved, it may also be necessary to give Instruction 20:13, appropriately modified.</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 defendant’s intervention further provoked the plaintiff, so that the defendant became entitled to defend him or herself, Instruction 20:12 should also be given, with such modifications as are necessary to make it understandable in the context of the particular case.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5. If there is a dispute as to whether the defendant made or threatened any contact,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smallCaps/>
          <w:sz w:val="24"/>
          <w:szCs w:val="24"/>
        </w:rPr>
        <w:t>W. Page Keeton et al., Prosser and Keeton on the Law of Torts</w:t>
      </w:r>
      <w:r w:rsidRPr="00FC544C">
        <w:rPr>
          <w:rFonts w:eastAsia="Times New Roman"/>
          <w:sz w:val="24"/>
          <w:szCs w:val="24"/>
        </w:rPr>
        <w:t xml:space="preserve"> § 20 (5th ed. 1984); and </w:t>
      </w:r>
      <w:r w:rsidRPr="00FC544C">
        <w:rPr>
          <w:rFonts w:eastAsia="Times New Roman"/>
          <w:smallCaps/>
          <w:sz w:val="24"/>
          <w:szCs w:val="24"/>
        </w:rPr>
        <w:t>Restatement (Second) of Torts</w:t>
      </w:r>
      <w:r w:rsidRPr="00FC544C">
        <w:rPr>
          <w:rFonts w:eastAsia="Times New Roman"/>
          <w:sz w:val="24"/>
          <w:szCs w:val="24"/>
        </w:rPr>
        <w:t xml:space="preserve"> § 76 (1965). </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In defending another person the defendant may have been mistaken, but reasonably so, as to (a) the need for intervention and (b) whether the third person was exercising or could have lawfully exercised his or her own privilege of self-defense. There is a split of authority on the question whether a defendant is entitled to the privilege of defense of another when the defendant has made either one or both of these mistakes, even reasonably.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xml:space="preserve">, § 20. </w:t>
      </w:r>
      <w:r w:rsidRPr="00FC544C">
        <w:rPr>
          <w:rFonts w:eastAsia="Times New Roman"/>
          <w:smallCaps/>
          <w:sz w:val="24"/>
          <w:szCs w:val="24"/>
        </w:rPr>
        <w:t>Restatement</w:t>
      </w:r>
      <w:r w:rsidRPr="00FC544C">
        <w:rPr>
          <w:rFonts w:eastAsia="Times New Roman"/>
          <w:sz w:val="24"/>
          <w:szCs w:val="24"/>
        </w:rPr>
        <w:t xml:space="preserve"> § 76 adopts the view that a reasonable mistake will excuse the defendant. This instruction follows the </w:t>
      </w:r>
      <w:r w:rsidRPr="00FC544C">
        <w:rPr>
          <w:rFonts w:eastAsia="Times New Roman"/>
          <w:smallCaps/>
          <w:sz w:val="24"/>
          <w:szCs w:val="24"/>
        </w:rPr>
        <w:t>Restatement</w:t>
      </w:r>
      <w:r w:rsidRPr="00FC544C">
        <w:rPr>
          <w:rFonts w:eastAsia="Times New Roman"/>
          <w:sz w:val="24"/>
          <w:szCs w:val="24"/>
        </w:rPr>
        <w:t xml:space="preserve"> view which is favored by </w:t>
      </w:r>
      <w:r w:rsidRPr="00FC544C">
        <w:rPr>
          <w:rFonts w:eastAsia="Times New Roman"/>
          <w:smallCaps/>
          <w:sz w:val="24"/>
          <w:szCs w:val="24"/>
        </w:rPr>
        <w:t>W. Prosser &amp; W. Keeton</w:t>
      </w:r>
      <w:r w:rsidRPr="00FC544C">
        <w:rPr>
          <w:rFonts w:eastAsia="Times New Roman"/>
          <w:sz w:val="24"/>
          <w:szCs w:val="24"/>
        </w:rPr>
        <w:t xml:space="preserve"> as being more consistent with the usual rules governing self-defense. </w:t>
      </w:r>
      <w:r w:rsidRPr="00FC544C">
        <w:rPr>
          <w:rFonts w:eastAsia="Times New Roman"/>
          <w:i/>
          <w:sz w:val="24"/>
          <w:szCs w:val="24"/>
        </w:rPr>
        <w:t>See also</w:t>
      </w:r>
      <w:r w:rsidRPr="00FC544C">
        <w:rPr>
          <w:rFonts w:eastAsia="Times New Roman"/>
          <w:sz w:val="24"/>
          <w:szCs w:val="24"/>
        </w:rPr>
        <w:t xml:space="preserve"> 1 </w:t>
      </w:r>
      <w:r w:rsidRPr="00FC544C">
        <w:rPr>
          <w:rFonts w:eastAsia="Times New Roman"/>
          <w:smallCaps/>
          <w:sz w:val="24"/>
          <w:szCs w:val="24"/>
        </w:rPr>
        <w:t>F. Harper et al., Harper, James, and Gray on Torts</w:t>
      </w:r>
      <w:r w:rsidRPr="00FC544C">
        <w:rPr>
          <w:rFonts w:eastAsia="Times New Roman"/>
          <w:sz w:val="24"/>
          <w:szCs w:val="24"/>
        </w:rPr>
        <w:t xml:space="preserve"> § 3.12 (3d ed. 2006).</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3. As in other cases of a privilege to defend persons or property, one may not use more force than is reasonably necessary.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 20.</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See paragraph 2 of the Source and Authority to Instruction 20:12, which discusses the civil immunity provided in section 18-1-704.5, C.R.S. (“make-my-day” statute).</w:t>
      </w:r>
    </w:p>
    <w:p w:rsidR="00FC544C" w:rsidRDefault="00FC544C">
      <w:pPr>
        <w:rPr>
          <w:rFonts w:eastAsia="Times New Roman"/>
          <w:sz w:val="24"/>
          <w:szCs w:val="24"/>
        </w:rPr>
      </w:pPr>
      <w:r>
        <w:rPr>
          <w:rFonts w:eastAsia="Times New Roman"/>
          <w:sz w:val="24"/>
          <w:szCs w:val="24"/>
        </w:rPr>
        <w:br w:type="page"/>
      </w:r>
    </w:p>
    <w:p w:rsidR="00FC544C" w:rsidRPr="009E3DA4" w:rsidRDefault="00DC0393" w:rsidP="00FC544C">
      <w:pPr>
        <w:spacing w:after="240"/>
        <w:ind w:left="720" w:hanging="720"/>
        <w:rPr>
          <w:rFonts w:eastAsia="Times New Roman"/>
          <w:b/>
          <w:sz w:val="24"/>
          <w:szCs w:val="24"/>
        </w:rPr>
      </w:pPr>
      <w:bookmarkStart w:id="15" w:name="a20_15"/>
      <w:bookmarkEnd w:id="15"/>
      <w:r w:rsidRPr="00DC0393">
        <w:rPr>
          <w:rFonts w:eastAsia="Times New Roman"/>
          <w:b/>
          <w:sz w:val="24"/>
          <w:szCs w:val="24"/>
        </w:rPr>
        <w:t xml:space="preserve">20:15 </w:t>
      </w:r>
      <w:r w:rsidRPr="00DC0393">
        <w:rPr>
          <w:rFonts w:eastAsia="Times New Roman"/>
          <w:b/>
          <w:sz w:val="24"/>
          <w:szCs w:val="24"/>
        </w:rPr>
        <w:tab/>
        <w:t>BATTERY DEFENSES — DEFENSE OF REAL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w:t>
      </w:r>
      <w:r w:rsidRPr="00DC0393">
        <w:rPr>
          <w:rFonts w:eastAsia="Times New Roman"/>
          <w:i/>
          <w:sz w:val="24"/>
          <w:szCs w:val="24"/>
        </w:rPr>
        <w:t xml:space="preserve"> </w:t>
      </w:r>
      <w:r w:rsidRPr="00DC0393">
        <w:rPr>
          <w:rFonts w:eastAsia="Times New Roman"/>
          <w:b/>
          <w:sz w:val="24"/>
          <w:szCs w:val="24"/>
        </w:rPr>
        <w:t>on (his) (her) claim of battery if the affirmative defense of defense of real property has been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1. The plaintiff was on the defendant’s property without permission;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Before using any force the defendant (asked) (or) (told) the plaintiff to leave the property and gave (him) (her) a reasonable opportunity to leave (or the defendant reasonably thought that under the circumstances such a request would have been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3. The defendant reasonably thought it was necessary under the circumstances to use force to remove the plaintiff from (his) (her) property;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4. The defendant used reasonable force to remove the plaintiff from his property.</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1. Use whichever parenthesized phrases are appropriate.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2. Omit any numbered paragraph the facts of which are not in dispute.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3. If the plaintiff used force to resist the defendant’s initial, privileged use of force, then the defendant may also be entitled to claim a privilege of self-defense of person. In such circumstances Instruction 20:12 (and, if appropriate, Instruction 20:13) should also be given with this instruction.</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4. If there is a dispute as to whether the defendant used any force,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2. See paragraph 2 of the Source and Authority to Instruction 20:12, which discusses the civil immunity provided in section 18-1-704.5, C.R.S. (“make-my-day” statute).</w:t>
      </w:r>
    </w:p>
    <w:p w:rsidR="00DC0393" w:rsidRDefault="00DC0393">
      <w:pPr>
        <w:rPr>
          <w:rFonts w:eastAsia="Times New Roman"/>
          <w:sz w:val="24"/>
          <w:szCs w:val="24"/>
        </w:rPr>
      </w:pPr>
      <w:r>
        <w:rPr>
          <w:rFonts w:eastAsia="Times New Roman"/>
          <w:sz w:val="24"/>
          <w:szCs w:val="24"/>
        </w:rPr>
        <w:br w:type="page"/>
      </w:r>
    </w:p>
    <w:p w:rsidR="00DC0393" w:rsidRPr="009E3DA4" w:rsidRDefault="00DC0393" w:rsidP="00DC0393">
      <w:pPr>
        <w:spacing w:after="240"/>
        <w:ind w:left="720" w:hanging="720"/>
        <w:rPr>
          <w:rFonts w:eastAsia="Times New Roman"/>
          <w:b/>
          <w:sz w:val="24"/>
          <w:szCs w:val="24"/>
        </w:rPr>
      </w:pPr>
      <w:bookmarkStart w:id="16" w:name="a20_16"/>
      <w:bookmarkEnd w:id="16"/>
      <w:r w:rsidRPr="00DC0393">
        <w:rPr>
          <w:rFonts w:eastAsia="Times New Roman"/>
          <w:b/>
          <w:sz w:val="24"/>
          <w:szCs w:val="24"/>
        </w:rPr>
        <w:t xml:space="preserve">20:16 </w:t>
      </w:r>
      <w:r w:rsidRPr="00DC0393">
        <w:rPr>
          <w:rFonts w:eastAsia="Times New Roman"/>
          <w:b/>
          <w:sz w:val="24"/>
          <w:szCs w:val="24"/>
        </w:rPr>
        <w:tab/>
        <w:t>BATTERY DEFENSES — DEFENSE OF PERSONAL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defense of personal property is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The plaintiff was attempting to interfere with the defendant’s possession (or it reasonably appeared to the defendant that the plaintiff was attempting to interfere with the defendant’s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Before using any force, the defendant (asked) (or) (told) the plaintiff to stop interfering with the defendant’s possession of </w:t>
      </w:r>
      <w:r w:rsidRPr="00DC0393">
        <w:rPr>
          <w:rFonts w:eastAsia="Times New Roman"/>
          <w:i/>
          <w:sz w:val="24"/>
          <w:szCs w:val="24"/>
        </w:rPr>
        <w:t>(insert description of the property)</w:t>
      </w:r>
      <w:r w:rsidRPr="00DC0393">
        <w:rPr>
          <w:rFonts w:eastAsia="Times New Roman"/>
          <w:b/>
          <w:sz w:val="24"/>
          <w:szCs w:val="24"/>
        </w:rPr>
        <w:t xml:space="preserve"> and gave (him) (her) a reasonable opportunity to stop the interference (or the defendant reasonably thought that under the circumstances such a request would be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The defendant reasonably thought that it was necessary under the circumstances to use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used reasonable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w:t>
      </w:r>
    </w:p>
    <w:p w:rsidR="00DC0393" w:rsidRDefault="00DC0393" w:rsidP="00DC0393">
      <w:pPr>
        <w:jc w:val="center"/>
        <w:rPr>
          <w:rFonts w:eastAsia="Times New Roman"/>
          <w:sz w:val="24"/>
          <w:szCs w:val="24"/>
        </w:rPr>
      </w:pPr>
    </w:p>
    <w:p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rsidR="00DC0393" w:rsidRDefault="00DC0393">
      <w:pPr>
        <w:rPr>
          <w:rFonts w:eastAsia="Times New Roman"/>
          <w:sz w:val="24"/>
          <w:szCs w:val="24"/>
        </w:rPr>
      </w:pPr>
      <w:r>
        <w:rPr>
          <w:rFonts w:eastAsia="Times New Roman"/>
          <w:sz w:val="24"/>
          <w:szCs w:val="24"/>
        </w:rPr>
        <w:br w:type="page"/>
      </w:r>
    </w:p>
    <w:p w:rsidR="00DC0393" w:rsidRPr="009E3DA4" w:rsidRDefault="00DC0393" w:rsidP="00DC0393">
      <w:pPr>
        <w:spacing w:after="240"/>
        <w:ind w:left="720" w:hanging="720"/>
        <w:rPr>
          <w:rFonts w:eastAsia="Times New Roman"/>
          <w:b/>
          <w:sz w:val="24"/>
          <w:szCs w:val="24"/>
        </w:rPr>
      </w:pPr>
      <w:bookmarkStart w:id="17" w:name="a20_17"/>
      <w:bookmarkEnd w:id="17"/>
      <w:r w:rsidRPr="00DC0393">
        <w:rPr>
          <w:rFonts w:eastAsia="Times New Roman"/>
          <w:b/>
          <w:sz w:val="24"/>
          <w:szCs w:val="24"/>
        </w:rPr>
        <w:t xml:space="preserve">20:17 </w:t>
      </w:r>
      <w:r w:rsidRPr="00DC0393">
        <w:rPr>
          <w:rFonts w:eastAsia="Times New Roman"/>
          <w:b/>
          <w:sz w:val="24"/>
          <w:szCs w:val="24"/>
        </w:rPr>
        <w:tab/>
        <w:t>BATTERY DEFENSES — RECAPTURE OF PERSONAL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privilege to retake personal property is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2. The plaintiff (took possession of </w:t>
      </w:r>
      <w:r w:rsidRPr="00DC0393">
        <w:rPr>
          <w:rFonts w:eastAsia="Times New Roman"/>
          <w:i/>
          <w:sz w:val="24"/>
          <w:szCs w:val="24"/>
        </w:rPr>
        <w:t xml:space="preserve">[insert description of property] </w:t>
      </w:r>
      <w:r w:rsidRPr="00DC0393">
        <w:rPr>
          <w:rFonts w:eastAsia="Times New Roman"/>
          <w:b/>
          <w:sz w:val="24"/>
          <w:szCs w:val="24"/>
        </w:rPr>
        <w:t xml:space="preserve">either forcibly or fraudulently) (or) (took possession of </w:t>
      </w:r>
      <w:r w:rsidRPr="00DC0393">
        <w:rPr>
          <w:rFonts w:eastAsia="Times New Roman"/>
          <w:i/>
          <w:sz w:val="24"/>
          <w:szCs w:val="24"/>
        </w:rPr>
        <w:t>[insert description of property]</w:t>
      </w:r>
      <w:r w:rsidRPr="00DC0393">
        <w:rPr>
          <w:rFonts w:eastAsia="Times New Roman"/>
          <w:b/>
          <w:sz w:val="24"/>
          <w:szCs w:val="24"/>
        </w:rPr>
        <w:t xml:space="preserve"> from someone else knowing that the other person had forcibly or fraudulently deprived the defendant of [his] [her]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The defendant (either) (was immediately aware that </w:t>
      </w:r>
      <w:r w:rsidRPr="00DC0393">
        <w:rPr>
          <w:rFonts w:eastAsia="Times New Roman"/>
          <w:i/>
          <w:sz w:val="24"/>
          <w:szCs w:val="24"/>
        </w:rPr>
        <w:t xml:space="preserve">[insert description of property] </w:t>
      </w:r>
      <w:r w:rsidRPr="00DC0393">
        <w:rPr>
          <w:rFonts w:eastAsia="Times New Roman"/>
          <w:b/>
          <w:sz w:val="24"/>
          <w:szCs w:val="24"/>
        </w:rPr>
        <w:t xml:space="preserve">had been taken from [his] [her] possession and [he] [she] took prompt action to retake possession) (or) ([he] [she] discovered within a reasonably short period of time that </w:t>
      </w:r>
      <w:r w:rsidRPr="00DC0393">
        <w:rPr>
          <w:rFonts w:eastAsia="Times New Roman"/>
          <w:i/>
          <w:sz w:val="24"/>
          <w:szCs w:val="24"/>
        </w:rPr>
        <w:t>[insert description of property]</w:t>
      </w:r>
      <w:r w:rsidRPr="00DC0393">
        <w:rPr>
          <w:rFonts w:eastAsia="Times New Roman"/>
          <w:b/>
          <w:sz w:val="24"/>
          <w:szCs w:val="24"/>
        </w:rPr>
        <w:t xml:space="preserve"> had been taken from [his] [her] possession and [he] [she] then took prompt action to retake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Before using any force, the defendant (asked) (or) (told) the plaintiff to return </w:t>
      </w:r>
      <w:r w:rsidRPr="00DC0393">
        <w:rPr>
          <w:rFonts w:eastAsia="Times New Roman"/>
          <w:i/>
          <w:sz w:val="24"/>
          <w:szCs w:val="24"/>
        </w:rPr>
        <w:t>(insert description of the property)</w:t>
      </w:r>
      <w:r w:rsidRPr="00DC0393">
        <w:rPr>
          <w:rFonts w:eastAsia="Times New Roman"/>
          <w:b/>
          <w:sz w:val="24"/>
          <w:szCs w:val="24"/>
        </w:rPr>
        <w:t xml:space="preserve"> and gave (him) (her) a reasonable time to do so (or the defendant reasonably thought that under the circumstances such a request would be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reasonably thought it was necessary under the circumstances to use force to retake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6. The defendant used reasonable force to retake possession of </w:t>
      </w:r>
      <w:r w:rsidRPr="00DC0393">
        <w:rPr>
          <w:rFonts w:eastAsia="Times New Roman"/>
          <w:i/>
          <w:sz w:val="24"/>
          <w:szCs w:val="24"/>
        </w:rPr>
        <w:t>(insert description of property)</w:t>
      </w:r>
      <w:r w:rsidRPr="00DC0393">
        <w:rPr>
          <w:rFonts w:eastAsia="Times New Roman"/>
          <w:b/>
          <w:sz w:val="24"/>
          <w:szCs w:val="24"/>
        </w:rPr>
        <w:t>.</w:t>
      </w:r>
    </w:p>
    <w:p w:rsidR="00DC0393" w:rsidRDefault="00DC0393" w:rsidP="00DC0393">
      <w:pPr>
        <w:jc w:val="center"/>
        <w:rPr>
          <w:rFonts w:eastAsia="Times New Roman"/>
          <w:sz w:val="24"/>
          <w:szCs w:val="24"/>
        </w:rPr>
      </w:pPr>
    </w:p>
    <w:p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22, at 137-39 (5th ed. 1984); and </w:t>
      </w:r>
      <w:r w:rsidRPr="00074558">
        <w:rPr>
          <w:rFonts w:eastAsia="Times New Roman"/>
          <w:smallCaps/>
          <w:sz w:val="24"/>
          <w:szCs w:val="24"/>
        </w:rPr>
        <w:t>Restatement (Second) of Torts</w:t>
      </w:r>
      <w:r w:rsidRPr="00DC0393">
        <w:rPr>
          <w:rFonts w:eastAsia="Times New Roman"/>
          <w:sz w:val="24"/>
          <w:szCs w:val="24"/>
        </w:rPr>
        <w:t xml:space="preserve"> §§ 100-106 (1965).</w:t>
      </w:r>
    </w:p>
    <w:p w:rsidR="00642649" w:rsidRPr="004D2C99" w:rsidRDefault="00DC0393" w:rsidP="004D2C99">
      <w:pPr>
        <w:spacing w:after="240"/>
        <w:ind w:firstLine="720"/>
        <w:rPr>
          <w:rFonts w:eastAsia="Times New Roman"/>
          <w:sz w:val="24"/>
          <w:szCs w:val="24"/>
        </w:rPr>
      </w:pPr>
      <w:r w:rsidRPr="00DC0393">
        <w:rPr>
          <w:rFonts w:eastAsia="Times New Roman"/>
          <w:sz w:val="24"/>
          <w:szCs w:val="24"/>
        </w:rPr>
        <w:t xml:space="preserve">2. If the plaintiff lawfully acquired possession, the defense of privilege to recapture is not applicable. </w:t>
      </w:r>
      <w:r w:rsidRPr="00074558">
        <w:rPr>
          <w:rFonts w:eastAsia="Times New Roman"/>
          <w:smallCaps/>
          <w:sz w:val="24"/>
          <w:szCs w:val="24"/>
        </w:rPr>
        <w:t>Prosser and Keeton on the Law of Torts</w:t>
      </w:r>
      <w:r w:rsidRPr="00DC0393">
        <w:rPr>
          <w:rFonts w:eastAsia="Times New Roman"/>
          <w:sz w:val="24"/>
          <w:szCs w:val="24"/>
        </w:rPr>
        <w:t xml:space="preserve">, </w:t>
      </w:r>
      <w:r w:rsidRPr="00DC0393">
        <w:rPr>
          <w:rFonts w:eastAsia="Times New Roman"/>
          <w:i/>
          <w:sz w:val="24"/>
          <w:szCs w:val="24"/>
        </w:rPr>
        <w:t>supra</w:t>
      </w:r>
      <w:r w:rsidRPr="00DC0393">
        <w:rPr>
          <w:rFonts w:eastAsia="Times New Roman"/>
          <w:sz w:val="24"/>
          <w:szCs w:val="24"/>
        </w:rPr>
        <w:t>, § 22, at 138.</w:t>
      </w:r>
    </w:p>
    <w:sectPr w:rsidR="00642649" w:rsidRPr="004D2C9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13" w:rsidRDefault="00BB4613" w:rsidP="0054263B">
      <w:r>
        <w:separator/>
      </w:r>
    </w:p>
    <w:p w:rsidR="00BB4613" w:rsidRDefault="00BB4613"/>
  </w:endnote>
  <w:endnote w:type="continuationSeparator" w:id="0">
    <w:p w:rsidR="00BB4613" w:rsidRDefault="00BB4613" w:rsidP="0054263B">
      <w:r>
        <w:continuationSeparator/>
      </w:r>
    </w:p>
    <w:p w:rsidR="00BB4613" w:rsidRDefault="00BB4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074558" w:rsidRDefault="00074558">
        <w:pPr>
          <w:pStyle w:val="Footer"/>
          <w:jc w:val="center"/>
        </w:pPr>
        <w:r>
          <w:fldChar w:fldCharType="begin"/>
        </w:r>
        <w:r>
          <w:instrText xml:space="preserve"> PAGE   \* MERGEFORMAT </w:instrText>
        </w:r>
        <w:r>
          <w:fldChar w:fldCharType="separate"/>
        </w:r>
        <w:r w:rsidR="00894209">
          <w:rPr>
            <w:noProof/>
          </w:rPr>
          <w:t>3</w:t>
        </w:r>
        <w:r>
          <w:rPr>
            <w:noProof/>
          </w:rPr>
          <w:fldChar w:fldCharType="end"/>
        </w:r>
      </w:p>
    </w:sdtContent>
  </w:sdt>
  <w:p w:rsidR="00074558" w:rsidRDefault="00074558">
    <w:pPr>
      <w:pStyle w:val="Footer"/>
    </w:pPr>
  </w:p>
  <w:p w:rsidR="00074558" w:rsidRDefault="000745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13" w:rsidRDefault="00BB4613" w:rsidP="0054263B">
      <w:r>
        <w:separator/>
      </w:r>
    </w:p>
    <w:p w:rsidR="00BB4613" w:rsidRDefault="00BB4613"/>
  </w:footnote>
  <w:footnote w:type="continuationSeparator" w:id="0">
    <w:p w:rsidR="00BB4613" w:rsidRDefault="00BB4613" w:rsidP="0054263B">
      <w:r>
        <w:continuationSeparator/>
      </w:r>
    </w:p>
    <w:p w:rsidR="00BB4613" w:rsidRDefault="00BB46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6367C"/>
    <w:rsid w:val="00074558"/>
    <w:rsid w:val="000824C8"/>
    <w:rsid w:val="00085495"/>
    <w:rsid w:val="000921F1"/>
    <w:rsid w:val="000962C8"/>
    <w:rsid w:val="000A040F"/>
    <w:rsid w:val="000B1B7A"/>
    <w:rsid w:val="000C204E"/>
    <w:rsid w:val="000C503A"/>
    <w:rsid w:val="000C6F97"/>
    <w:rsid w:val="000C733C"/>
    <w:rsid w:val="000D4856"/>
    <w:rsid w:val="000F205C"/>
    <w:rsid w:val="001117D9"/>
    <w:rsid w:val="00112C8E"/>
    <w:rsid w:val="00112FF9"/>
    <w:rsid w:val="00125209"/>
    <w:rsid w:val="00126B7A"/>
    <w:rsid w:val="00144917"/>
    <w:rsid w:val="001608FF"/>
    <w:rsid w:val="001671A9"/>
    <w:rsid w:val="00172674"/>
    <w:rsid w:val="00174BB5"/>
    <w:rsid w:val="0018388B"/>
    <w:rsid w:val="001903CB"/>
    <w:rsid w:val="001913B1"/>
    <w:rsid w:val="00191498"/>
    <w:rsid w:val="00191C86"/>
    <w:rsid w:val="001A2648"/>
    <w:rsid w:val="001E0F3B"/>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3F7E"/>
    <w:rsid w:val="002A23B0"/>
    <w:rsid w:val="002A6EC7"/>
    <w:rsid w:val="002B5FCF"/>
    <w:rsid w:val="002D163D"/>
    <w:rsid w:val="002E0970"/>
    <w:rsid w:val="002E562A"/>
    <w:rsid w:val="002F0E75"/>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425AA"/>
    <w:rsid w:val="00456038"/>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3A78"/>
    <w:rsid w:val="005C56C9"/>
    <w:rsid w:val="005C5CCB"/>
    <w:rsid w:val="005D1AD3"/>
    <w:rsid w:val="005D3156"/>
    <w:rsid w:val="005E712D"/>
    <w:rsid w:val="005F1017"/>
    <w:rsid w:val="005F19FD"/>
    <w:rsid w:val="005F5A94"/>
    <w:rsid w:val="006272FE"/>
    <w:rsid w:val="00631BFF"/>
    <w:rsid w:val="00642649"/>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4209"/>
    <w:rsid w:val="00895065"/>
    <w:rsid w:val="008A1099"/>
    <w:rsid w:val="008A475A"/>
    <w:rsid w:val="008A6339"/>
    <w:rsid w:val="008A637B"/>
    <w:rsid w:val="008B1617"/>
    <w:rsid w:val="008C173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C0C3F"/>
    <w:rsid w:val="009E20C7"/>
    <w:rsid w:val="009E3DA4"/>
    <w:rsid w:val="009F581C"/>
    <w:rsid w:val="00A005E6"/>
    <w:rsid w:val="00A06ED6"/>
    <w:rsid w:val="00A10F3D"/>
    <w:rsid w:val="00A110C7"/>
    <w:rsid w:val="00A36457"/>
    <w:rsid w:val="00A50F20"/>
    <w:rsid w:val="00A632A0"/>
    <w:rsid w:val="00A73AE6"/>
    <w:rsid w:val="00A76341"/>
    <w:rsid w:val="00A80C10"/>
    <w:rsid w:val="00A82D0A"/>
    <w:rsid w:val="00A85AAA"/>
    <w:rsid w:val="00A92C18"/>
    <w:rsid w:val="00AB2019"/>
    <w:rsid w:val="00AB71A7"/>
    <w:rsid w:val="00AC78F7"/>
    <w:rsid w:val="00AD4B56"/>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613"/>
    <w:rsid w:val="00BC49BF"/>
    <w:rsid w:val="00BC65EF"/>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F022D4"/>
    <w:rsid w:val="00F062A4"/>
    <w:rsid w:val="00F32AA4"/>
    <w:rsid w:val="00F573CF"/>
    <w:rsid w:val="00F57A2B"/>
    <w:rsid w:val="00F658E5"/>
    <w:rsid w:val="00F764F4"/>
    <w:rsid w:val="00F86F49"/>
    <w:rsid w:val="00FA333E"/>
    <w:rsid w:val="00FA7B76"/>
    <w:rsid w:val="00FC544C"/>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5588</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2018-02-15T05:45:00Z</dcterms:created>
  <dcterms:modified xsi:type="dcterms:W3CDTF">2018-02-15T05:46:00Z</dcterms:modified>
</cp:coreProperties>
</file>