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073F4">
        <w:t>27</w:t>
      </w:r>
    </w:p>
    <w:p w:rsidR="00EC7C98" w:rsidRPr="00914128" w:rsidRDefault="006073F4" w:rsidP="00914128">
      <w:pPr>
        <w:pStyle w:val="Heading1"/>
      </w:pPr>
      <w:r w:rsidRPr="006073F4">
        <w:t>CIVIL CONSPIRACY</w:t>
      </w:r>
    </w:p>
    <w:p w:rsidR="00EC7C98" w:rsidRDefault="00457617" w:rsidP="00914128">
      <w:pPr>
        <w:pStyle w:val="ToC"/>
      </w:pPr>
      <w:hyperlink w:anchor="a27_01" w:history="1">
        <w:r w:rsidR="00590DCC" w:rsidRPr="00590DCC">
          <w:rPr>
            <w:rStyle w:val="Hyperlink"/>
          </w:rPr>
          <w:t>27:1</w:t>
        </w:r>
      </w:hyperlink>
      <w:r w:rsidR="00590DCC" w:rsidRPr="00590DCC">
        <w:t xml:space="preserve"> </w:t>
      </w:r>
      <w:r w:rsidR="00590DCC" w:rsidRPr="00590DCC">
        <w:tab/>
        <w:t xml:space="preserve">Elements </w:t>
      </w:r>
      <w:r w:rsidR="00590DCC">
        <w:t>o</w:t>
      </w:r>
      <w:r w:rsidR="00590DCC" w:rsidRPr="00590DCC">
        <w:t>f Liability</w:t>
      </w:r>
    </w:p>
    <w:p w:rsidR="00590DCC" w:rsidRDefault="00457617" w:rsidP="00914128">
      <w:pPr>
        <w:pStyle w:val="ToC"/>
      </w:pPr>
      <w:hyperlink w:anchor="a27_02" w:history="1">
        <w:r w:rsidR="00590DCC" w:rsidRPr="00590DCC">
          <w:rPr>
            <w:rStyle w:val="Hyperlink"/>
          </w:rPr>
          <w:t>27:2</w:t>
        </w:r>
      </w:hyperlink>
      <w:r w:rsidR="00590DCC" w:rsidRPr="00590DCC">
        <w:t xml:space="preserve"> </w:t>
      </w:r>
      <w:r w:rsidR="00590DCC" w:rsidRPr="00590DCC">
        <w:tab/>
        <w:t>Unlawful Means — Defined</w:t>
      </w:r>
    </w:p>
    <w:p w:rsidR="00590DCC" w:rsidRDefault="00457617" w:rsidP="00914128">
      <w:pPr>
        <w:pStyle w:val="ToC"/>
      </w:pPr>
      <w:hyperlink w:anchor="a27_03" w:history="1">
        <w:r w:rsidR="00590DCC" w:rsidRPr="00590DCC">
          <w:rPr>
            <w:rStyle w:val="Hyperlink"/>
          </w:rPr>
          <w:t>27:3</w:t>
        </w:r>
      </w:hyperlink>
      <w:r w:rsidR="00590DCC" w:rsidRPr="00590DCC">
        <w:t xml:space="preserve"> </w:t>
      </w:r>
      <w:r w:rsidR="00590DCC" w:rsidRPr="00590DCC">
        <w:tab/>
        <w:t>Unlawful Goal — Defined</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073F4" w:rsidP="00CC0502">
      <w:pPr>
        <w:spacing w:after="240"/>
        <w:ind w:left="720" w:hanging="720"/>
        <w:rPr>
          <w:rFonts w:eastAsia="Times New Roman"/>
          <w:b/>
          <w:sz w:val="24"/>
          <w:szCs w:val="24"/>
        </w:rPr>
      </w:pPr>
      <w:bookmarkStart w:id="1" w:name="a27_01"/>
      <w:bookmarkEnd w:id="1"/>
      <w:r w:rsidRPr="006073F4">
        <w:rPr>
          <w:rFonts w:eastAsia="Times New Roman"/>
          <w:b/>
          <w:sz w:val="24"/>
          <w:szCs w:val="24"/>
        </w:rPr>
        <w:lastRenderedPageBreak/>
        <w:t xml:space="preserve">27:1 </w:t>
      </w:r>
      <w:r w:rsidRPr="006073F4">
        <w:rPr>
          <w:rFonts w:eastAsia="Times New Roman"/>
          <w:b/>
          <w:sz w:val="24"/>
          <w:szCs w:val="24"/>
        </w:rPr>
        <w:tab/>
        <w:t>ELEMENTS OF LIABILITY</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For the plaintiff, </w:t>
      </w:r>
      <w:r w:rsidRPr="006073F4">
        <w:rPr>
          <w:rFonts w:eastAsia="Times New Roman"/>
          <w:i/>
          <w:sz w:val="24"/>
          <w:szCs w:val="24"/>
        </w:rPr>
        <w:t>(name)</w:t>
      </w:r>
      <w:r w:rsidRPr="006073F4">
        <w:rPr>
          <w:rFonts w:eastAsia="Times New Roman"/>
          <w:b/>
          <w:sz w:val="24"/>
          <w:szCs w:val="24"/>
        </w:rPr>
        <w:t xml:space="preserve">, to recover from the defendant(s) </w:t>
      </w:r>
      <w:r w:rsidRPr="006073F4">
        <w:rPr>
          <w:rFonts w:eastAsia="Times New Roman"/>
          <w:i/>
          <w:sz w:val="24"/>
          <w:szCs w:val="24"/>
        </w:rPr>
        <w:t>(name[s])</w:t>
      </w:r>
      <w:r w:rsidRPr="006073F4">
        <w:rPr>
          <w:rFonts w:eastAsia="Times New Roman"/>
          <w:b/>
          <w:sz w:val="24"/>
          <w:szCs w:val="24"/>
        </w:rPr>
        <w:t>, on (his) (her) claim of civil conspiracy, you must find that all of the following have been proved by a preponderance of the evidence:</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1. The defendant(s) (and at least one other person) agreed, by words or conduct, to (accomplish an unlawful goal) (or) (accomplish a goal through unlawful means);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2. (One or more unlawful acts were performed to accomplish the goal) (or) (one or more acts were performed to accomplish the unlawful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3. The plaintiff had (injuries) (damages) (losses); and</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4. The plaintiff’s (injuries) (damages) (losses) were caused by the acts performed to accomplish the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If you find that any one or more of these </w:t>
      </w:r>
      <w:r w:rsidRPr="006073F4">
        <w:rPr>
          <w:rFonts w:eastAsia="Times New Roman"/>
          <w:i/>
          <w:sz w:val="24"/>
          <w:szCs w:val="24"/>
        </w:rPr>
        <w:t>(number)</w:t>
      </w:r>
      <w:r w:rsidRPr="006073F4">
        <w:rPr>
          <w:rFonts w:eastAsia="Times New Roman"/>
          <w:b/>
          <w:sz w:val="24"/>
          <w:szCs w:val="24"/>
        </w:rPr>
        <w:t xml:space="preserve"> statements has not been proved, then your verdict must be for the defendant(s).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On the other hand, if you find that all of these </w:t>
      </w:r>
      <w:r w:rsidRPr="006073F4">
        <w:rPr>
          <w:rFonts w:eastAsia="Times New Roman"/>
          <w:i/>
          <w:sz w:val="24"/>
          <w:szCs w:val="24"/>
        </w:rPr>
        <w:t>(number)</w:t>
      </w:r>
      <w:r w:rsidRPr="006073F4">
        <w:rPr>
          <w:rFonts w:eastAsia="Times New Roman"/>
          <w:b/>
          <w:sz w:val="24"/>
          <w:szCs w:val="24"/>
        </w:rPr>
        <w:t xml:space="preserve"> statements have been proved, (then your verdict must be for the plaintiff) (then you must consider the defendant’s affirmative defense(s) of </w:t>
      </w:r>
      <w:r w:rsidRPr="006073F4">
        <w:rPr>
          <w:rFonts w:eastAsia="Times New Roman"/>
          <w:i/>
          <w:sz w:val="24"/>
          <w:szCs w:val="24"/>
        </w:rPr>
        <w:t>[insert any affirmative defense that would be a complete defense to plaintiff’s claim]</w:t>
      </w:r>
      <w:r w:rsidRPr="006073F4">
        <w:rPr>
          <w:rFonts w:eastAsia="Times New Roman"/>
          <w:b/>
          <w:sz w:val="24"/>
          <w:szCs w:val="24"/>
        </w:rPr>
        <w: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1. Omit any numbered paragraph, the facts of which are not in dispute.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If the defendant has put no affirmative defense in issue or there is insufficient evidence to support a defense, the last two paragraphs should be omitted.</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Though mitigation of damages is an affirmative defense, </w:t>
      </w:r>
      <w:r w:rsidRPr="006073F4">
        <w:rPr>
          <w:rFonts w:eastAsia="Times New Roman"/>
          <w:i/>
          <w:sz w:val="24"/>
          <w:szCs w:val="24"/>
        </w:rPr>
        <w:t>see</w:t>
      </w:r>
      <w:r w:rsidRPr="006073F4">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lastRenderedPageBreak/>
        <w:t xml:space="preserve">4. Other appropriate instructions defining the terms used in this instruction must also be given with this instruction, in particular an instruction or instructions relating to causation. </w:t>
      </w:r>
      <w:r w:rsidRPr="006073F4">
        <w:rPr>
          <w:rFonts w:eastAsia="Times New Roman"/>
          <w:i/>
          <w:sz w:val="24"/>
          <w:szCs w:val="24"/>
        </w:rPr>
        <w:t>See</w:t>
      </w:r>
      <w:r w:rsidRPr="006073F4">
        <w:rPr>
          <w:rFonts w:eastAsia="Times New Roman"/>
          <w:sz w:val="24"/>
          <w:szCs w:val="24"/>
        </w:rPr>
        <w:t xml:space="preserve"> Instructions 9:18 to 9:21.</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5. For the definition of “unlawful means,” see Instruction 27:2 and for the definition of “unlawful goal,” see Instruction 27:3.</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1. This instruction is supported by </w:t>
      </w:r>
      <w:r w:rsidRPr="006073F4">
        <w:rPr>
          <w:rFonts w:eastAsia="Times New Roman"/>
          <w:b/>
          <w:sz w:val="24"/>
          <w:szCs w:val="24"/>
        </w:rPr>
        <w:t>Jet Courier Service, Inc. v. Mulei</w:t>
      </w:r>
      <w:r w:rsidRPr="006073F4">
        <w:rPr>
          <w:rFonts w:eastAsia="Times New Roman"/>
          <w:sz w:val="24"/>
          <w:szCs w:val="24"/>
        </w:rPr>
        <w:t xml:space="preserve">, 771 P.2d 486 (Colo. 1989); </w:t>
      </w:r>
      <w:r w:rsidRPr="006073F4">
        <w:rPr>
          <w:rFonts w:eastAsia="Times New Roman"/>
          <w:b/>
          <w:sz w:val="24"/>
          <w:szCs w:val="24"/>
        </w:rPr>
        <w:t>Nelson v. Elway</w:t>
      </w:r>
      <w:r w:rsidRPr="006073F4">
        <w:rPr>
          <w:rFonts w:eastAsia="Times New Roman"/>
          <w:sz w:val="24"/>
          <w:szCs w:val="24"/>
        </w:rPr>
        <w:t xml:space="preserve">, 908 P.2d 102 (Colo. 1995) (unlawful overt act not established); </w:t>
      </w:r>
      <w:r w:rsidRPr="006073F4">
        <w:rPr>
          <w:rFonts w:eastAsia="Times New Roman"/>
          <w:b/>
          <w:sz w:val="24"/>
          <w:szCs w:val="24"/>
        </w:rPr>
        <w:t>Contract Maintenance Co. v. Local No.</w:t>
      </w:r>
      <w:r w:rsidRPr="006073F4">
        <w:rPr>
          <w:rFonts w:eastAsia="Times New Roman"/>
          <w:sz w:val="24"/>
          <w:szCs w:val="24"/>
        </w:rPr>
        <w:t xml:space="preserve"> </w:t>
      </w:r>
      <w:r w:rsidRPr="006073F4">
        <w:rPr>
          <w:rFonts w:eastAsia="Times New Roman"/>
          <w:b/>
          <w:sz w:val="24"/>
          <w:szCs w:val="24"/>
        </w:rPr>
        <w:t>105</w:t>
      </w:r>
      <w:r w:rsidRPr="006073F4">
        <w:rPr>
          <w:rFonts w:eastAsia="Times New Roman"/>
          <w:sz w:val="24"/>
          <w:szCs w:val="24"/>
        </w:rPr>
        <w:t xml:space="preserve">, 160 Colo. 190, 415 P.2d 855 (1966); </w:t>
      </w:r>
      <w:r w:rsidRPr="006073F4">
        <w:rPr>
          <w:rFonts w:eastAsia="Times New Roman"/>
          <w:b/>
          <w:sz w:val="24"/>
          <w:szCs w:val="24"/>
        </w:rPr>
        <w:t>Lockwood Grader Corp. v. Bockhaus</w:t>
      </w:r>
      <w:r w:rsidRPr="006073F4">
        <w:rPr>
          <w:rFonts w:eastAsia="Times New Roman"/>
          <w:sz w:val="24"/>
          <w:szCs w:val="24"/>
        </w:rPr>
        <w:t xml:space="preserve">, 129 Colo. 339, 270 P.2d 193 (1954); </w:t>
      </w:r>
      <w:r w:rsidRPr="006073F4">
        <w:rPr>
          <w:rFonts w:eastAsia="Times New Roman"/>
          <w:b/>
          <w:sz w:val="24"/>
          <w:szCs w:val="24"/>
        </w:rPr>
        <w:t>Walker v. Van Laningham</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148 P.3d 391 (Colo. App. 2006); </w:t>
      </w:r>
      <w:r w:rsidRPr="006073F4">
        <w:rPr>
          <w:rFonts w:eastAsia="Times New Roman"/>
          <w:b/>
          <w:sz w:val="24"/>
          <w:szCs w:val="24"/>
        </w:rPr>
        <w:t>Stauffer v. Stegemann</w:t>
      </w:r>
      <w:r w:rsidRPr="006073F4">
        <w:rPr>
          <w:rFonts w:eastAsia="Times New Roman"/>
          <w:sz w:val="24"/>
          <w:szCs w:val="24"/>
        </w:rPr>
        <w:t xml:space="preserve">, 165 P.3d 713 (Colo. App. 2006); </w:t>
      </w:r>
      <w:r w:rsidRPr="006073F4">
        <w:rPr>
          <w:rFonts w:eastAsia="Times New Roman"/>
          <w:b/>
          <w:sz w:val="24"/>
          <w:szCs w:val="24"/>
        </w:rPr>
        <w:t>Telluride Real Estate Co. v. Penthouse Affiliates,</w:t>
      </w:r>
      <w:r w:rsidRPr="006073F4">
        <w:rPr>
          <w:rFonts w:eastAsia="Times New Roman"/>
          <w:sz w:val="24"/>
          <w:szCs w:val="24"/>
        </w:rPr>
        <w:t xml:space="preserve"> </w:t>
      </w:r>
      <w:r w:rsidRPr="006073F4">
        <w:rPr>
          <w:rFonts w:eastAsia="Times New Roman"/>
          <w:b/>
          <w:sz w:val="24"/>
          <w:szCs w:val="24"/>
        </w:rPr>
        <w:t>L.L.C.</w:t>
      </w:r>
      <w:r w:rsidRPr="006073F4">
        <w:rPr>
          <w:rFonts w:eastAsia="Times New Roman"/>
          <w:sz w:val="24"/>
          <w:szCs w:val="24"/>
        </w:rPr>
        <w:t xml:space="preserve">, 996 P.2d 151 (Colo. App. 1999); </w:t>
      </w:r>
      <w:r w:rsidRPr="006073F4">
        <w:rPr>
          <w:rFonts w:eastAsia="Times New Roman"/>
          <w:b/>
          <w:sz w:val="24"/>
          <w:szCs w:val="24"/>
        </w:rPr>
        <w:t>Magin v. DVCO Fuel Systems, Inc.</w:t>
      </w:r>
      <w:r w:rsidRPr="006073F4">
        <w:rPr>
          <w:rFonts w:eastAsia="Times New Roman"/>
          <w:sz w:val="24"/>
          <w:szCs w:val="24"/>
        </w:rPr>
        <w:t xml:space="preserve">, 981 P.2d 673 (Colo. App. 1999); and </w:t>
      </w:r>
      <w:r w:rsidRPr="006073F4">
        <w:rPr>
          <w:rFonts w:eastAsia="Times New Roman"/>
          <w:b/>
          <w:sz w:val="24"/>
          <w:szCs w:val="24"/>
        </w:rPr>
        <w:t>Electrolux Corp. v. Lawson</w:t>
      </w:r>
      <w:r w:rsidRPr="006073F4">
        <w:rPr>
          <w:rFonts w:eastAsia="Times New Roman"/>
          <w:sz w:val="24"/>
          <w:szCs w:val="24"/>
        </w:rPr>
        <w:t>, 654 P.2d 340 (Colo. App. 1982).</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The cases require an overt act, but do not suggest that an affirmative act covertly done does not constitute an “overt” act. A bad thought does not in itself suffice. The word “overt” has not been used in this instruction because that requirement is covered by the word “performed” in the second numbered paragraph.</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Personal jurisdiction in Colorado for civil conspiracy requires an act by a Colorado resident co-conspirator before the Court could potentially have personal jurisdiction over foreign co-conspirator defendants. </w:t>
      </w:r>
      <w:r w:rsidRPr="006073F4">
        <w:rPr>
          <w:rFonts w:eastAsia="Times New Roman"/>
          <w:b/>
          <w:sz w:val="24"/>
          <w:szCs w:val="24"/>
        </w:rPr>
        <w:t>Giduck v. Niblett</w:t>
      </w:r>
      <w:r w:rsidRPr="006073F4">
        <w:rPr>
          <w:rFonts w:eastAsia="Times New Roman"/>
          <w:sz w:val="24"/>
          <w:szCs w:val="24"/>
        </w:rPr>
        <w:t>, 2014 COA 86, ¶ 25</w:t>
      </w:r>
      <w:r w:rsidR="007A2B10">
        <w:rPr>
          <w:rFonts w:eastAsia="Times New Roman"/>
          <w:sz w:val="24"/>
          <w:szCs w:val="24"/>
        </w:rPr>
        <w:t>, 408 P.3d 856</w:t>
      </w:r>
      <w:r w:rsidRPr="006073F4">
        <w:rPr>
          <w:rFonts w:eastAsia="Times New Roman"/>
          <w:sz w:val="24"/>
          <w:szCs w:val="24"/>
        </w:rPr>
        <w:t xml:space="preserve"> (reserving for another day the question of whether a civil conspiracy could potentially establish personal jurisdiction in Colorado).</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4. A claim for damages arising from a civil conspiracy may be pled as a separate claim, and liability may be imposed on a single defendant for conspiratorial acts with others who have not been joined in the action. In such a case, liability may be imposed upon a defendant for the fault of all other joint tortfeasors, regardless of whether they have settled with the plaintiff and not been joined in the action. </w:t>
      </w:r>
      <w:r w:rsidRPr="006073F4">
        <w:rPr>
          <w:rFonts w:eastAsia="Times New Roman"/>
          <w:b/>
          <w:sz w:val="24"/>
          <w:szCs w:val="24"/>
        </w:rPr>
        <w:t>Pierce v. Wiglesworth</w:t>
      </w:r>
      <w:r w:rsidRPr="006073F4">
        <w:rPr>
          <w:rFonts w:eastAsia="Times New Roman"/>
          <w:sz w:val="24"/>
          <w:szCs w:val="24"/>
        </w:rPr>
        <w:t>, 903 P.2d 656 (Colo. App. 1994).</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5. To establish a claim for civil conspiracy, an express agreement is not necessary. However, there must be some indicia of an agreement. </w:t>
      </w:r>
      <w:r w:rsidRPr="006073F4">
        <w:rPr>
          <w:rFonts w:eastAsia="Times New Roman"/>
          <w:b/>
          <w:sz w:val="24"/>
          <w:szCs w:val="24"/>
        </w:rPr>
        <w:t>Saint John’s Church v. Scott</w:t>
      </w:r>
      <w:r w:rsidRPr="006073F4">
        <w:rPr>
          <w:rFonts w:eastAsia="Times New Roman"/>
          <w:sz w:val="24"/>
          <w:szCs w:val="24"/>
        </w:rPr>
        <w:t xml:space="preserve">, 194 P.3d 475 (Colo. App. 2008) (evidence of conspiracy to commit a public nuisance sufficient where two defendants were part of a small group with a long history of active demonstrations, both made plans to attend protest, both met with protest group about the demonstration, and one provided the other with signs for protest); </w:t>
      </w:r>
      <w:r w:rsidRPr="006073F4">
        <w:rPr>
          <w:rFonts w:eastAsia="Times New Roman"/>
          <w:b/>
          <w:sz w:val="24"/>
          <w:szCs w:val="24"/>
        </w:rPr>
        <w:t>Double Oak Constr., L.L.C. v. Cornerstone Dev. Int’l, L.L.C.</w:t>
      </w:r>
      <w:r w:rsidRPr="006073F4">
        <w:rPr>
          <w:rFonts w:eastAsia="Times New Roman"/>
          <w:sz w:val="24"/>
          <w:szCs w:val="24"/>
        </w:rPr>
        <w:t xml:space="preserve">, 97 P.3d 140 (Colo. App. 2003) (fraudulent conveyance); </w:t>
      </w:r>
      <w:r w:rsidRPr="006073F4">
        <w:rPr>
          <w:rFonts w:eastAsia="Times New Roman"/>
          <w:b/>
          <w:sz w:val="24"/>
          <w:szCs w:val="24"/>
        </w:rPr>
        <w:t>Schneider v. Midtown Motor Co.</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854 P.2d 1322 (Colo. App. 1992).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6. A claim for civil conspiracy is a derivative cause of action; therefore, if the acts constituting the underlying wrong do not provide the basis for an independent cause of action, there is no cause of action for the conspiracy itself. </w:t>
      </w:r>
      <w:r w:rsidRPr="006073F4">
        <w:rPr>
          <w:rFonts w:eastAsia="Times New Roman"/>
          <w:b/>
          <w:sz w:val="24"/>
          <w:szCs w:val="24"/>
        </w:rPr>
        <w:t>Double Oak Constr., L.L.C.</w:t>
      </w:r>
      <w:r w:rsidRPr="006073F4">
        <w:rPr>
          <w:rFonts w:eastAsia="Times New Roman"/>
          <w:sz w:val="24"/>
          <w:szCs w:val="24"/>
        </w:rPr>
        <w:t xml:space="preserve">, 97 P.3d at </w:t>
      </w:r>
      <w:r w:rsidRPr="006073F4">
        <w:rPr>
          <w:rFonts w:eastAsia="Times New Roman"/>
          <w:sz w:val="24"/>
          <w:szCs w:val="24"/>
        </w:rPr>
        <w:lastRenderedPageBreak/>
        <w:t>146;</w:t>
      </w:r>
      <w:r w:rsidRPr="006073F4">
        <w:rPr>
          <w:rFonts w:eastAsia="Times New Roman"/>
          <w:b/>
          <w:sz w:val="24"/>
          <w:szCs w:val="24"/>
        </w:rPr>
        <w:t xml:space="preserve"> Condo v. Conners</w:t>
      </w:r>
      <w:r w:rsidRPr="006073F4">
        <w:rPr>
          <w:rFonts w:eastAsia="Times New Roman"/>
          <w:sz w:val="24"/>
          <w:szCs w:val="24"/>
        </w:rPr>
        <w:t xml:space="preserve">, 271 P.3d 524 (Colo. App. 2010) (absent evidence of tortious interference with contract, there was no unlawful overt act to support a claim of civil conspiracy), </w:t>
      </w:r>
      <w:r w:rsidRPr="006073F4">
        <w:rPr>
          <w:rFonts w:eastAsia="Times New Roman"/>
          <w:i/>
          <w:sz w:val="24"/>
          <w:szCs w:val="24"/>
        </w:rPr>
        <w:t>aff’d</w:t>
      </w:r>
      <w:r w:rsidRPr="006073F4">
        <w:rPr>
          <w:rFonts w:eastAsia="Times New Roman"/>
          <w:sz w:val="24"/>
          <w:szCs w:val="24"/>
        </w:rPr>
        <w:t xml:space="preserve">, 266 P.3d 1110 (Colo. 2011).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7. Courts have generally held that an attorney acting within the scope of his employment cannot conspire with his client unless the attorney has also acted for his sole personal benefit. However, other courts have recognized additional bases for a viable civil conspiracy claim, such as when an attorney engages in fraud or breaches an independent duty to a third person. </w:t>
      </w:r>
      <w:r w:rsidRPr="006073F4">
        <w:rPr>
          <w:rFonts w:eastAsia="Times New Roman"/>
          <w:b/>
          <w:sz w:val="24"/>
          <w:szCs w:val="24"/>
        </w:rPr>
        <w:t>Semler v. Hellerstein</w:t>
      </w:r>
      <w:r w:rsidRPr="006073F4">
        <w:rPr>
          <w:rFonts w:eastAsia="Times New Roman"/>
          <w:sz w:val="24"/>
          <w:szCs w:val="24"/>
        </w:rPr>
        <w:t>, 2016 COA 143, ¶ 32 (affirming dismissal of civil conspiracy claim because the plaintiff failed to allege that the defendant lawyer “acted for his own personal gain or otherwise acted outside the scope of his legal representation”)</w:t>
      </w:r>
      <w:r w:rsidR="00260F67">
        <w:rPr>
          <w:rFonts w:eastAsia="Times New Roman"/>
          <w:sz w:val="24"/>
          <w:szCs w:val="24"/>
        </w:rPr>
        <w:t xml:space="preserve">, </w:t>
      </w:r>
      <w:r w:rsidRPr="006073F4">
        <w:rPr>
          <w:rFonts w:eastAsia="Times New Roman"/>
          <w:i/>
          <w:sz w:val="24"/>
          <w:szCs w:val="24"/>
        </w:rPr>
        <w:t>cert. granted on other grounds</w:t>
      </w:r>
      <w:r w:rsidR="00260F67">
        <w:rPr>
          <w:rFonts w:eastAsia="Times New Roman"/>
          <w:sz w:val="24"/>
          <w:szCs w:val="24"/>
        </w:rPr>
        <w:t>,</w:t>
      </w:r>
      <w:r w:rsidRPr="006073F4">
        <w:rPr>
          <w:rFonts w:eastAsia="Times New Roman"/>
          <w:sz w:val="24"/>
          <w:szCs w:val="24"/>
        </w:rPr>
        <w:t xml:space="preserve"> March 20, 2017.</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8. Section 13-21-111.5(4), C.R.S., provides that defendants who consciously conspire and deliberately pursue a common plan or design to commit a tortious act shall be jointly liable to a plaintiff, rather than only individually liable for their proportion of personal fault. Section 13-21-111.5(4), however, does not list all of the elements of the independent tort of civil conspiracy. </w:t>
      </w:r>
      <w:r w:rsidRPr="006073F4">
        <w:rPr>
          <w:rFonts w:eastAsia="Times New Roman"/>
          <w:b/>
          <w:sz w:val="24"/>
          <w:szCs w:val="24"/>
        </w:rPr>
        <w:t>Resolution Tr. Corp. v. Heiserman</w:t>
      </w:r>
      <w:r w:rsidRPr="006073F4">
        <w:rPr>
          <w:rFonts w:eastAsia="Times New Roman"/>
          <w:sz w:val="24"/>
          <w:szCs w:val="24"/>
        </w:rPr>
        <w:t xml:space="preserve">, 898 P.2d 1049 (Colo. 1995). The statutory term “tortious act” includes any conduct other than breach of contract that constitutes a civil wrong and causes injury or damages. </w:t>
      </w:r>
      <w:r w:rsidRPr="006073F4">
        <w:rPr>
          <w:rFonts w:eastAsia="Times New Roman"/>
          <w:i/>
          <w:sz w:val="24"/>
          <w:szCs w:val="24"/>
        </w:rPr>
        <w:t>Id</w:t>
      </w:r>
      <w:r w:rsidRPr="006073F4">
        <w:rPr>
          <w:rFonts w:eastAsia="Times New Roman"/>
          <w:sz w:val="24"/>
          <w:szCs w:val="24"/>
        </w:rPr>
        <w: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2" w:name="a27_02"/>
      <w:bookmarkEnd w:id="2"/>
      <w:r w:rsidRPr="00260F67">
        <w:rPr>
          <w:rFonts w:eastAsia="Times New Roman"/>
          <w:b/>
          <w:sz w:val="24"/>
          <w:szCs w:val="24"/>
        </w:rPr>
        <w:lastRenderedPageBreak/>
        <w:t xml:space="preserve">27:2 </w:t>
      </w:r>
      <w:r w:rsidRPr="00260F67">
        <w:rPr>
          <w:rFonts w:eastAsia="Times New Roman"/>
          <w:b/>
          <w:sz w:val="24"/>
          <w:szCs w:val="24"/>
        </w:rPr>
        <w:tab/>
        <w:t>UNLAWFUL MEANS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means” (are) (include) </w:t>
      </w:r>
      <w:r w:rsidRPr="00260F67">
        <w:rPr>
          <w:rFonts w:eastAsia="Times New Roman"/>
          <w:i/>
          <w:sz w:val="24"/>
          <w:szCs w:val="24"/>
        </w:rPr>
        <w:t>(insert an appropriate description of the specific acts the plaintiff alleges were used to accomplish the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means” is being given to you does not mean that the court is instructing you to find that unlawful means were used. The question of whether or not such means were used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means”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“unlawful means”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1. No Colorado decision provides a comprehensive definition of “unlawful means.” Several cases, however, have held specific acts, such as a breach of a duty of loyalty, to be “unlawful.” </w:t>
      </w:r>
      <w:r w:rsidRPr="00260F67">
        <w:rPr>
          <w:rFonts w:eastAsia="Times New Roman"/>
          <w:b/>
          <w:sz w:val="24"/>
          <w:szCs w:val="24"/>
        </w:rPr>
        <w:t>Jet Courier Serv., Inc. v. Mulei</w:t>
      </w:r>
      <w:r w:rsidRPr="00260F67">
        <w:rPr>
          <w:rFonts w:eastAsia="Times New Roman"/>
          <w:sz w:val="24"/>
          <w:szCs w:val="24"/>
        </w:rPr>
        <w:t xml:space="preserve">, 771 P.2d 486 (Colo. 1989);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Espinoza v. O’Dell</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633 P.2d 455 (Colo. 1981) (interference or violation of civil rights); </w:t>
      </w:r>
      <w:r w:rsidRPr="00260F67">
        <w:rPr>
          <w:rFonts w:eastAsia="Times New Roman"/>
          <w:b/>
          <w:sz w:val="24"/>
          <w:szCs w:val="24"/>
        </w:rPr>
        <w:t>Julius Hyman &amp; Co. v. Velsicol Corp.</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123 Colo. 563, 233 P.2d 977 (1951) (wrongful use of trade secrets); </w:t>
      </w:r>
      <w:r w:rsidRPr="00260F67">
        <w:rPr>
          <w:rFonts w:eastAsia="Times New Roman"/>
          <w:b/>
          <w:sz w:val="24"/>
          <w:szCs w:val="24"/>
        </w:rPr>
        <w:t>Zimmerman v. Hinderlider</w:t>
      </w:r>
      <w:r w:rsidRPr="00260F67">
        <w:rPr>
          <w:rFonts w:eastAsia="Times New Roman"/>
          <w:sz w:val="24"/>
          <w:szCs w:val="24"/>
        </w:rPr>
        <w:t>, 112 Colo. 277, 148 P.2d 813 (1944) (destruction of decreed reservoir rights).</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2. An alleged conspiracy to defraud, cheat, and wrong the plaintiff by procuring a judgment was held to state a cause of action in </w:t>
      </w:r>
      <w:r w:rsidRPr="00260F67">
        <w:rPr>
          <w:rFonts w:eastAsia="Times New Roman"/>
          <w:b/>
          <w:sz w:val="24"/>
          <w:szCs w:val="24"/>
        </w:rPr>
        <w:t>Dixon v. Bowen</w:t>
      </w:r>
      <w:r w:rsidRPr="00260F67">
        <w:rPr>
          <w:rFonts w:eastAsia="Times New Roman"/>
          <w:sz w:val="24"/>
          <w:szCs w:val="24"/>
        </w:rPr>
        <w:t xml:space="preserve">, 85 Colo. 194, 274 P. 824 (1929), as was a conspiracy to cancel a corporation’s contracts and deplete the corporation’s assets in </w:t>
      </w:r>
      <w:r w:rsidRPr="00260F67">
        <w:rPr>
          <w:rFonts w:eastAsia="Times New Roman"/>
          <w:b/>
          <w:sz w:val="24"/>
          <w:szCs w:val="24"/>
        </w:rPr>
        <w:t>Schreiber v. Burton</w:t>
      </w:r>
      <w:r w:rsidRPr="00260F67">
        <w:rPr>
          <w:rFonts w:eastAsia="Times New Roman"/>
          <w:sz w:val="24"/>
          <w:szCs w:val="24"/>
        </w:rPr>
        <w:t xml:space="preserve">, 81 Colo. 370, 256 P. 1 (1927).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Schneider v. Midtown Motor Co.</w:t>
      </w:r>
      <w:r w:rsidRPr="00260F67">
        <w:rPr>
          <w:rFonts w:eastAsia="Times New Roman"/>
          <w:sz w:val="24"/>
          <w:szCs w:val="24"/>
        </w:rPr>
        <w:t>, 854 P.2d 1322 (Colo. App. 1992) (tort of “negligent entrustment”).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3" w:name="a27_03"/>
      <w:bookmarkEnd w:id="3"/>
      <w:r w:rsidRPr="00260F67">
        <w:rPr>
          <w:rFonts w:eastAsia="Times New Roman"/>
          <w:b/>
          <w:sz w:val="24"/>
          <w:szCs w:val="24"/>
        </w:rPr>
        <w:lastRenderedPageBreak/>
        <w:t xml:space="preserve">27:3 </w:t>
      </w:r>
      <w:r w:rsidRPr="00260F67">
        <w:rPr>
          <w:rFonts w:eastAsia="Times New Roman"/>
          <w:b/>
          <w:sz w:val="24"/>
          <w:szCs w:val="24"/>
        </w:rPr>
        <w:tab/>
        <w:t>UNLAWFUL GOAL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goal” means </w:t>
      </w:r>
      <w:r w:rsidRPr="00260F67">
        <w:rPr>
          <w:rFonts w:eastAsia="Times New Roman"/>
          <w:i/>
          <w:sz w:val="24"/>
          <w:szCs w:val="24"/>
        </w:rPr>
        <w:t>(insert an appropriate description of the goal of the alleged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goal” is being given to you does not mean the court is instructing you to find that the defendant(s) sought to accomplish an unlawful goal. The question of whether the defendant(s) sought to accomplish such a goal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goal”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an “unlawful goal”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DC2F89" w:rsidRPr="00DC2F89" w:rsidRDefault="00260F67" w:rsidP="00DC2F89">
      <w:pPr>
        <w:spacing w:after="240"/>
        <w:ind w:firstLine="720"/>
        <w:rPr>
          <w:rFonts w:eastAsia="Times New Roman"/>
          <w:sz w:val="24"/>
          <w:szCs w:val="24"/>
        </w:rPr>
      </w:pPr>
      <w:r w:rsidRPr="00260F67">
        <w:rPr>
          <w:rFonts w:eastAsia="Times New Roman"/>
          <w:sz w:val="24"/>
          <w:szCs w:val="24"/>
        </w:rPr>
        <w:t>No Colorado decision provides a comprehensive definition of “unlawful goal.” For an indication of various goals which have been considered unlawful, however, see the cases cited in the Source and Authority to Instruction 27:2.</w:t>
      </w:r>
    </w:p>
    <w:sectPr w:rsidR="00DC2F89" w:rsidRPr="00DC2F8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17" w:rsidRDefault="00457617" w:rsidP="0054263B">
      <w:r>
        <w:separator/>
      </w:r>
    </w:p>
    <w:p w:rsidR="00457617" w:rsidRDefault="00457617"/>
  </w:endnote>
  <w:endnote w:type="continuationSeparator" w:id="0">
    <w:p w:rsidR="00457617" w:rsidRDefault="00457617" w:rsidP="0054263B">
      <w:r>
        <w:continuationSeparator/>
      </w:r>
    </w:p>
    <w:p w:rsidR="00457617" w:rsidRDefault="00457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1134B3" w:rsidRDefault="001134B3">
        <w:pPr>
          <w:pStyle w:val="Footer"/>
          <w:jc w:val="center"/>
        </w:pPr>
        <w:r>
          <w:fldChar w:fldCharType="begin"/>
        </w:r>
        <w:r>
          <w:instrText xml:space="preserve"> PAGE   \* MERGEFORMAT </w:instrText>
        </w:r>
        <w:r>
          <w:fldChar w:fldCharType="separate"/>
        </w:r>
        <w:r w:rsidR="008D0BF0">
          <w:rPr>
            <w:noProof/>
          </w:rPr>
          <w:t>6</w:t>
        </w:r>
        <w:r>
          <w:rPr>
            <w:noProof/>
          </w:rPr>
          <w:fldChar w:fldCharType="end"/>
        </w:r>
      </w:p>
    </w:sdtContent>
  </w:sdt>
  <w:p w:rsidR="001134B3" w:rsidRDefault="001134B3">
    <w:pPr>
      <w:pStyle w:val="Footer"/>
    </w:pPr>
  </w:p>
  <w:p w:rsidR="001134B3" w:rsidRDefault="001134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17" w:rsidRDefault="00457617" w:rsidP="0054263B">
      <w:r>
        <w:separator/>
      </w:r>
    </w:p>
    <w:p w:rsidR="00457617" w:rsidRDefault="00457617"/>
  </w:footnote>
  <w:footnote w:type="continuationSeparator" w:id="0">
    <w:p w:rsidR="00457617" w:rsidRDefault="00457617" w:rsidP="0054263B">
      <w:r>
        <w:continuationSeparator/>
      </w:r>
    </w:p>
    <w:p w:rsidR="00457617" w:rsidRDefault="004576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7111"/>
    <w:rsid w:val="0006367C"/>
    <w:rsid w:val="00074558"/>
    <w:rsid w:val="000824C8"/>
    <w:rsid w:val="00085495"/>
    <w:rsid w:val="000921F1"/>
    <w:rsid w:val="0009462F"/>
    <w:rsid w:val="000962C8"/>
    <w:rsid w:val="000A040F"/>
    <w:rsid w:val="000B1B7A"/>
    <w:rsid w:val="000C204E"/>
    <w:rsid w:val="000C503A"/>
    <w:rsid w:val="000C6F97"/>
    <w:rsid w:val="000D4856"/>
    <w:rsid w:val="000F205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50847"/>
    <w:rsid w:val="001608FF"/>
    <w:rsid w:val="001671A9"/>
    <w:rsid w:val="00171705"/>
    <w:rsid w:val="00172674"/>
    <w:rsid w:val="00174BB5"/>
    <w:rsid w:val="0018388B"/>
    <w:rsid w:val="00184D62"/>
    <w:rsid w:val="001903CB"/>
    <w:rsid w:val="001913B1"/>
    <w:rsid w:val="00191498"/>
    <w:rsid w:val="00191C86"/>
    <w:rsid w:val="00195972"/>
    <w:rsid w:val="001A2648"/>
    <w:rsid w:val="001A688B"/>
    <w:rsid w:val="001D31A6"/>
    <w:rsid w:val="001E0F3B"/>
    <w:rsid w:val="001E1DB5"/>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32EA"/>
    <w:rsid w:val="0024597C"/>
    <w:rsid w:val="00254258"/>
    <w:rsid w:val="002547C3"/>
    <w:rsid w:val="00260F67"/>
    <w:rsid w:val="002654B4"/>
    <w:rsid w:val="00267805"/>
    <w:rsid w:val="00273777"/>
    <w:rsid w:val="0027486C"/>
    <w:rsid w:val="00290935"/>
    <w:rsid w:val="00293941"/>
    <w:rsid w:val="00293F7E"/>
    <w:rsid w:val="002A23B0"/>
    <w:rsid w:val="002A5932"/>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1B54"/>
    <w:rsid w:val="003D370E"/>
    <w:rsid w:val="003E472A"/>
    <w:rsid w:val="003E5B38"/>
    <w:rsid w:val="003F108C"/>
    <w:rsid w:val="003F6E89"/>
    <w:rsid w:val="00407AAB"/>
    <w:rsid w:val="00434371"/>
    <w:rsid w:val="00435225"/>
    <w:rsid w:val="004425AA"/>
    <w:rsid w:val="00456038"/>
    <w:rsid w:val="00456B2B"/>
    <w:rsid w:val="00457617"/>
    <w:rsid w:val="00467B80"/>
    <w:rsid w:val="0047120C"/>
    <w:rsid w:val="00471618"/>
    <w:rsid w:val="0047374D"/>
    <w:rsid w:val="00473B65"/>
    <w:rsid w:val="00474B1B"/>
    <w:rsid w:val="0048541F"/>
    <w:rsid w:val="00485635"/>
    <w:rsid w:val="0049313F"/>
    <w:rsid w:val="00496096"/>
    <w:rsid w:val="004A1210"/>
    <w:rsid w:val="004A32E6"/>
    <w:rsid w:val="004B753E"/>
    <w:rsid w:val="004C1A04"/>
    <w:rsid w:val="004C62F9"/>
    <w:rsid w:val="004C723A"/>
    <w:rsid w:val="004D2C99"/>
    <w:rsid w:val="004E0408"/>
    <w:rsid w:val="004E7EF1"/>
    <w:rsid w:val="004F003D"/>
    <w:rsid w:val="00501D6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90DCC"/>
    <w:rsid w:val="005A22A6"/>
    <w:rsid w:val="005B27FE"/>
    <w:rsid w:val="005B3A78"/>
    <w:rsid w:val="005C56C9"/>
    <w:rsid w:val="005C5CCB"/>
    <w:rsid w:val="005D1AD3"/>
    <w:rsid w:val="005D3156"/>
    <w:rsid w:val="005E712D"/>
    <w:rsid w:val="005F1017"/>
    <w:rsid w:val="005F19FD"/>
    <w:rsid w:val="005F5A94"/>
    <w:rsid w:val="00604F03"/>
    <w:rsid w:val="006053F6"/>
    <w:rsid w:val="006073F4"/>
    <w:rsid w:val="006272FE"/>
    <w:rsid w:val="00631BFF"/>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D00EC"/>
    <w:rsid w:val="006D531A"/>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532AB"/>
    <w:rsid w:val="00766F81"/>
    <w:rsid w:val="00770FFC"/>
    <w:rsid w:val="00787065"/>
    <w:rsid w:val="00792028"/>
    <w:rsid w:val="007A2B10"/>
    <w:rsid w:val="007A3A0E"/>
    <w:rsid w:val="007A56C2"/>
    <w:rsid w:val="007A612E"/>
    <w:rsid w:val="007B1633"/>
    <w:rsid w:val="007C42D5"/>
    <w:rsid w:val="007C4B23"/>
    <w:rsid w:val="007D168F"/>
    <w:rsid w:val="007D198E"/>
    <w:rsid w:val="007D2BCE"/>
    <w:rsid w:val="007D39CC"/>
    <w:rsid w:val="007E1675"/>
    <w:rsid w:val="007F40A8"/>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2A97"/>
    <w:rsid w:val="00895065"/>
    <w:rsid w:val="008A1099"/>
    <w:rsid w:val="008A475A"/>
    <w:rsid w:val="008A6339"/>
    <w:rsid w:val="008A637B"/>
    <w:rsid w:val="008B1617"/>
    <w:rsid w:val="008B7480"/>
    <w:rsid w:val="008C1739"/>
    <w:rsid w:val="008D0BF0"/>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725D8"/>
    <w:rsid w:val="00972635"/>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161A1"/>
    <w:rsid w:val="00C21D93"/>
    <w:rsid w:val="00C225C9"/>
    <w:rsid w:val="00C26751"/>
    <w:rsid w:val="00C40968"/>
    <w:rsid w:val="00C473A2"/>
    <w:rsid w:val="00C60346"/>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4A4"/>
    <w:rsid w:val="00D90E67"/>
    <w:rsid w:val="00D9448D"/>
    <w:rsid w:val="00DA1796"/>
    <w:rsid w:val="00DA2814"/>
    <w:rsid w:val="00DB2C90"/>
    <w:rsid w:val="00DB5333"/>
    <w:rsid w:val="00DC0393"/>
    <w:rsid w:val="00DC2F89"/>
    <w:rsid w:val="00DC63A9"/>
    <w:rsid w:val="00DC66A6"/>
    <w:rsid w:val="00DC7533"/>
    <w:rsid w:val="00DE2930"/>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4043"/>
    <w:rsid w:val="00EF6460"/>
    <w:rsid w:val="00F022D4"/>
    <w:rsid w:val="00F062A4"/>
    <w:rsid w:val="00F10E6F"/>
    <w:rsid w:val="00F32AA4"/>
    <w:rsid w:val="00F573CF"/>
    <w:rsid w:val="00F57A2B"/>
    <w:rsid w:val="00F60050"/>
    <w:rsid w:val="00F658E5"/>
    <w:rsid w:val="00F764F4"/>
    <w:rsid w:val="00F82676"/>
    <w:rsid w:val="00F86F49"/>
    <w:rsid w:val="00F94DD6"/>
    <w:rsid w:val="00FA333E"/>
    <w:rsid w:val="00FA7B76"/>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2018-12-15T20:33:00Z</dcterms:created>
  <dcterms:modified xsi:type="dcterms:W3CDTF">2018-12-15T20:33:00Z</dcterms:modified>
</cp:coreProperties>
</file>