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645D6D">
        <w:t>31</w:t>
      </w:r>
    </w:p>
    <w:p w:rsidR="00EC7C98" w:rsidRPr="00914128" w:rsidRDefault="00B473E5" w:rsidP="00914128">
      <w:pPr>
        <w:pStyle w:val="Heading1"/>
      </w:pPr>
      <w:r w:rsidRPr="00B473E5">
        <w:t>WRONGFUL DISCHARGE</w:t>
      </w:r>
    </w:p>
    <w:p w:rsidR="0022134E" w:rsidRPr="009B6746" w:rsidRDefault="0022134E" w:rsidP="00F658E5">
      <w:pPr>
        <w:pStyle w:val="Heading1"/>
        <w:keepNext/>
        <w:jc w:val="left"/>
        <w:rPr>
          <w:b w:val="0"/>
        </w:rPr>
      </w:pPr>
      <w:r w:rsidRPr="009B6746">
        <w:rPr>
          <w:b w:val="0"/>
        </w:rPr>
        <w:t xml:space="preserve">A. </w:t>
      </w:r>
      <w:r w:rsidR="00B473E5" w:rsidRPr="00B473E5">
        <w:rPr>
          <w:b w:val="0"/>
        </w:rPr>
        <w:t>BREACH OF CONTRACT CLAIMS</w:t>
      </w:r>
    </w:p>
    <w:p w:rsidR="00EC7C98" w:rsidRDefault="000344D8" w:rsidP="00914128">
      <w:pPr>
        <w:pStyle w:val="ToC"/>
      </w:pPr>
      <w:hyperlink w:anchor="a31_01" w:history="1">
        <w:r w:rsidR="00533E74" w:rsidRPr="00645D6D">
          <w:rPr>
            <w:rStyle w:val="Hyperlink"/>
          </w:rPr>
          <w:t>31:1</w:t>
        </w:r>
      </w:hyperlink>
      <w:r w:rsidR="00533E74" w:rsidRPr="00645D6D">
        <w:t xml:space="preserve"> </w:t>
      </w:r>
      <w:r w:rsidR="00533E74" w:rsidRPr="00645D6D">
        <w:tab/>
        <w:t xml:space="preserve">Breach </w:t>
      </w:r>
      <w:r w:rsidR="003B47A9">
        <w:t xml:space="preserve">of </w:t>
      </w:r>
      <w:r w:rsidR="00533E74" w:rsidRPr="00645D6D">
        <w:t xml:space="preserve">Employment Contract </w:t>
      </w:r>
      <w:r w:rsidR="003B47A9">
        <w:t xml:space="preserve">for a </w:t>
      </w:r>
      <w:r w:rsidR="00533E74" w:rsidRPr="00645D6D">
        <w:t xml:space="preserve">Definite Period </w:t>
      </w:r>
      <w:r w:rsidR="003B47A9">
        <w:t xml:space="preserve">of </w:t>
      </w:r>
      <w:r w:rsidR="00533E74" w:rsidRPr="00645D6D">
        <w:t xml:space="preserve">Time — Elements </w:t>
      </w:r>
      <w:r w:rsidR="003B47A9">
        <w:t xml:space="preserve">of </w:t>
      </w:r>
      <w:r w:rsidR="00533E74" w:rsidRPr="00645D6D">
        <w:t>Liability</w:t>
      </w:r>
    </w:p>
    <w:p w:rsidR="00645D6D" w:rsidRDefault="000344D8" w:rsidP="00914128">
      <w:pPr>
        <w:pStyle w:val="ToC"/>
      </w:pPr>
      <w:hyperlink w:anchor="a31_02" w:history="1">
        <w:r w:rsidR="00533E74" w:rsidRPr="00645D6D">
          <w:rPr>
            <w:rStyle w:val="Hyperlink"/>
          </w:rPr>
          <w:t>31:2</w:t>
        </w:r>
      </w:hyperlink>
      <w:r w:rsidR="00533E74" w:rsidRPr="00645D6D">
        <w:t xml:space="preserve"> </w:t>
      </w:r>
      <w:r w:rsidR="00533E74" w:rsidRPr="00645D6D">
        <w:tab/>
        <w:t xml:space="preserve">Employment Contract Providing </w:t>
      </w:r>
      <w:r w:rsidR="003B47A9">
        <w:t>for</w:t>
      </w:r>
      <w:r w:rsidR="00533E74" w:rsidRPr="00645D6D">
        <w:t xml:space="preserve"> Fixed Term Salary — Cautionary Instruction</w:t>
      </w:r>
    </w:p>
    <w:p w:rsidR="00645D6D" w:rsidRDefault="000344D8" w:rsidP="00914128">
      <w:pPr>
        <w:pStyle w:val="ToC"/>
      </w:pPr>
      <w:hyperlink w:anchor="a31_03" w:history="1">
        <w:r w:rsidR="00533E74" w:rsidRPr="00645D6D">
          <w:rPr>
            <w:rStyle w:val="Hyperlink"/>
          </w:rPr>
          <w:t>31:3</w:t>
        </w:r>
      </w:hyperlink>
      <w:r w:rsidR="00533E74" w:rsidRPr="00645D6D">
        <w:t xml:space="preserve"> </w:t>
      </w:r>
      <w:r w:rsidR="00533E74" w:rsidRPr="00645D6D">
        <w:tab/>
        <w:t xml:space="preserve">Breach </w:t>
      </w:r>
      <w:r w:rsidR="003B47A9">
        <w:t xml:space="preserve">of </w:t>
      </w:r>
      <w:r w:rsidR="00533E74" w:rsidRPr="00645D6D">
        <w:t xml:space="preserve">Employment Contract </w:t>
      </w:r>
      <w:r w:rsidR="003B47A9">
        <w:t>for</w:t>
      </w:r>
      <w:r w:rsidR="00533E74" w:rsidRPr="00645D6D">
        <w:t xml:space="preserve"> </w:t>
      </w:r>
      <w:r w:rsidR="003B47A9">
        <w:t xml:space="preserve">an </w:t>
      </w:r>
      <w:r w:rsidR="00533E74" w:rsidRPr="00645D6D">
        <w:t xml:space="preserve">Indefinite Period </w:t>
      </w:r>
      <w:r w:rsidR="003B47A9">
        <w:t xml:space="preserve">of </w:t>
      </w:r>
      <w:r w:rsidR="00533E74" w:rsidRPr="00645D6D">
        <w:t xml:space="preserve">Time Requiring Good </w:t>
      </w:r>
      <w:r w:rsidR="003B47A9">
        <w:t>or</w:t>
      </w:r>
      <w:r w:rsidR="00533E74" w:rsidRPr="00645D6D">
        <w:t xml:space="preserve"> Just Cause </w:t>
      </w:r>
      <w:r w:rsidR="003B47A9">
        <w:t>for</w:t>
      </w:r>
      <w:r w:rsidR="00533E74" w:rsidRPr="00645D6D">
        <w:t xml:space="preserve"> Termination — Elements </w:t>
      </w:r>
      <w:r w:rsidR="003B47A9">
        <w:t xml:space="preserve">of </w:t>
      </w:r>
      <w:r w:rsidR="00533E74" w:rsidRPr="00645D6D">
        <w:t>Liability</w:t>
      </w:r>
    </w:p>
    <w:p w:rsidR="00645D6D" w:rsidRDefault="000344D8" w:rsidP="00914128">
      <w:pPr>
        <w:pStyle w:val="ToC"/>
      </w:pPr>
      <w:hyperlink w:anchor="a31_04" w:history="1">
        <w:r w:rsidR="00533E74" w:rsidRPr="00645D6D">
          <w:rPr>
            <w:rStyle w:val="Hyperlink"/>
          </w:rPr>
          <w:t>31:4</w:t>
        </w:r>
      </w:hyperlink>
      <w:r w:rsidR="00533E74" w:rsidRPr="00645D6D">
        <w:t xml:space="preserve"> </w:t>
      </w:r>
      <w:r w:rsidR="00533E74" w:rsidRPr="00645D6D">
        <w:tab/>
        <w:t xml:space="preserve">Breach </w:t>
      </w:r>
      <w:r w:rsidR="003B47A9">
        <w:t xml:space="preserve">of </w:t>
      </w:r>
      <w:r w:rsidR="00533E74" w:rsidRPr="00645D6D">
        <w:t xml:space="preserve">Implied Contract Based </w:t>
      </w:r>
      <w:r w:rsidR="003B47A9">
        <w:t xml:space="preserve">on </w:t>
      </w:r>
      <w:r w:rsidR="00533E74" w:rsidRPr="00645D6D">
        <w:t xml:space="preserve">Violation </w:t>
      </w:r>
      <w:r w:rsidR="003B47A9">
        <w:t xml:space="preserve">of </w:t>
      </w:r>
      <w:r w:rsidR="00533E74" w:rsidRPr="00645D6D">
        <w:t xml:space="preserve">Employer’s Termination Policies </w:t>
      </w:r>
      <w:r w:rsidR="003B47A9">
        <w:t>or</w:t>
      </w:r>
      <w:r w:rsidR="00533E74" w:rsidRPr="00645D6D">
        <w:t xml:space="preserve"> Procedures — Elements </w:t>
      </w:r>
      <w:r w:rsidR="003B47A9">
        <w:t xml:space="preserve">of </w:t>
      </w:r>
      <w:r w:rsidR="00533E74" w:rsidRPr="00645D6D">
        <w:t>Liability</w:t>
      </w:r>
    </w:p>
    <w:p w:rsidR="00645D6D" w:rsidRDefault="000344D8" w:rsidP="00914128">
      <w:pPr>
        <w:pStyle w:val="ToC"/>
      </w:pPr>
      <w:hyperlink w:anchor="a31_05" w:history="1">
        <w:r w:rsidR="00533E74" w:rsidRPr="00645D6D">
          <w:rPr>
            <w:rStyle w:val="Hyperlink"/>
          </w:rPr>
          <w:t>31:5</w:t>
        </w:r>
      </w:hyperlink>
      <w:r w:rsidR="00533E74" w:rsidRPr="00645D6D">
        <w:t xml:space="preserve"> </w:t>
      </w:r>
      <w:r w:rsidR="00533E74" w:rsidRPr="00645D6D">
        <w:tab/>
        <w:t xml:space="preserve">At-Will </w:t>
      </w:r>
      <w:proofErr w:type="gramStart"/>
      <w:r w:rsidR="00533E74" w:rsidRPr="00645D6D">
        <w:t>Employment</w:t>
      </w:r>
      <w:proofErr w:type="gramEnd"/>
      <w:r w:rsidR="00533E74" w:rsidRPr="00645D6D">
        <w:t xml:space="preserve"> — Defined</w:t>
      </w:r>
    </w:p>
    <w:p w:rsidR="00A20521" w:rsidRDefault="000344D8" w:rsidP="00914128">
      <w:pPr>
        <w:pStyle w:val="ToC"/>
      </w:pPr>
      <w:hyperlink w:anchor="a31_06" w:history="1">
        <w:r w:rsidR="00533E74" w:rsidRPr="00A20521">
          <w:rPr>
            <w:rStyle w:val="Hyperlink"/>
          </w:rPr>
          <w:t>31:6</w:t>
        </w:r>
      </w:hyperlink>
      <w:r w:rsidR="00533E74" w:rsidRPr="00A20521">
        <w:t xml:space="preserve"> </w:t>
      </w:r>
      <w:r w:rsidR="00533E74" w:rsidRPr="00A20521">
        <w:tab/>
        <w:t xml:space="preserve">Good </w:t>
      </w:r>
      <w:r w:rsidR="003B47A9">
        <w:t>or</w:t>
      </w:r>
      <w:r w:rsidR="00533E74" w:rsidRPr="00A20521">
        <w:t xml:space="preserve"> Just </w:t>
      </w:r>
      <w:proofErr w:type="gramStart"/>
      <w:r w:rsidR="00533E74" w:rsidRPr="00A20521">
        <w:t>Cause</w:t>
      </w:r>
      <w:proofErr w:type="gramEnd"/>
      <w:r w:rsidR="00533E74" w:rsidRPr="00A20521">
        <w:t xml:space="preserve"> — Defined</w:t>
      </w:r>
    </w:p>
    <w:p w:rsidR="00A20521" w:rsidRDefault="000344D8" w:rsidP="00914128">
      <w:pPr>
        <w:pStyle w:val="ToC"/>
      </w:pPr>
      <w:hyperlink w:anchor="a31_07" w:history="1">
        <w:r w:rsidR="00533E74" w:rsidRPr="00A20521">
          <w:rPr>
            <w:rStyle w:val="Hyperlink"/>
          </w:rPr>
          <w:t>31:7</w:t>
        </w:r>
      </w:hyperlink>
      <w:r w:rsidR="00533E74" w:rsidRPr="00A20521">
        <w:t xml:space="preserve"> </w:t>
      </w:r>
      <w:r w:rsidR="00533E74" w:rsidRPr="00A20521">
        <w:tab/>
        <w:t xml:space="preserve">General Damages </w:t>
      </w:r>
      <w:r w:rsidR="003B47A9">
        <w:t>for</w:t>
      </w:r>
      <w:r w:rsidR="00533E74" w:rsidRPr="00A20521">
        <w:t xml:space="preserve"> Wrongful Discharge — Breach </w:t>
      </w:r>
      <w:r w:rsidR="003B47A9">
        <w:t xml:space="preserve">of </w:t>
      </w:r>
      <w:r w:rsidR="00533E74" w:rsidRPr="00A20521">
        <w:t>Contract Claim</w:t>
      </w:r>
    </w:p>
    <w:p w:rsidR="00A20521" w:rsidRDefault="000344D8" w:rsidP="00914128">
      <w:pPr>
        <w:pStyle w:val="ToC"/>
      </w:pPr>
      <w:hyperlink w:anchor="a31_08" w:history="1">
        <w:proofErr w:type="gramStart"/>
        <w:r w:rsidR="00533E74" w:rsidRPr="00A20521">
          <w:rPr>
            <w:rStyle w:val="Hyperlink"/>
          </w:rPr>
          <w:t>31:8</w:t>
        </w:r>
      </w:hyperlink>
      <w:r w:rsidR="00533E74" w:rsidRPr="00A20521">
        <w:t xml:space="preserve"> </w:t>
      </w:r>
      <w:r w:rsidR="00533E74" w:rsidRPr="00A20521">
        <w:tab/>
        <w:t xml:space="preserve">Mitigation </w:t>
      </w:r>
      <w:r w:rsidR="003B47A9">
        <w:t xml:space="preserve">of </w:t>
      </w:r>
      <w:r w:rsidR="00533E74" w:rsidRPr="00A20521">
        <w:t xml:space="preserve">Damages </w:t>
      </w:r>
      <w:r w:rsidR="003B47A9">
        <w:t>for</w:t>
      </w:r>
      <w:r w:rsidR="00533E74" w:rsidRPr="00A20521">
        <w:t xml:space="preserve"> Wrongful Discharge</w:t>
      </w:r>
      <w:proofErr w:type="gramEnd"/>
    </w:p>
    <w:p w:rsidR="00A20521" w:rsidRDefault="000344D8" w:rsidP="00914128">
      <w:pPr>
        <w:pStyle w:val="ToC"/>
      </w:pPr>
      <w:hyperlink w:anchor="a31_09" w:history="1">
        <w:r w:rsidR="00533E74" w:rsidRPr="00A20521">
          <w:rPr>
            <w:rStyle w:val="Hyperlink"/>
          </w:rPr>
          <w:t>31:9</w:t>
        </w:r>
      </w:hyperlink>
      <w:r w:rsidR="00533E74" w:rsidRPr="00A20521">
        <w:t xml:space="preserve"> </w:t>
      </w:r>
      <w:r w:rsidR="00533E74" w:rsidRPr="00A20521">
        <w:tab/>
        <w:t xml:space="preserve">Constructive </w:t>
      </w:r>
      <w:proofErr w:type="gramStart"/>
      <w:r w:rsidR="00533E74" w:rsidRPr="00A20521">
        <w:t>Discharge</w:t>
      </w:r>
      <w:proofErr w:type="gramEnd"/>
      <w:r w:rsidR="00533E74" w:rsidRPr="00A20521">
        <w:t xml:space="preserve"> — Defined</w:t>
      </w:r>
    </w:p>
    <w:p w:rsidR="00A20521" w:rsidRDefault="000344D8" w:rsidP="00914128">
      <w:pPr>
        <w:pStyle w:val="ToC"/>
      </w:pPr>
      <w:hyperlink w:anchor="a31_10" w:history="1">
        <w:r w:rsidR="00533E74" w:rsidRPr="00533E74">
          <w:rPr>
            <w:rStyle w:val="Hyperlink"/>
          </w:rPr>
          <w:t>31:10</w:t>
        </w:r>
      </w:hyperlink>
      <w:r w:rsidR="00533E74" w:rsidRPr="00A20521">
        <w:t xml:space="preserve"> </w:t>
      </w:r>
      <w:r w:rsidR="00533E74" w:rsidRPr="00A20521">
        <w:tab/>
        <w:t xml:space="preserve">Constructive (Implied) </w:t>
      </w:r>
      <w:proofErr w:type="gramStart"/>
      <w:r w:rsidR="00533E74" w:rsidRPr="00A20521">
        <w:t>Discharge</w:t>
      </w:r>
      <w:proofErr w:type="gramEnd"/>
    </w:p>
    <w:p w:rsidR="00533E74" w:rsidRDefault="000344D8" w:rsidP="00914128">
      <w:pPr>
        <w:pStyle w:val="ToC"/>
      </w:pPr>
      <w:hyperlink w:anchor="a31_11" w:history="1">
        <w:r w:rsidR="00533E74" w:rsidRPr="00533E74">
          <w:rPr>
            <w:rStyle w:val="Hyperlink"/>
          </w:rPr>
          <w:t>31:11</w:t>
        </w:r>
      </w:hyperlink>
      <w:r w:rsidR="00533E74" w:rsidRPr="00533E74">
        <w:tab/>
        <w:t xml:space="preserve">Affirmative Defense </w:t>
      </w:r>
      <w:r w:rsidR="003B47A9">
        <w:t xml:space="preserve">to </w:t>
      </w:r>
      <w:r w:rsidR="00533E74" w:rsidRPr="00533E74">
        <w:t xml:space="preserve">Contract Claim — After-Acquired Evidence </w:t>
      </w:r>
      <w:r w:rsidR="003B47A9">
        <w:t xml:space="preserve">of </w:t>
      </w:r>
      <w:r w:rsidR="00533E74" w:rsidRPr="00533E74">
        <w:t xml:space="preserve">Fraud </w:t>
      </w:r>
      <w:r w:rsidR="003B47A9">
        <w:t>or</w:t>
      </w:r>
      <w:r w:rsidR="00533E74" w:rsidRPr="00533E74">
        <w:t xml:space="preserve"> Other Misconduct</w:t>
      </w:r>
    </w:p>
    <w:p w:rsidR="00533E74" w:rsidRDefault="00533E74" w:rsidP="00533E74">
      <w:pPr>
        <w:pStyle w:val="ToC"/>
      </w:pPr>
    </w:p>
    <w:p w:rsidR="00533E74" w:rsidRPr="009B6746" w:rsidRDefault="00533E74" w:rsidP="00533E74">
      <w:pPr>
        <w:pStyle w:val="Heading1"/>
        <w:keepNext/>
        <w:jc w:val="left"/>
        <w:rPr>
          <w:b w:val="0"/>
        </w:rPr>
      </w:pPr>
      <w:r>
        <w:rPr>
          <w:b w:val="0"/>
        </w:rPr>
        <w:t>B</w:t>
      </w:r>
      <w:r w:rsidRPr="00973884">
        <w:rPr>
          <w:b w:val="0"/>
        </w:rPr>
        <w:t xml:space="preserve">. </w:t>
      </w:r>
      <w:r w:rsidRPr="00B473E5">
        <w:rPr>
          <w:b w:val="0"/>
        </w:rPr>
        <w:t>TORT CLAIMS</w:t>
      </w:r>
    </w:p>
    <w:p w:rsidR="00533E74" w:rsidRDefault="000344D8" w:rsidP="00914128">
      <w:pPr>
        <w:pStyle w:val="ToC"/>
      </w:pPr>
      <w:hyperlink w:anchor="a31_12" w:history="1">
        <w:r w:rsidR="00533E74" w:rsidRPr="00533E74">
          <w:rPr>
            <w:rStyle w:val="Hyperlink"/>
          </w:rPr>
          <w:t>31:12</w:t>
        </w:r>
      </w:hyperlink>
      <w:r w:rsidR="00533E74" w:rsidRPr="00533E74">
        <w:tab/>
        <w:t xml:space="preserve">Tort Claim </w:t>
      </w:r>
      <w:r w:rsidR="003B47A9">
        <w:t>for</w:t>
      </w:r>
      <w:r w:rsidR="00533E74" w:rsidRPr="00533E74">
        <w:t xml:space="preserve"> Wrongful Discharge Based </w:t>
      </w:r>
      <w:r w:rsidR="003B47A9">
        <w:t xml:space="preserve">on </w:t>
      </w:r>
      <w:r w:rsidR="00533E74" w:rsidRPr="00533E74">
        <w:t xml:space="preserve">Violations </w:t>
      </w:r>
      <w:r w:rsidR="003B47A9">
        <w:t xml:space="preserve">of </w:t>
      </w:r>
      <w:r w:rsidR="00533E74" w:rsidRPr="00533E74">
        <w:t xml:space="preserve">Public Policy — Employer’s Retaliation </w:t>
      </w:r>
      <w:proofErr w:type="gramStart"/>
      <w:r w:rsidR="00533E74" w:rsidRPr="00533E74">
        <w:t>Against</w:t>
      </w:r>
      <w:proofErr w:type="gramEnd"/>
      <w:r w:rsidR="00533E74" w:rsidRPr="00533E74">
        <w:t xml:space="preserve"> </w:t>
      </w:r>
      <w:r w:rsidR="003B47A9">
        <w:t xml:space="preserve">an </w:t>
      </w:r>
      <w:r w:rsidR="00533E74" w:rsidRPr="00533E74">
        <w:t xml:space="preserve">Employee </w:t>
      </w:r>
      <w:r w:rsidR="003B47A9">
        <w:t>for</w:t>
      </w:r>
      <w:r w:rsidR="00533E74" w:rsidRPr="00533E74">
        <w:t xml:space="preserve"> Refusal </w:t>
      </w:r>
      <w:r w:rsidR="003B47A9">
        <w:t xml:space="preserve">to </w:t>
      </w:r>
      <w:r w:rsidR="00533E74" w:rsidRPr="00533E74">
        <w:t xml:space="preserve">Comply </w:t>
      </w:r>
      <w:r w:rsidR="00180579">
        <w:t>w</w:t>
      </w:r>
      <w:r w:rsidR="00533E74" w:rsidRPr="00533E74">
        <w:t xml:space="preserve">ith Employer’s Improper Directive — Elements </w:t>
      </w:r>
      <w:r w:rsidR="003B47A9">
        <w:t xml:space="preserve">of </w:t>
      </w:r>
      <w:r w:rsidR="00533E74" w:rsidRPr="00533E74">
        <w:t>Liability</w:t>
      </w:r>
    </w:p>
    <w:p w:rsidR="00533E74" w:rsidRDefault="000344D8" w:rsidP="00914128">
      <w:pPr>
        <w:pStyle w:val="ToC"/>
      </w:pPr>
      <w:hyperlink w:anchor="a31_13" w:history="1">
        <w:r w:rsidR="00533E74" w:rsidRPr="00533E74">
          <w:rPr>
            <w:rStyle w:val="Hyperlink"/>
          </w:rPr>
          <w:t>31:13</w:t>
        </w:r>
      </w:hyperlink>
      <w:r w:rsidR="00533E74" w:rsidRPr="00533E74">
        <w:t xml:space="preserve">  Tort Claim </w:t>
      </w:r>
      <w:r w:rsidR="003B47A9">
        <w:t>for</w:t>
      </w:r>
      <w:r w:rsidR="00533E74" w:rsidRPr="00533E74">
        <w:t xml:space="preserve"> Wrongful Discharge Based </w:t>
      </w:r>
      <w:r w:rsidR="003B47A9">
        <w:t xml:space="preserve">on </w:t>
      </w:r>
      <w:r w:rsidR="00533E74" w:rsidRPr="00533E74">
        <w:t xml:space="preserve">Violations </w:t>
      </w:r>
      <w:r w:rsidR="003B47A9">
        <w:t xml:space="preserve">of </w:t>
      </w:r>
      <w:r w:rsidR="00533E74" w:rsidRPr="00533E74">
        <w:t xml:space="preserve">Public Policy ― Employer’s Retaliation Against </w:t>
      </w:r>
      <w:r w:rsidR="003B47A9">
        <w:t xml:space="preserve">an </w:t>
      </w:r>
      <w:r w:rsidR="00533E74" w:rsidRPr="00533E74">
        <w:t xml:space="preserve">Employee </w:t>
      </w:r>
      <w:r w:rsidR="003B47A9">
        <w:t>for</w:t>
      </w:r>
      <w:r w:rsidR="00533E74" w:rsidRPr="00533E74">
        <w:t xml:space="preserve"> Exercising</w:t>
      </w:r>
      <w:r w:rsidR="003B47A9">
        <w:t xml:space="preserve"> a </w:t>
      </w:r>
      <w:r w:rsidR="00533E74" w:rsidRPr="00533E74">
        <w:t xml:space="preserve">Right </w:t>
      </w:r>
      <w:r w:rsidR="003B47A9">
        <w:t>or</w:t>
      </w:r>
      <w:r w:rsidR="00533E74" w:rsidRPr="00533E74">
        <w:t xml:space="preserve"> Performing</w:t>
      </w:r>
      <w:r w:rsidR="003B47A9">
        <w:t xml:space="preserve"> a </w:t>
      </w:r>
      <w:r w:rsidR="00533E74" w:rsidRPr="00533E74">
        <w:t xml:space="preserve">Public Duty — Elements </w:t>
      </w:r>
      <w:r w:rsidR="003B47A9">
        <w:t xml:space="preserve">of </w:t>
      </w:r>
      <w:r w:rsidR="00533E74" w:rsidRPr="00533E74">
        <w:t>Liability</w:t>
      </w:r>
    </w:p>
    <w:p w:rsidR="00533E74" w:rsidRDefault="000344D8" w:rsidP="00914128">
      <w:pPr>
        <w:pStyle w:val="ToC"/>
      </w:pPr>
      <w:hyperlink w:anchor="a31_14" w:history="1">
        <w:r w:rsidR="00533E74" w:rsidRPr="00533E74">
          <w:rPr>
            <w:rStyle w:val="Hyperlink"/>
          </w:rPr>
          <w:t>31:14</w:t>
        </w:r>
      </w:hyperlink>
      <w:r w:rsidR="00533E74" w:rsidRPr="00533E74">
        <w:tab/>
        <w:t xml:space="preserve">Advisory </w:t>
      </w:r>
      <w:proofErr w:type="gramStart"/>
      <w:r w:rsidR="00533E74" w:rsidRPr="00533E74">
        <w:t>Instruction</w:t>
      </w:r>
      <w:proofErr w:type="gramEnd"/>
      <w:r w:rsidR="00533E74" w:rsidRPr="00533E74">
        <w:t xml:space="preserve"> </w:t>
      </w:r>
      <w:r w:rsidR="003B47A9">
        <w:t xml:space="preserve">on </w:t>
      </w:r>
      <w:r w:rsidR="00533E74" w:rsidRPr="00533E74">
        <w:t xml:space="preserve">Wrongful Discharge </w:t>
      </w:r>
      <w:r w:rsidR="003B47A9">
        <w:t xml:space="preserve">in </w:t>
      </w:r>
      <w:r w:rsidR="00533E74" w:rsidRPr="00533E74">
        <w:t xml:space="preserve">Violation </w:t>
      </w:r>
      <w:r w:rsidR="003B47A9">
        <w:t xml:space="preserve">of </w:t>
      </w:r>
      <w:r w:rsidR="00533E74" w:rsidRPr="00533E74">
        <w:t>Public Policy</w:t>
      </w:r>
    </w:p>
    <w:p w:rsidR="00533E74" w:rsidRDefault="000344D8" w:rsidP="00914128">
      <w:pPr>
        <w:pStyle w:val="ToC"/>
      </w:pPr>
      <w:hyperlink w:anchor="a31_15" w:history="1">
        <w:r w:rsidR="00533E74" w:rsidRPr="00533E74">
          <w:rPr>
            <w:rStyle w:val="Hyperlink"/>
          </w:rPr>
          <w:t>31:15</w:t>
        </w:r>
      </w:hyperlink>
      <w:r w:rsidR="00533E74" w:rsidRPr="00533E74">
        <w:t xml:space="preserve"> </w:t>
      </w:r>
      <w:r w:rsidR="00533E74" w:rsidRPr="00533E74">
        <w:tab/>
        <w:t xml:space="preserve">Damages </w:t>
      </w:r>
      <w:r w:rsidR="003B47A9">
        <w:t>for</w:t>
      </w:r>
      <w:r w:rsidR="00533E74" w:rsidRPr="00533E74">
        <w:t xml:space="preserve"> Wrongful Discharge — Tort Claim</w:t>
      </w:r>
    </w:p>
    <w:p w:rsidR="00533E74" w:rsidRDefault="000344D8" w:rsidP="00914128">
      <w:pPr>
        <w:pStyle w:val="ToC"/>
      </w:pPr>
      <w:hyperlink w:anchor="a31_16" w:history="1">
        <w:r w:rsidR="00533E74" w:rsidRPr="00533E74">
          <w:rPr>
            <w:rStyle w:val="Hyperlink"/>
          </w:rPr>
          <w:t>31:16</w:t>
        </w:r>
      </w:hyperlink>
      <w:r w:rsidR="00533E74" w:rsidRPr="00533E74">
        <w:tab/>
        <w:t xml:space="preserve">Affirmative Defense </w:t>
      </w:r>
      <w:r w:rsidR="003B47A9">
        <w:t xml:space="preserve">to </w:t>
      </w:r>
      <w:r w:rsidR="00533E74" w:rsidRPr="00533E74">
        <w:t xml:space="preserve">Damages </w:t>
      </w:r>
      <w:r w:rsidR="003B47A9">
        <w:t>for</w:t>
      </w:r>
      <w:r w:rsidR="00533E74" w:rsidRPr="00533E74">
        <w:t xml:space="preserve"> Public-Policy Discharge Claim — After-Acquired Evidence </w:t>
      </w:r>
      <w:r w:rsidR="003B47A9">
        <w:t xml:space="preserve">of </w:t>
      </w:r>
      <w:r w:rsidR="00533E74" w:rsidRPr="00533E74">
        <w:t xml:space="preserve">Fraud </w:t>
      </w:r>
      <w:r w:rsidR="003B47A9">
        <w:t>or</w:t>
      </w:r>
      <w:r w:rsidR="00533E74" w:rsidRPr="00533E74">
        <w:t xml:space="preserve"> Other Misconduct</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B473E5" w:rsidP="009E3DA4">
      <w:pPr>
        <w:spacing w:after="240"/>
        <w:jc w:val="center"/>
        <w:rPr>
          <w:rFonts w:eastAsia="Times New Roman"/>
          <w:b/>
          <w:sz w:val="24"/>
          <w:szCs w:val="24"/>
        </w:rPr>
      </w:pPr>
      <w:r w:rsidRPr="00B473E5">
        <w:rPr>
          <w:rFonts w:eastAsia="Times New Roman"/>
          <w:b/>
          <w:sz w:val="24"/>
          <w:szCs w:val="24"/>
        </w:rPr>
        <w:lastRenderedPageBreak/>
        <w:t>A. BREACH OF CONTRACT CLAIMS</w:t>
      </w:r>
    </w:p>
    <w:p w:rsidR="009E3DA4" w:rsidRPr="009E3DA4" w:rsidRDefault="00B473E5" w:rsidP="00CC0502">
      <w:pPr>
        <w:spacing w:after="240"/>
        <w:ind w:left="720" w:hanging="720"/>
        <w:rPr>
          <w:rFonts w:eastAsia="Times New Roman"/>
          <w:b/>
          <w:sz w:val="24"/>
          <w:szCs w:val="24"/>
        </w:rPr>
      </w:pPr>
      <w:bookmarkStart w:id="1" w:name="a31_01"/>
      <w:bookmarkEnd w:id="1"/>
      <w:r w:rsidRPr="00B473E5">
        <w:rPr>
          <w:rFonts w:eastAsia="Times New Roman"/>
          <w:b/>
          <w:sz w:val="24"/>
          <w:szCs w:val="24"/>
        </w:rPr>
        <w:t xml:space="preserve">31:1 </w:t>
      </w:r>
      <w:r w:rsidRPr="00B473E5">
        <w:rPr>
          <w:rFonts w:eastAsia="Times New Roman"/>
          <w:b/>
          <w:sz w:val="24"/>
          <w:szCs w:val="24"/>
        </w:rPr>
        <w:tab/>
        <w:t>BREACH OF EMPLOYMENT CONTRACT FOR A DEFINITE PERIOD OF TIME — ELEMENTS OF LIABILITY</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For the plaintiff, </w:t>
      </w:r>
      <w:r w:rsidRPr="00B473E5">
        <w:rPr>
          <w:rFonts w:eastAsia="Times New Roman"/>
          <w:i/>
          <w:sz w:val="24"/>
          <w:szCs w:val="24"/>
        </w:rPr>
        <w:t>(name)</w:t>
      </w:r>
      <w:r w:rsidRPr="00B473E5">
        <w:rPr>
          <w:rFonts w:eastAsia="Times New Roman"/>
          <w:b/>
          <w:sz w:val="24"/>
          <w:szCs w:val="24"/>
        </w:rPr>
        <w:t xml:space="preserve">, to recover from the defendant, </w:t>
      </w:r>
      <w:r w:rsidRPr="00B473E5">
        <w:rPr>
          <w:rFonts w:eastAsia="Times New Roman"/>
          <w:i/>
          <w:sz w:val="24"/>
          <w:szCs w:val="24"/>
        </w:rPr>
        <w:t>(name)</w:t>
      </w:r>
      <w:r w:rsidRPr="00B473E5">
        <w:rPr>
          <w:rFonts w:eastAsia="Times New Roman"/>
          <w:b/>
          <w:sz w:val="24"/>
          <w:szCs w:val="24"/>
        </w:rPr>
        <w:t>, on (his) (her) claim for breach of an employment contract for a definite period of time, you must find that all of the following have been proved by a preponderance of the evidence:</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1. The plaintiff and the defendant entered into a contract of employment;</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2. The contract provided that the employment would continue for a definite period of time;</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3. The defendant (constructively) discharged the plaintiff before the end of that period of time; </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4. </w:t>
      </w:r>
      <w:proofErr w:type="gramStart"/>
      <w:r w:rsidRPr="00B473E5">
        <w:rPr>
          <w:rFonts w:eastAsia="Times New Roman"/>
          <w:b/>
          <w:sz w:val="24"/>
          <w:szCs w:val="24"/>
        </w:rPr>
        <w:t>Before</w:t>
      </w:r>
      <w:proofErr w:type="gramEnd"/>
      <w:r w:rsidRPr="00B473E5">
        <w:rPr>
          <w:rFonts w:eastAsia="Times New Roman"/>
          <w:b/>
          <w:sz w:val="24"/>
          <w:szCs w:val="24"/>
        </w:rPr>
        <w:t xml:space="preserve"> the plaintiff was discharged, (he) (she) ([substantially] performed [his] [her] part of the contract) (had some justification for not performing [his] [her] part of the contract); and</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5. The plaintiff had (injuries) (damages) (losses) as a result of the (constructive) discharge.</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If you find that any of these </w:t>
      </w:r>
      <w:r w:rsidRPr="00B473E5">
        <w:rPr>
          <w:rFonts w:eastAsia="Times New Roman"/>
          <w:i/>
          <w:sz w:val="24"/>
          <w:szCs w:val="24"/>
        </w:rPr>
        <w:t>(number)</w:t>
      </w:r>
      <w:r w:rsidRPr="00B473E5">
        <w:rPr>
          <w:rFonts w:eastAsia="Times New Roman"/>
          <w:b/>
          <w:sz w:val="24"/>
          <w:szCs w:val="24"/>
        </w:rPr>
        <w:t xml:space="preserve"> statements has not been proved, then your verdict must be for the defendant.</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On the other hand, if you find that all of these </w:t>
      </w:r>
      <w:r w:rsidRPr="00B473E5">
        <w:rPr>
          <w:rFonts w:eastAsia="Times New Roman"/>
          <w:i/>
          <w:sz w:val="24"/>
          <w:szCs w:val="24"/>
        </w:rPr>
        <w:t>(number)</w:t>
      </w:r>
      <w:r w:rsidRPr="00B473E5">
        <w:rPr>
          <w:rFonts w:eastAsia="Times New Roman"/>
          <w:b/>
          <w:sz w:val="24"/>
          <w:szCs w:val="24"/>
        </w:rPr>
        <w:t xml:space="preserve"> statements have been proved, (then your verdict must be for the plaintiff) (then you must consider the defendant’s affirmative defense(s) of </w:t>
      </w:r>
      <w:r w:rsidRPr="00B473E5">
        <w:rPr>
          <w:rFonts w:eastAsia="Times New Roman"/>
          <w:i/>
          <w:sz w:val="24"/>
          <w:szCs w:val="24"/>
        </w:rPr>
        <w:t>[insert any affirmative defense that would be a complete defense to plaintiff’s claim]</w:t>
      </w:r>
      <w:r w:rsidRPr="00B473E5">
        <w:rPr>
          <w:rFonts w:eastAsia="Times New Roman"/>
          <w:b/>
          <w:sz w:val="24"/>
          <w:szCs w:val="24"/>
        </w:rPr>
        <w:t>).</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However, if you find that (this affirmative defense has not) (none of these affirmative defenses have) been proved,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1. Use whichever parenthesized words or phrases are appropriate.</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2. Wh</w:t>
      </w:r>
      <w:smartTag w:uri="urn:schemas-microsoft-com:office:smarttags" w:element="PersonName">
        <w:r w:rsidRPr="00B473E5">
          <w:rPr>
            <w:rFonts w:eastAsia="Times New Roman"/>
            <w:sz w:val="24"/>
            <w:szCs w:val="24"/>
          </w:rPr>
          <w:t>e</w:t>
        </w:r>
      </w:smartTag>
      <w:r w:rsidRPr="00B473E5">
        <w:rPr>
          <w:rFonts w:eastAsia="Times New Roman"/>
          <w:sz w:val="24"/>
          <w:szCs w:val="24"/>
        </w:rPr>
        <w:t>r</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d</w:t>
      </w:r>
      <w:smartTag w:uri="urn:schemas-microsoft-com:office:smarttags" w:element="PersonName">
        <w:r w:rsidRPr="00B473E5">
          <w:rPr>
            <w:rFonts w:eastAsia="Times New Roman"/>
            <w:sz w:val="24"/>
            <w:szCs w:val="24"/>
          </w:rPr>
          <w:t>e</w:t>
        </w:r>
      </w:smartTag>
      <w:r w:rsidRPr="00B473E5">
        <w:rPr>
          <w:rFonts w:eastAsia="Times New Roman"/>
          <w:sz w:val="24"/>
          <w:szCs w:val="24"/>
        </w:rPr>
        <w:t>f</w:t>
      </w:r>
      <w:smartTag w:uri="urn:schemas-microsoft-com:office:smarttags" w:element="PersonName">
        <w:r w:rsidRPr="00B473E5">
          <w:rPr>
            <w:rFonts w:eastAsia="Times New Roman"/>
            <w:sz w:val="24"/>
            <w:szCs w:val="24"/>
          </w:rPr>
          <w:t>e</w:t>
        </w:r>
      </w:smartTag>
      <w:r w:rsidRPr="00B473E5">
        <w:rPr>
          <w:rFonts w:eastAsia="Times New Roman"/>
          <w:sz w:val="24"/>
          <w:szCs w:val="24"/>
        </w:rPr>
        <w:t>ndant rais</w:t>
      </w:r>
      <w:smartTag w:uri="urn:schemas-microsoft-com:office:smarttags" w:element="PersonName">
        <w:r w:rsidRPr="00B473E5">
          <w:rPr>
            <w:rFonts w:eastAsia="Times New Roman"/>
            <w:sz w:val="24"/>
            <w:szCs w:val="24"/>
          </w:rPr>
          <w:t>e</w:t>
        </w:r>
      </w:smartTag>
      <w:r w:rsidRPr="00B473E5">
        <w:rPr>
          <w:rFonts w:eastAsia="Times New Roman"/>
          <w:sz w:val="24"/>
          <w:szCs w:val="24"/>
        </w:rPr>
        <w:t>s issu</w:t>
      </w:r>
      <w:smartTag w:uri="urn:schemas-microsoft-com:office:smarttags" w:element="PersonName">
        <w:r w:rsidRPr="00B473E5">
          <w:rPr>
            <w:rFonts w:eastAsia="Times New Roman"/>
            <w:sz w:val="24"/>
            <w:szCs w:val="24"/>
          </w:rPr>
          <w:t>e</w:t>
        </w:r>
      </w:smartTag>
      <w:r w:rsidRPr="00B473E5">
        <w:rPr>
          <w:rFonts w:eastAsia="Times New Roman"/>
          <w:sz w:val="24"/>
          <w:szCs w:val="24"/>
        </w:rPr>
        <w:t>s r</w:t>
      </w:r>
      <w:smartTag w:uri="urn:schemas-microsoft-com:office:smarttags" w:element="PersonName">
        <w:r w:rsidRPr="00B473E5">
          <w:rPr>
            <w:rFonts w:eastAsia="Times New Roman"/>
            <w:sz w:val="24"/>
            <w:szCs w:val="24"/>
          </w:rPr>
          <w:t>e</w:t>
        </w:r>
      </w:smartTag>
      <w:r w:rsidRPr="00B473E5">
        <w:rPr>
          <w:rFonts w:eastAsia="Times New Roman"/>
          <w:sz w:val="24"/>
          <w:szCs w:val="24"/>
        </w:rPr>
        <w:t>garding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xist</w:t>
      </w:r>
      <w:smartTag w:uri="urn:schemas-microsoft-com:office:smarttags" w:element="PersonName">
        <w:r w:rsidRPr="00B473E5">
          <w:rPr>
            <w:rFonts w:eastAsia="Times New Roman"/>
            <w:sz w:val="24"/>
            <w:szCs w:val="24"/>
          </w:rPr>
          <w:t>e</w:t>
        </w:r>
      </w:smartTag>
      <w:r w:rsidRPr="00B473E5">
        <w:rPr>
          <w:rFonts w:eastAsia="Times New Roman"/>
          <w:sz w:val="24"/>
          <w:szCs w:val="24"/>
        </w:rPr>
        <w:t>nc</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of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nt contract its</w:t>
      </w:r>
      <w:smartTag w:uri="urn:schemas-microsoft-com:office:smarttags" w:element="PersonName">
        <w:r w:rsidRPr="00B473E5">
          <w:rPr>
            <w:rFonts w:eastAsia="Times New Roman"/>
            <w:sz w:val="24"/>
            <w:szCs w:val="24"/>
          </w:rPr>
          <w:t>e</w:t>
        </w:r>
      </w:smartTag>
      <w:r w:rsidRPr="00B473E5">
        <w:rPr>
          <w:rFonts w:eastAsia="Times New Roman"/>
          <w:sz w:val="24"/>
          <w:szCs w:val="24"/>
        </w:rPr>
        <w:t>lf, additional instructions r</w:t>
      </w:r>
      <w:smartTag w:uri="urn:schemas-microsoft-com:office:smarttags" w:element="PersonName">
        <w:r w:rsidRPr="00B473E5">
          <w:rPr>
            <w:rFonts w:eastAsia="Times New Roman"/>
            <w:sz w:val="24"/>
            <w:szCs w:val="24"/>
          </w:rPr>
          <w:t>e</w:t>
        </w:r>
      </w:smartTag>
      <w:r w:rsidRPr="00B473E5">
        <w:rPr>
          <w:rFonts w:eastAsia="Times New Roman"/>
          <w:sz w:val="24"/>
          <w:szCs w:val="24"/>
        </w:rPr>
        <w:t>lating to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formation of contracts may b</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necessary. S</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instructions in Chapt</w:t>
      </w:r>
      <w:smartTag w:uri="urn:schemas-microsoft-com:office:smarttags" w:element="PersonName">
        <w:r w:rsidRPr="00B473E5">
          <w:rPr>
            <w:rFonts w:eastAsia="Times New Roman"/>
            <w:sz w:val="24"/>
            <w:szCs w:val="24"/>
          </w:rPr>
          <w:t>e</w:t>
        </w:r>
      </w:smartTag>
      <w:r w:rsidRPr="00B473E5">
        <w:rPr>
          <w:rFonts w:eastAsia="Times New Roman"/>
          <w:sz w:val="24"/>
          <w:szCs w:val="24"/>
        </w:rPr>
        <w:t>r 30. Also s</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Chapt</w:t>
      </w:r>
      <w:smartTag w:uri="urn:schemas-microsoft-com:office:smarttags" w:element="PersonName">
        <w:r w:rsidRPr="00B473E5">
          <w:rPr>
            <w:rFonts w:eastAsia="Times New Roman"/>
            <w:sz w:val="24"/>
            <w:szCs w:val="24"/>
          </w:rPr>
          <w:t>e</w:t>
        </w:r>
      </w:smartTag>
      <w:r w:rsidRPr="00B473E5">
        <w:rPr>
          <w:rFonts w:eastAsia="Times New Roman"/>
          <w:sz w:val="24"/>
          <w:szCs w:val="24"/>
        </w:rPr>
        <w:t>r 30 for instructions r</w:t>
      </w:r>
      <w:smartTag w:uri="urn:schemas-microsoft-com:office:smarttags" w:element="PersonName">
        <w:r w:rsidRPr="00B473E5">
          <w:rPr>
            <w:rFonts w:eastAsia="Times New Roman"/>
            <w:sz w:val="24"/>
            <w:szCs w:val="24"/>
          </w:rPr>
          <w:t>e</w:t>
        </w:r>
      </w:smartTag>
      <w:r w:rsidRPr="00B473E5">
        <w:rPr>
          <w:rFonts w:eastAsia="Times New Roman"/>
          <w:sz w:val="24"/>
          <w:szCs w:val="24"/>
        </w:rPr>
        <w:t>lating to affirmativ</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d</w:t>
      </w:r>
      <w:smartTag w:uri="urn:schemas-microsoft-com:office:smarttags" w:element="PersonName">
        <w:r w:rsidRPr="00B473E5">
          <w:rPr>
            <w:rFonts w:eastAsia="Times New Roman"/>
            <w:sz w:val="24"/>
            <w:szCs w:val="24"/>
          </w:rPr>
          <w:t>e</w:t>
        </w:r>
      </w:smartTag>
      <w:r w:rsidRPr="00B473E5">
        <w:rPr>
          <w:rFonts w:eastAsia="Times New Roman"/>
          <w:sz w:val="24"/>
          <w:szCs w:val="24"/>
        </w:rPr>
        <w:t>f</w:t>
      </w:r>
      <w:smartTag w:uri="urn:schemas-microsoft-com:office:smarttags" w:element="PersonName">
        <w:r w:rsidRPr="00B473E5">
          <w:rPr>
            <w:rFonts w:eastAsia="Times New Roman"/>
            <w:sz w:val="24"/>
            <w:szCs w:val="24"/>
          </w:rPr>
          <w:t>e</w:t>
        </w:r>
      </w:smartTag>
      <w:r w:rsidRPr="00B473E5">
        <w:rPr>
          <w:rFonts w:eastAsia="Times New Roman"/>
          <w:sz w:val="24"/>
          <w:szCs w:val="24"/>
        </w:rPr>
        <w:t>ns</w:t>
      </w:r>
      <w:smartTag w:uri="urn:schemas-microsoft-com:office:smarttags" w:element="PersonName">
        <w:r w:rsidRPr="00B473E5">
          <w:rPr>
            <w:rFonts w:eastAsia="Times New Roman"/>
            <w:sz w:val="24"/>
            <w:szCs w:val="24"/>
          </w:rPr>
          <w:t>e</w:t>
        </w:r>
      </w:smartTag>
      <w:r w:rsidRPr="00B473E5">
        <w:rPr>
          <w:rFonts w:eastAsia="Times New Roman"/>
          <w:sz w:val="24"/>
          <w:szCs w:val="24"/>
        </w:rPr>
        <w:t>s to a br</w:t>
      </w:r>
      <w:smartTag w:uri="urn:schemas-microsoft-com:office:smarttags" w:element="PersonName">
        <w:r w:rsidRPr="00B473E5">
          <w:rPr>
            <w:rFonts w:eastAsia="Times New Roman"/>
            <w:sz w:val="24"/>
            <w:szCs w:val="24"/>
          </w:rPr>
          <w:t>e</w:t>
        </w:r>
      </w:smartTag>
      <w:r w:rsidRPr="00B473E5">
        <w:rPr>
          <w:rFonts w:eastAsia="Times New Roman"/>
          <w:sz w:val="24"/>
          <w:szCs w:val="24"/>
        </w:rPr>
        <w:t>ach of contract claim. To instruct as to what constitut</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s an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nt r</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lationship, </w:t>
      </w:r>
      <w:r w:rsidRPr="00B473E5">
        <w:rPr>
          <w:rFonts w:eastAsia="Times New Roman"/>
          <w:sz w:val="24"/>
          <w:szCs w:val="24"/>
        </w:rPr>
        <w:lastRenderedPageBreak/>
        <w:t>Instruction 7:6, appropriat</w:t>
      </w:r>
      <w:smartTag w:uri="urn:schemas-microsoft-com:office:smarttags" w:element="PersonName">
        <w:r w:rsidRPr="00B473E5">
          <w:rPr>
            <w:rFonts w:eastAsia="Times New Roman"/>
            <w:sz w:val="24"/>
            <w:szCs w:val="24"/>
          </w:rPr>
          <w:t>e</w:t>
        </w:r>
      </w:smartTag>
      <w:r w:rsidRPr="00B473E5">
        <w:rPr>
          <w:rFonts w:eastAsia="Times New Roman"/>
          <w:sz w:val="24"/>
          <w:szCs w:val="24"/>
        </w:rPr>
        <w:t>ly modifi</w:t>
      </w:r>
      <w:smartTag w:uri="urn:schemas-microsoft-com:office:smarttags" w:element="PersonName">
        <w:r w:rsidRPr="00B473E5">
          <w:rPr>
            <w:rFonts w:eastAsia="Times New Roman"/>
            <w:sz w:val="24"/>
            <w:szCs w:val="24"/>
          </w:rPr>
          <w:t>e</w:t>
        </w:r>
      </w:smartTag>
      <w:r w:rsidRPr="00B473E5">
        <w:rPr>
          <w:rFonts w:eastAsia="Times New Roman"/>
          <w:sz w:val="24"/>
          <w:szCs w:val="24"/>
        </w:rPr>
        <w:t>d, may b</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us</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d. Where the plaintiff asserts justification for nonperformance, additional instructions may be necessary. </w:t>
      </w:r>
      <w:proofErr w:type="gramStart"/>
      <w:r w:rsidRPr="00B473E5">
        <w:rPr>
          <w:rFonts w:eastAsia="Times New Roman"/>
          <w:sz w:val="24"/>
          <w:szCs w:val="24"/>
        </w:rPr>
        <w:t>See, e.g., Instruction 31.12.</w:t>
      </w:r>
      <w:proofErr w:type="gramEnd"/>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3. If th</w:t>
      </w:r>
      <w:smartTag w:uri="urn:schemas-microsoft-com:office:smarttags" w:element="PersonName">
        <w:r w:rsidRPr="00B473E5">
          <w:rPr>
            <w:rFonts w:eastAsia="Times New Roman"/>
            <w:sz w:val="24"/>
            <w:szCs w:val="24"/>
          </w:rPr>
          <w:t>e</w:t>
        </w:r>
      </w:smartTag>
      <w:r w:rsidRPr="00B473E5">
        <w:rPr>
          <w:rFonts w:eastAsia="Times New Roman"/>
          <w:sz w:val="24"/>
          <w:szCs w:val="24"/>
        </w:rPr>
        <w:t>r</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is a factual disput</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as to wh</w:t>
      </w:r>
      <w:smartTag w:uri="urn:schemas-microsoft-com:office:smarttags" w:element="PersonName">
        <w:r w:rsidRPr="00B473E5">
          <w:rPr>
            <w:rFonts w:eastAsia="Times New Roman"/>
            <w:sz w:val="24"/>
            <w:szCs w:val="24"/>
          </w:rPr>
          <w:t>e</w:t>
        </w:r>
      </w:smartTag>
      <w:r w:rsidRPr="00B473E5">
        <w:rPr>
          <w:rFonts w:eastAsia="Times New Roman"/>
          <w:sz w:val="24"/>
          <w:szCs w:val="24"/>
        </w:rPr>
        <w:t>th</w:t>
      </w:r>
      <w:smartTag w:uri="urn:schemas-microsoft-com:office:smarttags" w:element="PersonName">
        <w:r w:rsidRPr="00B473E5">
          <w:rPr>
            <w:rFonts w:eastAsia="Times New Roman"/>
            <w:sz w:val="24"/>
            <w:szCs w:val="24"/>
          </w:rPr>
          <w:t>e</w:t>
        </w:r>
      </w:smartTag>
      <w:r w:rsidRPr="00B473E5">
        <w:rPr>
          <w:rFonts w:eastAsia="Times New Roman"/>
          <w:sz w:val="24"/>
          <w:szCs w:val="24"/>
        </w:rPr>
        <w:t>r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nt contract was for a d</w:t>
      </w:r>
      <w:smartTag w:uri="urn:schemas-microsoft-com:office:smarttags" w:element="PersonName">
        <w:r w:rsidRPr="00B473E5">
          <w:rPr>
            <w:rFonts w:eastAsia="Times New Roman"/>
            <w:sz w:val="24"/>
            <w:szCs w:val="24"/>
          </w:rPr>
          <w:t>e</w:t>
        </w:r>
      </w:smartTag>
      <w:r w:rsidRPr="00B473E5">
        <w:rPr>
          <w:rFonts w:eastAsia="Times New Roman"/>
          <w:sz w:val="24"/>
          <w:szCs w:val="24"/>
        </w:rPr>
        <w:t>finit</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p</w:t>
      </w:r>
      <w:smartTag w:uri="urn:schemas-microsoft-com:office:smarttags" w:element="PersonName">
        <w:r w:rsidRPr="00B473E5">
          <w:rPr>
            <w:rFonts w:eastAsia="Times New Roman"/>
            <w:sz w:val="24"/>
            <w:szCs w:val="24"/>
          </w:rPr>
          <w:t>e</w:t>
        </w:r>
      </w:smartTag>
      <w:r w:rsidRPr="00B473E5">
        <w:rPr>
          <w:rFonts w:eastAsia="Times New Roman"/>
          <w:sz w:val="24"/>
          <w:szCs w:val="24"/>
        </w:rPr>
        <w:t>riod of tim</w:t>
      </w:r>
      <w:smartTag w:uri="urn:schemas-microsoft-com:office:smarttags" w:element="PersonName">
        <w:r w:rsidRPr="00B473E5">
          <w:rPr>
            <w:rFonts w:eastAsia="Times New Roman"/>
            <w:sz w:val="24"/>
            <w:szCs w:val="24"/>
          </w:rPr>
          <w:t>e</w:t>
        </w:r>
      </w:smartTag>
      <w:r w:rsidRPr="00B473E5">
        <w:rPr>
          <w:rFonts w:eastAsia="Times New Roman"/>
          <w:sz w:val="24"/>
          <w:szCs w:val="24"/>
        </w:rPr>
        <w:t>, s</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Not</w:t>
      </w:r>
      <w:smartTag w:uri="urn:schemas-microsoft-com:office:smarttags" w:element="PersonName">
        <w:r w:rsidRPr="00B473E5">
          <w:rPr>
            <w:rFonts w:eastAsia="Times New Roman"/>
            <w:sz w:val="24"/>
            <w:szCs w:val="24"/>
          </w:rPr>
          <w:t>e</w:t>
        </w:r>
      </w:smartTag>
      <w:r w:rsidRPr="00B473E5">
        <w:rPr>
          <w:rFonts w:eastAsia="Times New Roman"/>
          <w:sz w:val="24"/>
          <w:szCs w:val="24"/>
        </w:rPr>
        <w:t>s on Us</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to Instruction 31:5. </w:t>
      </w:r>
      <w:r w:rsidRPr="00B473E5">
        <w:rPr>
          <w:rFonts w:eastAsia="Times New Roman"/>
          <w:i/>
          <w:sz w:val="24"/>
          <w:szCs w:val="24"/>
        </w:rPr>
        <w:t>S</w:t>
      </w:r>
      <w:smartTag w:uri="urn:schemas-microsoft-com:office:smarttags" w:element="PersonName">
        <w:r w:rsidRPr="00B473E5">
          <w:rPr>
            <w:rFonts w:eastAsia="Times New Roman"/>
            <w:i/>
            <w:sz w:val="24"/>
            <w:szCs w:val="24"/>
          </w:rPr>
          <w:t>e</w:t>
        </w:r>
      </w:smartTag>
      <w:smartTag w:uri="urn:schemas-microsoft-com:office:smarttags" w:element="PersonName">
        <w:r w:rsidRPr="00B473E5">
          <w:rPr>
            <w:rFonts w:eastAsia="Times New Roman"/>
            <w:i/>
            <w:sz w:val="24"/>
            <w:szCs w:val="24"/>
          </w:rPr>
          <w:t>e</w:t>
        </w:r>
      </w:smartTag>
      <w:r w:rsidRPr="00B473E5">
        <w:rPr>
          <w:rFonts w:eastAsia="Times New Roman"/>
          <w:sz w:val="24"/>
          <w:szCs w:val="24"/>
        </w:rPr>
        <w:t xml:space="preserve"> </w:t>
      </w:r>
      <w:r w:rsidRPr="00B473E5">
        <w:rPr>
          <w:rFonts w:eastAsia="Times New Roman"/>
          <w:b/>
          <w:sz w:val="24"/>
          <w:szCs w:val="24"/>
        </w:rPr>
        <w:t>Pickell v. Arizona Compon</w:t>
      </w:r>
      <w:smartTag w:uri="urn:schemas-microsoft-com:office:smarttags" w:element="PersonName">
        <w:r w:rsidRPr="00B473E5">
          <w:rPr>
            <w:rFonts w:eastAsia="Times New Roman"/>
            <w:b/>
            <w:sz w:val="24"/>
            <w:szCs w:val="24"/>
          </w:rPr>
          <w:t>e</w:t>
        </w:r>
      </w:smartTag>
      <w:r w:rsidRPr="00B473E5">
        <w:rPr>
          <w:rFonts w:eastAsia="Times New Roman"/>
          <w:b/>
          <w:sz w:val="24"/>
          <w:szCs w:val="24"/>
        </w:rPr>
        <w:t>nts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931 P.2d 1184 (</w:t>
      </w:r>
      <w:smartTag w:uri="urn:schemas-microsoft-com:office:smarttags" w:element="place">
        <w:smartTag w:uri="urn:schemas-microsoft-com:office:smarttags" w:element="State">
          <w:r w:rsidRPr="00B473E5">
            <w:rPr>
              <w:rFonts w:eastAsia="Times New Roman"/>
              <w:sz w:val="24"/>
              <w:szCs w:val="24"/>
            </w:rPr>
            <w:t>Colo.</w:t>
          </w:r>
        </w:smartTag>
      </w:smartTag>
      <w:r w:rsidRPr="00B473E5">
        <w:rPr>
          <w:rFonts w:eastAsia="Times New Roman"/>
          <w:sz w:val="24"/>
          <w:szCs w:val="24"/>
        </w:rPr>
        <w:t xml:space="preserve"> 1997);</w:t>
      </w:r>
      <w:r w:rsidRPr="00B473E5">
        <w:rPr>
          <w:rFonts w:eastAsia="Times New Roman"/>
          <w:b/>
          <w:sz w:val="24"/>
          <w:szCs w:val="24"/>
        </w:rPr>
        <w:t xml:space="preserve"> Dorman v. Petrol Aspen, Inc.</w:t>
      </w:r>
      <w:r w:rsidRPr="00B473E5">
        <w:rPr>
          <w:rFonts w:eastAsia="Times New Roman"/>
          <w:sz w:val="24"/>
          <w:szCs w:val="24"/>
        </w:rPr>
        <w:t>, 914 P.2d 909 (</w:t>
      </w:r>
      <w:smartTag w:uri="urn:schemas-microsoft-com:office:smarttags" w:element="State">
        <w:r w:rsidRPr="00B473E5">
          <w:rPr>
            <w:rFonts w:eastAsia="Times New Roman"/>
            <w:sz w:val="24"/>
            <w:szCs w:val="24"/>
          </w:rPr>
          <w:t>Colo.</w:t>
        </w:r>
      </w:smartTag>
      <w:r w:rsidRPr="00B473E5">
        <w:rPr>
          <w:rFonts w:eastAsia="Times New Roman"/>
          <w:sz w:val="24"/>
          <w:szCs w:val="24"/>
        </w:rPr>
        <w:t xml:space="preserve"> 1996).</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1. This instruction is supported by </w:t>
      </w:r>
      <w:r w:rsidRPr="00B473E5">
        <w:rPr>
          <w:rFonts w:eastAsia="Times New Roman"/>
          <w:b/>
          <w:sz w:val="24"/>
          <w:szCs w:val="24"/>
        </w:rPr>
        <w:t>W</w:t>
      </w:r>
      <w:smartTag w:uri="urn:schemas-microsoft-com:office:smarttags" w:element="PersonName">
        <w:r w:rsidRPr="00B473E5">
          <w:rPr>
            <w:rFonts w:eastAsia="Times New Roman"/>
            <w:b/>
            <w:sz w:val="24"/>
            <w:szCs w:val="24"/>
          </w:rPr>
          <w:t>e</w:t>
        </w:r>
      </w:smartTag>
      <w:r w:rsidRPr="00B473E5">
        <w:rPr>
          <w:rFonts w:eastAsia="Times New Roman"/>
          <w:b/>
          <w:sz w:val="24"/>
          <w:szCs w:val="24"/>
        </w:rPr>
        <w:t>st</w:t>
      </w:r>
      <w:smartTag w:uri="urn:schemas-microsoft-com:office:smarttags" w:element="PersonName">
        <w:r w:rsidRPr="00B473E5">
          <w:rPr>
            <w:rFonts w:eastAsia="Times New Roman"/>
            <w:b/>
            <w:sz w:val="24"/>
            <w:szCs w:val="24"/>
          </w:rPr>
          <w:t>e</w:t>
        </w:r>
      </w:smartTag>
      <w:r w:rsidRPr="00B473E5">
        <w:rPr>
          <w:rFonts w:eastAsia="Times New Roman"/>
          <w:b/>
          <w:sz w:val="24"/>
          <w:szCs w:val="24"/>
        </w:rPr>
        <w:t>rn Distributing Co. v. Diodosio</w:t>
      </w:r>
      <w:r w:rsidRPr="00B473E5">
        <w:rPr>
          <w:rFonts w:eastAsia="Times New Roman"/>
          <w:sz w:val="24"/>
          <w:szCs w:val="24"/>
        </w:rPr>
        <w:t>, 841 P.2d 1053 (</w:t>
      </w:r>
      <w:smartTag w:uri="urn:schemas-microsoft-com:office:smarttags" w:element="place">
        <w:smartTag w:uri="urn:schemas-microsoft-com:office:smarttags" w:element="State">
          <w:r w:rsidRPr="00B473E5">
            <w:rPr>
              <w:rFonts w:eastAsia="Times New Roman"/>
              <w:sz w:val="24"/>
              <w:szCs w:val="24"/>
            </w:rPr>
            <w:t>Colo.</w:t>
          </w:r>
        </w:smartTag>
      </w:smartTag>
      <w:r w:rsidRPr="00B473E5">
        <w:rPr>
          <w:rFonts w:eastAsia="Times New Roman"/>
          <w:sz w:val="24"/>
          <w:szCs w:val="24"/>
        </w:rPr>
        <w:t xml:space="preserve"> 1992); </w:t>
      </w:r>
      <w:r w:rsidRPr="00B473E5">
        <w:rPr>
          <w:rFonts w:eastAsia="Times New Roman"/>
          <w:b/>
          <w:sz w:val="24"/>
          <w:szCs w:val="24"/>
        </w:rPr>
        <w:t>N</w:t>
      </w:r>
      <w:smartTag w:uri="urn:schemas-microsoft-com:office:smarttags" w:element="PersonName">
        <w:r w:rsidRPr="00B473E5">
          <w:rPr>
            <w:rFonts w:eastAsia="Times New Roman"/>
            <w:b/>
            <w:sz w:val="24"/>
            <w:szCs w:val="24"/>
          </w:rPr>
          <w:t>e</w:t>
        </w:r>
      </w:smartTag>
      <w:r w:rsidRPr="00B473E5">
        <w:rPr>
          <w:rFonts w:eastAsia="Times New Roman"/>
          <w:b/>
          <w:sz w:val="24"/>
          <w:szCs w:val="24"/>
        </w:rPr>
        <w:t>lson v. C</w:t>
      </w:r>
      <w:smartTag w:uri="urn:schemas-microsoft-com:office:smarttags" w:element="PersonName">
        <w:r w:rsidRPr="00B473E5">
          <w:rPr>
            <w:rFonts w:eastAsia="Times New Roman"/>
            <w:b/>
            <w:sz w:val="24"/>
            <w:szCs w:val="24"/>
          </w:rPr>
          <w:t>e</w:t>
        </w:r>
      </w:smartTag>
      <w:r w:rsidRPr="00B473E5">
        <w:rPr>
          <w:rFonts w:eastAsia="Times New Roman"/>
          <w:b/>
          <w:sz w:val="24"/>
          <w:szCs w:val="24"/>
        </w:rPr>
        <w:t>nt</w:t>
      </w:r>
      <w:smartTag w:uri="urn:schemas-microsoft-com:office:smarttags" w:element="PersonName">
        <w:r w:rsidRPr="00B473E5">
          <w:rPr>
            <w:rFonts w:eastAsia="Times New Roman"/>
            <w:b/>
            <w:sz w:val="24"/>
            <w:szCs w:val="24"/>
          </w:rPr>
          <w:t>e</w:t>
        </w:r>
      </w:smartTag>
      <w:r w:rsidRPr="00B473E5">
        <w:rPr>
          <w:rFonts w:eastAsia="Times New Roman"/>
          <w:b/>
          <w:sz w:val="24"/>
          <w:szCs w:val="24"/>
        </w:rPr>
        <w:t>nnial Casualty Co.</w:t>
      </w:r>
      <w:r w:rsidRPr="00B473E5">
        <w:rPr>
          <w:rFonts w:eastAsia="Times New Roman"/>
          <w:sz w:val="24"/>
          <w:szCs w:val="24"/>
        </w:rPr>
        <w:t xml:space="preserve">, 130 </w:t>
      </w:r>
      <w:smartTag w:uri="urn:schemas-microsoft-com:office:smarttags" w:element="State">
        <w:r w:rsidRPr="00B473E5">
          <w:rPr>
            <w:rFonts w:eastAsia="Times New Roman"/>
            <w:sz w:val="24"/>
            <w:szCs w:val="24"/>
          </w:rPr>
          <w:t>Colo.</w:t>
        </w:r>
      </w:smartTag>
      <w:r w:rsidRPr="00B473E5">
        <w:rPr>
          <w:rFonts w:eastAsia="Times New Roman"/>
          <w:sz w:val="24"/>
          <w:szCs w:val="24"/>
        </w:rPr>
        <w:t xml:space="preserve"> 66, 273 P.2d 121 (1954); </w:t>
      </w:r>
      <w:r w:rsidRPr="00B473E5">
        <w:rPr>
          <w:rFonts w:eastAsia="Times New Roman"/>
          <w:b/>
          <w:sz w:val="24"/>
          <w:szCs w:val="24"/>
        </w:rPr>
        <w:t>Saxonia Mining &amp; R</w:t>
      </w:r>
      <w:smartTag w:uri="urn:schemas-microsoft-com:office:smarttags" w:element="PersonName">
        <w:r w:rsidRPr="00B473E5">
          <w:rPr>
            <w:rFonts w:eastAsia="Times New Roman"/>
            <w:b/>
            <w:sz w:val="24"/>
            <w:szCs w:val="24"/>
          </w:rPr>
          <w:t>e</w:t>
        </w:r>
      </w:smartTag>
      <w:r w:rsidRPr="00B473E5">
        <w:rPr>
          <w:rFonts w:eastAsia="Times New Roman"/>
          <w:b/>
          <w:sz w:val="24"/>
          <w:szCs w:val="24"/>
        </w:rPr>
        <w:t>duction Co. v. Cook</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 </w:t>
      </w:r>
      <w:smartTag w:uri="urn:schemas-microsoft-com:office:smarttags" w:element="place">
        <w:smartTag w:uri="urn:schemas-microsoft-com:office:smarttags" w:element="State">
          <w:r w:rsidRPr="00B473E5">
            <w:rPr>
              <w:rFonts w:eastAsia="Times New Roman"/>
              <w:sz w:val="24"/>
              <w:szCs w:val="24"/>
            </w:rPr>
            <w:t>Colo.</w:t>
          </w:r>
        </w:smartTag>
      </w:smartTag>
      <w:r w:rsidRPr="00B473E5">
        <w:rPr>
          <w:rFonts w:eastAsia="Times New Roman"/>
          <w:sz w:val="24"/>
          <w:szCs w:val="24"/>
        </w:rPr>
        <w:t xml:space="preserve"> 569, 4 P. 1111 (1884); </w:t>
      </w:r>
      <w:r w:rsidRPr="00B473E5">
        <w:rPr>
          <w:rFonts w:eastAsia="Times New Roman"/>
          <w:b/>
          <w:sz w:val="24"/>
          <w:szCs w:val="24"/>
        </w:rPr>
        <w:t xml:space="preserve">Pittman v. Larson Distributing </w:t>
      </w:r>
      <w:smartTag w:uri="urn:schemas-microsoft-com:office:smarttags" w:element="place">
        <w:r w:rsidRPr="00B473E5">
          <w:rPr>
            <w:rFonts w:eastAsia="Times New Roman"/>
            <w:b/>
            <w:sz w:val="24"/>
            <w:szCs w:val="24"/>
          </w:rPr>
          <w:t>Co.</w:t>
        </w:r>
      </w:smartTag>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724 P.2d 1379 (Colo.</w:t>
      </w:r>
      <w:r w:rsidR="0067408D">
        <w:rPr>
          <w:rFonts w:eastAsia="Times New Roman"/>
          <w:sz w:val="24"/>
          <w:szCs w:val="24"/>
        </w:rPr>
        <w:t xml:space="preserve"> </w:t>
      </w:r>
      <w:r w:rsidRPr="00B473E5">
        <w:rPr>
          <w:rFonts w:eastAsia="Times New Roman"/>
          <w:sz w:val="24"/>
          <w:szCs w:val="24"/>
        </w:rPr>
        <w:t xml:space="preserve">App.), </w:t>
      </w:r>
      <w:r w:rsidRPr="00B473E5">
        <w:rPr>
          <w:rFonts w:eastAsia="Times New Roman"/>
          <w:i/>
          <w:sz w:val="24"/>
          <w:szCs w:val="24"/>
        </w:rPr>
        <w:t>c</w:t>
      </w:r>
      <w:smartTag w:uri="urn:schemas-microsoft-com:office:smarttags" w:element="PersonName">
        <w:r w:rsidRPr="00B473E5">
          <w:rPr>
            <w:rFonts w:eastAsia="Times New Roman"/>
            <w:i/>
            <w:sz w:val="24"/>
            <w:szCs w:val="24"/>
          </w:rPr>
          <w:t>e</w:t>
        </w:r>
      </w:smartTag>
      <w:r w:rsidRPr="00B473E5">
        <w:rPr>
          <w:rFonts w:eastAsia="Times New Roman"/>
          <w:i/>
          <w:sz w:val="24"/>
          <w:szCs w:val="24"/>
        </w:rPr>
        <w:t>rt. d</w:t>
      </w:r>
      <w:smartTag w:uri="urn:schemas-microsoft-com:office:smarttags" w:element="PersonName">
        <w:r w:rsidRPr="00B473E5">
          <w:rPr>
            <w:rFonts w:eastAsia="Times New Roman"/>
            <w:i/>
            <w:sz w:val="24"/>
            <w:szCs w:val="24"/>
          </w:rPr>
          <w:t>e</w:t>
        </w:r>
      </w:smartTag>
      <w:r w:rsidRPr="00B473E5">
        <w:rPr>
          <w:rFonts w:eastAsia="Times New Roman"/>
          <w:i/>
          <w:sz w:val="24"/>
          <w:szCs w:val="24"/>
        </w:rPr>
        <w:t>ni</w:t>
      </w:r>
      <w:smartTag w:uri="urn:schemas-microsoft-com:office:smarttags" w:element="PersonName">
        <w:r w:rsidRPr="00B473E5">
          <w:rPr>
            <w:rFonts w:eastAsia="Times New Roman"/>
            <w:i/>
            <w:sz w:val="24"/>
            <w:szCs w:val="24"/>
          </w:rPr>
          <w:t>e</w:t>
        </w:r>
      </w:smartTag>
      <w:r w:rsidRPr="00B473E5">
        <w:rPr>
          <w:rFonts w:eastAsia="Times New Roman"/>
          <w:i/>
          <w:sz w:val="24"/>
          <w:szCs w:val="24"/>
        </w:rPr>
        <w:t>d</w:t>
      </w:r>
      <w:r w:rsidRPr="00B473E5">
        <w:rPr>
          <w:rFonts w:eastAsia="Times New Roman"/>
          <w:sz w:val="24"/>
          <w:szCs w:val="24"/>
        </w:rPr>
        <w:t xml:space="preserve"> (1986).</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2. Good or just caus</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for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discharg</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is an affirmativ</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d</w:t>
      </w:r>
      <w:smartTag w:uri="urn:schemas-microsoft-com:office:smarttags" w:element="PersonName">
        <w:r w:rsidRPr="00B473E5">
          <w:rPr>
            <w:rFonts w:eastAsia="Times New Roman"/>
            <w:sz w:val="24"/>
            <w:szCs w:val="24"/>
          </w:rPr>
          <w:t>e</w:t>
        </w:r>
      </w:smartTag>
      <w:r w:rsidRPr="00B473E5">
        <w:rPr>
          <w:rFonts w:eastAsia="Times New Roman"/>
          <w:sz w:val="24"/>
          <w:szCs w:val="24"/>
        </w:rPr>
        <w:t>f</w:t>
      </w:r>
      <w:smartTag w:uri="urn:schemas-microsoft-com:office:smarttags" w:element="PersonName">
        <w:r w:rsidRPr="00B473E5">
          <w:rPr>
            <w:rFonts w:eastAsia="Times New Roman"/>
            <w:sz w:val="24"/>
            <w:szCs w:val="24"/>
          </w:rPr>
          <w:t>e</w:t>
        </w:r>
      </w:smartTag>
      <w:r w:rsidRPr="00B473E5">
        <w:rPr>
          <w:rFonts w:eastAsia="Times New Roman"/>
          <w:sz w:val="24"/>
          <w:szCs w:val="24"/>
        </w:rPr>
        <w:t>ns</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that must b</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rais</w:t>
      </w:r>
      <w:smartTag w:uri="urn:schemas-microsoft-com:office:smarttags" w:element="PersonName">
        <w:r w:rsidRPr="00B473E5">
          <w:rPr>
            <w:rFonts w:eastAsia="Times New Roman"/>
            <w:sz w:val="24"/>
            <w:szCs w:val="24"/>
          </w:rPr>
          <w:t>e</w:t>
        </w:r>
      </w:smartTag>
      <w:r w:rsidRPr="00B473E5">
        <w:rPr>
          <w:rFonts w:eastAsia="Times New Roman"/>
          <w:sz w:val="24"/>
          <w:szCs w:val="24"/>
        </w:rPr>
        <w:t>d and prov</w:t>
      </w:r>
      <w:smartTag w:uri="urn:schemas-microsoft-com:office:smarttags" w:element="PersonName">
        <w:r w:rsidRPr="00B473E5">
          <w:rPr>
            <w:rFonts w:eastAsia="Times New Roman"/>
            <w:sz w:val="24"/>
            <w:szCs w:val="24"/>
          </w:rPr>
          <w:t>e</w:t>
        </w:r>
      </w:smartTag>
      <w:r w:rsidRPr="00B473E5">
        <w:rPr>
          <w:rFonts w:eastAsia="Times New Roman"/>
          <w:sz w:val="24"/>
          <w:szCs w:val="24"/>
        </w:rPr>
        <w:t>d by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r. </w:t>
      </w:r>
      <w:proofErr w:type="gramStart"/>
      <w:smartTag w:uri="urn:schemas-microsoft-com:office:smarttags" w:element="place">
        <w:r w:rsidRPr="00B473E5">
          <w:rPr>
            <w:rFonts w:eastAsia="Times New Roman"/>
            <w:b/>
            <w:sz w:val="24"/>
            <w:szCs w:val="24"/>
          </w:rPr>
          <w:t>W</w:t>
        </w:r>
        <w:smartTag w:uri="urn:schemas-microsoft-com:office:smarttags" w:element="PersonName">
          <w:r w:rsidRPr="00B473E5">
            <w:rPr>
              <w:rFonts w:eastAsia="Times New Roman"/>
              <w:b/>
              <w:sz w:val="24"/>
              <w:szCs w:val="24"/>
            </w:rPr>
            <w:t>e</w:t>
          </w:r>
        </w:smartTag>
        <w:r w:rsidRPr="00B473E5">
          <w:rPr>
            <w:rFonts w:eastAsia="Times New Roman"/>
            <w:b/>
            <w:sz w:val="24"/>
            <w:szCs w:val="24"/>
          </w:rPr>
          <w:t>st</w:t>
        </w:r>
        <w:smartTag w:uri="urn:schemas-microsoft-com:office:smarttags" w:element="PersonName">
          <w:r w:rsidRPr="00B473E5">
            <w:rPr>
              <w:rFonts w:eastAsia="Times New Roman"/>
              <w:b/>
              <w:sz w:val="24"/>
              <w:szCs w:val="24"/>
            </w:rPr>
            <w:t>e</w:t>
          </w:r>
        </w:smartTag>
        <w:r w:rsidRPr="00B473E5">
          <w:rPr>
            <w:rFonts w:eastAsia="Times New Roman"/>
            <w:b/>
            <w:sz w:val="24"/>
            <w:szCs w:val="24"/>
          </w:rPr>
          <w:t>rn Distrib</w:t>
        </w:r>
      </w:smartTag>
      <w:r w:rsidRPr="00B473E5">
        <w:rPr>
          <w:rFonts w:eastAsia="Times New Roman"/>
          <w:b/>
          <w:sz w:val="24"/>
          <w:szCs w:val="24"/>
        </w:rPr>
        <w:t>.</w:t>
      </w:r>
      <w:proofErr w:type="gramEnd"/>
      <w:r w:rsidRPr="00B473E5">
        <w:rPr>
          <w:rFonts w:eastAsia="Times New Roman"/>
          <w:b/>
          <w:sz w:val="24"/>
          <w:szCs w:val="24"/>
        </w:rPr>
        <w:t xml:space="preserve"> </w:t>
      </w:r>
      <w:proofErr w:type="gramStart"/>
      <w:r w:rsidRPr="00B473E5">
        <w:rPr>
          <w:rFonts w:eastAsia="Times New Roman"/>
          <w:b/>
          <w:sz w:val="24"/>
          <w:szCs w:val="24"/>
        </w:rPr>
        <w:t>Co. v. Diodosio</w:t>
      </w:r>
      <w:r w:rsidRPr="00B473E5">
        <w:rPr>
          <w:rFonts w:eastAsia="Times New Roman"/>
          <w:sz w:val="24"/>
          <w:szCs w:val="24"/>
        </w:rPr>
        <w:t>, 841 P.2d 1053 (</w:t>
      </w:r>
      <w:smartTag w:uri="urn:schemas-microsoft-com:office:smarttags" w:element="place">
        <w:smartTag w:uri="urn:schemas-microsoft-com:office:smarttags" w:element="State">
          <w:r w:rsidRPr="00B473E5">
            <w:rPr>
              <w:rFonts w:eastAsia="Times New Roman"/>
              <w:sz w:val="24"/>
              <w:szCs w:val="24"/>
            </w:rPr>
            <w:t>Colo.</w:t>
          </w:r>
        </w:smartTag>
      </w:smartTag>
      <w:r w:rsidRPr="00B473E5">
        <w:rPr>
          <w:rFonts w:eastAsia="Times New Roman"/>
          <w:sz w:val="24"/>
          <w:szCs w:val="24"/>
        </w:rPr>
        <w:t xml:space="preserve"> 1992); </w:t>
      </w:r>
      <w:r w:rsidRPr="00B473E5">
        <w:rPr>
          <w:rFonts w:eastAsia="Times New Roman"/>
          <w:b/>
          <w:sz w:val="24"/>
          <w:szCs w:val="24"/>
        </w:rPr>
        <w:t>Pittman v. Larson Distrib.</w:t>
      </w:r>
      <w:proofErr w:type="gramEnd"/>
      <w:r w:rsidRPr="00B473E5">
        <w:rPr>
          <w:rFonts w:eastAsia="Times New Roman"/>
          <w:b/>
          <w:sz w:val="24"/>
          <w:szCs w:val="24"/>
        </w:rPr>
        <w:t xml:space="preserve"> </w:t>
      </w:r>
      <w:smartTag w:uri="urn:schemas-microsoft-com:office:smarttags" w:element="place">
        <w:r w:rsidRPr="00B473E5">
          <w:rPr>
            <w:rFonts w:eastAsia="Times New Roman"/>
            <w:b/>
            <w:sz w:val="24"/>
            <w:szCs w:val="24"/>
          </w:rPr>
          <w:t>Co.</w:t>
        </w:r>
      </w:smartTag>
      <w:r w:rsidRPr="00B473E5">
        <w:rPr>
          <w:rFonts w:eastAsia="Times New Roman"/>
          <w:sz w:val="24"/>
          <w:szCs w:val="24"/>
        </w:rPr>
        <w:t>, 724 P.2d 1379 (</w:t>
      </w:r>
      <w:r w:rsidR="0067408D">
        <w:rPr>
          <w:rFonts w:eastAsia="Times New Roman"/>
          <w:sz w:val="24"/>
          <w:szCs w:val="24"/>
        </w:rPr>
        <w:t>Colo. App.</w:t>
      </w:r>
      <w:r w:rsidRPr="00B473E5">
        <w:rPr>
          <w:rFonts w:eastAsia="Times New Roman"/>
          <w:sz w:val="24"/>
          <w:szCs w:val="24"/>
        </w:rPr>
        <w:t xml:space="preserve">), </w:t>
      </w:r>
      <w:r w:rsidRPr="00B473E5">
        <w:rPr>
          <w:rFonts w:eastAsia="Times New Roman"/>
          <w:i/>
          <w:sz w:val="24"/>
          <w:szCs w:val="24"/>
        </w:rPr>
        <w:t>c</w:t>
      </w:r>
      <w:smartTag w:uri="urn:schemas-microsoft-com:office:smarttags" w:element="PersonName">
        <w:r w:rsidRPr="00B473E5">
          <w:rPr>
            <w:rFonts w:eastAsia="Times New Roman"/>
            <w:i/>
            <w:sz w:val="24"/>
            <w:szCs w:val="24"/>
          </w:rPr>
          <w:t>e</w:t>
        </w:r>
      </w:smartTag>
      <w:r w:rsidRPr="00B473E5">
        <w:rPr>
          <w:rFonts w:eastAsia="Times New Roman"/>
          <w:i/>
          <w:sz w:val="24"/>
          <w:szCs w:val="24"/>
        </w:rPr>
        <w:t>rt. d</w:t>
      </w:r>
      <w:smartTag w:uri="urn:schemas-microsoft-com:office:smarttags" w:element="PersonName">
        <w:r w:rsidRPr="00B473E5">
          <w:rPr>
            <w:rFonts w:eastAsia="Times New Roman"/>
            <w:i/>
            <w:sz w:val="24"/>
            <w:szCs w:val="24"/>
          </w:rPr>
          <w:t>e</w:t>
        </w:r>
      </w:smartTag>
      <w:r w:rsidRPr="00B473E5">
        <w:rPr>
          <w:rFonts w:eastAsia="Times New Roman"/>
          <w:i/>
          <w:sz w:val="24"/>
          <w:szCs w:val="24"/>
        </w:rPr>
        <w:t>ni</w:t>
      </w:r>
      <w:smartTag w:uri="urn:schemas-microsoft-com:office:smarttags" w:element="PersonName">
        <w:r w:rsidRPr="00B473E5">
          <w:rPr>
            <w:rFonts w:eastAsia="Times New Roman"/>
            <w:i/>
            <w:sz w:val="24"/>
            <w:szCs w:val="24"/>
          </w:rPr>
          <w:t>e</w:t>
        </w:r>
      </w:smartTag>
      <w:r w:rsidRPr="00B473E5">
        <w:rPr>
          <w:rFonts w:eastAsia="Times New Roman"/>
          <w:i/>
          <w:sz w:val="24"/>
          <w:szCs w:val="24"/>
        </w:rPr>
        <w:t>d (</w:t>
      </w:r>
      <w:r w:rsidRPr="00B473E5">
        <w:rPr>
          <w:rFonts w:eastAsia="Times New Roman"/>
          <w:sz w:val="24"/>
          <w:szCs w:val="24"/>
        </w:rPr>
        <w:t>1986). For a discussion of good or just caus</w:t>
      </w:r>
      <w:smartTag w:uri="urn:schemas-microsoft-com:office:smarttags" w:element="PersonName">
        <w:r w:rsidRPr="00B473E5">
          <w:rPr>
            <w:rFonts w:eastAsia="Times New Roman"/>
            <w:sz w:val="24"/>
            <w:szCs w:val="24"/>
          </w:rPr>
          <w:t>e</w:t>
        </w:r>
      </w:smartTag>
      <w:r w:rsidRPr="00B473E5">
        <w:rPr>
          <w:rFonts w:eastAsia="Times New Roman"/>
          <w:sz w:val="24"/>
          <w:szCs w:val="24"/>
        </w:rPr>
        <w:t>, s</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Instruction 31:6.</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3. Wh</w:t>
      </w:r>
      <w:smartTag w:uri="urn:schemas-microsoft-com:office:smarttags" w:element="PersonName">
        <w:r w:rsidRPr="00B473E5">
          <w:rPr>
            <w:rFonts w:eastAsia="Times New Roman"/>
            <w:sz w:val="24"/>
            <w:szCs w:val="24"/>
          </w:rPr>
          <w:t>e</w:t>
        </w:r>
      </w:smartTag>
      <w:r w:rsidRPr="00B473E5">
        <w:rPr>
          <w:rFonts w:eastAsia="Times New Roman"/>
          <w:sz w:val="24"/>
          <w:szCs w:val="24"/>
        </w:rPr>
        <w:t>r</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an </w:t>
      </w:r>
      <w:smartTag w:uri="urn:schemas-microsoft-com:office:smarttags" w:element="PersonName">
        <w:r w:rsidRPr="00B473E5">
          <w:rPr>
            <w:rFonts w:eastAsia="Times New Roman"/>
            <w:sz w:val="24"/>
            <w:szCs w:val="24"/>
          </w:rPr>
          <w:t>e</w:t>
        </w:r>
      </w:smartTag>
      <w:r w:rsidRPr="00B473E5">
        <w:rPr>
          <w:rFonts w:eastAsia="Times New Roman"/>
          <w:sz w:val="24"/>
          <w:szCs w:val="24"/>
        </w:rPr>
        <w:t>mploy</w:t>
      </w:r>
      <w:smartTag w:uri="urn:schemas-microsoft-com:office:smarttags" w:element="PersonName">
        <w:r w:rsidRPr="00B473E5">
          <w:rPr>
            <w:rFonts w:eastAsia="Times New Roman"/>
            <w:sz w:val="24"/>
            <w:szCs w:val="24"/>
          </w:rPr>
          <w:t>e</w:t>
        </w:r>
      </w:smartTag>
      <w:r w:rsidRPr="00B473E5">
        <w:rPr>
          <w:rFonts w:eastAsia="Times New Roman"/>
          <w:sz w:val="24"/>
          <w:szCs w:val="24"/>
        </w:rPr>
        <w:t>r discov</w:t>
      </w:r>
      <w:smartTag w:uri="urn:schemas-microsoft-com:office:smarttags" w:element="PersonName">
        <w:r w:rsidRPr="00B473E5">
          <w:rPr>
            <w:rFonts w:eastAsia="Times New Roman"/>
            <w:sz w:val="24"/>
            <w:szCs w:val="24"/>
          </w:rPr>
          <w:t>e</w:t>
        </w:r>
      </w:smartTag>
      <w:r w:rsidRPr="00B473E5">
        <w:rPr>
          <w:rFonts w:eastAsia="Times New Roman"/>
          <w:sz w:val="24"/>
          <w:szCs w:val="24"/>
        </w:rPr>
        <w:t>rs a misr</w:t>
      </w:r>
      <w:smartTag w:uri="urn:schemas-microsoft-com:office:smarttags" w:element="PersonName">
        <w:r w:rsidRPr="00B473E5">
          <w:rPr>
            <w:rFonts w:eastAsia="Times New Roman"/>
            <w:sz w:val="24"/>
            <w:szCs w:val="24"/>
          </w:rPr>
          <w:t>e</w:t>
        </w:r>
      </w:smartTag>
      <w:r w:rsidRPr="00B473E5">
        <w:rPr>
          <w:rFonts w:eastAsia="Times New Roman"/>
          <w:sz w:val="24"/>
          <w:szCs w:val="24"/>
        </w:rPr>
        <w:t>pr</w:t>
      </w:r>
      <w:smartTag w:uri="urn:schemas-microsoft-com:office:smarttags" w:element="PersonName">
        <w:r w:rsidRPr="00B473E5">
          <w:rPr>
            <w:rFonts w:eastAsia="Times New Roman"/>
            <w:sz w:val="24"/>
            <w:szCs w:val="24"/>
          </w:rPr>
          <w:t>e</w:t>
        </w:r>
      </w:smartTag>
      <w:r w:rsidRPr="00B473E5">
        <w:rPr>
          <w:rFonts w:eastAsia="Times New Roman"/>
          <w:sz w:val="24"/>
          <w:szCs w:val="24"/>
        </w:rPr>
        <w:t>s</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ntation on an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nt application or résumé aft</w:t>
      </w:r>
      <w:smartTag w:uri="urn:schemas-microsoft-com:office:smarttags" w:element="PersonName">
        <w:r w:rsidRPr="00B473E5">
          <w:rPr>
            <w:rFonts w:eastAsia="Times New Roman"/>
            <w:sz w:val="24"/>
            <w:szCs w:val="24"/>
          </w:rPr>
          <w:t>e</w:t>
        </w:r>
      </w:smartTag>
      <w:r w:rsidRPr="00B473E5">
        <w:rPr>
          <w:rFonts w:eastAsia="Times New Roman"/>
          <w:sz w:val="24"/>
          <w:szCs w:val="24"/>
        </w:rPr>
        <w:t>r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has b</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n t</w:t>
      </w:r>
      <w:smartTag w:uri="urn:schemas-microsoft-com:office:smarttags" w:element="PersonName">
        <w:r w:rsidRPr="00B473E5">
          <w:rPr>
            <w:rFonts w:eastAsia="Times New Roman"/>
            <w:sz w:val="24"/>
            <w:szCs w:val="24"/>
          </w:rPr>
          <w:t>e</w:t>
        </w:r>
      </w:smartTag>
      <w:r w:rsidRPr="00B473E5">
        <w:rPr>
          <w:rFonts w:eastAsia="Times New Roman"/>
          <w:sz w:val="24"/>
          <w:szCs w:val="24"/>
        </w:rPr>
        <w:t>rminat</w:t>
      </w:r>
      <w:smartTag w:uri="urn:schemas-microsoft-com:office:smarttags" w:element="PersonName">
        <w:r w:rsidRPr="00B473E5">
          <w:rPr>
            <w:rFonts w:eastAsia="Times New Roman"/>
            <w:sz w:val="24"/>
            <w:szCs w:val="24"/>
          </w:rPr>
          <w:t>e</w:t>
        </w:r>
      </w:smartTag>
      <w:r w:rsidRPr="00B473E5">
        <w:rPr>
          <w:rFonts w:eastAsia="Times New Roman"/>
          <w:sz w:val="24"/>
          <w:szCs w:val="24"/>
        </w:rPr>
        <w:t>d for oth</w:t>
      </w:r>
      <w:smartTag w:uri="urn:schemas-microsoft-com:office:smarttags" w:element="PersonName">
        <w:r w:rsidRPr="00B473E5">
          <w:rPr>
            <w:rFonts w:eastAsia="Times New Roman"/>
            <w:sz w:val="24"/>
            <w:szCs w:val="24"/>
          </w:rPr>
          <w:t>e</w:t>
        </w:r>
      </w:smartTag>
      <w:r w:rsidRPr="00B473E5">
        <w:rPr>
          <w:rFonts w:eastAsia="Times New Roman"/>
          <w:sz w:val="24"/>
          <w:szCs w:val="24"/>
        </w:rPr>
        <w:t>r r</w:t>
      </w:r>
      <w:smartTag w:uri="urn:schemas-microsoft-com:office:smarttags" w:element="PersonName">
        <w:r w:rsidRPr="00B473E5">
          <w:rPr>
            <w:rFonts w:eastAsia="Times New Roman"/>
            <w:sz w:val="24"/>
            <w:szCs w:val="24"/>
          </w:rPr>
          <w:t>e</w:t>
        </w:r>
      </w:smartTag>
      <w:r w:rsidRPr="00B473E5">
        <w:rPr>
          <w:rFonts w:eastAsia="Times New Roman"/>
          <w:sz w:val="24"/>
          <w:szCs w:val="24"/>
        </w:rPr>
        <w:t>asons, such “aft</w:t>
      </w:r>
      <w:smartTag w:uri="urn:schemas-microsoft-com:office:smarttags" w:element="PersonName">
        <w:r w:rsidRPr="00B473E5">
          <w:rPr>
            <w:rFonts w:eastAsia="Times New Roman"/>
            <w:sz w:val="24"/>
            <w:szCs w:val="24"/>
          </w:rPr>
          <w:t>e</w:t>
        </w:r>
      </w:smartTag>
      <w:r w:rsidRPr="00B473E5">
        <w:rPr>
          <w:rFonts w:eastAsia="Times New Roman"/>
          <w:sz w:val="24"/>
          <w:szCs w:val="24"/>
        </w:rPr>
        <w:t>r-acquir</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d </w:t>
      </w:r>
      <w:smartTag w:uri="urn:schemas-microsoft-com:office:smarttags" w:element="PersonName">
        <w:r w:rsidRPr="00B473E5">
          <w:rPr>
            <w:rFonts w:eastAsia="Times New Roman"/>
            <w:sz w:val="24"/>
            <w:szCs w:val="24"/>
          </w:rPr>
          <w:t>e</w:t>
        </w:r>
      </w:smartTag>
      <w:r w:rsidRPr="00B473E5">
        <w:rPr>
          <w:rFonts w:eastAsia="Times New Roman"/>
          <w:sz w:val="24"/>
          <w:szCs w:val="24"/>
        </w:rPr>
        <w:t>vid</w:t>
      </w:r>
      <w:smartTag w:uri="urn:schemas-microsoft-com:office:smarttags" w:element="PersonName">
        <w:r w:rsidRPr="00B473E5">
          <w:rPr>
            <w:rFonts w:eastAsia="Times New Roman"/>
            <w:sz w:val="24"/>
            <w:szCs w:val="24"/>
          </w:rPr>
          <w:t>e</w:t>
        </w:r>
      </w:smartTag>
      <w:r w:rsidRPr="00B473E5">
        <w:rPr>
          <w:rFonts w:eastAsia="Times New Roman"/>
          <w:sz w:val="24"/>
          <w:szCs w:val="24"/>
        </w:rPr>
        <w:t>nce” is a compl</w:t>
      </w:r>
      <w:smartTag w:uri="urn:schemas-microsoft-com:office:smarttags" w:element="PersonName">
        <w:r w:rsidRPr="00B473E5">
          <w:rPr>
            <w:rFonts w:eastAsia="Times New Roman"/>
            <w:sz w:val="24"/>
            <w:szCs w:val="24"/>
          </w:rPr>
          <w:t>e</w:t>
        </w:r>
      </w:smartTag>
      <w:r w:rsidRPr="00B473E5">
        <w:rPr>
          <w:rFonts w:eastAsia="Times New Roman"/>
          <w:sz w:val="24"/>
          <w:szCs w:val="24"/>
        </w:rPr>
        <w:t>t</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d</w:t>
      </w:r>
      <w:smartTag w:uri="urn:schemas-microsoft-com:office:smarttags" w:element="PersonName">
        <w:r w:rsidRPr="00B473E5">
          <w:rPr>
            <w:rFonts w:eastAsia="Times New Roman"/>
            <w:sz w:val="24"/>
            <w:szCs w:val="24"/>
          </w:rPr>
          <w:t>e</w:t>
        </w:r>
      </w:smartTag>
      <w:r w:rsidRPr="00B473E5">
        <w:rPr>
          <w:rFonts w:eastAsia="Times New Roman"/>
          <w:sz w:val="24"/>
          <w:szCs w:val="24"/>
        </w:rPr>
        <w:t>f</w:t>
      </w:r>
      <w:smartTag w:uri="urn:schemas-microsoft-com:office:smarttags" w:element="PersonName">
        <w:r w:rsidRPr="00B473E5">
          <w:rPr>
            <w:rFonts w:eastAsia="Times New Roman"/>
            <w:sz w:val="24"/>
            <w:szCs w:val="24"/>
          </w:rPr>
          <w:t>e</w:t>
        </w:r>
      </w:smartTag>
      <w:r w:rsidRPr="00B473E5">
        <w:rPr>
          <w:rFonts w:eastAsia="Times New Roman"/>
          <w:sz w:val="24"/>
          <w:szCs w:val="24"/>
        </w:rPr>
        <w:t>ns</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to a claim for wrongful discharg</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pr</w:t>
      </w:r>
      <w:smartTag w:uri="urn:schemas-microsoft-com:office:smarttags" w:element="PersonName">
        <w:r w:rsidRPr="00B473E5">
          <w:rPr>
            <w:rFonts w:eastAsia="Times New Roman"/>
            <w:sz w:val="24"/>
            <w:szCs w:val="24"/>
          </w:rPr>
          <w:t>e</w:t>
        </w:r>
      </w:smartTag>
      <w:r w:rsidRPr="00B473E5">
        <w:rPr>
          <w:rFonts w:eastAsia="Times New Roman"/>
          <w:sz w:val="24"/>
          <w:szCs w:val="24"/>
        </w:rPr>
        <w:t>dicat</w:t>
      </w:r>
      <w:smartTag w:uri="urn:schemas-microsoft-com:office:smarttags" w:element="PersonName">
        <w:r w:rsidRPr="00B473E5">
          <w:rPr>
            <w:rFonts w:eastAsia="Times New Roman"/>
            <w:sz w:val="24"/>
            <w:szCs w:val="24"/>
          </w:rPr>
          <w:t>e</w:t>
        </w:r>
      </w:smartTag>
      <w:r w:rsidRPr="00B473E5">
        <w:rPr>
          <w:rFonts w:eastAsia="Times New Roman"/>
          <w:sz w:val="24"/>
          <w:szCs w:val="24"/>
        </w:rPr>
        <w:t>d on br</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ach of contract or promissory </w:t>
      </w:r>
      <w:smartTag w:uri="urn:schemas-microsoft-com:office:smarttags" w:element="PersonName">
        <w:r w:rsidRPr="00B473E5">
          <w:rPr>
            <w:rFonts w:eastAsia="Times New Roman"/>
            <w:sz w:val="24"/>
            <w:szCs w:val="24"/>
          </w:rPr>
          <w:t>e</w:t>
        </w:r>
      </w:smartTag>
      <w:r w:rsidRPr="00B473E5">
        <w:rPr>
          <w:rFonts w:eastAsia="Times New Roman"/>
          <w:sz w:val="24"/>
          <w:szCs w:val="24"/>
        </w:rPr>
        <w:t>stopp</w:t>
      </w:r>
      <w:smartTag w:uri="urn:schemas-microsoft-com:office:smarttags" w:element="PersonName">
        <w:r w:rsidRPr="00B473E5">
          <w:rPr>
            <w:rFonts w:eastAsia="Times New Roman"/>
            <w:sz w:val="24"/>
            <w:szCs w:val="24"/>
          </w:rPr>
          <w:t>e</w:t>
        </w:r>
      </w:smartTag>
      <w:r w:rsidRPr="00B473E5">
        <w:rPr>
          <w:rFonts w:eastAsia="Times New Roman"/>
          <w:sz w:val="24"/>
          <w:szCs w:val="24"/>
        </w:rPr>
        <w:t>l, if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w:t>
      </w:r>
      <w:smartTag w:uri="urn:schemas-microsoft-com:office:smarttags" w:element="PersonName">
        <w:r w:rsidRPr="00B473E5">
          <w:rPr>
            <w:rFonts w:eastAsia="Times New Roman"/>
            <w:sz w:val="24"/>
            <w:szCs w:val="24"/>
          </w:rPr>
          <w:t>e</w:t>
        </w:r>
      </w:smartTag>
      <w:r w:rsidRPr="00B473E5">
        <w:rPr>
          <w:rFonts w:eastAsia="Times New Roman"/>
          <w:sz w:val="24"/>
          <w:szCs w:val="24"/>
        </w:rPr>
        <w:t>r shows that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w:t>
      </w:r>
      <w:smartTag w:uri="urn:schemas-microsoft-com:office:smarttags" w:element="PersonName">
        <w:r w:rsidRPr="00B473E5">
          <w:rPr>
            <w:rFonts w:eastAsia="Times New Roman"/>
            <w:sz w:val="24"/>
            <w:szCs w:val="24"/>
          </w:rPr>
          <w:t>e</w:t>
        </w:r>
      </w:smartTag>
      <w:r w:rsidRPr="00B473E5">
        <w:rPr>
          <w:rFonts w:eastAsia="Times New Roman"/>
          <w:sz w:val="24"/>
          <w:szCs w:val="24"/>
        </w:rPr>
        <w:t>e’s misr</w:t>
      </w:r>
      <w:smartTag w:uri="urn:schemas-microsoft-com:office:smarttags" w:element="PersonName">
        <w:r w:rsidRPr="00B473E5">
          <w:rPr>
            <w:rFonts w:eastAsia="Times New Roman"/>
            <w:sz w:val="24"/>
            <w:szCs w:val="24"/>
          </w:rPr>
          <w:t>e</w:t>
        </w:r>
      </w:smartTag>
      <w:r w:rsidRPr="00B473E5">
        <w:rPr>
          <w:rFonts w:eastAsia="Times New Roman"/>
          <w:sz w:val="24"/>
          <w:szCs w:val="24"/>
        </w:rPr>
        <w:t>pr</w:t>
      </w:r>
      <w:smartTag w:uri="urn:schemas-microsoft-com:office:smarttags" w:element="PersonName">
        <w:r w:rsidRPr="00B473E5">
          <w:rPr>
            <w:rFonts w:eastAsia="Times New Roman"/>
            <w:sz w:val="24"/>
            <w:szCs w:val="24"/>
          </w:rPr>
          <w:t>e</w:t>
        </w:r>
      </w:smartTag>
      <w:r w:rsidRPr="00B473E5">
        <w:rPr>
          <w:rFonts w:eastAsia="Times New Roman"/>
          <w:sz w:val="24"/>
          <w:szCs w:val="24"/>
        </w:rPr>
        <w:t>s</w:t>
      </w:r>
      <w:smartTag w:uri="urn:schemas-microsoft-com:office:smarttags" w:element="PersonName">
        <w:r w:rsidRPr="00B473E5">
          <w:rPr>
            <w:rFonts w:eastAsia="Times New Roman"/>
            <w:sz w:val="24"/>
            <w:szCs w:val="24"/>
          </w:rPr>
          <w:t>e</w:t>
        </w:r>
      </w:smartTag>
      <w:r w:rsidRPr="00B473E5">
        <w:rPr>
          <w:rFonts w:eastAsia="Times New Roman"/>
          <w:sz w:val="24"/>
          <w:szCs w:val="24"/>
        </w:rPr>
        <w:t>ntation was mat</w:t>
      </w:r>
      <w:smartTag w:uri="urn:schemas-microsoft-com:office:smarttags" w:element="PersonName">
        <w:r w:rsidRPr="00B473E5">
          <w:rPr>
            <w:rFonts w:eastAsia="Times New Roman"/>
            <w:sz w:val="24"/>
            <w:szCs w:val="24"/>
          </w:rPr>
          <w:t>e</w:t>
        </w:r>
      </w:smartTag>
      <w:r w:rsidRPr="00B473E5">
        <w:rPr>
          <w:rFonts w:eastAsia="Times New Roman"/>
          <w:sz w:val="24"/>
          <w:szCs w:val="24"/>
        </w:rPr>
        <w:t>rial and that “a r</w:t>
      </w:r>
      <w:smartTag w:uri="urn:schemas-microsoft-com:office:smarttags" w:element="PersonName">
        <w:r w:rsidRPr="00B473E5">
          <w:rPr>
            <w:rFonts w:eastAsia="Times New Roman"/>
            <w:sz w:val="24"/>
            <w:szCs w:val="24"/>
          </w:rPr>
          <w:t>e</w:t>
        </w:r>
      </w:smartTag>
      <w:r w:rsidRPr="00B473E5">
        <w:rPr>
          <w:rFonts w:eastAsia="Times New Roman"/>
          <w:sz w:val="24"/>
          <w:szCs w:val="24"/>
        </w:rPr>
        <w:t>asonabl</w:t>
      </w:r>
      <w:smartTag w:uri="urn:schemas-microsoft-com:office:smarttags" w:element="PersonName">
        <w:r w:rsidRPr="00B473E5">
          <w:rPr>
            <w:rFonts w:eastAsia="Times New Roman"/>
            <w:sz w:val="24"/>
            <w:szCs w:val="24"/>
          </w:rPr>
          <w:t>e</w:t>
        </w:r>
      </w:smartTag>
      <w:r w:rsidRPr="00B473E5">
        <w:rPr>
          <w:rFonts w:eastAsia="Times New Roman"/>
          <w:sz w:val="24"/>
          <w:szCs w:val="24"/>
        </w:rPr>
        <w:t>, obj</w:t>
      </w:r>
      <w:smartTag w:uri="urn:schemas-microsoft-com:office:smarttags" w:element="PersonName">
        <w:r w:rsidRPr="00B473E5">
          <w:rPr>
            <w:rFonts w:eastAsia="Times New Roman"/>
            <w:sz w:val="24"/>
            <w:szCs w:val="24"/>
          </w:rPr>
          <w:t>e</w:t>
        </w:r>
      </w:smartTag>
      <w:r w:rsidRPr="00B473E5">
        <w:rPr>
          <w:rFonts w:eastAsia="Times New Roman"/>
          <w:sz w:val="24"/>
          <w:szCs w:val="24"/>
        </w:rPr>
        <w:t>ctiv</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w:t>
      </w:r>
      <w:smartTag w:uri="urn:schemas-microsoft-com:office:smarttags" w:element="PersonName">
        <w:r w:rsidRPr="00B473E5">
          <w:rPr>
            <w:rFonts w:eastAsia="Times New Roman"/>
            <w:sz w:val="24"/>
            <w:szCs w:val="24"/>
          </w:rPr>
          <w:t>e</w:t>
        </w:r>
      </w:smartTag>
      <w:r w:rsidRPr="00B473E5">
        <w:rPr>
          <w:rFonts w:eastAsia="Times New Roman"/>
          <w:sz w:val="24"/>
          <w:szCs w:val="24"/>
        </w:rPr>
        <w:t>r would not hav</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hir</w:t>
      </w:r>
      <w:smartTag w:uri="urn:schemas-microsoft-com:office:smarttags" w:element="PersonName">
        <w:r w:rsidRPr="00B473E5">
          <w:rPr>
            <w:rFonts w:eastAsia="Times New Roman"/>
            <w:sz w:val="24"/>
            <w:szCs w:val="24"/>
          </w:rPr>
          <w:t>e</w:t>
        </w:r>
      </w:smartTag>
      <w:r w:rsidRPr="00B473E5">
        <w:rPr>
          <w:rFonts w:eastAsia="Times New Roman"/>
          <w:sz w:val="24"/>
          <w:szCs w:val="24"/>
        </w:rPr>
        <w:t>d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if it had discov</w:t>
      </w:r>
      <w:smartTag w:uri="urn:schemas-microsoft-com:office:smarttags" w:element="PersonName">
        <w:r w:rsidRPr="00B473E5">
          <w:rPr>
            <w:rFonts w:eastAsia="Times New Roman"/>
            <w:sz w:val="24"/>
            <w:szCs w:val="24"/>
          </w:rPr>
          <w:t>e</w:t>
        </w:r>
      </w:smartTag>
      <w:r w:rsidRPr="00B473E5">
        <w:rPr>
          <w:rFonts w:eastAsia="Times New Roman"/>
          <w:sz w:val="24"/>
          <w:szCs w:val="24"/>
        </w:rPr>
        <w:t>r</w:t>
      </w:r>
      <w:smartTag w:uri="urn:schemas-microsoft-com:office:smarttags" w:element="PersonName">
        <w:r w:rsidRPr="00B473E5">
          <w:rPr>
            <w:rFonts w:eastAsia="Times New Roman"/>
            <w:sz w:val="24"/>
            <w:szCs w:val="24"/>
          </w:rPr>
          <w:t>e</w:t>
        </w:r>
      </w:smartTag>
      <w:r w:rsidRPr="00B473E5">
        <w:rPr>
          <w:rFonts w:eastAsia="Times New Roman"/>
          <w:sz w:val="24"/>
          <w:szCs w:val="24"/>
        </w:rPr>
        <w:t>d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misr</w:t>
      </w:r>
      <w:smartTag w:uri="urn:schemas-microsoft-com:office:smarttags" w:element="PersonName">
        <w:r w:rsidRPr="00B473E5">
          <w:rPr>
            <w:rFonts w:eastAsia="Times New Roman"/>
            <w:sz w:val="24"/>
            <w:szCs w:val="24"/>
          </w:rPr>
          <w:t>e</w:t>
        </w:r>
      </w:smartTag>
      <w:r w:rsidRPr="00B473E5">
        <w:rPr>
          <w:rFonts w:eastAsia="Times New Roman"/>
          <w:sz w:val="24"/>
          <w:szCs w:val="24"/>
        </w:rPr>
        <w:t>pr</w:t>
      </w:r>
      <w:smartTag w:uri="urn:schemas-microsoft-com:office:smarttags" w:element="PersonName">
        <w:r w:rsidRPr="00B473E5">
          <w:rPr>
            <w:rFonts w:eastAsia="Times New Roman"/>
            <w:sz w:val="24"/>
            <w:szCs w:val="24"/>
          </w:rPr>
          <w:t>e</w:t>
        </w:r>
      </w:smartTag>
      <w:r w:rsidRPr="00B473E5">
        <w:rPr>
          <w:rFonts w:eastAsia="Times New Roman"/>
          <w:sz w:val="24"/>
          <w:szCs w:val="24"/>
        </w:rPr>
        <w:t>s</w:t>
      </w:r>
      <w:smartTag w:uri="urn:schemas-microsoft-com:office:smarttags" w:element="PersonName">
        <w:r w:rsidRPr="00B473E5">
          <w:rPr>
            <w:rFonts w:eastAsia="Times New Roman"/>
            <w:sz w:val="24"/>
            <w:szCs w:val="24"/>
          </w:rPr>
          <w:t>e</w:t>
        </w:r>
      </w:smartTag>
      <w:r w:rsidRPr="00B473E5">
        <w:rPr>
          <w:rFonts w:eastAsia="Times New Roman"/>
          <w:sz w:val="24"/>
          <w:szCs w:val="24"/>
        </w:rPr>
        <w:t>ntation at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outs</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t.” </w:t>
      </w:r>
      <w:proofErr w:type="gramStart"/>
      <w:r w:rsidRPr="00B473E5">
        <w:rPr>
          <w:rFonts w:eastAsia="Times New Roman"/>
          <w:b/>
          <w:sz w:val="24"/>
          <w:szCs w:val="24"/>
        </w:rPr>
        <w:t>Crawford R</w:t>
      </w:r>
      <w:smartTag w:uri="urn:schemas-microsoft-com:office:smarttags" w:element="PersonName">
        <w:r w:rsidRPr="00B473E5">
          <w:rPr>
            <w:rFonts w:eastAsia="Times New Roman"/>
            <w:b/>
            <w:sz w:val="24"/>
            <w:szCs w:val="24"/>
          </w:rPr>
          <w:t>e</w:t>
        </w:r>
      </w:smartTag>
      <w:r w:rsidRPr="00B473E5">
        <w:rPr>
          <w:rFonts w:eastAsia="Times New Roman"/>
          <w:b/>
          <w:sz w:val="24"/>
          <w:szCs w:val="24"/>
        </w:rPr>
        <w:t>hab.</w:t>
      </w:r>
      <w:proofErr w:type="gramEnd"/>
      <w:r w:rsidRPr="00B473E5">
        <w:rPr>
          <w:rFonts w:eastAsia="Times New Roman"/>
          <w:b/>
          <w:sz w:val="24"/>
          <w:szCs w:val="24"/>
        </w:rPr>
        <w:t xml:space="preserve"> </w:t>
      </w:r>
      <w:proofErr w:type="gramStart"/>
      <w:r w:rsidRPr="00B473E5">
        <w:rPr>
          <w:rFonts w:eastAsia="Times New Roman"/>
          <w:b/>
          <w:sz w:val="24"/>
          <w:szCs w:val="24"/>
        </w:rPr>
        <w:t>S</w:t>
      </w:r>
      <w:smartTag w:uri="urn:schemas-microsoft-com:office:smarttags" w:element="PersonName">
        <w:r w:rsidRPr="00B473E5">
          <w:rPr>
            <w:rFonts w:eastAsia="Times New Roman"/>
            <w:b/>
            <w:sz w:val="24"/>
            <w:szCs w:val="24"/>
          </w:rPr>
          <w:t>e</w:t>
        </w:r>
      </w:smartTag>
      <w:r w:rsidRPr="00B473E5">
        <w:rPr>
          <w:rFonts w:eastAsia="Times New Roman"/>
          <w:b/>
          <w:sz w:val="24"/>
          <w:szCs w:val="24"/>
        </w:rPr>
        <w:t>rvs.,</w:t>
      </w:r>
      <w:proofErr w:type="gramEnd"/>
      <w:r w:rsidRPr="00B473E5">
        <w:rPr>
          <w:rFonts w:eastAsia="Times New Roman"/>
          <w:b/>
          <w:sz w:val="24"/>
          <w:szCs w:val="24"/>
        </w:rPr>
        <w:t xml:space="preserve"> Inc. v. W</w:t>
      </w:r>
      <w:smartTag w:uri="urn:schemas-microsoft-com:office:smarttags" w:element="PersonName">
        <w:r w:rsidRPr="00B473E5">
          <w:rPr>
            <w:rFonts w:eastAsia="Times New Roman"/>
            <w:b/>
            <w:sz w:val="24"/>
            <w:szCs w:val="24"/>
          </w:rPr>
          <w:t>e</w:t>
        </w:r>
      </w:smartTag>
      <w:r w:rsidRPr="00B473E5">
        <w:rPr>
          <w:rFonts w:eastAsia="Times New Roman"/>
          <w:b/>
          <w:sz w:val="24"/>
          <w:szCs w:val="24"/>
        </w:rPr>
        <w:t>issman</w:t>
      </w:r>
      <w:r w:rsidRPr="00B473E5">
        <w:rPr>
          <w:rFonts w:eastAsia="Times New Roman"/>
          <w:sz w:val="24"/>
          <w:szCs w:val="24"/>
        </w:rPr>
        <w:t>, 938 P.2d 540, 549 (</w:t>
      </w:r>
      <w:smartTag w:uri="urn:schemas-microsoft-com:office:smarttags" w:element="place">
        <w:smartTag w:uri="urn:schemas-microsoft-com:office:smarttags" w:element="State">
          <w:r w:rsidRPr="00B473E5">
            <w:rPr>
              <w:rFonts w:eastAsia="Times New Roman"/>
              <w:sz w:val="24"/>
              <w:szCs w:val="24"/>
            </w:rPr>
            <w:t>Colo.</w:t>
          </w:r>
        </w:smartTag>
      </w:smartTag>
      <w:r w:rsidRPr="00B473E5">
        <w:rPr>
          <w:rFonts w:eastAsia="Times New Roman"/>
          <w:sz w:val="24"/>
          <w:szCs w:val="24"/>
        </w:rPr>
        <w:t xml:space="preserve"> 1997). S</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Instruction 31:11.</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4. A br</w:t>
      </w:r>
      <w:smartTag w:uri="urn:schemas-microsoft-com:office:smarttags" w:element="PersonName">
        <w:r w:rsidRPr="00B473E5">
          <w:rPr>
            <w:rFonts w:eastAsia="Times New Roman"/>
            <w:sz w:val="24"/>
            <w:szCs w:val="24"/>
          </w:rPr>
          <w:t>e</w:t>
        </w:r>
      </w:smartTag>
      <w:r w:rsidRPr="00B473E5">
        <w:rPr>
          <w:rFonts w:eastAsia="Times New Roman"/>
          <w:sz w:val="24"/>
          <w:szCs w:val="24"/>
        </w:rPr>
        <w:t>ach of a cov</w:t>
      </w:r>
      <w:smartTag w:uri="urn:schemas-microsoft-com:office:smarttags" w:element="PersonName">
        <w:r w:rsidRPr="00B473E5">
          <w:rPr>
            <w:rFonts w:eastAsia="Times New Roman"/>
            <w:sz w:val="24"/>
            <w:szCs w:val="24"/>
          </w:rPr>
          <w:t>e</w:t>
        </w:r>
      </w:smartTag>
      <w:r w:rsidRPr="00B473E5">
        <w:rPr>
          <w:rFonts w:eastAsia="Times New Roman"/>
          <w:sz w:val="24"/>
          <w:szCs w:val="24"/>
        </w:rPr>
        <w:t>nant of good faith and fair d</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aling in an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nt contract do</w:t>
      </w:r>
      <w:smartTag w:uri="urn:schemas-microsoft-com:office:smarttags" w:element="PersonName">
        <w:r w:rsidRPr="00B473E5">
          <w:rPr>
            <w:rFonts w:eastAsia="Times New Roman"/>
            <w:sz w:val="24"/>
            <w:szCs w:val="24"/>
          </w:rPr>
          <w:t>e</w:t>
        </w:r>
      </w:smartTag>
      <w:r w:rsidRPr="00B473E5">
        <w:rPr>
          <w:rFonts w:eastAsia="Times New Roman"/>
          <w:sz w:val="24"/>
          <w:szCs w:val="24"/>
        </w:rPr>
        <w:t>s not giv</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ris</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to a tort claim. </w:t>
      </w:r>
      <w:proofErr w:type="gramStart"/>
      <w:r w:rsidRPr="00B473E5">
        <w:rPr>
          <w:rFonts w:eastAsia="Times New Roman"/>
          <w:b/>
          <w:sz w:val="24"/>
          <w:szCs w:val="24"/>
        </w:rPr>
        <w:t>D</w:t>
      </w:r>
      <w:smartTag w:uri="urn:schemas-microsoft-com:office:smarttags" w:element="PersonName">
        <w:r w:rsidRPr="00B473E5">
          <w:rPr>
            <w:rFonts w:eastAsia="Times New Roman"/>
            <w:b/>
            <w:sz w:val="24"/>
            <w:szCs w:val="24"/>
          </w:rPr>
          <w:t>e</w:t>
        </w:r>
      </w:smartTag>
      <w:r w:rsidRPr="00B473E5">
        <w:rPr>
          <w:rFonts w:eastAsia="Times New Roman"/>
          <w:b/>
          <w:sz w:val="24"/>
          <w:szCs w:val="24"/>
        </w:rPr>
        <w:t>ck</w:t>
      </w:r>
      <w:smartTag w:uri="urn:schemas-microsoft-com:office:smarttags" w:element="PersonName">
        <w:r w:rsidRPr="00B473E5">
          <w:rPr>
            <w:rFonts w:eastAsia="Times New Roman"/>
            <w:b/>
            <w:sz w:val="24"/>
            <w:szCs w:val="24"/>
          </w:rPr>
          <w:t>e</w:t>
        </w:r>
      </w:smartTag>
      <w:r w:rsidRPr="00B473E5">
        <w:rPr>
          <w:rFonts w:eastAsia="Times New Roman"/>
          <w:b/>
          <w:sz w:val="24"/>
          <w:szCs w:val="24"/>
        </w:rPr>
        <w:t>r v. Browning-F</w:t>
      </w:r>
      <w:smartTag w:uri="urn:schemas-microsoft-com:office:smarttags" w:element="PersonName">
        <w:r w:rsidRPr="00B473E5">
          <w:rPr>
            <w:rFonts w:eastAsia="Times New Roman"/>
            <w:b/>
            <w:sz w:val="24"/>
            <w:szCs w:val="24"/>
          </w:rPr>
          <w:t>e</w:t>
        </w:r>
      </w:smartTag>
      <w:r w:rsidRPr="00B473E5">
        <w:rPr>
          <w:rFonts w:eastAsia="Times New Roman"/>
          <w:b/>
          <w:sz w:val="24"/>
          <w:szCs w:val="24"/>
        </w:rPr>
        <w:t>rris Indus., Inc.</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931 P.2d 436 (</w:t>
      </w:r>
      <w:smartTag w:uri="urn:schemas-microsoft-com:office:smarttags" w:element="State">
        <w:r w:rsidRPr="00B473E5">
          <w:rPr>
            <w:rFonts w:eastAsia="Times New Roman"/>
            <w:sz w:val="24"/>
            <w:szCs w:val="24"/>
          </w:rPr>
          <w:t>Colo.</w:t>
        </w:r>
      </w:smartTag>
      <w:r w:rsidRPr="00B473E5">
        <w:rPr>
          <w:rFonts w:eastAsia="Times New Roman"/>
          <w:sz w:val="24"/>
          <w:szCs w:val="24"/>
        </w:rPr>
        <w:t xml:space="preserve"> 1997); </w:t>
      </w:r>
      <w:r w:rsidRPr="00B473E5">
        <w:rPr>
          <w:rFonts w:eastAsia="Times New Roman"/>
          <w:b/>
          <w:sz w:val="24"/>
          <w:szCs w:val="24"/>
        </w:rPr>
        <w:t>D</w:t>
      </w:r>
      <w:smartTag w:uri="urn:schemas-microsoft-com:office:smarttags" w:element="PersonName">
        <w:r w:rsidRPr="00B473E5">
          <w:rPr>
            <w:rFonts w:eastAsia="Times New Roman"/>
            <w:b/>
            <w:sz w:val="24"/>
            <w:szCs w:val="24"/>
          </w:rPr>
          <w:t>e</w:t>
        </w:r>
      </w:smartTag>
      <w:r w:rsidRPr="00B473E5">
        <w:rPr>
          <w:rFonts w:eastAsia="Times New Roman"/>
          <w:b/>
          <w:sz w:val="24"/>
          <w:szCs w:val="24"/>
        </w:rPr>
        <w:t>ck</w:t>
      </w:r>
      <w:smartTag w:uri="urn:schemas-microsoft-com:office:smarttags" w:element="PersonName">
        <w:r w:rsidRPr="00B473E5">
          <w:rPr>
            <w:rFonts w:eastAsia="Times New Roman"/>
            <w:b/>
            <w:sz w:val="24"/>
            <w:szCs w:val="24"/>
          </w:rPr>
          <w:t>e</w:t>
        </w:r>
      </w:smartTag>
      <w:r w:rsidRPr="00B473E5">
        <w:rPr>
          <w:rFonts w:eastAsia="Times New Roman"/>
          <w:b/>
          <w:sz w:val="24"/>
          <w:szCs w:val="24"/>
        </w:rPr>
        <w:t>r v. Browning-F</w:t>
      </w:r>
      <w:smartTag w:uri="urn:schemas-microsoft-com:office:smarttags" w:element="PersonName">
        <w:r w:rsidRPr="00B473E5">
          <w:rPr>
            <w:rFonts w:eastAsia="Times New Roman"/>
            <w:b/>
            <w:sz w:val="24"/>
            <w:szCs w:val="24"/>
          </w:rPr>
          <w:t>e</w:t>
        </w:r>
      </w:smartTag>
      <w:r w:rsidRPr="00B473E5">
        <w:rPr>
          <w:rFonts w:eastAsia="Times New Roman"/>
          <w:b/>
          <w:sz w:val="24"/>
          <w:szCs w:val="24"/>
        </w:rPr>
        <w:t>rris Indus., Inc.</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947 P.2d 937 (</w:t>
      </w:r>
      <w:smartTag w:uri="urn:schemas-microsoft-com:office:smarttags" w:element="place">
        <w:smartTag w:uri="urn:schemas-microsoft-com:office:smarttags" w:element="State">
          <w:r w:rsidRPr="00B473E5">
            <w:rPr>
              <w:rFonts w:eastAsia="Times New Roman"/>
              <w:sz w:val="24"/>
              <w:szCs w:val="24"/>
            </w:rPr>
            <w:t>Colo.</w:t>
          </w:r>
        </w:smartTag>
      </w:smartTag>
      <w:r w:rsidRPr="00B473E5">
        <w:rPr>
          <w:rFonts w:eastAsia="Times New Roman"/>
          <w:sz w:val="24"/>
          <w:szCs w:val="24"/>
        </w:rPr>
        <w:t xml:space="preserve"> 1997).</w:t>
      </w:r>
      <w:proofErr w:type="gramEnd"/>
      <w:r w:rsidRPr="00B473E5">
        <w:rPr>
          <w:rFonts w:eastAsia="Times New Roman"/>
          <w:sz w:val="24"/>
          <w:szCs w:val="24"/>
        </w:rPr>
        <w:t xml:space="preserve"> Moreover, to b</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judicially </w:t>
      </w:r>
      <w:smartTag w:uri="urn:schemas-microsoft-com:office:smarttags" w:element="PersonName">
        <w:r w:rsidRPr="00B473E5">
          <w:rPr>
            <w:rFonts w:eastAsia="Times New Roman"/>
            <w:sz w:val="24"/>
            <w:szCs w:val="24"/>
          </w:rPr>
          <w:t>e</w:t>
        </w:r>
      </w:smartTag>
      <w:r w:rsidRPr="00B473E5">
        <w:rPr>
          <w:rFonts w:eastAsia="Times New Roman"/>
          <w:sz w:val="24"/>
          <w:szCs w:val="24"/>
        </w:rPr>
        <w:t>nforc</w:t>
      </w:r>
      <w:smartTag w:uri="urn:schemas-microsoft-com:office:smarttags" w:element="PersonName">
        <w:r w:rsidRPr="00B473E5">
          <w:rPr>
            <w:rFonts w:eastAsia="Times New Roman"/>
            <w:sz w:val="24"/>
            <w:szCs w:val="24"/>
          </w:rPr>
          <w:t>e</w:t>
        </w:r>
      </w:smartTag>
      <w:r w:rsidRPr="00B473E5">
        <w:rPr>
          <w:rFonts w:eastAsia="Times New Roman"/>
          <w:sz w:val="24"/>
          <w:szCs w:val="24"/>
        </w:rPr>
        <w:t>abl</w:t>
      </w:r>
      <w:smartTag w:uri="urn:schemas-microsoft-com:office:smarttags" w:element="PersonName">
        <w:r w:rsidRPr="00B473E5">
          <w:rPr>
            <w:rFonts w:eastAsia="Times New Roman"/>
            <w:sz w:val="24"/>
            <w:szCs w:val="24"/>
          </w:rPr>
          <w:t>e</w:t>
        </w:r>
      </w:smartTag>
      <w:r w:rsidRPr="00B473E5">
        <w:rPr>
          <w:rFonts w:eastAsia="Times New Roman"/>
          <w:sz w:val="24"/>
          <w:szCs w:val="24"/>
        </w:rPr>
        <w:t>, such a cov</w:t>
      </w:r>
      <w:smartTag w:uri="urn:schemas-microsoft-com:office:smarttags" w:element="PersonName">
        <w:r w:rsidRPr="00B473E5">
          <w:rPr>
            <w:rFonts w:eastAsia="Times New Roman"/>
            <w:sz w:val="24"/>
            <w:szCs w:val="24"/>
          </w:rPr>
          <w:t>e</w:t>
        </w:r>
      </w:smartTag>
      <w:r w:rsidRPr="00B473E5">
        <w:rPr>
          <w:rFonts w:eastAsia="Times New Roman"/>
          <w:sz w:val="24"/>
          <w:szCs w:val="24"/>
        </w:rPr>
        <w:t>nant must b</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“suffici</w:t>
      </w:r>
      <w:smartTag w:uri="urn:schemas-microsoft-com:office:smarttags" w:element="PersonName">
        <w:r w:rsidRPr="00B473E5">
          <w:rPr>
            <w:rFonts w:eastAsia="Times New Roman"/>
            <w:sz w:val="24"/>
            <w:szCs w:val="24"/>
          </w:rPr>
          <w:t>e</w:t>
        </w:r>
      </w:smartTag>
      <w:r w:rsidRPr="00B473E5">
        <w:rPr>
          <w:rFonts w:eastAsia="Times New Roman"/>
          <w:sz w:val="24"/>
          <w:szCs w:val="24"/>
        </w:rPr>
        <w:t>ntly sp</w:t>
      </w:r>
      <w:smartTag w:uri="urn:schemas-microsoft-com:office:smarttags" w:element="PersonName">
        <w:r w:rsidRPr="00B473E5">
          <w:rPr>
            <w:rFonts w:eastAsia="Times New Roman"/>
            <w:sz w:val="24"/>
            <w:szCs w:val="24"/>
          </w:rPr>
          <w:t>e</w:t>
        </w:r>
      </w:smartTag>
      <w:r w:rsidRPr="00B473E5">
        <w:rPr>
          <w:rFonts w:eastAsia="Times New Roman"/>
          <w:sz w:val="24"/>
          <w:szCs w:val="24"/>
        </w:rPr>
        <w:t>cific to allow a court to d</w:t>
      </w:r>
      <w:smartTag w:uri="urn:schemas-microsoft-com:office:smarttags" w:element="PersonName">
        <w:r w:rsidRPr="00B473E5">
          <w:rPr>
            <w:rFonts w:eastAsia="Times New Roman"/>
            <w:sz w:val="24"/>
            <w:szCs w:val="24"/>
          </w:rPr>
          <w:t>e</w:t>
        </w:r>
      </w:smartTag>
      <w:r w:rsidRPr="00B473E5">
        <w:rPr>
          <w:rFonts w:eastAsia="Times New Roman"/>
          <w:sz w:val="24"/>
          <w:szCs w:val="24"/>
        </w:rPr>
        <w:t>t</w:t>
      </w:r>
      <w:smartTag w:uri="urn:schemas-microsoft-com:office:smarttags" w:element="PersonName">
        <w:r w:rsidRPr="00B473E5">
          <w:rPr>
            <w:rFonts w:eastAsia="Times New Roman"/>
            <w:sz w:val="24"/>
            <w:szCs w:val="24"/>
          </w:rPr>
          <w:t>e</w:t>
        </w:r>
      </w:smartTag>
      <w:r w:rsidRPr="00B473E5">
        <w:rPr>
          <w:rFonts w:eastAsia="Times New Roman"/>
          <w:sz w:val="24"/>
          <w:szCs w:val="24"/>
        </w:rPr>
        <w:t>rmin</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wh</w:t>
      </w:r>
      <w:smartTag w:uri="urn:schemas-microsoft-com:office:smarttags" w:element="PersonName">
        <w:r w:rsidRPr="00B473E5">
          <w:rPr>
            <w:rFonts w:eastAsia="Times New Roman"/>
            <w:sz w:val="24"/>
            <w:szCs w:val="24"/>
          </w:rPr>
          <w:t>e</w:t>
        </w:r>
      </w:smartTag>
      <w:r w:rsidRPr="00B473E5">
        <w:rPr>
          <w:rFonts w:eastAsia="Times New Roman"/>
          <w:sz w:val="24"/>
          <w:szCs w:val="24"/>
        </w:rPr>
        <w:t>th</w:t>
      </w:r>
      <w:smartTag w:uri="urn:schemas-microsoft-com:office:smarttags" w:element="PersonName">
        <w:r w:rsidRPr="00B473E5">
          <w:rPr>
            <w:rFonts w:eastAsia="Times New Roman"/>
            <w:sz w:val="24"/>
            <w:szCs w:val="24"/>
          </w:rPr>
          <w:t>e</w:t>
        </w:r>
      </w:smartTag>
      <w:r w:rsidRPr="00B473E5">
        <w:rPr>
          <w:rFonts w:eastAsia="Times New Roman"/>
          <w:sz w:val="24"/>
          <w:szCs w:val="24"/>
        </w:rPr>
        <w:t>r a br</w:t>
      </w:r>
      <w:smartTag w:uri="urn:schemas-microsoft-com:office:smarttags" w:element="PersonName">
        <w:r w:rsidRPr="00B473E5">
          <w:rPr>
            <w:rFonts w:eastAsia="Times New Roman"/>
            <w:sz w:val="24"/>
            <w:szCs w:val="24"/>
          </w:rPr>
          <w:t>e</w:t>
        </w:r>
      </w:smartTag>
      <w:r w:rsidRPr="00B473E5">
        <w:rPr>
          <w:rFonts w:eastAsia="Times New Roman"/>
          <w:sz w:val="24"/>
          <w:szCs w:val="24"/>
        </w:rPr>
        <w:t>ach has occurr</w:t>
      </w:r>
      <w:smartTag w:uri="urn:schemas-microsoft-com:office:smarttags" w:element="PersonName">
        <w:r w:rsidRPr="00B473E5">
          <w:rPr>
            <w:rFonts w:eastAsia="Times New Roman"/>
            <w:sz w:val="24"/>
            <w:szCs w:val="24"/>
          </w:rPr>
          <w:t>e</w:t>
        </w:r>
      </w:smartTag>
      <w:r w:rsidRPr="00B473E5">
        <w:rPr>
          <w:rFonts w:eastAsia="Times New Roman"/>
          <w:sz w:val="24"/>
          <w:szCs w:val="24"/>
        </w:rPr>
        <w:t>d and to adopt an appropriat</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r</w:t>
      </w:r>
      <w:smartTag w:uri="urn:schemas-microsoft-com:office:smarttags" w:element="PersonName">
        <w:r w:rsidRPr="00B473E5">
          <w:rPr>
            <w:rFonts w:eastAsia="Times New Roman"/>
            <w:sz w:val="24"/>
            <w:szCs w:val="24"/>
          </w:rPr>
          <w:t>e</w:t>
        </w:r>
      </w:smartTag>
      <w:r w:rsidRPr="00B473E5">
        <w:rPr>
          <w:rFonts w:eastAsia="Times New Roman"/>
          <w:sz w:val="24"/>
          <w:szCs w:val="24"/>
        </w:rPr>
        <w:t>m</w:t>
      </w:r>
      <w:smartTag w:uri="urn:schemas-microsoft-com:office:smarttags" w:element="PersonName">
        <w:r w:rsidRPr="00B473E5">
          <w:rPr>
            <w:rFonts w:eastAsia="Times New Roman"/>
            <w:sz w:val="24"/>
            <w:szCs w:val="24"/>
          </w:rPr>
          <w:t>e</w:t>
        </w:r>
      </w:smartTag>
      <w:r w:rsidRPr="00B473E5">
        <w:rPr>
          <w:rFonts w:eastAsia="Times New Roman"/>
          <w:sz w:val="24"/>
          <w:szCs w:val="24"/>
        </w:rPr>
        <w:t>dy for any br</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ach.” </w:t>
      </w:r>
      <w:proofErr w:type="gramStart"/>
      <w:r w:rsidRPr="00B473E5">
        <w:rPr>
          <w:rFonts w:eastAsia="Times New Roman"/>
          <w:b/>
          <w:sz w:val="24"/>
          <w:szCs w:val="24"/>
        </w:rPr>
        <w:t>Vald</w:t>
      </w:r>
      <w:smartTag w:uri="urn:schemas-microsoft-com:office:smarttags" w:element="PersonName">
        <w:r w:rsidRPr="00B473E5">
          <w:rPr>
            <w:rFonts w:eastAsia="Times New Roman"/>
            <w:b/>
            <w:sz w:val="24"/>
            <w:szCs w:val="24"/>
          </w:rPr>
          <w:t>e</w:t>
        </w:r>
      </w:smartTag>
      <w:r w:rsidRPr="00B473E5">
        <w:rPr>
          <w:rFonts w:eastAsia="Times New Roman"/>
          <w:b/>
          <w:sz w:val="24"/>
          <w:szCs w:val="24"/>
        </w:rPr>
        <w:t>z v. Cantor</w:t>
      </w:r>
      <w:r w:rsidRPr="00B473E5">
        <w:rPr>
          <w:rFonts w:eastAsia="Times New Roman"/>
          <w:sz w:val="24"/>
          <w:szCs w:val="24"/>
        </w:rPr>
        <w:t>, 994 P.2d 483, 487 (</w:t>
      </w:r>
      <w:r w:rsidR="0067408D">
        <w:rPr>
          <w:rFonts w:eastAsia="Times New Roman"/>
          <w:sz w:val="24"/>
          <w:szCs w:val="24"/>
        </w:rPr>
        <w:t>Colo. App.</w:t>
      </w:r>
      <w:r w:rsidRPr="00B473E5">
        <w:rPr>
          <w:rFonts w:eastAsia="Times New Roman"/>
          <w:sz w:val="24"/>
          <w:szCs w:val="24"/>
        </w:rPr>
        <w:t xml:space="preserve"> 1999).</w:t>
      </w:r>
      <w:proofErr w:type="gramEnd"/>
      <w:r w:rsidRPr="00B473E5">
        <w:rPr>
          <w:rFonts w:eastAsia="Times New Roman"/>
          <w:sz w:val="24"/>
          <w:szCs w:val="24"/>
        </w:rPr>
        <w:t xml:space="preserve"> </w:t>
      </w:r>
      <w:r w:rsidRPr="00B473E5">
        <w:rPr>
          <w:rFonts w:eastAsia="Times New Roman"/>
          <w:i/>
          <w:sz w:val="24"/>
          <w:szCs w:val="24"/>
        </w:rPr>
        <w:t xml:space="preserve">Accord </w:t>
      </w:r>
      <w:r w:rsidRPr="00B473E5">
        <w:rPr>
          <w:rFonts w:eastAsia="Times New Roman"/>
          <w:b/>
          <w:sz w:val="24"/>
          <w:szCs w:val="24"/>
        </w:rPr>
        <w:t>Hoyt v. Targ</w:t>
      </w:r>
      <w:smartTag w:uri="urn:schemas-microsoft-com:office:smarttags" w:element="PersonName">
        <w:r w:rsidRPr="00B473E5">
          <w:rPr>
            <w:rFonts w:eastAsia="Times New Roman"/>
            <w:b/>
            <w:sz w:val="24"/>
            <w:szCs w:val="24"/>
          </w:rPr>
          <w:t>e</w:t>
        </w:r>
      </w:smartTag>
      <w:r w:rsidRPr="00B473E5">
        <w:rPr>
          <w:rFonts w:eastAsia="Times New Roman"/>
          <w:b/>
          <w:sz w:val="24"/>
          <w:szCs w:val="24"/>
        </w:rPr>
        <w:t>t Stor</w:t>
      </w:r>
      <w:smartTag w:uri="urn:schemas-microsoft-com:office:smarttags" w:element="PersonName">
        <w:r w:rsidRPr="00B473E5">
          <w:rPr>
            <w:rFonts w:eastAsia="Times New Roman"/>
            <w:b/>
            <w:sz w:val="24"/>
            <w:szCs w:val="24"/>
          </w:rPr>
          <w:t>e</w:t>
        </w:r>
      </w:smartTag>
      <w:r w:rsidRPr="00B473E5">
        <w:rPr>
          <w:rFonts w:eastAsia="Times New Roman"/>
          <w:b/>
          <w:sz w:val="24"/>
          <w:szCs w:val="24"/>
        </w:rPr>
        <w:t>s</w:t>
      </w:r>
      <w:r w:rsidRPr="00B473E5">
        <w:rPr>
          <w:rFonts w:eastAsia="Times New Roman"/>
          <w:sz w:val="24"/>
          <w:szCs w:val="24"/>
        </w:rPr>
        <w:t>, 981 P.2d 188 (</w:t>
      </w:r>
      <w:r w:rsidR="0067408D">
        <w:rPr>
          <w:rFonts w:eastAsia="Times New Roman"/>
          <w:sz w:val="24"/>
          <w:szCs w:val="24"/>
        </w:rPr>
        <w:t>Colo. App.</w:t>
      </w:r>
      <w:r w:rsidRPr="00B473E5">
        <w:rPr>
          <w:rFonts w:eastAsia="Times New Roman"/>
          <w:sz w:val="24"/>
          <w:szCs w:val="24"/>
        </w:rPr>
        <w:t xml:space="preserve"> 1998), </w:t>
      </w:r>
      <w:r w:rsidRPr="00B473E5">
        <w:rPr>
          <w:rFonts w:eastAsia="Times New Roman"/>
          <w:i/>
          <w:sz w:val="24"/>
          <w:szCs w:val="24"/>
        </w:rPr>
        <w:t>c</w:t>
      </w:r>
      <w:smartTag w:uri="urn:schemas-microsoft-com:office:smarttags" w:element="PersonName">
        <w:r w:rsidRPr="00B473E5">
          <w:rPr>
            <w:rFonts w:eastAsia="Times New Roman"/>
            <w:i/>
            <w:sz w:val="24"/>
            <w:szCs w:val="24"/>
          </w:rPr>
          <w:t>e</w:t>
        </w:r>
      </w:smartTag>
      <w:r w:rsidRPr="00B473E5">
        <w:rPr>
          <w:rFonts w:eastAsia="Times New Roman"/>
          <w:i/>
          <w:sz w:val="24"/>
          <w:szCs w:val="24"/>
        </w:rPr>
        <w:t>rt. d</w:t>
      </w:r>
      <w:smartTag w:uri="urn:schemas-microsoft-com:office:smarttags" w:element="PersonName">
        <w:r w:rsidRPr="00B473E5">
          <w:rPr>
            <w:rFonts w:eastAsia="Times New Roman"/>
            <w:i/>
            <w:sz w:val="24"/>
            <w:szCs w:val="24"/>
          </w:rPr>
          <w:t>e</w:t>
        </w:r>
      </w:smartTag>
      <w:r w:rsidRPr="00B473E5">
        <w:rPr>
          <w:rFonts w:eastAsia="Times New Roman"/>
          <w:i/>
          <w:sz w:val="24"/>
          <w:szCs w:val="24"/>
        </w:rPr>
        <w:t>ni</w:t>
      </w:r>
      <w:smartTag w:uri="urn:schemas-microsoft-com:office:smarttags" w:element="PersonName">
        <w:r w:rsidRPr="00B473E5">
          <w:rPr>
            <w:rFonts w:eastAsia="Times New Roman"/>
            <w:i/>
            <w:sz w:val="24"/>
            <w:szCs w:val="24"/>
          </w:rPr>
          <w:t>e</w:t>
        </w:r>
      </w:smartTag>
      <w:r w:rsidRPr="00B473E5">
        <w:rPr>
          <w:rFonts w:eastAsia="Times New Roman"/>
          <w:i/>
          <w:sz w:val="24"/>
          <w:szCs w:val="24"/>
        </w:rPr>
        <w:t>d</w:t>
      </w:r>
      <w:r w:rsidRPr="00B473E5">
        <w:rPr>
          <w:rFonts w:eastAsia="Times New Roman"/>
          <w:sz w:val="24"/>
          <w:szCs w:val="24"/>
        </w:rPr>
        <w:t xml:space="preserve"> (1999) (vagu</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assuranc</w:t>
      </w:r>
      <w:smartTag w:uri="urn:schemas-microsoft-com:office:smarttags" w:element="PersonName">
        <w:r w:rsidRPr="00B473E5">
          <w:rPr>
            <w:rFonts w:eastAsia="Times New Roman"/>
            <w:sz w:val="24"/>
            <w:szCs w:val="24"/>
          </w:rPr>
          <w:t>e</w:t>
        </w:r>
      </w:smartTag>
      <w:r w:rsidRPr="00B473E5">
        <w:rPr>
          <w:rFonts w:eastAsia="Times New Roman"/>
          <w:sz w:val="24"/>
          <w:szCs w:val="24"/>
        </w:rPr>
        <w:t>s of fair tr</w:t>
      </w:r>
      <w:smartTag w:uri="urn:schemas-microsoft-com:office:smarttags" w:element="PersonName">
        <w:r w:rsidRPr="00B473E5">
          <w:rPr>
            <w:rFonts w:eastAsia="Times New Roman"/>
            <w:sz w:val="24"/>
            <w:szCs w:val="24"/>
          </w:rPr>
          <w:t>e</w:t>
        </w:r>
      </w:smartTag>
      <w:r w:rsidRPr="00B473E5">
        <w:rPr>
          <w:rFonts w:eastAsia="Times New Roman"/>
          <w:sz w:val="24"/>
          <w:szCs w:val="24"/>
        </w:rPr>
        <w:t>atm</w:t>
      </w:r>
      <w:smartTag w:uri="urn:schemas-microsoft-com:office:smarttags" w:element="PersonName">
        <w:r w:rsidRPr="00B473E5">
          <w:rPr>
            <w:rFonts w:eastAsia="Times New Roman"/>
            <w:sz w:val="24"/>
            <w:szCs w:val="24"/>
          </w:rPr>
          <w:t>e</w:t>
        </w:r>
      </w:smartTag>
      <w:r w:rsidRPr="00B473E5">
        <w:rPr>
          <w:rFonts w:eastAsia="Times New Roman"/>
          <w:sz w:val="24"/>
          <w:szCs w:val="24"/>
        </w:rPr>
        <w:t>nt ar</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un</w:t>
      </w:r>
      <w:smartTag w:uri="urn:schemas-microsoft-com:office:smarttags" w:element="PersonName">
        <w:r w:rsidRPr="00B473E5">
          <w:rPr>
            <w:rFonts w:eastAsia="Times New Roman"/>
            <w:sz w:val="24"/>
            <w:szCs w:val="24"/>
          </w:rPr>
          <w:t>e</w:t>
        </w:r>
      </w:smartTag>
      <w:r w:rsidRPr="00B473E5">
        <w:rPr>
          <w:rFonts w:eastAsia="Times New Roman"/>
          <w:sz w:val="24"/>
          <w:szCs w:val="24"/>
        </w:rPr>
        <w:t>nforc</w:t>
      </w:r>
      <w:smartTag w:uri="urn:schemas-microsoft-com:office:smarttags" w:element="PersonName">
        <w:r w:rsidRPr="00B473E5">
          <w:rPr>
            <w:rFonts w:eastAsia="Times New Roman"/>
            <w:sz w:val="24"/>
            <w:szCs w:val="24"/>
          </w:rPr>
          <w:t>e</w:t>
        </w:r>
      </w:smartTag>
      <w:r w:rsidRPr="00B473E5">
        <w:rPr>
          <w:rFonts w:eastAsia="Times New Roman"/>
          <w:sz w:val="24"/>
          <w:szCs w:val="24"/>
        </w:rPr>
        <w:t>abl</w:t>
      </w:r>
      <w:smartTag w:uri="urn:schemas-microsoft-com:office:smarttags" w:element="PersonName">
        <w:r w:rsidRPr="00B473E5">
          <w:rPr>
            <w:rFonts w:eastAsia="Times New Roman"/>
            <w:sz w:val="24"/>
            <w:szCs w:val="24"/>
          </w:rPr>
          <w:t>e</w:t>
        </w:r>
      </w:smartTag>
      <w:r w:rsidRPr="00B473E5">
        <w:rPr>
          <w:rFonts w:eastAsia="Times New Roman"/>
          <w:sz w:val="24"/>
          <w:szCs w:val="24"/>
        </w:rPr>
        <w:t>).</w:t>
      </w:r>
    </w:p>
    <w:p w:rsidR="00B473E5" w:rsidRDefault="00B473E5">
      <w:pPr>
        <w:rPr>
          <w:rFonts w:eastAsia="Times New Roman"/>
          <w:bCs/>
          <w:sz w:val="24"/>
          <w:szCs w:val="24"/>
        </w:rPr>
      </w:pPr>
      <w:r>
        <w:rPr>
          <w:rFonts w:eastAsia="Times New Roman"/>
          <w:bCs/>
          <w:sz w:val="24"/>
          <w:szCs w:val="24"/>
        </w:rPr>
        <w:br w:type="page"/>
      </w:r>
    </w:p>
    <w:p w:rsidR="00B473E5" w:rsidRPr="009E3DA4" w:rsidRDefault="00B473E5" w:rsidP="00B473E5">
      <w:pPr>
        <w:spacing w:after="240"/>
        <w:ind w:left="720" w:hanging="720"/>
        <w:rPr>
          <w:rFonts w:eastAsia="Times New Roman"/>
          <w:b/>
          <w:sz w:val="24"/>
          <w:szCs w:val="24"/>
        </w:rPr>
      </w:pPr>
      <w:bookmarkStart w:id="2" w:name="a31_02"/>
      <w:bookmarkEnd w:id="2"/>
      <w:r w:rsidRPr="00B473E5">
        <w:rPr>
          <w:rFonts w:eastAsia="Times New Roman"/>
          <w:b/>
          <w:sz w:val="24"/>
          <w:szCs w:val="24"/>
        </w:rPr>
        <w:lastRenderedPageBreak/>
        <w:t xml:space="preserve">31:2 </w:t>
      </w:r>
      <w:r w:rsidRPr="00B473E5">
        <w:rPr>
          <w:rFonts w:eastAsia="Times New Roman"/>
          <w:b/>
          <w:sz w:val="24"/>
          <w:szCs w:val="24"/>
        </w:rPr>
        <w:tab/>
        <w:t>EMPLOYMENT CONTRACT PROVIDING FOR FIXED TERM SALARY — CAUTIONARY INSTRUCTION</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A determination that a contract of employment was for a definite period of time may not be based solely on evidence that the contract provided for an annual salary (or similar fixed term rate of pay). However, you may consider such evidence, together with all the other evidence in the case, in determining whether the employment contract was for a definite period of time.</w:t>
      </w:r>
    </w:p>
    <w:p w:rsidR="00B473E5" w:rsidRDefault="00B473E5" w:rsidP="00B473E5">
      <w:pPr>
        <w:jc w:val="center"/>
        <w:rPr>
          <w:rFonts w:eastAsia="Times New Roman"/>
          <w:sz w:val="24"/>
          <w:szCs w:val="24"/>
        </w:rPr>
      </w:pPr>
    </w:p>
    <w:p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1. This instruction should b</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giv</w:t>
      </w:r>
      <w:smartTag w:uri="urn:schemas-microsoft-com:office:smarttags" w:element="PersonName">
        <w:r w:rsidRPr="00B473E5">
          <w:rPr>
            <w:rFonts w:eastAsia="Times New Roman"/>
            <w:sz w:val="24"/>
            <w:szCs w:val="24"/>
          </w:rPr>
          <w:t>e</w:t>
        </w:r>
      </w:smartTag>
      <w:r w:rsidRPr="00B473E5">
        <w:rPr>
          <w:rFonts w:eastAsia="Times New Roman"/>
          <w:sz w:val="24"/>
          <w:szCs w:val="24"/>
        </w:rPr>
        <w:t>n with Instruction 31:1 wh</w:t>
      </w:r>
      <w:smartTag w:uri="urn:schemas-microsoft-com:office:smarttags" w:element="PersonName">
        <w:r w:rsidRPr="00B473E5">
          <w:rPr>
            <w:rFonts w:eastAsia="Times New Roman"/>
            <w:sz w:val="24"/>
            <w:szCs w:val="24"/>
          </w:rPr>
          <w:t>e</w:t>
        </w:r>
      </w:smartTag>
      <w:r w:rsidRPr="00B473E5">
        <w:rPr>
          <w:rFonts w:eastAsia="Times New Roman"/>
          <w:sz w:val="24"/>
          <w:szCs w:val="24"/>
        </w:rPr>
        <w:t>n th</w:t>
      </w:r>
      <w:smartTag w:uri="urn:schemas-microsoft-com:office:smarttags" w:element="PersonName">
        <w:r w:rsidRPr="00B473E5">
          <w:rPr>
            <w:rFonts w:eastAsia="Times New Roman"/>
            <w:sz w:val="24"/>
            <w:szCs w:val="24"/>
          </w:rPr>
          <w:t>e</w:t>
        </w:r>
      </w:smartTag>
      <w:r w:rsidRPr="00B473E5">
        <w:rPr>
          <w:rFonts w:eastAsia="Times New Roman"/>
          <w:sz w:val="24"/>
          <w:szCs w:val="24"/>
        </w:rPr>
        <w:t>r</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is a factual disput</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as to wh</w:t>
      </w:r>
      <w:smartTag w:uri="urn:schemas-microsoft-com:office:smarttags" w:element="PersonName">
        <w:r w:rsidRPr="00B473E5">
          <w:rPr>
            <w:rFonts w:eastAsia="Times New Roman"/>
            <w:sz w:val="24"/>
            <w:szCs w:val="24"/>
          </w:rPr>
          <w:t>e</w:t>
        </w:r>
      </w:smartTag>
      <w:r w:rsidRPr="00B473E5">
        <w:rPr>
          <w:rFonts w:eastAsia="Times New Roman"/>
          <w:sz w:val="24"/>
          <w:szCs w:val="24"/>
        </w:rPr>
        <w:t>th</w:t>
      </w:r>
      <w:smartTag w:uri="urn:schemas-microsoft-com:office:smarttags" w:element="PersonName">
        <w:r w:rsidRPr="00B473E5">
          <w:rPr>
            <w:rFonts w:eastAsia="Times New Roman"/>
            <w:sz w:val="24"/>
            <w:szCs w:val="24"/>
          </w:rPr>
          <w:t>e</w:t>
        </w:r>
      </w:smartTag>
      <w:r w:rsidRPr="00B473E5">
        <w:rPr>
          <w:rFonts w:eastAsia="Times New Roman"/>
          <w:sz w:val="24"/>
          <w:szCs w:val="24"/>
        </w:rPr>
        <w:t>r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contract of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nt was for a d</w:t>
      </w:r>
      <w:smartTag w:uri="urn:schemas-microsoft-com:office:smarttags" w:element="PersonName">
        <w:r w:rsidRPr="00B473E5">
          <w:rPr>
            <w:rFonts w:eastAsia="Times New Roman"/>
            <w:sz w:val="24"/>
            <w:szCs w:val="24"/>
          </w:rPr>
          <w:t>e</w:t>
        </w:r>
      </w:smartTag>
      <w:r w:rsidRPr="00B473E5">
        <w:rPr>
          <w:rFonts w:eastAsia="Times New Roman"/>
          <w:sz w:val="24"/>
          <w:szCs w:val="24"/>
        </w:rPr>
        <w:t>finit</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t</w:t>
      </w:r>
      <w:smartTag w:uri="urn:schemas-microsoft-com:office:smarttags" w:element="PersonName">
        <w:r w:rsidRPr="00B473E5">
          <w:rPr>
            <w:rFonts w:eastAsia="Times New Roman"/>
            <w:sz w:val="24"/>
            <w:szCs w:val="24"/>
          </w:rPr>
          <w:t>e</w:t>
        </w:r>
      </w:smartTag>
      <w:r w:rsidRPr="00B473E5">
        <w:rPr>
          <w:rFonts w:eastAsia="Times New Roman"/>
          <w:sz w:val="24"/>
          <w:szCs w:val="24"/>
        </w:rPr>
        <w:t>rm and th</w:t>
      </w:r>
      <w:smartTag w:uri="urn:schemas-microsoft-com:office:smarttags" w:element="PersonName">
        <w:r w:rsidRPr="00B473E5">
          <w:rPr>
            <w:rFonts w:eastAsia="Times New Roman"/>
            <w:sz w:val="24"/>
            <w:szCs w:val="24"/>
          </w:rPr>
          <w:t>e</w:t>
        </w:r>
      </w:smartTag>
      <w:r w:rsidRPr="00B473E5">
        <w:rPr>
          <w:rFonts w:eastAsia="Times New Roman"/>
          <w:sz w:val="24"/>
          <w:szCs w:val="24"/>
        </w:rPr>
        <w:t>r</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is </w:t>
      </w:r>
      <w:smartTag w:uri="urn:schemas-microsoft-com:office:smarttags" w:element="PersonName">
        <w:r w:rsidRPr="00B473E5">
          <w:rPr>
            <w:rFonts w:eastAsia="Times New Roman"/>
            <w:sz w:val="24"/>
            <w:szCs w:val="24"/>
          </w:rPr>
          <w:t>e</w:t>
        </w:r>
      </w:smartTag>
      <w:r w:rsidRPr="00B473E5">
        <w:rPr>
          <w:rFonts w:eastAsia="Times New Roman"/>
          <w:sz w:val="24"/>
          <w:szCs w:val="24"/>
        </w:rPr>
        <w:t>vid</w:t>
      </w:r>
      <w:smartTag w:uri="urn:schemas-microsoft-com:office:smarttags" w:element="PersonName">
        <w:r w:rsidRPr="00B473E5">
          <w:rPr>
            <w:rFonts w:eastAsia="Times New Roman"/>
            <w:sz w:val="24"/>
            <w:szCs w:val="24"/>
          </w:rPr>
          <w:t>e</w:t>
        </w:r>
      </w:smartTag>
      <w:r w:rsidRPr="00B473E5">
        <w:rPr>
          <w:rFonts w:eastAsia="Times New Roman"/>
          <w:sz w:val="24"/>
          <w:szCs w:val="24"/>
        </w:rPr>
        <w:t>nc</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that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contract provid</w:t>
      </w:r>
      <w:smartTag w:uri="urn:schemas-microsoft-com:office:smarttags" w:element="PersonName">
        <w:r w:rsidRPr="00B473E5">
          <w:rPr>
            <w:rFonts w:eastAsia="Times New Roman"/>
            <w:sz w:val="24"/>
            <w:szCs w:val="24"/>
          </w:rPr>
          <w:t>e</w:t>
        </w:r>
      </w:smartTag>
      <w:r w:rsidRPr="00B473E5">
        <w:rPr>
          <w:rFonts w:eastAsia="Times New Roman"/>
          <w:sz w:val="24"/>
          <w:szCs w:val="24"/>
        </w:rPr>
        <w:t>d for an annual salary or similar fix</w:t>
      </w:r>
      <w:smartTag w:uri="urn:schemas-microsoft-com:office:smarttags" w:element="PersonName">
        <w:r w:rsidRPr="00B473E5">
          <w:rPr>
            <w:rFonts w:eastAsia="Times New Roman"/>
            <w:sz w:val="24"/>
            <w:szCs w:val="24"/>
          </w:rPr>
          <w:t>e</w:t>
        </w:r>
      </w:smartTag>
      <w:r w:rsidRPr="00B473E5">
        <w:rPr>
          <w:rFonts w:eastAsia="Times New Roman"/>
          <w:sz w:val="24"/>
          <w:szCs w:val="24"/>
        </w:rPr>
        <w:t>d t</w:t>
      </w:r>
      <w:smartTag w:uri="urn:schemas-microsoft-com:office:smarttags" w:element="PersonName">
        <w:r w:rsidRPr="00B473E5">
          <w:rPr>
            <w:rFonts w:eastAsia="Times New Roman"/>
            <w:sz w:val="24"/>
            <w:szCs w:val="24"/>
          </w:rPr>
          <w:t>e</w:t>
        </w:r>
      </w:smartTag>
      <w:r w:rsidRPr="00B473E5">
        <w:rPr>
          <w:rFonts w:eastAsia="Times New Roman"/>
          <w:sz w:val="24"/>
          <w:szCs w:val="24"/>
        </w:rPr>
        <w:t>rm rat</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of pay. </w:t>
      </w:r>
      <w:r w:rsidRPr="00B473E5">
        <w:rPr>
          <w:rFonts w:eastAsia="Times New Roman"/>
          <w:i/>
          <w:sz w:val="24"/>
          <w:szCs w:val="24"/>
        </w:rPr>
        <w:t>S</w:t>
      </w:r>
      <w:smartTag w:uri="urn:schemas-microsoft-com:office:smarttags" w:element="PersonName">
        <w:r w:rsidRPr="00B473E5">
          <w:rPr>
            <w:rFonts w:eastAsia="Times New Roman"/>
            <w:i/>
            <w:sz w:val="24"/>
            <w:szCs w:val="24"/>
          </w:rPr>
          <w:t>e</w:t>
        </w:r>
      </w:smartTag>
      <w:smartTag w:uri="urn:schemas-microsoft-com:office:smarttags" w:element="PersonName">
        <w:r w:rsidRPr="00B473E5">
          <w:rPr>
            <w:rFonts w:eastAsia="Times New Roman"/>
            <w:i/>
            <w:sz w:val="24"/>
            <w:szCs w:val="24"/>
          </w:rPr>
          <w:t>e</w:t>
        </w:r>
      </w:smartTag>
      <w:r w:rsidRPr="00B473E5">
        <w:rPr>
          <w:rFonts w:eastAsia="Times New Roman"/>
          <w:i/>
          <w:sz w:val="24"/>
          <w:szCs w:val="24"/>
        </w:rPr>
        <w:t xml:space="preserve">, </w:t>
      </w:r>
      <w:smartTag w:uri="urn:schemas-microsoft-com:office:smarttags" w:element="PersonName">
        <w:r w:rsidRPr="00B473E5">
          <w:rPr>
            <w:rFonts w:eastAsia="Times New Roman"/>
            <w:i/>
            <w:sz w:val="24"/>
            <w:szCs w:val="24"/>
          </w:rPr>
          <w:t>e</w:t>
        </w:r>
      </w:smartTag>
      <w:r w:rsidRPr="00B473E5">
        <w:rPr>
          <w:rFonts w:eastAsia="Times New Roman"/>
          <w:i/>
          <w:sz w:val="24"/>
          <w:szCs w:val="24"/>
        </w:rPr>
        <w:t>.g.</w:t>
      </w:r>
      <w:r w:rsidRPr="00B473E5">
        <w:rPr>
          <w:rFonts w:eastAsia="Times New Roman"/>
          <w:sz w:val="24"/>
          <w:szCs w:val="24"/>
        </w:rPr>
        <w:t xml:space="preserve">, </w:t>
      </w:r>
      <w:r w:rsidRPr="00B473E5">
        <w:rPr>
          <w:rFonts w:eastAsia="Times New Roman"/>
          <w:b/>
          <w:sz w:val="24"/>
          <w:szCs w:val="24"/>
        </w:rPr>
        <w:t>Dorman v. P</w:t>
      </w:r>
      <w:smartTag w:uri="urn:schemas-microsoft-com:office:smarttags" w:element="PersonName">
        <w:r w:rsidRPr="00B473E5">
          <w:rPr>
            <w:rFonts w:eastAsia="Times New Roman"/>
            <w:b/>
            <w:sz w:val="24"/>
            <w:szCs w:val="24"/>
          </w:rPr>
          <w:t>e</w:t>
        </w:r>
      </w:smartTag>
      <w:r w:rsidRPr="00B473E5">
        <w:rPr>
          <w:rFonts w:eastAsia="Times New Roman"/>
          <w:b/>
          <w:sz w:val="24"/>
          <w:szCs w:val="24"/>
        </w:rPr>
        <w:t>trol Asp</w:t>
      </w:r>
      <w:smartTag w:uri="urn:schemas-microsoft-com:office:smarttags" w:element="PersonName">
        <w:r w:rsidRPr="00B473E5">
          <w:rPr>
            <w:rFonts w:eastAsia="Times New Roman"/>
            <w:b/>
            <w:sz w:val="24"/>
            <w:szCs w:val="24"/>
          </w:rPr>
          <w:t>e</w:t>
        </w:r>
      </w:smartTag>
      <w:r w:rsidRPr="00B473E5">
        <w:rPr>
          <w:rFonts w:eastAsia="Times New Roman"/>
          <w:b/>
          <w:sz w:val="24"/>
          <w:szCs w:val="24"/>
        </w:rPr>
        <w:t>n, Inc.</w:t>
      </w:r>
      <w:r w:rsidRPr="00B473E5">
        <w:rPr>
          <w:rFonts w:eastAsia="Times New Roman"/>
          <w:sz w:val="24"/>
          <w:szCs w:val="24"/>
        </w:rPr>
        <w:t>, 914 P.2d 909 (Colo. 1996) (wh</w:t>
      </w:r>
      <w:smartTag w:uri="urn:schemas-microsoft-com:office:smarttags" w:element="PersonName">
        <w:r w:rsidRPr="00B473E5">
          <w:rPr>
            <w:rFonts w:eastAsia="Times New Roman"/>
            <w:sz w:val="24"/>
            <w:szCs w:val="24"/>
          </w:rPr>
          <w:t>e</w:t>
        </w:r>
      </w:smartTag>
      <w:r w:rsidRPr="00B473E5">
        <w:rPr>
          <w:rFonts w:eastAsia="Times New Roman"/>
          <w:sz w:val="24"/>
          <w:szCs w:val="24"/>
        </w:rPr>
        <w:t>r</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provisions in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nt contract cr</w:t>
      </w:r>
      <w:smartTag w:uri="urn:schemas-microsoft-com:office:smarttags" w:element="PersonName">
        <w:r w:rsidRPr="00B473E5">
          <w:rPr>
            <w:rFonts w:eastAsia="Times New Roman"/>
            <w:sz w:val="24"/>
            <w:szCs w:val="24"/>
          </w:rPr>
          <w:t>e</w:t>
        </w:r>
      </w:smartTag>
      <w:r w:rsidRPr="00B473E5">
        <w:rPr>
          <w:rFonts w:eastAsia="Times New Roman"/>
          <w:sz w:val="24"/>
          <w:szCs w:val="24"/>
        </w:rPr>
        <w:t>at</w:t>
      </w:r>
      <w:smartTag w:uri="urn:schemas-microsoft-com:office:smarttags" w:element="PersonName">
        <w:r w:rsidRPr="00B473E5">
          <w:rPr>
            <w:rFonts w:eastAsia="Times New Roman"/>
            <w:sz w:val="24"/>
            <w:szCs w:val="24"/>
          </w:rPr>
          <w:t>e</w:t>
        </w:r>
      </w:smartTag>
      <w:r w:rsidRPr="00B473E5">
        <w:rPr>
          <w:rFonts w:eastAsia="Times New Roman"/>
          <w:sz w:val="24"/>
          <w:szCs w:val="24"/>
        </w:rPr>
        <w:t>d ambiguiti</w:t>
      </w:r>
      <w:smartTag w:uri="urn:schemas-microsoft-com:office:smarttags" w:element="PersonName">
        <w:r w:rsidRPr="00B473E5">
          <w:rPr>
            <w:rFonts w:eastAsia="Times New Roman"/>
            <w:sz w:val="24"/>
            <w:szCs w:val="24"/>
          </w:rPr>
          <w:t>e</w:t>
        </w:r>
      </w:smartTag>
      <w:r w:rsidRPr="00B473E5">
        <w:rPr>
          <w:rFonts w:eastAsia="Times New Roman"/>
          <w:sz w:val="24"/>
          <w:szCs w:val="24"/>
        </w:rPr>
        <w:t>s r</w:t>
      </w:r>
      <w:smartTag w:uri="urn:schemas-microsoft-com:office:smarttags" w:element="PersonName">
        <w:r w:rsidRPr="00B473E5">
          <w:rPr>
            <w:rFonts w:eastAsia="Times New Roman"/>
            <w:sz w:val="24"/>
            <w:szCs w:val="24"/>
          </w:rPr>
          <w:t>e</w:t>
        </w:r>
      </w:smartTag>
      <w:r w:rsidRPr="00B473E5">
        <w:rPr>
          <w:rFonts w:eastAsia="Times New Roman"/>
          <w:sz w:val="24"/>
          <w:szCs w:val="24"/>
        </w:rPr>
        <w:t>garding t</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rm of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nt, trial court </w:t>
      </w:r>
      <w:smartTag w:uri="urn:schemas-microsoft-com:office:smarttags" w:element="PersonName">
        <w:r w:rsidRPr="00B473E5">
          <w:rPr>
            <w:rFonts w:eastAsia="Times New Roman"/>
            <w:sz w:val="24"/>
            <w:szCs w:val="24"/>
          </w:rPr>
          <w:t>e</w:t>
        </w:r>
      </w:smartTag>
      <w:r w:rsidRPr="00B473E5">
        <w:rPr>
          <w:rFonts w:eastAsia="Times New Roman"/>
          <w:sz w:val="24"/>
          <w:szCs w:val="24"/>
        </w:rPr>
        <w:t>rr</w:t>
      </w:r>
      <w:smartTag w:uri="urn:schemas-microsoft-com:office:smarttags" w:element="PersonName">
        <w:r w:rsidRPr="00B473E5">
          <w:rPr>
            <w:rFonts w:eastAsia="Times New Roman"/>
            <w:sz w:val="24"/>
            <w:szCs w:val="24"/>
          </w:rPr>
          <w:t>e</w:t>
        </w:r>
      </w:smartTag>
      <w:r w:rsidRPr="00B473E5">
        <w:rPr>
          <w:rFonts w:eastAsia="Times New Roman"/>
          <w:sz w:val="24"/>
          <w:szCs w:val="24"/>
        </w:rPr>
        <w:t>d in granting summary judgm</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nt in favor of </w:t>
      </w:r>
      <w:smartTag w:uri="urn:schemas-microsoft-com:office:smarttags" w:element="PersonName">
        <w:r w:rsidRPr="00B473E5">
          <w:rPr>
            <w:rFonts w:eastAsia="Times New Roman"/>
            <w:sz w:val="24"/>
            <w:szCs w:val="24"/>
          </w:rPr>
          <w:t>e</w:t>
        </w:r>
      </w:smartTag>
      <w:r w:rsidRPr="00B473E5">
        <w:rPr>
          <w:rFonts w:eastAsia="Times New Roman"/>
          <w:sz w:val="24"/>
          <w:szCs w:val="24"/>
        </w:rPr>
        <w:t>mploy</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r on basis that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nt was at-will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nt).</w:t>
      </w:r>
    </w:p>
    <w:p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This instruction is bas</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d on </w:t>
      </w:r>
      <w:r w:rsidRPr="00B473E5">
        <w:rPr>
          <w:rFonts w:eastAsia="Times New Roman"/>
          <w:b/>
          <w:sz w:val="24"/>
          <w:szCs w:val="24"/>
        </w:rPr>
        <w:t>Justic</w:t>
      </w:r>
      <w:smartTag w:uri="urn:schemas-microsoft-com:office:smarttags" w:element="PersonName">
        <w:r w:rsidRPr="00B473E5">
          <w:rPr>
            <w:rFonts w:eastAsia="Times New Roman"/>
            <w:b/>
            <w:sz w:val="24"/>
            <w:szCs w:val="24"/>
          </w:rPr>
          <w:t>e</w:t>
        </w:r>
      </w:smartTag>
      <w:r w:rsidRPr="00B473E5">
        <w:rPr>
          <w:rFonts w:eastAsia="Times New Roman"/>
          <w:b/>
          <w:sz w:val="24"/>
          <w:szCs w:val="24"/>
        </w:rPr>
        <w:t xml:space="preserve"> v. Stanl</w:t>
      </w:r>
      <w:smartTag w:uri="urn:schemas-microsoft-com:office:smarttags" w:element="PersonName">
        <w:r w:rsidRPr="00B473E5">
          <w:rPr>
            <w:rFonts w:eastAsia="Times New Roman"/>
            <w:b/>
            <w:sz w:val="24"/>
            <w:szCs w:val="24"/>
          </w:rPr>
          <w:t>e</w:t>
        </w:r>
      </w:smartTag>
      <w:r w:rsidRPr="00B473E5">
        <w:rPr>
          <w:rFonts w:eastAsia="Times New Roman"/>
          <w:b/>
          <w:sz w:val="24"/>
          <w:szCs w:val="24"/>
        </w:rPr>
        <w:t>y Aviation Corp.</w:t>
      </w:r>
      <w:r w:rsidRPr="00B473E5">
        <w:rPr>
          <w:rFonts w:eastAsia="Times New Roman"/>
          <w:sz w:val="24"/>
          <w:szCs w:val="24"/>
        </w:rPr>
        <w:t xml:space="preserve">, 35 </w:t>
      </w:r>
      <w:r w:rsidR="0067408D">
        <w:rPr>
          <w:rFonts w:eastAsia="Times New Roman"/>
          <w:sz w:val="24"/>
          <w:szCs w:val="24"/>
        </w:rPr>
        <w:t>Colo. App.</w:t>
      </w:r>
      <w:r w:rsidRPr="00B473E5">
        <w:rPr>
          <w:rFonts w:eastAsia="Times New Roman"/>
          <w:sz w:val="24"/>
          <w:szCs w:val="24"/>
        </w:rPr>
        <w:t xml:space="preserve"> 1, 530 P.2d 984 (1974), </w:t>
      </w:r>
      <w:r w:rsidRPr="00B473E5">
        <w:rPr>
          <w:rFonts w:eastAsia="Times New Roman"/>
          <w:i/>
          <w:sz w:val="24"/>
          <w:szCs w:val="24"/>
        </w:rPr>
        <w:t>c</w:t>
      </w:r>
      <w:smartTag w:uri="urn:schemas-microsoft-com:office:smarttags" w:element="PersonName">
        <w:r w:rsidRPr="00B473E5">
          <w:rPr>
            <w:rFonts w:eastAsia="Times New Roman"/>
            <w:i/>
            <w:sz w:val="24"/>
            <w:szCs w:val="24"/>
          </w:rPr>
          <w:t>e</w:t>
        </w:r>
      </w:smartTag>
      <w:r w:rsidRPr="00B473E5">
        <w:rPr>
          <w:rFonts w:eastAsia="Times New Roman"/>
          <w:i/>
          <w:sz w:val="24"/>
          <w:szCs w:val="24"/>
        </w:rPr>
        <w:t>rt. d</w:t>
      </w:r>
      <w:smartTag w:uri="urn:schemas-microsoft-com:office:smarttags" w:element="PersonName">
        <w:r w:rsidRPr="00B473E5">
          <w:rPr>
            <w:rFonts w:eastAsia="Times New Roman"/>
            <w:i/>
            <w:sz w:val="24"/>
            <w:szCs w:val="24"/>
          </w:rPr>
          <w:t>e</w:t>
        </w:r>
      </w:smartTag>
      <w:r w:rsidRPr="00B473E5">
        <w:rPr>
          <w:rFonts w:eastAsia="Times New Roman"/>
          <w:i/>
          <w:sz w:val="24"/>
          <w:szCs w:val="24"/>
        </w:rPr>
        <w:t>ni</w:t>
      </w:r>
      <w:smartTag w:uri="urn:schemas-microsoft-com:office:smarttags" w:element="PersonName">
        <w:r w:rsidRPr="00B473E5">
          <w:rPr>
            <w:rFonts w:eastAsia="Times New Roman"/>
            <w:i/>
            <w:sz w:val="24"/>
            <w:szCs w:val="24"/>
          </w:rPr>
          <w:t>e</w:t>
        </w:r>
      </w:smartTag>
      <w:r w:rsidRPr="00B473E5">
        <w:rPr>
          <w:rFonts w:eastAsia="Times New Roman"/>
          <w:i/>
          <w:sz w:val="24"/>
          <w:szCs w:val="24"/>
        </w:rPr>
        <w:t>d</w:t>
      </w:r>
      <w:r w:rsidRPr="00B473E5">
        <w:rPr>
          <w:rFonts w:eastAsia="Times New Roman"/>
          <w:sz w:val="24"/>
          <w:szCs w:val="24"/>
        </w:rPr>
        <w:t xml:space="preserve"> (1975). </w:t>
      </w:r>
      <w:r w:rsidRPr="00B473E5">
        <w:rPr>
          <w:rFonts w:eastAsia="Times New Roman"/>
          <w:i/>
          <w:sz w:val="24"/>
          <w:szCs w:val="24"/>
        </w:rPr>
        <w:t>S</w:t>
      </w:r>
      <w:smartTag w:uri="urn:schemas-microsoft-com:office:smarttags" w:element="PersonName">
        <w:r w:rsidRPr="00B473E5">
          <w:rPr>
            <w:rFonts w:eastAsia="Times New Roman"/>
            <w:i/>
            <w:sz w:val="24"/>
            <w:szCs w:val="24"/>
          </w:rPr>
          <w:t>e</w:t>
        </w:r>
      </w:smartTag>
      <w:smartTag w:uri="urn:schemas-microsoft-com:office:smarttags" w:element="PersonName">
        <w:r w:rsidRPr="00B473E5">
          <w:rPr>
            <w:rFonts w:eastAsia="Times New Roman"/>
            <w:i/>
            <w:sz w:val="24"/>
            <w:szCs w:val="24"/>
          </w:rPr>
          <w:t>e</w:t>
        </w:r>
      </w:smartTag>
      <w:r w:rsidRPr="00B473E5">
        <w:rPr>
          <w:rFonts w:eastAsia="Times New Roman"/>
          <w:i/>
          <w:sz w:val="24"/>
          <w:szCs w:val="24"/>
        </w:rPr>
        <w:t xml:space="preserve"> also</w:t>
      </w:r>
      <w:r w:rsidRPr="00B473E5">
        <w:rPr>
          <w:rFonts w:eastAsia="Times New Roman"/>
          <w:sz w:val="24"/>
          <w:szCs w:val="24"/>
        </w:rPr>
        <w:t xml:space="preserve"> </w:t>
      </w:r>
      <w:r w:rsidRPr="00B473E5">
        <w:rPr>
          <w:rFonts w:eastAsia="Times New Roman"/>
          <w:b/>
          <w:sz w:val="24"/>
          <w:szCs w:val="24"/>
        </w:rPr>
        <w:t>L</w:t>
      </w:r>
      <w:smartTag w:uri="urn:schemas-microsoft-com:office:smarttags" w:element="PersonName">
        <w:r w:rsidRPr="00B473E5">
          <w:rPr>
            <w:rFonts w:eastAsia="Times New Roman"/>
            <w:b/>
            <w:sz w:val="24"/>
            <w:szCs w:val="24"/>
          </w:rPr>
          <w:t>e</w:t>
        </w:r>
      </w:smartTag>
      <w:smartTag w:uri="urn:schemas-microsoft-com:office:smarttags" w:element="PersonName">
        <w:r w:rsidRPr="00B473E5">
          <w:rPr>
            <w:rFonts w:eastAsia="Times New Roman"/>
            <w:b/>
            <w:sz w:val="24"/>
            <w:szCs w:val="24"/>
          </w:rPr>
          <w:t>e</w:t>
        </w:r>
      </w:smartTag>
      <w:r w:rsidRPr="00B473E5">
        <w:rPr>
          <w:rFonts w:eastAsia="Times New Roman"/>
          <w:b/>
          <w:sz w:val="24"/>
          <w:szCs w:val="24"/>
        </w:rPr>
        <w:t xml:space="preserve"> v. </w:t>
      </w:r>
      <w:proofErr w:type="gramStart"/>
      <w:r w:rsidRPr="00B473E5">
        <w:rPr>
          <w:rFonts w:eastAsia="Times New Roman"/>
          <w:b/>
          <w:sz w:val="24"/>
          <w:szCs w:val="24"/>
        </w:rPr>
        <w:t>Gr</w:t>
      </w:r>
      <w:smartTag w:uri="urn:schemas-microsoft-com:office:smarttags" w:element="PersonName">
        <w:r w:rsidRPr="00B473E5">
          <w:rPr>
            <w:rFonts w:eastAsia="Times New Roman"/>
            <w:b/>
            <w:sz w:val="24"/>
            <w:szCs w:val="24"/>
          </w:rPr>
          <w:t>e</w:t>
        </w:r>
      </w:smartTag>
      <w:r w:rsidRPr="00B473E5">
        <w:rPr>
          <w:rFonts w:eastAsia="Times New Roman"/>
          <w:b/>
          <w:sz w:val="24"/>
          <w:szCs w:val="24"/>
        </w:rPr>
        <w:t>at Empir</w:t>
      </w:r>
      <w:smartTag w:uri="urn:schemas-microsoft-com:office:smarttags" w:element="PersonName">
        <w:r w:rsidRPr="00B473E5">
          <w:rPr>
            <w:rFonts w:eastAsia="Times New Roman"/>
            <w:b/>
            <w:sz w:val="24"/>
            <w:szCs w:val="24"/>
          </w:rPr>
          <w:t>e</w:t>
        </w:r>
      </w:smartTag>
      <w:r w:rsidRPr="00B473E5">
        <w:rPr>
          <w:rFonts w:eastAsia="Times New Roman"/>
          <w:b/>
          <w:sz w:val="24"/>
          <w:szCs w:val="24"/>
        </w:rPr>
        <w:t xml:space="preserve"> Broad., Inc.</w:t>
      </w:r>
      <w:r w:rsidRPr="00B473E5">
        <w:rPr>
          <w:rFonts w:eastAsia="Times New Roman"/>
          <w:sz w:val="24"/>
          <w:szCs w:val="24"/>
        </w:rPr>
        <w:t>, 794 P.2d 1032 (</w:t>
      </w:r>
      <w:r w:rsidR="0067408D">
        <w:rPr>
          <w:rFonts w:eastAsia="Times New Roman"/>
          <w:sz w:val="24"/>
          <w:szCs w:val="24"/>
        </w:rPr>
        <w:t>Colo. App.</w:t>
      </w:r>
      <w:r w:rsidRPr="00B473E5">
        <w:rPr>
          <w:rFonts w:eastAsia="Times New Roman"/>
          <w:sz w:val="24"/>
          <w:szCs w:val="24"/>
        </w:rPr>
        <w:t xml:space="preserve"> 1989) (agr</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m</w:t>
      </w:r>
      <w:smartTag w:uri="urn:schemas-microsoft-com:office:smarttags" w:element="PersonName">
        <w:r w:rsidRPr="00B473E5">
          <w:rPr>
            <w:rFonts w:eastAsia="Times New Roman"/>
            <w:sz w:val="24"/>
            <w:szCs w:val="24"/>
          </w:rPr>
          <w:t>e</w:t>
        </w:r>
      </w:smartTag>
      <w:r w:rsidRPr="00B473E5">
        <w:rPr>
          <w:rFonts w:eastAsia="Times New Roman"/>
          <w:sz w:val="24"/>
          <w:szCs w:val="24"/>
        </w:rPr>
        <w:t>nt to guarant</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an </w:t>
      </w:r>
      <w:smartTag w:uri="urn:schemas-microsoft-com:office:smarttags" w:element="PersonName">
        <w:r w:rsidRPr="00B473E5">
          <w:rPr>
            <w:rFonts w:eastAsia="Times New Roman"/>
            <w:sz w:val="24"/>
            <w:szCs w:val="24"/>
          </w:rPr>
          <w:t>e</w:t>
        </w:r>
      </w:smartTag>
      <w:r w:rsidRPr="00B473E5">
        <w:rPr>
          <w:rFonts w:eastAsia="Times New Roman"/>
          <w:sz w:val="24"/>
          <w:szCs w:val="24"/>
        </w:rPr>
        <w:t>mploy</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a c</w:t>
      </w:r>
      <w:smartTag w:uri="urn:schemas-microsoft-com:office:smarttags" w:element="PersonName">
        <w:r w:rsidRPr="00B473E5">
          <w:rPr>
            <w:rFonts w:eastAsia="Times New Roman"/>
            <w:sz w:val="24"/>
            <w:szCs w:val="24"/>
          </w:rPr>
          <w:t>e</w:t>
        </w:r>
      </w:smartTag>
      <w:r w:rsidRPr="00B473E5">
        <w:rPr>
          <w:rFonts w:eastAsia="Times New Roman"/>
          <w:sz w:val="24"/>
          <w:szCs w:val="24"/>
        </w:rPr>
        <w:t>rtain sum during a particular p</w:t>
      </w:r>
      <w:smartTag w:uri="urn:schemas-microsoft-com:office:smarttags" w:element="PersonName">
        <w:r w:rsidRPr="00B473E5">
          <w:rPr>
            <w:rFonts w:eastAsia="Times New Roman"/>
            <w:sz w:val="24"/>
            <w:szCs w:val="24"/>
          </w:rPr>
          <w:t>e</w:t>
        </w:r>
      </w:smartTag>
      <w:r w:rsidRPr="00B473E5">
        <w:rPr>
          <w:rFonts w:eastAsia="Times New Roman"/>
          <w:sz w:val="24"/>
          <w:szCs w:val="24"/>
        </w:rPr>
        <w:t>riod of tim</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did not n</w:t>
      </w:r>
      <w:smartTag w:uri="urn:schemas-microsoft-com:office:smarttags" w:element="PersonName">
        <w:r w:rsidRPr="00B473E5">
          <w:rPr>
            <w:rFonts w:eastAsia="Times New Roman"/>
            <w:sz w:val="24"/>
            <w:szCs w:val="24"/>
          </w:rPr>
          <w:t>e</w:t>
        </w:r>
      </w:smartTag>
      <w:r w:rsidRPr="00B473E5">
        <w:rPr>
          <w:rFonts w:eastAsia="Times New Roman"/>
          <w:sz w:val="24"/>
          <w:szCs w:val="24"/>
        </w:rPr>
        <w:t>c</w:t>
      </w:r>
      <w:smartTag w:uri="urn:schemas-microsoft-com:office:smarttags" w:element="PersonName">
        <w:r w:rsidRPr="00B473E5">
          <w:rPr>
            <w:rFonts w:eastAsia="Times New Roman"/>
            <w:sz w:val="24"/>
            <w:szCs w:val="24"/>
          </w:rPr>
          <w:t>e</w:t>
        </w:r>
      </w:smartTag>
      <w:r w:rsidRPr="00B473E5">
        <w:rPr>
          <w:rFonts w:eastAsia="Times New Roman"/>
          <w:sz w:val="24"/>
          <w:szCs w:val="24"/>
        </w:rPr>
        <w:t>ssarily constitut</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an agr</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m</w:t>
      </w:r>
      <w:smartTag w:uri="urn:schemas-microsoft-com:office:smarttags" w:element="PersonName">
        <w:r w:rsidRPr="00B473E5">
          <w:rPr>
            <w:rFonts w:eastAsia="Times New Roman"/>
            <w:sz w:val="24"/>
            <w:szCs w:val="24"/>
          </w:rPr>
          <w:t>e</w:t>
        </w:r>
      </w:smartTag>
      <w:r w:rsidRPr="00B473E5">
        <w:rPr>
          <w:rFonts w:eastAsia="Times New Roman"/>
          <w:sz w:val="24"/>
          <w:szCs w:val="24"/>
        </w:rPr>
        <w:t>nt or guarant</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that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nt r</w:t>
      </w:r>
      <w:smartTag w:uri="urn:schemas-microsoft-com:office:smarttags" w:element="PersonName">
        <w:r w:rsidRPr="00B473E5">
          <w:rPr>
            <w:rFonts w:eastAsia="Times New Roman"/>
            <w:sz w:val="24"/>
            <w:szCs w:val="24"/>
          </w:rPr>
          <w:t>e</w:t>
        </w:r>
      </w:smartTag>
      <w:r w:rsidRPr="00B473E5">
        <w:rPr>
          <w:rFonts w:eastAsia="Times New Roman"/>
          <w:sz w:val="24"/>
          <w:szCs w:val="24"/>
        </w:rPr>
        <w:t>lationship was to continu</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for such p</w:t>
      </w:r>
      <w:smartTag w:uri="urn:schemas-microsoft-com:office:smarttags" w:element="PersonName">
        <w:r w:rsidRPr="00B473E5">
          <w:rPr>
            <w:rFonts w:eastAsia="Times New Roman"/>
            <w:sz w:val="24"/>
            <w:szCs w:val="24"/>
          </w:rPr>
          <w:t>e</w:t>
        </w:r>
      </w:smartTag>
      <w:r w:rsidRPr="00B473E5">
        <w:rPr>
          <w:rFonts w:eastAsia="Times New Roman"/>
          <w:sz w:val="24"/>
          <w:szCs w:val="24"/>
        </w:rPr>
        <w:t>riod).</w:t>
      </w:r>
      <w:proofErr w:type="gramEnd"/>
    </w:p>
    <w:p w:rsidR="00B473E5" w:rsidRDefault="00B473E5">
      <w:pPr>
        <w:rPr>
          <w:rFonts w:eastAsia="Times New Roman"/>
          <w:bCs/>
          <w:sz w:val="24"/>
          <w:szCs w:val="24"/>
        </w:rPr>
      </w:pPr>
      <w:r>
        <w:rPr>
          <w:rFonts w:eastAsia="Times New Roman"/>
          <w:bCs/>
          <w:sz w:val="24"/>
          <w:szCs w:val="24"/>
        </w:rPr>
        <w:br w:type="page"/>
      </w:r>
    </w:p>
    <w:p w:rsidR="00B473E5" w:rsidRPr="009E3DA4" w:rsidRDefault="00B473E5" w:rsidP="00B473E5">
      <w:pPr>
        <w:spacing w:after="240"/>
        <w:ind w:left="720" w:hanging="720"/>
        <w:rPr>
          <w:rFonts w:eastAsia="Times New Roman"/>
          <w:b/>
          <w:sz w:val="24"/>
          <w:szCs w:val="24"/>
        </w:rPr>
      </w:pPr>
      <w:bookmarkStart w:id="3" w:name="a31_03"/>
      <w:bookmarkEnd w:id="3"/>
      <w:r w:rsidRPr="00B473E5">
        <w:rPr>
          <w:rFonts w:eastAsia="Times New Roman"/>
          <w:b/>
          <w:sz w:val="24"/>
          <w:szCs w:val="24"/>
        </w:rPr>
        <w:lastRenderedPageBreak/>
        <w:t xml:space="preserve">31:3 </w:t>
      </w:r>
      <w:r w:rsidRPr="00B473E5">
        <w:rPr>
          <w:rFonts w:eastAsia="Times New Roman"/>
          <w:b/>
          <w:sz w:val="24"/>
          <w:szCs w:val="24"/>
        </w:rPr>
        <w:tab/>
        <w:t>BREACH OF EMPLOYMENT CONTRACT FOR AN INDEFINITE PERIOD OF TIME REQUIRING GOOD OR JUST CAUSE FOR TERMINATION — ELEMENTS OF LIABILITY</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For the plaintiff, </w:t>
      </w:r>
      <w:r w:rsidRPr="00B473E5">
        <w:rPr>
          <w:rFonts w:eastAsia="Times New Roman"/>
          <w:i/>
          <w:sz w:val="24"/>
          <w:szCs w:val="24"/>
        </w:rPr>
        <w:t>(name)</w:t>
      </w:r>
      <w:r w:rsidRPr="00B473E5">
        <w:rPr>
          <w:rFonts w:eastAsia="Times New Roman"/>
          <w:b/>
          <w:sz w:val="24"/>
          <w:szCs w:val="24"/>
        </w:rPr>
        <w:t xml:space="preserve">, to recover from the defendant, </w:t>
      </w:r>
      <w:r w:rsidRPr="00B473E5">
        <w:rPr>
          <w:rFonts w:eastAsia="Times New Roman"/>
          <w:i/>
          <w:sz w:val="24"/>
          <w:szCs w:val="24"/>
        </w:rPr>
        <w:t>(name)</w:t>
      </w:r>
      <w:r w:rsidRPr="00B473E5">
        <w:rPr>
          <w:rFonts w:eastAsia="Times New Roman"/>
          <w:b/>
          <w:sz w:val="24"/>
          <w:szCs w:val="24"/>
        </w:rPr>
        <w:t>, on (his) (her) claim for breach of an employment contract for an indefinite period of time, you must find that all of the following have been proved by a preponderance of the evidence:</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1. The plaintiff and the defendant entered into a contract of employment;</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2. The contract provided that the plaintiff would not be discharged without good or just cause;</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3. The plaintiff was (constructively) discharged by the defendant; </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4. Before the plaintiff was discharged, (he</w:t>
      </w:r>
      <w:proofErr w:type="gramStart"/>
      <w:r w:rsidRPr="00B473E5">
        <w:rPr>
          <w:rFonts w:eastAsia="Times New Roman"/>
          <w:b/>
          <w:sz w:val="24"/>
          <w:szCs w:val="24"/>
        </w:rPr>
        <w:t>)(</w:t>
      </w:r>
      <w:proofErr w:type="gramEnd"/>
      <w:r w:rsidRPr="00B473E5">
        <w:rPr>
          <w:rFonts w:eastAsia="Times New Roman"/>
          <w:b/>
          <w:sz w:val="24"/>
          <w:szCs w:val="24"/>
        </w:rPr>
        <w:t>she) ([substantially] performed [his] [her] part of the contract) (had some justification for not performing [his] [her] part of the contract</w:t>
      </w:r>
      <w:r w:rsidRPr="00B473E5" w:rsidDel="0016015F">
        <w:rPr>
          <w:rFonts w:eastAsia="Times New Roman"/>
          <w:b/>
          <w:sz w:val="24"/>
          <w:szCs w:val="24"/>
        </w:rPr>
        <w:t xml:space="preserve"> </w:t>
      </w:r>
      <w:r w:rsidRPr="00B473E5">
        <w:rPr>
          <w:rFonts w:eastAsia="Times New Roman"/>
          <w:b/>
          <w:sz w:val="24"/>
          <w:szCs w:val="24"/>
        </w:rPr>
        <w:t>); and</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5. The plaintiff had (injuries) (damages) (losses) as a result of the (constructive) discharge.</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If you find that any of these </w:t>
      </w:r>
      <w:r w:rsidRPr="00B473E5">
        <w:rPr>
          <w:rFonts w:eastAsia="Times New Roman"/>
          <w:i/>
          <w:sz w:val="24"/>
          <w:szCs w:val="24"/>
        </w:rPr>
        <w:t>(number)</w:t>
      </w:r>
      <w:r w:rsidRPr="00B473E5">
        <w:rPr>
          <w:rFonts w:eastAsia="Times New Roman"/>
          <w:b/>
          <w:sz w:val="24"/>
          <w:szCs w:val="24"/>
        </w:rPr>
        <w:t xml:space="preserve"> statements has not been proved, then your verdict must be for the defendant.</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On the other hand, if you find that all of these </w:t>
      </w:r>
      <w:r w:rsidRPr="00B473E5">
        <w:rPr>
          <w:rFonts w:eastAsia="Times New Roman"/>
          <w:i/>
          <w:sz w:val="24"/>
          <w:szCs w:val="24"/>
        </w:rPr>
        <w:t>(number)</w:t>
      </w:r>
      <w:r w:rsidRPr="00B473E5">
        <w:rPr>
          <w:rFonts w:eastAsia="Times New Roman"/>
          <w:b/>
          <w:sz w:val="24"/>
          <w:szCs w:val="24"/>
        </w:rPr>
        <w:t xml:space="preserve"> statements have been proved, (then your verdict must be for the plaintiff) (then you must consider the defendant’s affirmative defense(s) of </w:t>
      </w:r>
      <w:r w:rsidRPr="00B473E5">
        <w:rPr>
          <w:rFonts w:eastAsia="Times New Roman"/>
          <w:i/>
          <w:sz w:val="24"/>
          <w:szCs w:val="24"/>
        </w:rPr>
        <w:t>[insert any affirmative defense that would be a complete defense to plaintiff’s claim]</w:t>
      </w:r>
      <w:r w:rsidRPr="00B473E5">
        <w:rPr>
          <w:rFonts w:eastAsia="Times New Roman"/>
          <w:b/>
          <w:sz w:val="24"/>
          <w:szCs w:val="24"/>
        </w:rPr>
        <w:t>).</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However, if you find that (this affirmative defense has not) (none of these affirmative defenses have) been proved, then your verdict must be for the plaintiff.</w:t>
      </w:r>
    </w:p>
    <w:p w:rsidR="00B473E5" w:rsidRDefault="00B473E5" w:rsidP="00B473E5">
      <w:pPr>
        <w:jc w:val="center"/>
        <w:rPr>
          <w:rFonts w:eastAsia="Times New Roman"/>
          <w:sz w:val="24"/>
          <w:szCs w:val="24"/>
        </w:rPr>
      </w:pPr>
    </w:p>
    <w:p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1. Use whichever parenthesized and bracketed words and phrases are appropriate.</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2. If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d</w:t>
      </w:r>
      <w:smartTag w:uri="urn:schemas-microsoft-com:office:smarttags" w:element="PersonName">
        <w:r w:rsidRPr="00B473E5">
          <w:rPr>
            <w:rFonts w:eastAsia="Times New Roman"/>
            <w:sz w:val="24"/>
            <w:szCs w:val="24"/>
          </w:rPr>
          <w:t>e</w:t>
        </w:r>
      </w:smartTag>
      <w:r w:rsidRPr="00B473E5">
        <w:rPr>
          <w:rFonts w:eastAsia="Times New Roman"/>
          <w:sz w:val="24"/>
          <w:szCs w:val="24"/>
        </w:rPr>
        <w:t>f</w:t>
      </w:r>
      <w:smartTag w:uri="urn:schemas-microsoft-com:office:smarttags" w:element="PersonName">
        <w:r w:rsidRPr="00B473E5">
          <w:rPr>
            <w:rFonts w:eastAsia="Times New Roman"/>
            <w:sz w:val="24"/>
            <w:szCs w:val="24"/>
          </w:rPr>
          <w:t>e</w:t>
        </w:r>
      </w:smartTag>
      <w:r w:rsidRPr="00B473E5">
        <w:rPr>
          <w:rFonts w:eastAsia="Times New Roman"/>
          <w:sz w:val="24"/>
          <w:szCs w:val="24"/>
        </w:rPr>
        <w:t>ndant rais</w:t>
      </w:r>
      <w:smartTag w:uri="urn:schemas-microsoft-com:office:smarttags" w:element="PersonName">
        <w:r w:rsidRPr="00B473E5">
          <w:rPr>
            <w:rFonts w:eastAsia="Times New Roman"/>
            <w:sz w:val="24"/>
            <w:szCs w:val="24"/>
          </w:rPr>
          <w:t>e</w:t>
        </w:r>
      </w:smartTag>
      <w:r w:rsidRPr="00B473E5">
        <w:rPr>
          <w:rFonts w:eastAsia="Times New Roman"/>
          <w:sz w:val="24"/>
          <w:szCs w:val="24"/>
        </w:rPr>
        <w:t>s issu</w:t>
      </w:r>
      <w:smartTag w:uri="urn:schemas-microsoft-com:office:smarttags" w:element="PersonName">
        <w:r w:rsidRPr="00B473E5">
          <w:rPr>
            <w:rFonts w:eastAsia="Times New Roman"/>
            <w:sz w:val="24"/>
            <w:szCs w:val="24"/>
          </w:rPr>
          <w:t>e</w:t>
        </w:r>
      </w:smartTag>
      <w:r w:rsidRPr="00B473E5">
        <w:rPr>
          <w:rFonts w:eastAsia="Times New Roman"/>
          <w:sz w:val="24"/>
          <w:szCs w:val="24"/>
        </w:rPr>
        <w:t>s r</w:t>
      </w:r>
      <w:smartTag w:uri="urn:schemas-microsoft-com:office:smarttags" w:element="PersonName">
        <w:r w:rsidRPr="00B473E5">
          <w:rPr>
            <w:rFonts w:eastAsia="Times New Roman"/>
            <w:sz w:val="24"/>
            <w:szCs w:val="24"/>
          </w:rPr>
          <w:t>e</w:t>
        </w:r>
      </w:smartTag>
      <w:r w:rsidRPr="00B473E5">
        <w:rPr>
          <w:rFonts w:eastAsia="Times New Roman"/>
          <w:sz w:val="24"/>
          <w:szCs w:val="24"/>
        </w:rPr>
        <w:t>garding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xist</w:t>
      </w:r>
      <w:smartTag w:uri="urn:schemas-microsoft-com:office:smarttags" w:element="PersonName">
        <w:r w:rsidRPr="00B473E5">
          <w:rPr>
            <w:rFonts w:eastAsia="Times New Roman"/>
            <w:sz w:val="24"/>
            <w:szCs w:val="24"/>
          </w:rPr>
          <w:t>e</w:t>
        </w:r>
      </w:smartTag>
      <w:r w:rsidRPr="00B473E5">
        <w:rPr>
          <w:rFonts w:eastAsia="Times New Roman"/>
          <w:sz w:val="24"/>
          <w:szCs w:val="24"/>
        </w:rPr>
        <w:t>nc</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of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nt contract its</w:t>
      </w:r>
      <w:smartTag w:uri="urn:schemas-microsoft-com:office:smarttags" w:element="PersonName">
        <w:r w:rsidRPr="00B473E5">
          <w:rPr>
            <w:rFonts w:eastAsia="Times New Roman"/>
            <w:sz w:val="24"/>
            <w:szCs w:val="24"/>
          </w:rPr>
          <w:t>e</w:t>
        </w:r>
      </w:smartTag>
      <w:r w:rsidRPr="00B473E5">
        <w:rPr>
          <w:rFonts w:eastAsia="Times New Roman"/>
          <w:sz w:val="24"/>
          <w:szCs w:val="24"/>
        </w:rPr>
        <w:t>lf, additional instructions r</w:t>
      </w:r>
      <w:smartTag w:uri="urn:schemas-microsoft-com:office:smarttags" w:element="PersonName">
        <w:r w:rsidRPr="00B473E5">
          <w:rPr>
            <w:rFonts w:eastAsia="Times New Roman"/>
            <w:sz w:val="24"/>
            <w:szCs w:val="24"/>
          </w:rPr>
          <w:t>e</w:t>
        </w:r>
      </w:smartTag>
      <w:r w:rsidRPr="00B473E5">
        <w:rPr>
          <w:rFonts w:eastAsia="Times New Roman"/>
          <w:sz w:val="24"/>
          <w:szCs w:val="24"/>
        </w:rPr>
        <w:t>lating to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formation of contracts may b</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necessary. S</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instructions in Chapt</w:t>
      </w:r>
      <w:smartTag w:uri="urn:schemas-microsoft-com:office:smarttags" w:element="PersonName">
        <w:r w:rsidRPr="00B473E5">
          <w:rPr>
            <w:rFonts w:eastAsia="Times New Roman"/>
            <w:sz w:val="24"/>
            <w:szCs w:val="24"/>
          </w:rPr>
          <w:t>e</w:t>
        </w:r>
      </w:smartTag>
      <w:r w:rsidRPr="00B473E5">
        <w:rPr>
          <w:rFonts w:eastAsia="Times New Roman"/>
          <w:sz w:val="24"/>
          <w:szCs w:val="24"/>
        </w:rPr>
        <w:t>r 30. Also s</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Chapt</w:t>
      </w:r>
      <w:smartTag w:uri="urn:schemas-microsoft-com:office:smarttags" w:element="PersonName">
        <w:r w:rsidRPr="00B473E5">
          <w:rPr>
            <w:rFonts w:eastAsia="Times New Roman"/>
            <w:sz w:val="24"/>
            <w:szCs w:val="24"/>
          </w:rPr>
          <w:t>e</w:t>
        </w:r>
      </w:smartTag>
      <w:r w:rsidRPr="00B473E5">
        <w:rPr>
          <w:rFonts w:eastAsia="Times New Roman"/>
          <w:sz w:val="24"/>
          <w:szCs w:val="24"/>
        </w:rPr>
        <w:t>r 30 for instructions r</w:t>
      </w:r>
      <w:smartTag w:uri="urn:schemas-microsoft-com:office:smarttags" w:element="PersonName">
        <w:r w:rsidRPr="00B473E5">
          <w:rPr>
            <w:rFonts w:eastAsia="Times New Roman"/>
            <w:sz w:val="24"/>
            <w:szCs w:val="24"/>
          </w:rPr>
          <w:t>e</w:t>
        </w:r>
      </w:smartTag>
      <w:r w:rsidRPr="00B473E5">
        <w:rPr>
          <w:rFonts w:eastAsia="Times New Roman"/>
          <w:sz w:val="24"/>
          <w:szCs w:val="24"/>
        </w:rPr>
        <w:t>lating to affirmativ</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d</w:t>
      </w:r>
      <w:smartTag w:uri="urn:schemas-microsoft-com:office:smarttags" w:element="PersonName">
        <w:r w:rsidRPr="00B473E5">
          <w:rPr>
            <w:rFonts w:eastAsia="Times New Roman"/>
            <w:sz w:val="24"/>
            <w:szCs w:val="24"/>
          </w:rPr>
          <w:t>e</w:t>
        </w:r>
      </w:smartTag>
      <w:r w:rsidRPr="00B473E5">
        <w:rPr>
          <w:rFonts w:eastAsia="Times New Roman"/>
          <w:sz w:val="24"/>
          <w:szCs w:val="24"/>
        </w:rPr>
        <w:t>f</w:t>
      </w:r>
      <w:smartTag w:uri="urn:schemas-microsoft-com:office:smarttags" w:element="PersonName">
        <w:r w:rsidRPr="00B473E5">
          <w:rPr>
            <w:rFonts w:eastAsia="Times New Roman"/>
            <w:sz w:val="24"/>
            <w:szCs w:val="24"/>
          </w:rPr>
          <w:t>e</w:t>
        </w:r>
      </w:smartTag>
      <w:r w:rsidRPr="00B473E5">
        <w:rPr>
          <w:rFonts w:eastAsia="Times New Roman"/>
          <w:sz w:val="24"/>
          <w:szCs w:val="24"/>
        </w:rPr>
        <w:t>ns</w:t>
      </w:r>
      <w:smartTag w:uri="urn:schemas-microsoft-com:office:smarttags" w:element="PersonName">
        <w:r w:rsidRPr="00B473E5">
          <w:rPr>
            <w:rFonts w:eastAsia="Times New Roman"/>
            <w:sz w:val="24"/>
            <w:szCs w:val="24"/>
          </w:rPr>
          <w:t>e</w:t>
        </w:r>
      </w:smartTag>
      <w:r w:rsidRPr="00B473E5">
        <w:rPr>
          <w:rFonts w:eastAsia="Times New Roman"/>
          <w:sz w:val="24"/>
          <w:szCs w:val="24"/>
        </w:rPr>
        <w:t>s to a br</w:t>
      </w:r>
      <w:smartTag w:uri="urn:schemas-microsoft-com:office:smarttags" w:element="PersonName">
        <w:r w:rsidRPr="00B473E5">
          <w:rPr>
            <w:rFonts w:eastAsia="Times New Roman"/>
            <w:sz w:val="24"/>
            <w:szCs w:val="24"/>
          </w:rPr>
          <w:t>e</w:t>
        </w:r>
      </w:smartTag>
      <w:r w:rsidRPr="00B473E5">
        <w:rPr>
          <w:rFonts w:eastAsia="Times New Roman"/>
          <w:sz w:val="24"/>
          <w:szCs w:val="24"/>
        </w:rPr>
        <w:t>ach of contract claim. To instruct as to what constitut</w:t>
      </w:r>
      <w:smartTag w:uri="urn:schemas-microsoft-com:office:smarttags" w:element="PersonName">
        <w:r w:rsidRPr="00B473E5">
          <w:rPr>
            <w:rFonts w:eastAsia="Times New Roman"/>
            <w:sz w:val="24"/>
            <w:szCs w:val="24"/>
          </w:rPr>
          <w:t>e</w:t>
        </w:r>
      </w:smartTag>
      <w:r w:rsidRPr="00B473E5">
        <w:rPr>
          <w:rFonts w:eastAsia="Times New Roman"/>
          <w:sz w:val="24"/>
          <w:szCs w:val="24"/>
        </w:rPr>
        <w:t>s an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nt r</w:t>
      </w:r>
      <w:smartTag w:uri="urn:schemas-microsoft-com:office:smarttags" w:element="PersonName">
        <w:r w:rsidRPr="00B473E5">
          <w:rPr>
            <w:rFonts w:eastAsia="Times New Roman"/>
            <w:sz w:val="24"/>
            <w:szCs w:val="24"/>
          </w:rPr>
          <w:t>e</w:t>
        </w:r>
      </w:smartTag>
      <w:r w:rsidRPr="00B473E5">
        <w:rPr>
          <w:rFonts w:eastAsia="Times New Roman"/>
          <w:sz w:val="24"/>
          <w:szCs w:val="24"/>
        </w:rPr>
        <w:t>lationship,” Instruction 7:6, appropriat</w:t>
      </w:r>
      <w:smartTag w:uri="urn:schemas-microsoft-com:office:smarttags" w:element="PersonName">
        <w:r w:rsidRPr="00B473E5">
          <w:rPr>
            <w:rFonts w:eastAsia="Times New Roman"/>
            <w:sz w:val="24"/>
            <w:szCs w:val="24"/>
          </w:rPr>
          <w:t>e</w:t>
        </w:r>
      </w:smartTag>
      <w:r w:rsidRPr="00B473E5">
        <w:rPr>
          <w:rFonts w:eastAsia="Times New Roman"/>
          <w:sz w:val="24"/>
          <w:szCs w:val="24"/>
        </w:rPr>
        <w:t>ly modifi</w:t>
      </w:r>
      <w:smartTag w:uri="urn:schemas-microsoft-com:office:smarttags" w:element="PersonName">
        <w:r w:rsidRPr="00B473E5">
          <w:rPr>
            <w:rFonts w:eastAsia="Times New Roman"/>
            <w:sz w:val="24"/>
            <w:szCs w:val="24"/>
          </w:rPr>
          <w:t>e</w:t>
        </w:r>
      </w:smartTag>
      <w:r w:rsidRPr="00B473E5">
        <w:rPr>
          <w:rFonts w:eastAsia="Times New Roman"/>
          <w:sz w:val="24"/>
          <w:szCs w:val="24"/>
        </w:rPr>
        <w:t>d, may b</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us</w:t>
      </w:r>
      <w:smartTag w:uri="urn:schemas-microsoft-com:office:smarttags" w:element="PersonName">
        <w:r w:rsidRPr="00B473E5">
          <w:rPr>
            <w:rFonts w:eastAsia="Times New Roman"/>
            <w:sz w:val="24"/>
            <w:szCs w:val="24"/>
          </w:rPr>
          <w:t>e</w:t>
        </w:r>
      </w:smartTag>
      <w:r w:rsidRPr="00B473E5">
        <w:rPr>
          <w:rFonts w:eastAsia="Times New Roman"/>
          <w:sz w:val="24"/>
          <w:szCs w:val="24"/>
        </w:rPr>
        <w:t>d.</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lastRenderedPageBreak/>
        <w:t>3. If th</w:t>
      </w:r>
      <w:smartTag w:uri="urn:schemas-microsoft-com:office:smarttags" w:element="PersonName">
        <w:r w:rsidRPr="00B473E5">
          <w:rPr>
            <w:rFonts w:eastAsia="Times New Roman"/>
            <w:sz w:val="24"/>
            <w:szCs w:val="24"/>
          </w:rPr>
          <w:t>e</w:t>
        </w:r>
      </w:smartTag>
      <w:r w:rsidRPr="00B473E5">
        <w:rPr>
          <w:rFonts w:eastAsia="Times New Roman"/>
          <w:sz w:val="24"/>
          <w:szCs w:val="24"/>
        </w:rPr>
        <w:t>r</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is a factual disput</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as to wh</w:t>
      </w:r>
      <w:smartTag w:uri="urn:schemas-microsoft-com:office:smarttags" w:element="PersonName">
        <w:r w:rsidRPr="00B473E5">
          <w:rPr>
            <w:rFonts w:eastAsia="Times New Roman"/>
            <w:sz w:val="24"/>
            <w:szCs w:val="24"/>
          </w:rPr>
          <w:t>e</w:t>
        </w:r>
      </w:smartTag>
      <w:r w:rsidRPr="00B473E5">
        <w:rPr>
          <w:rFonts w:eastAsia="Times New Roman"/>
          <w:sz w:val="24"/>
          <w:szCs w:val="24"/>
        </w:rPr>
        <w:t>th</w:t>
      </w:r>
      <w:smartTag w:uri="urn:schemas-microsoft-com:office:smarttags" w:element="PersonName">
        <w:r w:rsidRPr="00B473E5">
          <w:rPr>
            <w:rFonts w:eastAsia="Times New Roman"/>
            <w:sz w:val="24"/>
            <w:szCs w:val="24"/>
          </w:rPr>
          <w:t>e</w:t>
        </w:r>
      </w:smartTag>
      <w:r w:rsidRPr="00B473E5">
        <w:rPr>
          <w:rFonts w:eastAsia="Times New Roman"/>
          <w:sz w:val="24"/>
          <w:szCs w:val="24"/>
        </w:rPr>
        <w:t>r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mploym</w:t>
      </w:r>
      <w:smartTag w:uri="urn:schemas-microsoft-com:office:smarttags" w:element="PersonName">
        <w:r w:rsidRPr="00B473E5">
          <w:rPr>
            <w:rFonts w:eastAsia="Times New Roman"/>
            <w:sz w:val="24"/>
            <w:szCs w:val="24"/>
          </w:rPr>
          <w:t>e</w:t>
        </w:r>
      </w:smartTag>
      <w:r w:rsidRPr="00B473E5">
        <w:rPr>
          <w:rFonts w:eastAsia="Times New Roman"/>
          <w:sz w:val="24"/>
          <w:szCs w:val="24"/>
        </w:rPr>
        <w:t>nt contract provid</w:t>
      </w:r>
      <w:smartTag w:uri="urn:schemas-microsoft-com:office:smarttags" w:element="PersonName">
        <w:r w:rsidRPr="00B473E5">
          <w:rPr>
            <w:rFonts w:eastAsia="Times New Roman"/>
            <w:sz w:val="24"/>
            <w:szCs w:val="24"/>
          </w:rPr>
          <w:t>e</w:t>
        </w:r>
      </w:smartTag>
      <w:r w:rsidRPr="00B473E5">
        <w:rPr>
          <w:rFonts w:eastAsia="Times New Roman"/>
          <w:sz w:val="24"/>
          <w:szCs w:val="24"/>
        </w:rPr>
        <w:t>d that plaintiff would not b</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discharg</w:t>
      </w:r>
      <w:smartTag w:uri="urn:schemas-microsoft-com:office:smarttags" w:element="PersonName">
        <w:r w:rsidRPr="00B473E5">
          <w:rPr>
            <w:rFonts w:eastAsia="Times New Roman"/>
            <w:sz w:val="24"/>
            <w:szCs w:val="24"/>
          </w:rPr>
          <w:t>e</w:t>
        </w:r>
      </w:smartTag>
      <w:r w:rsidRPr="00B473E5">
        <w:rPr>
          <w:rFonts w:eastAsia="Times New Roman"/>
          <w:sz w:val="24"/>
          <w:szCs w:val="24"/>
        </w:rPr>
        <w:t>d without caus</w:t>
      </w:r>
      <w:smartTag w:uri="urn:schemas-microsoft-com:office:smarttags" w:element="PersonName">
        <w:r w:rsidRPr="00B473E5">
          <w:rPr>
            <w:rFonts w:eastAsia="Times New Roman"/>
            <w:sz w:val="24"/>
            <w:szCs w:val="24"/>
          </w:rPr>
          <w:t>e</w:t>
        </w:r>
      </w:smartTag>
      <w:r w:rsidRPr="00B473E5">
        <w:rPr>
          <w:rFonts w:eastAsia="Times New Roman"/>
          <w:sz w:val="24"/>
          <w:szCs w:val="24"/>
        </w:rPr>
        <w:t>, s</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Not</w:t>
      </w:r>
      <w:smartTag w:uri="urn:schemas-microsoft-com:office:smarttags" w:element="PersonName">
        <w:r w:rsidRPr="00B473E5">
          <w:rPr>
            <w:rFonts w:eastAsia="Times New Roman"/>
            <w:sz w:val="24"/>
            <w:szCs w:val="24"/>
          </w:rPr>
          <w:t>e</w:t>
        </w:r>
      </w:smartTag>
      <w:r w:rsidRPr="00B473E5">
        <w:rPr>
          <w:rFonts w:eastAsia="Times New Roman"/>
          <w:sz w:val="24"/>
          <w:szCs w:val="24"/>
        </w:rPr>
        <w:t>s on Us</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to Instruction 31:5.</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4. If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w:t>
      </w:r>
      <w:smartTag w:uri="urn:schemas-microsoft-com:office:smarttags" w:element="PersonName">
        <w:r w:rsidRPr="00B473E5">
          <w:rPr>
            <w:rFonts w:eastAsia="Times New Roman"/>
            <w:sz w:val="24"/>
            <w:szCs w:val="24"/>
          </w:rPr>
          <w:t>e</w:t>
        </w:r>
      </w:smartTag>
      <w:r w:rsidRPr="00B473E5">
        <w:rPr>
          <w:rFonts w:eastAsia="Times New Roman"/>
          <w:sz w:val="24"/>
          <w:szCs w:val="24"/>
        </w:rPr>
        <w:t>e’s br</w:t>
      </w:r>
      <w:smartTag w:uri="urn:schemas-microsoft-com:office:smarttags" w:element="PersonName">
        <w:r w:rsidRPr="00B473E5">
          <w:rPr>
            <w:rFonts w:eastAsia="Times New Roman"/>
            <w:sz w:val="24"/>
            <w:szCs w:val="24"/>
          </w:rPr>
          <w:t>e</w:t>
        </w:r>
      </w:smartTag>
      <w:r w:rsidRPr="00B473E5">
        <w:rPr>
          <w:rFonts w:eastAsia="Times New Roman"/>
          <w:sz w:val="24"/>
          <w:szCs w:val="24"/>
        </w:rPr>
        <w:t>ach of contract claim is bas</w:t>
      </w:r>
      <w:smartTag w:uri="urn:schemas-microsoft-com:office:smarttags" w:element="PersonName">
        <w:r w:rsidRPr="00B473E5">
          <w:rPr>
            <w:rFonts w:eastAsia="Times New Roman"/>
            <w:sz w:val="24"/>
            <w:szCs w:val="24"/>
          </w:rPr>
          <w:t>e</w:t>
        </w:r>
      </w:smartTag>
      <w:r w:rsidRPr="00B473E5">
        <w:rPr>
          <w:rFonts w:eastAsia="Times New Roman"/>
          <w:sz w:val="24"/>
          <w:szCs w:val="24"/>
        </w:rPr>
        <w:t>d on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w:t>
      </w:r>
      <w:smartTag w:uri="urn:schemas-microsoft-com:office:smarttags" w:element="PersonName">
        <w:r w:rsidRPr="00B473E5">
          <w:rPr>
            <w:rFonts w:eastAsia="Times New Roman"/>
            <w:sz w:val="24"/>
            <w:szCs w:val="24"/>
          </w:rPr>
          <w:t>e</w:t>
        </w:r>
      </w:smartTag>
      <w:r w:rsidRPr="00B473E5">
        <w:rPr>
          <w:rFonts w:eastAsia="Times New Roman"/>
          <w:sz w:val="24"/>
          <w:szCs w:val="24"/>
        </w:rPr>
        <w:t>r’s p</w:t>
      </w:r>
      <w:smartTag w:uri="urn:schemas-microsoft-com:office:smarttags" w:element="PersonName">
        <w:r w:rsidRPr="00B473E5">
          <w:rPr>
            <w:rFonts w:eastAsia="Times New Roman"/>
            <w:sz w:val="24"/>
            <w:szCs w:val="24"/>
          </w:rPr>
          <w:t>e</w:t>
        </w:r>
      </w:smartTag>
      <w:r w:rsidRPr="00B473E5">
        <w:rPr>
          <w:rFonts w:eastAsia="Times New Roman"/>
          <w:sz w:val="24"/>
          <w:szCs w:val="24"/>
        </w:rPr>
        <w:t>rsonn</w:t>
      </w:r>
      <w:smartTag w:uri="urn:schemas-microsoft-com:office:smarttags" w:element="PersonName">
        <w:r w:rsidRPr="00B473E5">
          <w:rPr>
            <w:rFonts w:eastAsia="Times New Roman"/>
            <w:sz w:val="24"/>
            <w:szCs w:val="24"/>
          </w:rPr>
          <w:t>e</w:t>
        </w:r>
      </w:smartTag>
      <w:r w:rsidRPr="00B473E5">
        <w:rPr>
          <w:rFonts w:eastAsia="Times New Roman"/>
          <w:sz w:val="24"/>
          <w:szCs w:val="24"/>
        </w:rPr>
        <w:t>l polici</w:t>
      </w:r>
      <w:smartTag w:uri="urn:schemas-microsoft-com:office:smarttags" w:element="PersonName">
        <w:r w:rsidRPr="00B473E5">
          <w:rPr>
            <w:rFonts w:eastAsia="Times New Roman"/>
            <w:sz w:val="24"/>
            <w:szCs w:val="24"/>
          </w:rPr>
          <w:t>e</w:t>
        </w:r>
      </w:smartTag>
      <w:r w:rsidRPr="00B473E5">
        <w:rPr>
          <w:rFonts w:eastAsia="Times New Roman"/>
          <w:sz w:val="24"/>
          <w:szCs w:val="24"/>
        </w:rPr>
        <w:t>s or proc</w:t>
      </w:r>
      <w:smartTag w:uri="urn:schemas-microsoft-com:office:smarttags" w:element="PersonName">
        <w:r w:rsidRPr="00B473E5">
          <w:rPr>
            <w:rFonts w:eastAsia="Times New Roman"/>
            <w:sz w:val="24"/>
            <w:szCs w:val="24"/>
          </w:rPr>
          <w:t>e</w:t>
        </w:r>
      </w:smartTag>
      <w:r w:rsidRPr="00B473E5">
        <w:rPr>
          <w:rFonts w:eastAsia="Times New Roman"/>
          <w:sz w:val="24"/>
          <w:szCs w:val="24"/>
        </w:rPr>
        <w:t>dur</w:t>
      </w:r>
      <w:smartTag w:uri="urn:schemas-microsoft-com:office:smarttags" w:element="PersonName">
        <w:r w:rsidRPr="00B473E5">
          <w:rPr>
            <w:rFonts w:eastAsia="Times New Roman"/>
            <w:sz w:val="24"/>
            <w:szCs w:val="24"/>
          </w:rPr>
          <w:t>e</w:t>
        </w:r>
      </w:smartTag>
      <w:r w:rsidRPr="00B473E5">
        <w:rPr>
          <w:rFonts w:eastAsia="Times New Roman"/>
          <w:sz w:val="24"/>
          <w:szCs w:val="24"/>
        </w:rPr>
        <w:t>s, Instruction 31:4 should b</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us</w:t>
      </w:r>
      <w:smartTag w:uri="urn:schemas-microsoft-com:office:smarttags" w:element="PersonName">
        <w:r w:rsidRPr="00B473E5">
          <w:rPr>
            <w:rFonts w:eastAsia="Times New Roman"/>
            <w:sz w:val="24"/>
            <w:szCs w:val="24"/>
          </w:rPr>
          <w:t>e</w:t>
        </w:r>
      </w:smartTag>
      <w:r w:rsidRPr="00B473E5">
        <w:rPr>
          <w:rFonts w:eastAsia="Times New Roman"/>
          <w:sz w:val="24"/>
          <w:szCs w:val="24"/>
        </w:rPr>
        <w:t>d rath</w:t>
      </w:r>
      <w:smartTag w:uri="urn:schemas-microsoft-com:office:smarttags" w:element="PersonName">
        <w:r w:rsidRPr="00B473E5">
          <w:rPr>
            <w:rFonts w:eastAsia="Times New Roman"/>
            <w:sz w:val="24"/>
            <w:szCs w:val="24"/>
          </w:rPr>
          <w:t>e</w:t>
        </w:r>
      </w:smartTag>
      <w:r w:rsidRPr="00B473E5">
        <w:rPr>
          <w:rFonts w:eastAsia="Times New Roman"/>
          <w:sz w:val="24"/>
          <w:szCs w:val="24"/>
        </w:rPr>
        <w:t>r than this instruction.</w:t>
      </w:r>
    </w:p>
    <w:p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1. This instruction is supported by</w:t>
      </w:r>
      <w:r w:rsidRPr="00B473E5">
        <w:rPr>
          <w:rFonts w:eastAsia="Times New Roman"/>
          <w:b/>
          <w:sz w:val="24"/>
          <w:szCs w:val="24"/>
        </w:rPr>
        <w:t xml:space="preserve"> W</w:t>
      </w:r>
      <w:smartTag w:uri="urn:schemas-microsoft-com:office:smarttags" w:element="PersonName">
        <w:r w:rsidRPr="00B473E5">
          <w:rPr>
            <w:rFonts w:eastAsia="Times New Roman"/>
            <w:b/>
            <w:sz w:val="24"/>
            <w:szCs w:val="24"/>
          </w:rPr>
          <w:t>e</w:t>
        </w:r>
      </w:smartTag>
      <w:r w:rsidRPr="00B473E5">
        <w:rPr>
          <w:rFonts w:eastAsia="Times New Roman"/>
          <w:b/>
          <w:sz w:val="24"/>
          <w:szCs w:val="24"/>
        </w:rPr>
        <w:t>st</w:t>
      </w:r>
      <w:smartTag w:uri="urn:schemas-microsoft-com:office:smarttags" w:element="PersonName">
        <w:r w:rsidRPr="00B473E5">
          <w:rPr>
            <w:rFonts w:eastAsia="Times New Roman"/>
            <w:b/>
            <w:sz w:val="24"/>
            <w:szCs w:val="24"/>
          </w:rPr>
          <w:t>e</w:t>
        </w:r>
      </w:smartTag>
      <w:r w:rsidRPr="00B473E5">
        <w:rPr>
          <w:rFonts w:eastAsia="Times New Roman"/>
          <w:b/>
          <w:sz w:val="24"/>
          <w:szCs w:val="24"/>
        </w:rPr>
        <w:t>rn Distrib. Co. v. Diodosio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841 P.2d 1053 (</w:t>
      </w:r>
      <w:smartTag w:uri="urn:schemas-microsoft-com:office:smarttags" w:element="place">
        <w:smartTag w:uri="urn:schemas-microsoft-com:office:smarttags" w:element="State">
          <w:r w:rsidRPr="00B473E5">
            <w:rPr>
              <w:rFonts w:eastAsia="Times New Roman"/>
              <w:sz w:val="24"/>
              <w:szCs w:val="24"/>
            </w:rPr>
            <w:t>Colo.</w:t>
          </w:r>
        </w:smartTag>
      </w:smartTag>
      <w:r w:rsidRPr="00B473E5">
        <w:rPr>
          <w:rFonts w:eastAsia="Times New Roman"/>
          <w:sz w:val="24"/>
          <w:szCs w:val="24"/>
        </w:rPr>
        <w:t xml:space="preserve"> 1992); </w:t>
      </w:r>
      <w:r w:rsidRPr="00B473E5">
        <w:rPr>
          <w:rFonts w:eastAsia="Times New Roman"/>
          <w:b/>
          <w:sz w:val="24"/>
          <w:szCs w:val="24"/>
        </w:rPr>
        <w:t>N</w:t>
      </w:r>
      <w:smartTag w:uri="urn:schemas-microsoft-com:office:smarttags" w:element="PersonName">
        <w:r w:rsidRPr="00B473E5">
          <w:rPr>
            <w:rFonts w:eastAsia="Times New Roman"/>
            <w:b/>
            <w:sz w:val="24"/>
            <w:szCs w:val="24"/>
          </w:rPr>
          <w:t>e</w:t>
        </w:r>
      </w:smartTag>
      <w:r w:rsidRPr="00B473E5">
        <w:rPr>
          <w:rFonts w:eastAsia="Times New Roman"/>
          <w:b/>
          <w:sz w:val="24"/>
          <w:szCs w:val="24"/>
        </w:rPr>
        <w:t>lson v. C</w:t>
      </w:r>
      <w:smartTag w:uri="urn:schemas-microsoft-com:office:smarttags" w:element="PersonName">
        <w:r w:rsidRPr="00B473E5">
          <w:rPr>
            <w:rFonts w:eastAsia="Times New Roman"/>
            <w:b/>
            <w:sz w:val="24"/>
            <w:szCs w:val="24"/>
          </w:rPr>
          <w:t>e</w:t>
        </w:r>
      </w:smartTag>
      <w:r w:rsidRPr="00B473E5">
        <w:rPr>
          <w:rFonts w:eastAsia="Times New Roman"/>
          <w:b/>
          <w:sz w:val="24"/>
          <w:szCs w:val="24"/>
        </w:rPr>
        <w:t>nt</w:t>
      </w:r>
      <w:smartTag w:uri="urn:schemas-microsoft-com:office:smarttags" w:element="PersonName">
        <w:r w:rsidRPr="00B473E5">
          <w:rPr>
            <w:rFonts w:eastAsia="Times New Roman"/>
            <w:b/>
            <w:sz w:val="24"/>
            <w:szCs w:val="24"/>
          </w:rPr>
          <w:t>e</w:t>
        </w:r>
      </w:smartTag>
      <w:r w:rsidRPr="00B473E5">
        <w:rPr>
          <w:rFonts w:eastAsia="Times New Roman"/>
          <w:b/>
          <w:sz w:val="24"/>
          <w:szCs w:val="24"/>
        </w:rPr>
        <w:t xml:space="preserve">nnial </w:t>
      </w:r>
      <w:proofErr w:type="gramStart"/>
      <w:r w:rsidRPr="00B473E5">
        <w:rPr>
          <w:rFonts w:eastAsia="Times New Roman"/>
          <w:b/>
          <w:sz w:val="24"/>
          <w:szCs w:val="24"/>
        </w:rPr>
        <w:t>Cas</w:t>
      </w:r>
      <w:proofErr w:type="gramEnd"/>
      <w:r w:rsidRPr="00B473E5">
        <w:rPr>
          <w:rFonts w:eastAsia="Times New Roman"/>
          <w:b/>
          <w:sz w:val="24"/>
          <w:szCs w:val="24"/>
        </w:rPr>
        <w:t xml:space="preserve">. </w:t>
      </w:r>
      <w:proofErr w:type="gramStart"/>
      <w:r w:rsidRPr="00B473E5">
        <w:rPr>
          <w:rFonts w:eastAsia="Times New Roman"/>
          <w:b/>
          <w:sz w:val="24"/>
          <w:szCs w:val="24"/>
        </w:rPr>
        <w:t>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130 </w:t>
      </w:r>
      <w:smartTag w:uri="urn:schemas-microsoft-com:office:smarttags" w:element="State">
        <w:r w:rsidRPr="00B473E5">
          <w:rPr>
            <w:rFonts w:eastAsia="Times New Roman"/>
            <w:sz w:val="24"/>
            <w:szCs w:val="24"/>
          </w:rPr>
          <w:t>Colo.</w:t>
        </w:r>
      </w:smartTag>
      <w:r w:rsidRPr="00B473E5">
        <w:rPr>
          <w:rFonts w:eastAsia="Times New Roman"/>
          <w:sz w:val="24"/>
          <w:szCs w:val="24"/>
        </w:rPr>
        <w:t xml:space="preserve"> 66, 273 P.2d 121 (1954); </w:t>
      </w:r>
      <w:r w:rsidRPr="00B473E5">
        <w:rPr>
          <w:rFonts w:eastAsia="Times New Roman"/>
          <w:b/>
          <w:sz w:val="24"/>
          <w:szCs w:val="24"/>
        </w:rPr>
        <w:t>Saxonia Mining &amp; R</w:t>
      </w:r>
      <w:smartTag w:uri="urn:schemas-microsoft-com:office:smarttags" w:element="PersonName">
        <w:r w:rsidRPr="00B473E5">
          <w:rPr>
            <w:rFonts w:eastAsia="Times New Roman"/>
            <w:b/>
            <w:sz w:val="24"/>
            <w:szCs w:val="24"/>
          </w:rPr>
          <w:t>e</w:t>
        </w:r>
      </w:smartTag>
      <w:r w:rsidRPr="00B473E5">
        <w:rPr>
          <w:rFonts w:eastAsia="Times New Roman"/>
          <w:b/>
          <w:sz w:val="24"/>
          <w:szCs w:val="24"/>
        </w:rPr>
        <w:t>duction Co. v. Cook</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 </w:t>
      </w:r>
      <w:smartTag w:uri="urn:schemas-microsoft-com:office:smarttags" w:element="place">
        <w:smartTag w:uri="urn:schemas-microsoft-com:office:smarttags" w:element="State">
          <w:r w:rsidRPr="00B473E5">
            <w:rPr>
              <w:rFonts w:eastAsia="Times New Roman"/>
              <w:sz w:val="24"/>
              <w:szCs w:val="24"/>
            </w:rPr>
            <w:t>Colo.</w:t>
          </w:r>
        </w:smartTag>
      </w:smartTag>
      <w:r w:rsidRPr="00B473E5">
        <w:rPr>
          <w:rFonts w:eastAsia="Times New Roman"/>
          <w:sz w:val="24"/>
          <w:szCs w:val="24"/>
        </w:rPr>
        <w:t xml:space="preserve"> 569, 4 P. 1111 (1884); </w:t>
      </w:r>
      <w:r w:rsidRPr="00B473E5">
        <w:rPr>
          <w:rFonts w:eastAsia="Times New Roman"/>
          <w:b/>
          <w:sz w:val="24"/>
          <w:szCs w:val="24"/>
        </w:rPr>
        <w:t>Pittman v. Larson Distrib.</w:t>
      </w:r>
      <w:proofErr w:type="gramEnd"/>
      <w:r w:rsidRPr="00B473E5">
        <w:rPr>
          <w:rFonts w:eastAsia="Times New Roman"/>
          <w:b/>
          <w:sz w:val="24"/>
          <w:szCs w:val="24"/>
        </w:rPr>
        <w:t xml:space="preserve">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724 P.2d 1379 (</w:t>
      </w:r>
      <w:r w:rsidR="0067408D">
        <w:rPr>
          <w:rFonts w:eastAsia="Times New Roman"/>
          <w:sz w:val="24"/>
          <w:szCs w:val="24"/>
        </w:rPr>
        <w:t>Colo. App.</w:t>
      </w:r>
      <w:r w:rsidRPr="00B473E5">
        <w:rPr>
          <w:rFonts w:eastAsia="Times New Roman"/>
          <w:sz w:val="24"/>
          <w:szCs w:val="24"/>
        </w:rPr>
        <w:t xml:space="preserve">), </w:t>
      </w:r>
      <w:r w:rsidRPr="00B473E5">
        <w:rPr>
          <w:rFonts w:eastAsia="Times New Roman"/>
          <w:i/>
          <w:sz w:val="24"/>
          <w:szCs w:val="24"/>
        </w:rPr>
        <w:t>c</w:t>
      </w:r>
      <w:smartTag w:uri="urn:schemas-microsoft-com:office:smarttags" w:element="PersonName">
        <w:r w:rsidRPr="00B473E5">
          <w:rPr>
            <w:rFonts w:eastAsia="Times New Roman"/>
            <w:i/>
            <w:sz w:val="24"/>
            <w:szCs w:val="24"/>
          </w:rPr>
          <w:t>e</w:t>
        </w:r>
      </w:smartTag>
      <w:r w:rsidRPr="00B473E5">
        <w:rPr>
          <w:rFonts w:eastAsia="Times New Roman"/>
          <w:i/>
          <w:sz w:val="24"/>
          <w:szCs w:val="24"/>
        </w:rPr>
        <w:t>rt. d</w:t>
      </w:r>
      <w:smartTag w:uri="urn:schemas-microsoft-com:office:smarttags" w:element="PersonName">
        <w:r w:rsidRPr="00B473E5">
          <w:rPr>
            <w:rFonts w:eastAsia="Times New Roman"/>
            <w:i/>
            <w:sz w:val="24"/>
            <w:szCs w:val="24"/>
          </w:rPr>
          <w:t>e</w:t>
        </w:r>
      </w:smartTag>
      <w:r w:rsidRPr="00B473E5">
        <w:rPr>
          <w:rFonts w:eastAsia="Times New Roman"/>
          <w:i/>
          <w:sz w:val="24"/>
          <w:szCs w:val="24"/>
        </w:rPr>
        <w:t>ni</w:t>
      </w:r>
      <w:smartTag w:uri="urn:schemas-microsoft-com:office:smarttags" w:element="PersonName">
        <w:r w:rsidRPr="00B473E5">
          <w:rPr>
            <w:rFonts w:eastAsia="Times New Roman"/>
            <w:i/>
            <w:sz w:val="24"/>
            <w:szCs w:val="24"/>
          </w:rPr>
          <w:t>e</w:t>
        </w:r>
      </w:smartTag>
      <w:r w:rsidRPr="00B473E5">
        <w:rPr>
          <w:rFonts w:eastAsia="Times New Roman"/>
          <w:i/>
          <w:sz w:val="24"/>
          <w:szCs w:val="24"/>
        </w:rPr>
        <w:t>d</w:t>
      </w:r>
      <w:r w:rsidRPr="00B473E5">
        <w:rPr>
          <w:rFonts w:eastAsia="Times New Roman"/>
          <w:sz w:val="24"/>
          <w:szCs w:val="24"/>
        </w:rPr>
        <w:t xml:space="preserve"> (1986).</w:t>
      </w:r>
    </w:p>
    <w:p w:rsidR="00B473E5" w:rsidRPr="00B473E5" w:rsidRDefault="00B473E5" w:rsidP="00B473E5">
      <w:pPr>
        <w:spacing w:after="240"/>
        <w:ind w:firstLine="720"/>
        <w:rPr>
          <w:rFonts w:eastAsia="Times New Roman"/>
          <w:sz w:val="24"/>
          <w:szCs w:val="24"/>
        </w:rPr>
      </w:pPr>
      <w:r w:rsidRPr="00B473E5">
        <w:rPr>
          <w:rFonts w:eastAsia="Times New Roman"/>
          <w:sz w:val="24"/>
          <w:szCs w:val="24"/>
        </w:rPr>
        <w:t>2. Good or just caus</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for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discharg</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is an affirmativ</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d</w:t>
      </w:r>
      <w:smartTag w:uri="urn:schemas-microsoft-com:office:smarttags" w:element="PersonName">
        <w:r w:rsidRPr="00B473E5">
          <w:rPr>
            <w:rFonts w:eastAsia="Times New Roman"/>
            <w:sz w:val="24"/>
            <w:szCs w:val="24"/>
          </w:rPr>
          <w:t>e</w:t>
        </w:r>
      </w:smartTag>
      <w:r w:rsidRPr="00B473E5">
        <w:rPr>
          <w:rFonts w:eastAsia="Times New Roman"/>
          <w:sz w:val="24"/>
          <w:szCs w:val="24"/>
        </w:rPr>
        <w:t>f</w:t>
      </w:r>
      <w:smartTag w:uri="urn:schemas-microsoft-com:office:smarttags" w:element="PersonName">
        <w:r w:rsidRPr="00B473E5">
          <w:rPr>
            <w:rFonts w:eastAsia="Times New Roman"/>
            <w:sz w:val="24"/>
            <w:szCs w:val="24"/>
          </w:rPr>
          <w:t>e</w:t>
        </w:r>
      </w:smartTag>
      <w:r w:rsidRPr="00B473E5">
        <w:rPr>
          <w:rFonts w:eastAsia="Times New Roman"/>
          <w:sz w:val="24"/>
          <w:szCs w:val="24"/>
        </w:rPr>
        <w:t>ns</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that must b</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rais</w:t>
      </w:r>
      <w:smartTag w:uri="urn:schemas-microsoft-com:office:smarttags" w:element="PersonName">
        <w:r w:rsidRPr="00B473E5">
          <w:rPr>
            <w:rFonts w:eastAsia="Times New Roman"/>
            <w:sz w:val="24"/>
            <w:szCs w:val="24"/>
          </w:rPr>
          <w:t>e</w:t>
        </w:r>
      </w:smartTag>
      <w:r w:rsidRPr="00B473E5">
        <w:rPr>
          <w:rFonts w:eastAsia="Times New Roman"/>
          <w:sz w:val="24"/>
          <w:szCs w:val="24"/>
        </w:rPr>
        <w:t>d and prov</w:t>
      </w:r>
      <w:smartTag w:uri="urn:schemas-microsoft-com:office:smarttags" w:element="PersonName">
        <w:r w:rsidRPr="00B473E5">
          <w:rPr>
            <w:rFonts w:eastAsia="Times New Roman"/>
            <w:sz w:val="24"/>
            <w:szCs w:val="24"/>
          </w:rPr>
          <w:t>e</w:t>
        </w:r>
      </w:smartTag>
      <w:r w:rsidRPr="00B473E5">
        <w:rPr>
          <w:rFonts w:eastAsia="Times New Roman"/>
          <w:sz w:val="24"/>
          <w:szCs w:val="24"/>
        </w:rPr>
        <w:t>d by th</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w:t>
      </w:r>
      <w:smartTag w:uri="urn:schemas-microsoft-com:office:smarttags" w:element="PersonName">
        <w:r w:rsidRPr="00B473E5">
          <w:rPr>
            <w:rFonts w:eastAsia="Times New Roman"/>
            <w:sz w:val="24"/>
            <w:szCs w:val="24"/>
          </w:rPr>
          <w:t>e</w:t>
        </w:r>
      </w:smartTag>
      <w:r w:rsidRPr="00B473E5">
        <w:rPr>
          <w:rFonts w:eastAsia="Times New Roman"/>
          <w:sz w:val="24"/>
          <w:szCs w:val="24"/>
        </w:rPr>
        <w:t>mploy</w:t>
      </w:r>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r. </w:t>
      </w:r>
      <w:proofErr w:type="gramStart"/>
      <w:smartTag w:uri="urn:schemas-microsoft-com:office:smarttags" w:element="place">
        <w:r w:rsidRPr="00B473E5">
          <w:rPr>
            <w:rFonts w:eastAsia="Times New Roman"/>
            <w:b/>
            <w:sz w:val="24"/>
            <w:szCs w:val="24"/>
          </w:rPr>
          <w:t>W</w:t>
        </w:r>
        <w:smartTag w:uri="urn:schemas-microsoft-com:office:smarttags" w:element="PersonName">
          <w:r w:rsidRPr="00B473E5">
            <w:rPr>
              <w:rFonts w:eastAsia="Times New Roman"/>
              <w:b/>
              <w:sz w:val="24"/>
              <w:szCs w:val="24"/>
            </w:rPr>
            <w:t>e</w:t>
          </w:r>
        </w:smartTag>
        <w:r w:rsidRPr="00B473E5">
          <w:rPr>
            <w:rFonts w:eastAsia="Times New Roman"/>
            <w:b/>
            <w:sz w:val="24"/>
            <w:szCs w:val="24"/>
          </w:rPr>
          <w:t>st</w:t>
        </w:r>
        <w:smartTag w:uri="urn:schemas-microsoft-com:office:smarttags" w:element="PersonName">
          <w:r w:rsidRPr="00B473E5">
            <w:rPr>
              <w:rFonts w:eastAsia="Times New Roman"/>
              <w:b/>
              <w:sz w:val="24"/>
              <w:szCs w:val="24"/>
            </w:rPr>
            <w:t>e</w:t>
          </w:r>
        </w:smartTag>
        <w:r w:rsidRPr="00B473E5">
          <w:rPr>
            <w:rFonts w:eastAsia="Times New Roman"/>
            <w:b/>
            <w:sz w:val="24"/>
            <w:szCs w:val="24"/>
          </w:rPr>
          <w:t>rn Distrib</w:t>
        </w:r>
      </w:smartTag>
      <w:r w:rsidRPr="00B473E5">
        <w:rPr>
          <w:rFonts w:eastAsia="Times New Roman"/>
          <w:b/>
          <w:sz w:val="24"/>
          <w:szCs w:val="24"/>
        </w:rPr>
        <w:t>.</w:t>
      </w:r>
      <w:proofErr w:type="gramEnd"/>
      <w:r w:rsidRPr="00B473E5">
        <w:rPr>
          <w:rFonts w:eastAsia="Times New Roman"/>
          <w:b/>
          <w:sz w:val="24"/>
          <w:szCs w:val="24"/>
        </w:rPr>
        <w:t xml:space="preserve"> </w:t>
      </w:r>
      <w:proofErr w:type="gramStart"/>
      <w:r w:rsidRPr="00B473E5">
        <w:rPr>
          <w:rFonts w:eastAsia="Times New Roman"/>
          <w:b/>
          <w:sz w:val="24"/>
          <w:szCs w:val="24"/>
        </w:rPr>
        <w:t>Co. v. Diodosio</w:t>
      </w:r>
      <w:r w:rsidRPr="00B473E5">
        <w:rPr>
          <w:rFonts w:eastAsia="Times New Roman"/>
          <w:sz w:val="24"/>
          <w:szCs w:val="24"/>
        </w:rPr>
        <w:t>, 841 P.2d 1053 (</w:t>
      </w:r>
      <w:smartTag w:uri="urn:schemas-microsoft-com:office:smarttags" w:element="place">
        <w:smartTag w:uri="urn:schemas-microsoft-com:office:smarttags" w:element="State">
          <w:r w:rsidRPr="00B473E5">
            <w:rPr>
              <w:rFonts w:eastAsia="Times New Roman"/>
              <w:sz w:val="24"/>
              <w:szCs w:val="24"/>
            </w:rPr>
            <w:t>Colo.</w:t>
          </w:r>
        </w:smartTag>
      </w:smartTag>
      <w:r w:rsidRPr="00B473E5">
        <w:rPr>
          <w:rFonts w:eastAsia="Times New Roman"/>
          <w:sz w:val="24"/>
          <w:szCs w:val="24"/>
        </w:rPr>
        <w:t xml:space="preserve"> 1992); </w:t>
      </w:r>
      <w:r w:rsidRPr="00B473E5">
        <w:rPr>
          <w:rFonts w:eastAsia="Times New Roman"/>
          <w:b/>
          <w:sz w:val="24"/>
          <w:szCs w:val="24"/>
        </w:rPr>
        <w:t>Pittman v. Larson Distrib.</w:t>
      </w:r>
      <w:proofErr w:type="gramEnd"/>
      <w:r w:rsidRPr="00B473E5">
        <w:rPr>
          <w:rFonts w:eastAsia="Times New Roman"/>
          <w:b/>
          <w:sz w:val="24"/>
          <w:szCs w:val="24"/>
        </w:rPr>
        <w:t xml:space="preserve"> </w:t>
      </w:r>
      <w:smartTag w:uri="urn:schemas-microsoft-com:office:smarttags" w:element="place">
        <w:r w:rsidRPr="00B473E5">
          <w:rPr>
            <w:rFonts w:eastAsia="Times New Roman"/>
            <w:b/>
            <w:sz w:val="24"/>
            <w:szCs w:val="24"/>
          </w:rPr>
          <w:t>Co.</w:t>
        </w:r>
      </w:smartTag>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724 P.2d 1379 (</w:t>
      </w:r>
      <w:r w:rsidR="0067408D">
        <w:rPr>
          <w:rFonts w:eastAsia="Times New Roman"/>
          <w:sz w:val="24"/>
          <w:szCs w:val="24"/>
        </w:rPr>
        <w:t>Colo. App.</w:t>
      </w:r>
      <w:r w:rsidRPr="00B473E5">
        <w:rPr>
          <w:rFonts w:eastAsia="Times New Roman"/>
          <w:sz w:val="24"/>
          <w:szCs w:val="24"/>
        </w:rPr>
        <w:t xml:space="preserve">), </w:t>
      </w:r>
      <w:r w:rsidRPr="00B473E5">
        <w:rPr>
          <w:rFonts w:eastAsia="Times New Roman"/>
          <w:i/>
          <w:sz w:val="24"/>
          <w:szCs w:val="24"/>
        </w:rPr>
        <w:t>c</w:t>
      </w:r>
      <w:smartTag w:uri="urn:schemas-microsoft-com:office:smarttags" w:element="PersonName">
        <w:r w:rsidRPr="00B473E5">
          <w:rPr>
            <w:rFonts w:eastAsia="Times New Roman"/>
            <w:i/>
            <w:sz w:val="24"/>
            <w:szCs w:val="24"/>
          </w:rPr>
          <w:t>e</w:t>
        </w:r>
      </w:smartTag>
      <w:r w:rsidRPr="00B473E5">
        <w:rPr>
          <w:rFonts w:eastAsia="Times New Roman"/>
          <w:i/>
          <w:sz w:val="24"/>
          <w:szCs w:val="24"/>
        </w:rPr>
        <w:t>rt. d</w:t>
      </w:r>
      <w:smartTag w:uri="urn:schemas-microsoft-com:office:smarttags" w:element="PersonName">
        <w:r w:rsidRPr="00B473E5">
          <w:rPr>
            <w:rFonts w:eastAsia="Times New Roman"/>
            <w:i/>
            <w:sz w:val="24"/>
            <w:szCs w:val="24"/>
          </w:rPr>
          <w:t>e</w:t>
        </w:r>
      </w:smartTag>
      <w:r w:rsidRPr="00B473E5">
        <w:rPr>
          <w:rFonts w:eastAsia="Times New Roman"/>
          <w:i/>
          <w:sz w:val="24"/>
          <w:szCs w:val="24"/>
        </w:rPr>
        <w:t>ni</w:t>
      </w:r>
      <w:smartTag w:uri="urn:schemas-microsoft-com:office:smarttags" w:element="PersonName">
        <w:r w:rsidRPr="00B473E5">
          <w:rPr>
            <w:rFonts w:eastAsia="Times New Roman"/>
            <w:i/>
            <w:sz w:val="24"/>
            <w:szCs w:val="24"/>
          </w:rPr>
          <w:t>e</w:t>
        </w:r>
      </w:smartTag>
      <w:r w:rsidRPr="00B473E5">
        <w:rPr>
          <w:rFonts w:eastAsia="Times New Roman"/>
          <w:i/>
          <w:sz w:val="24"/>
          <w:szCs w:val="24"/>
        </w:rPr>
        <w:t>d</w:t>
      </w:r>
      <w:r w:rsidRPr="00B473E5">
        <w:rPr>
          <w:rFonts w:eastAsia="Times New Roman"/>
          <w:sz w:val="24"/>
          <w:szCs w:val="24"/>
        </w:rPr>
        <w:t xml:space="preserve"> (1986). For a discussion of good or just caus</w:t>
      </w:r>
      <w:smartTag w:uri="urn:schemas-microsoft-com:office:smarttags" w:element="PersonName">
        <w:r w:rsidRPr="00B473E5">
          <w:rPr>
            <w:rFonts w:eastAsia="Times New Roman"/>
            <w:sz w:val="24"/>
            <w:szCs w:val="24"/>
          </w:rPr>
          <w:t>e</w:t>
        </w:r>
      </w:smartTag>
      <w:r w:rsidRPr="00B473E5">
        <w:rPr>
          <w:rFonts w:eastAsia="Times New Roman"/>
          <w:sz w:val="24"/>
          <w:szCs w:val="24"/>
        </w:rPr>
        <w:t>, s</w:t>
      </w:r>
      <w:smartTag w:uri="urn:schemas-microsoft-com:office:smarttags" w:element="PersonName">
        <w:r w:rsidRPr="00B473E5">
          <w:rPr>
            <w:rFonts w:eastAsia="Times New Roman"/>
            <w:sz w:val="24"/>
            <w:szCs w:val="24"/>
          </w:rPr>
          <w:t>e</w:t>
        </w:r>
      </w:smartTag>
      <w:smartTag w:uri="urn:schemas-microsoft-com:office:smarttags" w:element="PersonName">
        <w:r w:rsidRPr="00B473E5">
          <w:rPr>
            <w:rFonts w:eastAsia="Times New Roman"/>
            <w:sz w:val="24"/>
            <w:szCs w:val="24"/>
          </w:rPr>
          <w:t>e</w:t>
        </w:r>
      </w:smartTag>
      <w:r w:rsidRPr="00B473E5">
        <w:rPr>
          <w:rFonts w:eastAsia="Times New Roman"/>
          <w:sz w:val="24"/>
          <w:szCs w:val="24"/>
        </w:rPr>
        <w:t xml:space="preserve"> Instruction 31:6.</w:t>
      </w:r>
    </w:p>
    <w:p w:rsidR="00B473E5" w:rsidRDefault="00B473E5">
      <w:pPr>
        <w:rPr>
          <w:rFonts w:eastAsia="Times New Roman"/>
          <w:bCs/>
          <w:sz w:val="24"/>
          <w:szCs w:val="24"/>
        </w:rPr>
      </w:pPr>
      <w:r>
        <w:rPr>
          <w:rFonts w:eastAsia="Times New Roman"/>
          <w:bCs/>
          <w:sz w:val="24"/>
          <w:szCs w:val="24"/>
        </w:rPr>
        <w:br w:type="page"/>
      </w:r>
    </w:p>
    <w:p w:rsidR="00B473E5" w:rsidRPr="009E3DA4" w:rsidRDefault="0039769C" w:rsidP="00B473E5">
      <w:pPr>
        <w:spacing w:after="240"/>
        <w:ind w:left="720" w:hanging="720"/>
        <w:rPr>
          <w:rFonts w:eastAsia="Times New Roman"/>
          <w:b/>
          <w:sz w:val="24"/>
          <w:szCs w:val="24"/>
        </w:rPr>
      </w:pPr>
      <w:bookmarkStart w:id="4" w:name="a31_04"/>
      <w:bookmarkEnd w:id="4"/>
      <w:r w:rsidRPr="0039769C">
        <w:rPr>
          <w:rFonts w:eastAsia="Times New Roman"/>
          <w:b/>
          <w:sz w:val="24"/>
          <w:szCs w:val="24"/>
        </w:rPr>
        <w:lastRenderedPageBreak/>
        <w:t xml:space="preserve">31:4 </w:t>
      </w:r>
      <w:r w:rsidRPr="0039769C">
        <w:rPr>
          <w:rFonts w:eastAsia="Times New Roman"/>
          <w:b/>
          <w:sz w:val="24"/>
          <w:szCs w:val="24"/>
        </w:rPr>
        <w:tab/>
        <w:t>BREACH OF IMPLIED CONTRACT BASED ON VIOLATION OF EMPLOYER’S TERMINATION POLICIES OR PROCEDURES — ELEMENTS OF LIABILITY</w:t>
      </w:r>
    </w:p>
    <w:p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For the plaintiff, </w:t>
      </w:r>
      <w:r w:rsidRPr="0039769C">
        <w:rPr>
          <w:rFonts w:eastAsia="Times New Roman"/>
          <w:i/>
          <w:sz w:val="24"/>
          <w:szCs w:val="24"/>
        </w:rPr>
        <w:t>(name)</w:t>
      </w:r>
      <w:r w:rsidRPr="0039769C">
        <w:rPr>
          <w:rFonts w:eastAsia="Times New Roman"/>
          <w:b/>
          <w:sz w:val="24"/>
          <w:szCs w:val="24"/>
        </w:rPr>
        <w:t xml:space="preserve">, to recover from the </w:t>
      </w:r>
      <w:proofErr w:type="gramStart"/>
      <w:r w:rsidRPr="0039769C">
        <w:rPr>
          <w:rFonts w:eastAsia="Times New Roman"/>
          <w:b/>
          <w:sz w:val="24"/>
          <w:szCs w:val="24"/>
        </w:rPr>
        <w:t xml:space="preserve">defendant, </w:t>
      </w:r>
      <w:r w:rsidRPr="0039769C">
        <w:rPr>
          <w:rFonts w:eastAsia="Times New Roman"/>
          <w:i/>
          <w:sz w:val="24"/>
          <w:szCs w:val="24"/>
        </w:rPr>
        <w:t>(name)</w:t>
      </w:r>
      <w:r w:rsidRPr="0039769C">
        <w:rPr>
          <w:rFonts w:eastAsia="Times New Roman"/>
          <w:b/>
          <w:sz w:val="24"/>
          <w:szCs w:val="24"/>
        </w:rPr>
        <w:t>, on (his) (her) claim</w:t>
      </w:r>
      <w:proofErr w:type="gramEnd"/>
      <w:r w:rsidRPr="0039769C">
        <w:rPr>
          <w:rFonts w:eastAsia="Times New Roman"/>
          <w:b/>
          <w:sz w:val="24"/>
          <w:szCs w:val="24"/>
        </w:rPr>
        <w:t xml:space="preserve"> for breach of an employment contract, you must find that all of the following have been proved by a preponderance of the evidence:</w:t>
      </w:r>
    </w:p>
    <w:p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1. The defendant had a </w:t>
      </w:r>
      <w:r w:rsidRPr="0039769C">
        <w:rPr>
          <w:rFonts w:eastAsia="Times New Roman"/>
          <w:i/>
          <w:sz w:val="24"/>
          <w:szCs w:val="24"/>
        </w:rPr>
        <w:t>(insert description of appropriate document, e.g., “employee handbook, personnel manual,” etc.)</w:t>
      </w:r>
      <w:r w:rsidRPr="0039769C">
        <w:rPr>
          <w:rFonts w:eastAsia="Times New Roman"/>
          <w:b/>
          <w:sz w:val="24"/>
          <w:szCs w:val="24"/>
        </w:rPr>
        <w:t xml:space="preserve"> which was in effect at the time the plaintiff was (constructively) discharged by the defendant;</w:t>
      </w:r>
    </w:p>
    <w:p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2. The </w:t>
      </w:r>
      <w:r w:rsidRPr="0039769C">
        <w:rPr>
          <w:rFonts w:eastAsia="Times New Roman"/>
          <w:i/>
          <w:sz w:val="24"/>
          <w:szCs w:val="24"/>
        </w:rPr>
        <w:t>(employee handbook, personnel manual, etc.)</w:t>
      </w:r>
      <w:r w:rsidRPr="0039769C">
        <w:rPr>
          <w:rFonts w:eastAsia="Times New Roman"/>
          <w:b/>
          <w:sz w:val="24"/>
          <w:szCs w:val="24"/>
        </w:rPr>
        <w:t xml:space="preserve"> set forth (policies) (and) (or) (procedures) regarding the discharge of the defendant’s employees, such as the plaintiff;</w:t>
      </w:r>
    </w:p>
    <w:p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3. The defendant demonstrated to such employees a willingness to be bound by such (policies) (and) (or) (procedures);</w:t>
      </w:r>
    </w:p>
    <w:p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4. The plaintiff was aware of the existence of the </w:t>
      </w:r>
      <w:r w:rsidRPr="0039769C">
        <w:rPr>
          <w:rFonts w:eastAsia="Times New Roman"/>
          <w:i/>
          <w:sz w:val="24"/>
          <w:szCs w:val="24"/>
        </w:rPr>
        <w:t>(employee handbook, personnel manual, etc.)</w:t>
      </w:r>
      <w:r w:rsidRPr="0039769C">
        <w:rPr>
          <w:rFonts w:eastAsia="Times New Roman"/>
          <w:b/>
          <w:sz w:val="24"/>
          <w:szCs w:val="24"/>
        </w:rPr>
        <w:t xml:space="preserve"> before (he) (she) was discharged by the defendant;</w:t>
      </w:r>
    </w:p>
    <w:p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5. The plaintiff reasonably understood that the defendant was offering the </w:t>
      </w:r>
      <w:r w:rsidRPr="0039769C">
        <w:rPr>
          <w:rFonts w:eastAsia="Times New Roman"/>
          <w:i/>
          <w:sz w:val="24"/>
          <w:szCs w:val="24"/>
        </w:rPr>
        <w:t>(employee handbook, personnel manual, etc.)</w:t>
      </w:r>
      <w:r w:rsidRPr="0039769C">
        <w:rPr>
          <w:rFonts w:eastAsia="Times New Roman"/>
          <w:b/>
          <w:sz w:val="24"/>
          <w:szCs w:val="24"/>
        </w:rPr>
        <w:t xml:space="preserve"> as part of the terms and conditions of (his) (her) employment, and, with that understanding, the plaintiff (began) (continued) (his) (her) employment with the defendant;</w:t>
      </w:r>
    </w:p>
    <w:p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6. The defendant (constructively) discharged the plaintiff without complying with the termination (policies) (procedures) set forth in its </w:t>
      </w:r>
      <w:r w:rsidRPr="0039769C">
        <w:rPr>
          <w:rFonts w:eastAsia="Times New Roman"/>
          <w:i/>
          <w:sz w:val="24"/>
          <w:szCs w:val="24"/>
        </w:rPr>
        <w:t>(employee handbook, personnel manual, etc.)</w:t>
      </w:r>
      <w:r w:rsidRPr="0039769C">
        <w:rPr>
          <w:rFonts w:eastAsia="Times New Roman"/>
          <w:b/>
          <w:sz w:val="24"/>
          <w:szCs w:val="24"/>
        </w:rPr>
        <w:t>; and</w:t>
      </w:r>
    </w:p>
    <w:p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7. Until discharged, the plaintiff (substantially) performed (his) (her) part of the </w:t>
      </w:r>
      <w:proofErr w:type="gramStart"/>
      <w:r w:rsidRPr="0039769C">
        <w:rPr>
          <w:rFonts w:eastAsia="Times New Roman"/>
          <w:b/>
          <w:sz w:val="24"/>
          <w:szCs w:val="24"/>
        </w:rPr>
        <w:t>contract(</w:t>
      </w:r>
      <w:proofErr w:type="gramEnd"/>
      <w:r w:rsidRPr="0039769C">
        <w:rPr>
          <w:rFonts w:eastAsia="Times New Roman"/>
          <w:b/>
          <w:sz w:val="24"/>
          <w:szCs w:val="24"/>
        </w:rPr>
        <w:t>or the plaintiff had some justification for nonperformance) .</w:t>
      </w:r>
    </w:p>
    <w:p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If you find that any of these </w:t>
      </w:r>
      <w:r w:rsidRPr="0039769C">
        <w:rPr>
          <w:rFonts w:eastAsia="Times New Roman"/>
          <w:i/>
          <w:sz w:val="24"/>
          <w:szCs w:val="24"/>
        </w:rPr>
        <w:t>(number)</w:t>
      </w:r>
      <w:r w:rsidRPr="0039769C">
        <w:rPr>
          <w:rFonts w:eastAsia="Times New Roman"/>
          <w:b/>
          <w:sz w:val="24"/>
          <w:szCs w:val="24"/>
        </w:rPr>
        <w:t xml:space="preserve"> statements has not been proved, then your verdict must be for the defendant.</w:t>
      </w:r>
    </w:p>
    <w:p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On the other hand, if you find that all of these </w:t>
      </w:r>
      <w:r w:rsidRPr="0039769C">
        <w:rPr>
          <w:rFonts w:eastAsia="Times New Roman"/>
          <w:i/>
          <w:sz w:val="24"/>
          <w:szCs w:val="24"/>
        </w:rPr>
        <w:t>(number)</w:t>
      </w:r>
      <w:r w:rsidRPr="0039769C">
        <w:rPr>
          <w:rFonts w:eastAsia="Times New Roman"/>
          <w:b/>
          <w:sz w:val="24"/>
          <w:szCs w:val="24"/>
        </w:rPr>
        <w:t xml:space="preserve"> statements have been proved, (then your verdict must be for the plaintiff) (then you must consider the defendant’s affirmative defense(s) of </w:t>
      </w:r>
      <w:r w:rsidRPr="0039769C">
        <w:rPr>
          <w:rFonts w:eastAsia="Times New Roman"/>
          <w:i/>
          <w:sz w:val="24"/>
          <w:szCs w:val="24"/>
        </w:rPr>
        <w:t>[insert any affirmative defense that would be a complete defense to plaintiff’s claim]</w:t>
      </w:r>
      <w:r w:rsidRPr="0039769C">
        <w:rPr>
          <w:rFonts w:eastAsia="Times New Roman"/>
          <w:b/>
          <w:sz w:val="24"/>
          <w:szCs w:val="24"/>
        </w:rPr>
        <w:t>).</w:t>
      </w:r>
    </w:p>
    <w:p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However, if you find that (this affirmative defense has not) (none of these affirmative defenses have) been proved, then your verdict must be for the plaintiff.</w:t>
      </w:r>
    </w:p>
    <w:p w:rsidR="00B473E5" w:rsidRDefault="00B473E5" w:rsidP="00B473E5">
      <w:pPr>
        <w:jc w:val="center"/>
        <w:rPr>
          <w:rFonts w:eastAsia="Times New Roman"/>
          <w:sz w:val="24"/>
          <w:szCs w:val="24"/>
        </w:rPr>
      </w:pPr>
    </w:p>
    <w:p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1. Use whichever parenthesized and bracketed words and phrases are appropriate.</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Where the defendant raises issues regarding the existence of the employment contract itself, additional instructions relating to the formation of contracts may be necessary. See instructions in Chapter 30. Also see Chapter 30 for instructions relating to affirmative defenses to a breach of contract claim. To instruct as to what constitutes an “employment relationship,” Instruction 7:6, appropriately modified, may be used. Where the plaintiff asserts justification for nonperformance, additional instructions may be necessary. </w:t>
      </w:r>
      <w:proofErr w:type="gramStart"/>
      <w:r w:rsidRPr="0039769C">
        <w:rPr>
          <w:rFonts w:eastAsia="Times New Roman"/>
          <w:sz w:val="24"/>
          <w:szCs w:val="24"/>
        </w:rPr>
        <w:t>See, e.g., Instruction 31.12.</w:t>
      </w:r>
      <w:proofErr w:type="gramEnd"/>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3. This instruction should be used where an employee seeks recovery for breach of contract on the theory that a personnel manual, employee handbook, or other such document, unilaterally published by the employer, constitutes part of the terms of an employment contract that would otherwise be terminable at will. </w:t>
      </w:r>
      <w:proofErr w:type="gramStart"/>
      <w:r w:rsidRPr="0039769C">
        <w:rPr>
          <w:rFonts w:eastAsia="Times New Roman"/>
          <w:i/>
          <w:sz w:val="24"/>
          <w:szCs w:val="24"/>
        </w:rPr>
        <w:t>See, e.g.</w:t>
      </w:r>
      <w:r w:rsidRPr="0039769C">
        <w:rPr>
          <w:rFonts w:eastAsia="Times New Roman"/>
          <w:sz w:val="24"/>
          <w:szCs w:val="24"/>
        </w:rPr>
        <w:t xml:space="preserve">, </w:t>
      </w:r>
      <w:r w:rsidRPr="0039769C">
        <w:rPr>
          <w:rFonts w:eastAsia="Times New Roman"/>
          <w:b/>
          <w:sz w:val="24"/>
          <w:szCs w:val="24"/>
        </w:rPr>
        <w:t>Continental Air Lines, Inc. v. Keenan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731 P.2d 708 (Colo. 1987).</w:t>
      </w:r>
      <w:proofErr w:type="gramEnd"/>
      <w:r w:rsidRPr="0039769C">
        <w:rPr>
          <w:rFonts w:eastAsia="Times New Roman"/>
          <w:sz w:val="24"/>
          <w:szCs w:val="24"/>
        </w:rPr>
        <w:t xml:space="preserve"> </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In cases involving claims against public entities, this instruction may have to be modified, and in some cases it may not be applicable at all. </w:t>
      </w:r>
      <w:r w:rsidRPr="0039769C">
        <w:rPr>
          <w:rFonts w:eastAsia="Times New Roman"/>
          <w:i/>
          <w:sz w:val="24"/>
          <w:szCs w:val="24"/>
        </w:rPr>
        <w:t>See, e.g.</w:t>
      </w:r>
      <w:r w:rsidRPr="0039769C">
        <w:rPr>
          <w:rFonts w:eastAsia="Times New Roman"/>
          <w:sz w:val="24"/>
          <w:szCs w:val="24"/>
        </w:rPr>
        <w:t xml:space="preserve">, </w:t>
      </w:r>
      <w:r w:rsidRPr="0039769C">
        <w:rPr>
          <w:rFonts w:eastAsia="Times New Roman"/>
          <w:b/>
          <w:sz w:val="24"/>
          <w:szCs w:val="24"/>
        </w:rPr>
        <w:t>Adams County Sch. Dist. No. 50 v. Dickey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791 P.2d 688 (Colo. 1990); </w:t>
      </w:r>
      <w:r w:rsidRPr="0039769C">
        <w:rPr>
          <w:rFonts w:eastAsia="Times New Roman"/>
          <w:b/>
          <w:sz w:val="24"/>
          <w:szCs w:val="24"/>
        </w:rPr>
        <w:t>Department of Health v. Donahue</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690 P.2d 243 (Colo. 1984); </w:t>
      </w:r>
      <w:r w:rsidRPr="0039769C">
        <w:rPr>
          <w:rFonts w:eastAsia="Times New Roman"/>
          <w:b/>
          <w:sz w:val="24"/>
          <w:szCs w:val="24"/>
        </w:rPr>
        <w:t>Seeley v. Board of County Comm’rs</w:t>
      </w:r>
      <w:r w:rsidRPr="0039769C">
        <w:rPr>
          <w:rFonts w:eastAsia="Times New Roman"/>
          <w:sz w:val="24"/>
          <w:szCs w:val="24"/>
        </w:rPr>
        <w:t xml:space="preserve">, 791 P.2d 696 (Colo. 1990) (sheriff prohibited by statute from adopting manual restricting his statutory authority to discharge deputy sheriff); </w:t>
      </w:r>
      <w:r w:rsidRPr="0039769C">
        <w:rPr>
          <w:rFonts w:eastAsia="Times New Roman"/>
          <w:b/>
          <w:sz w:val="24"/>
          <w:szCs w:val="24"/>
        </w:rPr>
        <w:t>Shaw v. Sargent Sch. Dist. No. 33-J</w:t>
      </w:r>
      <w:r w:rsidRPr="0039769C">
        <w:rPr>
          <w:rFonts w:eastAsia="Times New Roman"/>
          <w:sz w:val="24"/>
          <w:szCs w:val="24"/>
        </w:rPr>
        <w:t>, 21 P.3d 446 (</w:t>
      </w:r>
      <w:r w:rsidR="0067408D">
        <w:rPr>
          <w:rFonts w:eastAsia="Times New Roman"/>
          <w:sz w:val="24"/>
          <w:szCs w:val="24"/>
        </w:rPr>
        <w:t>Colo. App.</w:t>
      </w:r>
      <w:r w:rsidRPr="0039769C">
        <w:rPr>
          <w:rFonts w:eastAsia="Times New Roman"/>
          <w:sz w:val="24"/>
          <w:szCs w:val="24"/>
        </w:rPr>
        <w:t xml:space="preserve"> 2001) (school district’s promise concerning early retirement policy was conditional on the availability of appropriated funds); </w:t>
      </w:r>
      <w:r w:rsidRPr="0039769C">
        <w:rPr>
          <w:rFonts w:eastAsia="Times New Roman"/>
          <w:b/>
          <w:sz w:val="24"/>
          <w:szCs w:val="24"/>
        </w:rPr>
        <w:t>Ness v. Glasscock</w:t>
      </w:r>
      <w:r w:rsidRPr="0039769C">
        <w:rPr>
          <w:rFonts w:eastAsia="Times New Roman"/>
          <w:sz w:val="24"/>
          <w:szCs w:val="24"/>
        </w:rPr>
        <w:t>, 781 P.2d 137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cert. denied</w:t>
      </w:r>
      <w:r w:rsidRPr="0039769C">
        <w:rPr>
          <w:rFonts w:eastAsia="Times New Roman"/>
          <w:sz w:val="24"/>
          <w:szCs w:val="24"/>
        </w:rPr>
        <w:t xml:space="preserve"> (1989).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Kuta</w:t>
      </w:r>
      <w:r w:rsidRPr="0039769C">
        <w:rPr>
          <w:rFonts w:eastAsia="Times New Roman"/>
          <w:sz w:val="24"/>
          <w:szCs w:val="24"/>
        </w:rPr>
        <w:t xml:space="preserve">, 799 P.2d 379; </w:t>
      </w:r>
      <w:r w:rsidRPr="0039769C">
        <w:rPr>
          <w:rFonts w:eastAsia="Times New Roman"/>
          <w:b/>
          <w:sz w:val="24"/>
          <w:szCs w:val="24"/>
        </w:rPr>
        <w:t>Chellsen v. Pena</w:t>
      </w:r>
      <w:r w:rsidRPr="0039769C">
        <w:rPr>
          <w:rFonts w:eastAsia="Times New Roman"/>
          <w:sz w:val="24"/>
          <w:szCs w:val="24"/>
        </w:rPr>
        <w:t>, 857 P.2d 472 (</w:t>
      </w:r>
      <w:r w:rsidR="0067408D">
        <w:rPr>
          <w:rFonts w:eastAsia="Times New Roman"/>
          <w:sz w:val="24"/>
          <w:szCs w:val="24"/>
        </w:rPr>
        <w:t>Colo. App.</w:t>
      </w:r>
      <w:r w:rsidRPr="0039769C">
        <w:rPr>
          <w:rFonts w:eastAsia="Times New Roman"/>
          <w:sz w:val="24"/>
          <w:szCs w:val="24"/>
        </w:rPr>
        <w:t xml:space="preserve"> 1992), </w:t>
      </w:r>
      <w:r w:rsidRPr="0039769C">
        <w:rPr>
          <w:rFonts w:eastAsia="Times New Roman"/>
          <w:i/>
          <w:sz w:val="24"/>
          <w:szCs w:val="24"/>
        </w:rPr>
        <w:t>cert. denied</w:t>
      </w:r>
      <w:r w:rsidRPr="0039769C">
        <w:rPr>
          <w:rFonts w:eastAsia="Times New Roman"/>
          <w:sz w:val="24"/>
          <w:szCs w:val="24"/>
        </w:rPr>
        <w:t xml:space="preserve"> (1993) (where city charter provided that probationary employees were terminable at will, probationary firefighters remained terminable at will regardless of any express or implied statements to the contrary by city officials).</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5. If the employee manual or handbook requires cause for termination, see Instruction 31:6. For a discussion regarding the burden of proof on cause for termination, see Notes on Use to Instructions 31:1 and 31:3.</w:t>
      </w:r>
    </w:p>
    <w:p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 This instruction is supported by </w:t>
      </w:r>
      <w:r w:rsidRPr="0039769C">
        <w:rPr>
          <w:rFonts w:eastAsia="Times New Roman"/>
          <w:b/>
          <w:sz w:val="24"/>
          <w:szCs w:val="24"/>
        </w:rPr>
        <w:t>Dorman v. Petrol Aspen, Inc.</w:t>
      </w:r>
      <w:r w:rsidRPr="0039769C">
        <w:rPr>
          <w:rFonts w:eastAsia="Times New Roman"/>
          <w:sz w:val="24"/>
          <w:szCs w:val="24"/>
        </w:rPr>
        <w:t xml:space="preserve">, 914 P.2d 909 (Colo. 1996) (offer letter susceptible to the interpretation that it provided for employment of a specific term); </w:t>
      </w:r>
      <w:r w:rsidRPr="0039769C">
        <w:rPr>
          <w:rFonts w:eastAsia="Times New Roman"/>
          <w:b/>
          <w:sz w:val="24"/>
          <w:szCs w:val="24"/>
        </w:rPr>
        <w:t>Cherry v. A-P-A</w:t>
      </w:r>
      <w:r w:rsidRPr="0039769C">
        <w:rPr>
          <w:rFonts w:eastAsia="Times New Roman"/>
          <w:sz w:val="24"/>
          <w:szCs w:val="24"/>
        </w:rPr>
        <w:t>;</w:t>
      </w:r>
      <w:r w:rsidRPr="0039769C">
        <w:rPr>
          <w:rFonts w:eastAsia="Times New Roman"/>
          <w:b/>
          <w:sz w:val="24"/>
          <w:szCs w:val="24"/>
        </w:rPr>
        <w:t xml:space="preserve"> Continental Air Lines, Inc. v. Keenan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731 P.2d 708 (Colo. 1987); </w:t>
      </w:r>
      <w:r w:rsidRPr="0039769C">
        <w:rPr>
          <w:rFonts w:eastAsia="Times New Roman"/>
          <w:b/>
          <w:sz w:val="24"/>
          <w:szCs w:val="24"/>
        </w:rPr>
        <w:t>Churchey v. Adolph Coors Co.</w:t>
      </w:r>
      <w:r w:rsidRPr="0039769C">
        <w:rPr>
          <w:rFonts w:eastAsia="Times New Roman"/>
          <w:sz w:val="24"/>
          <w:szCs w:val="24"/>
        </w:rPr>
        <w:t xml:space="preserve">, 759 P.2d 1336 (Colo. 1988); </w:t>
      </w:r>
      <w:r w:rsidRPr="0039769C">
        <w:rPr>
          <w:rFonts w:eastAsia="Times New Roman"/>
          <w:b/>
          <w:sz w:val="24"/>
          <w:szCs w:val="24"/>
        </w:rPr>
        <w:t xml:space="preserve">Crawford Rehab. </w:t>
      </w:r>
      <w:proofErr w:type="gramStart"/>
      <w:r w:rsidRPr="0039769C">
        <w:rPr>
          <w:rFonts w:eastAsia="Times New Roman"/>
          <w:b/>
          <w:sz w:val="24"/>
          <w:szCs w:val="24"/>
        </w:rPr>
        <w:t>Servs.,</w:t>
      </w:r>
      <w:proofErr w:type="gramEnd"/>
      <w:r w:rsidRPr="0039769C">
        <w:rPr>
          <w:rFonts w:eastAsia="Times New Roman"/>
          <w:b/>
          <w:sz w:val="24"/>
          <w:szCs w:val="24"/>
        </w:rPr>
        <w:t xml:space="preserve"> Inc. v. Weissman</w:t>
      </w:r>
      <w:r w:rsidRPr="0039769C">
        <w:rPr>
          <w:rFonts w:eastAsia="Times New Roman"/>
          <w:sz w:val="24"/>
          <w:szCs w:val="24"/>
        </w:rPr>
        <w:t>, 938 P.2d 540 (Colo. 1997).</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The Colorado Supreme Court first recognized the implied-contract exception to the employment-at-will doctrine in </w:t>
      </w:r>
      <w:r w:rsidRPr="0039769C">
        <w:rPr>
          <w:rFonts w:eastAsia="Times New Roman"/>
          <w:b/>
          <w:sz w:val="24"/>
          <w:szCs w:val="24"/>
        </w:rPr>
        <w:t>Continental Airlines v. Keenan</w:t>
      </w:r>
      <w:r w:rsidRPr="0039769C">
        <w:rPr>
          <w:rFonts w:eastAsia="Times New Roman"/>
          <w:sz w:val="24"/>
          <w:szCs w:val="24"/>
        </w:rPr>
        <w:t xml:space="preserve">, </w:t>
      </w:r>
      <w:r w:rsidRPr="0039769C">
        <w:rPr>
          <w:rFonts w:eastAsia="Times New Roman"/>
          <w:i/>
          <w:sz w:val="24"/>
          <w:szCs w:val="24"/>
        </w:rPr>
        <w:t>supra</w:t>
      </w:r>
      <w:r w:rsidRPr="0039769C">
        <w:rPr>
          <w:rFonts w:eastAsia="Times New Roman"/>
          <w:sz w:val="24"/>
          <w:szCs w:val="24"/>
        </w:rPr>
        <w:t xml:space="preserve">. Under this theory, the employee must show that the employer’s promulgation of termination policies or procedures was an offer and that the employee’s initial or continued employment constituted an acceptance of </w:t>
      </w:r>
      <w:r w:rsidRPr="0039769C">
        <w:rPr>
          <w:rFonts w:eastAsia="Times New Roman"/>
          <w:sz w:val="24"/>
          <w:szCs w:val="24"/>
        </w:rPr>
        <w:lastRenderedPageBreak/>
        <w:t xml:space="preserve">that offer.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Churchey v. Adolph Coors Co.</w:t>
      </w:r>
      <w:r w:rsidRPr="0039769C">
        <w:rPr>
          <w:rFonts w:eastAsia="Times New Roman"/>
          <w:sz w:val="24"/>
          <w:szCs w:val="24"/>
        </w:rPr>
        <w:t xml:space="preserve">, 759 P.2d 1336 (Colo. 1988). Further, for such an offer to be effective, it must be communicated to the employee. </w:t>
      </w:r>
      <w:proofErr w:type="gramStart"/>
      <w:r w:rsidRPr="0039769C">
        <w:rPr>
          <w:rFonts w:eastAsia="Times New Roman"/>
          <w:b/>
          <w:sz w:val="24"/>
          <w:szCs w:val="24"/>
        </w:rPr>
        <w:t>Kuta v. Joint Dist. No. 50(J)</w:t>
      </w:r>
      <w:r w:rsidRPr="0039769C">
        <w:rPr>
          <w:rFonts w:eastAsia="Times New Roman"/>
          <w:sz w:val="24"/>
          <w:szCs w:val="24"/>
        </w:rPr>
        <w:t>, 799 P.2d 379 (Colo. 1990).</w:t>
      </w:r>
      <w:proofErr w:type="gramEnd"/>
      <w:r w:rsidRPr="0039769C">
        <w:rPr>
          <w:rFonts w:eastAsia="Times New Roman"/>
          <w:sz w:val="24"/>
          <w:szCs w:val="24"/>
        </w:rPr>
        <w:t xml:space="preserve">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Watson v. Public Serv. Co.</w:t>
      </w:r>
      <w:r w:rsidRPr="0039769C">
        <w:rPr>
          <w:rFonts w:eastAsia="Times New Roman"/>
          <w:sz w:val="24"/>
          <w:szCs w:val="24"/>
        </w:rPr>
        <w:t>, 207 P.3d 860 (</w:t>
      </w:r>
      <w:r w:rsidR="0067408D">
        <w:rPr>
          <w:rFonts w:eastAsia="Times New Roman"/>
          <w:sz w:val="24"/>
          <w:szCs w:val="24"/>
        </w:rPr>
        <w:t>Colo. App.</w:t>
      </w:r>
      <w:r w:rsidRPr="0039769C">
        <w:rPr>
          <w:rFonts w:eastAsia="Times New Roman"/>
          <w:sz w:val="24"/>
          <w:szCs w:val="24"/>
        </w:rPr>
        <w:t xml:space="preserve"> 2008), </w:t>
      </w:r>
      <w:r w:rsidRPr="0039769C">
        <w:rPr>
          <w:rFonts w:eastAsia="Times New Roman"/>
          <w:i/>
          <w:sz w:val="24"/>
          <w:szCs w:val="24"/>
        </w:rPr>
        <w:t xml:space="preserve">cert. denied </w:t>
      </w:r>
      <w:r w:rsidRPr="0039769C">
        <w:rPr>
          <w:rFonts w:eastAsia="Times New Roman"/>
          <w:sz w:val="24"/>
          <w:szCs w:val="24"/>
        </w:rPr>
        <w:t>(2009) (most advertisements are mere notices and solicitations for offers and create no power of acceptance in the recipient).</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3. In </w:t>
      </w:r>
      <w:r w:rsidRPr="0039769C">
        <w:rPr>
          <w:rFonts w:eastAsia="Times New Roman"/>
          <w:b/>
          <w:sz w:val="24"/>
          <w:szCs w:val="24"/>
        </w:rPr>
        <w:t>Churchey</w:t>
      </w:r>
      <w:r w:rsidRPr="0039769C">
        <w:rPr>
          <w:rFonts w:eastAsia="Times New Roman"/>
          <w:sz w:val="24"/>
          <w:szCs w:val="24"/>
        </w:rPr>
        <w:t xml:space="preserve">, 759 P.2d 1336, 1348-49, the court, in reference to a breach of contract theory of recovery, quoted with approval the following language from </w:t>
      </w:r>
      <w:r w:rsidRPr="0039769C">
        <w:rPr>
          <w:rFonts w:eastAsia="Times New Roman"/>
          <w:b/>
          <w:sz w:val="24"/>
          <w:szCs w:val="24"/>
        </w:rPr>
        <w:t>Toussaint v. Blue Cross &amp; Blue Shield of Michigan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408 Mich. 579, 292 N.W.2d 880, 892 (1980):</w:t>
      </w:r>
    </w:p>
    <w:p w:rsidR="0039769C" w:rsidRPr="0039769C" w:rsidRDefault="0039769C" w:rsidP="0039769C">
      <w:pPr>
        <w:spacing w:after="240"/>
        <w:ind w:left="720"/>
        <w:rPr>
          <w:rFonts w:eastAsia="Times New Roman"/>
          <w:sz w:val="24"/>
          <w:szCs w:val="24"/>
        </w:rPr>
      </w:pPr>
      <w:r w:rsidRPr="0039769C">
        <w:rPr>
          <w:rFonts w:eastAsia="Times New Roman"/>
          <w:sz w:val="24"/>
          <w:szCs w:val="24"/>
        </w:rPr>
        <w:t xml:space="preserve">While an employer need not establish personnel policies or practices, where an employer chooses to establish such policies and practices and makes them known to its employees, the employment relationship is presumably enhanced. The employer secures an orderly, cooperative and loyal work force, and the employee the peace of mind associated with job security and the conviction that he will be treated fairly. No pre-employment negotiations need take place and the parties’ minds need not meet on the subject; nor does it matter that the employee knows nothing of the particulars of the employer’s policies and practices or that the employer may change them unilaterally. It is enough that the employer chooses, presumably in its own interest, to create an environment in which the employee believes that, whatever the personnel policies and practices, they are established and official at any given time, </w:t>
      </w:r>
      <w:proofErr w:type="gramStart"/>
      <w:r w:rsidRPr="0039769C">
        <w:rPr>
          <w:rFonts w:eastAsia="Times New Roman"/>
          <w:sz w:val="24"/>
          <w:szCs w:val="24"/>
        </w:rPr>
        <w:t>purport</w:t>
      </w:r>
      <w:proofErr w:type="gramEnd"/>
      <w:r w:rsidRPr="0039769C">
        <w:rPr>
          <w:rFonts w:eastAsia="Times New Roman"/>
          <w:sz w:val="24"/>
          <w:szCs w:val="24"/>
        </w:rPr>
        <w:t xml:space="preserve"> to be fair, and are applied consistently and uniformly to each employee. The employer has then created a situation “instinct with an obligation”.</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For assistance in determining whether the language of an employee handbook or manual is sufficiently clear or specific to constitute an offer, see </w:t>
      </w:r>
      <w:r w:rsidRPr="0039769C">
        <w:rPr>
          <w:rFonts w:eastAsia="Times New Roman"/>
          <w:b/>
          <w:sz w:val="24"/>
          <w:szCs w:val="24"/>
        </w:rPr>
        <w:t>Tuttle v. ANR Freight Systems, Inc.</w:t>
      </w:r>
      <w:r w:rsidRPr="0039769C">
        <w:rPr>
          <w:rFonts w:eastAsia="Times New Roman"/>
          <w:sz w:val="24"/>
          <w:szCs w:val="24"/>
        </w:rPr>
        <w:t>, 797 P.2d 825 (</w:t>
      </w:r>
      <w:r w:rsidR="0067408D">
        <w:rPr>
          <w:rFonts w:eastAsia="Times New Roman"/>
          <w:sz w:val="24"/>
          <w:szCs w:val="24"/>
        </w:rPr>
        <w:t>Colo. App.</w:t>
      </w:r>
      <w:r w:rsidRPr="0039769C">
        <w:rPr>
          <w:rFonts w:eastAsia="Times New Roman"/>
          <w:sz w:val="24"/>
          <w:szCs w:val="24"/>
        </w:rPr>
        <w:t xml:space="preserve"> 1990); </w:t>
      </w:r>
      <w:r w:rsidRPr="0039769C">
        <w:rPr>
          <w:rFonts w:eastAsia="Times New Roman"/>
          <w:b/>
          <w:sz w:val="24"/>
          <w:szCs w:val="24"/>
        </w:rPr>
        <w:t>Cronk v. Intermountain Rural Electric Ass’n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765 P.2d 619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cert. denied</w:t>
      </w:r>
      <w:r w:rsidRPr="0039769C">
        <w:rPr>
          <w:rFonts w:eastAsia="Times New Roman"/>
          <w:sz w:val="24"/>
          <w:szCs w:val="24"/>
        </w:rPr>
        <w:t xml:space="preserve"> (1988).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Soderlun v. Public Serv. Co.</w:t>
      </w:r>
      <w:r w:rsidRPr="0039769C">
        <w:rPr>
          <w:rFonts w:eastAsia="Times New Roman"/>
          <w:sz w:val="24"/>
          <w:szCs w:val="24"/>
        </w:rPr>
        <w:t>, 944 P.2d 616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cert. denied</w:t>
      </w:r>
      <w:r w:rsidRPr="0039769C">
        <w:rPr>
          <w:rFonts w:eastAsia="Times New Roman"/>
          <w:sz w:val="24"/>
          <w:szCs w:val="24"/>
        </w:rPr>
        <w:t xml:space="preserve"> (1997) (discussing whether oral and written statements of employer were sufficiently definite to constitute legally enforceable promise or commitment).</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5. Whether an employer and an employee have entered into a contract based upon an employee handbook or manual is generally a question of fact. </w:t>
      </w:r>
      <w:proofErr w:type="gramStart"/>
      <w:r w:rsidRPr="0039769C">
        <w:rPr>
          <w:rFonts w:eastAsia="Times New Roman"/>
          <w:b/>
          <w:sz w:val="24"/>
          <w:szCs w:val="24"/>
        </w:rPr>
        <w:t>Tuttle</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797 P.2d 825; </w:t>
      </w:r>
      <w:r w:rsidRPr="0039769C">
        <w:rPr>
          <w:rFonts w:eastAsia="Times New Roman"/>
          <w:b/>
          <w:sz w:val="24"/>
          <w:szCs w:val="24"/>
        </w:rPr>
        <w:t>DeRubis v. Broadmoor Hotel, Inc.</w:t>
      </w:r>
      <w:r w:rsidRPr="0039769C">
        <w:rPr>
          <w:rFonts w:eastAsia="Times New Roman"/>
          <w:sz w:val="24"/>
          <w:szCs w:val="24"/>
        </w:rPr>
        <w:t>, 772 P.2d 681 (</w:t>
      </w:r>
      <w:r w:rsidR="0067408D">
        <w:rPr>
          <w:rFonts w:eastAsia="Times New Roman"/>
          <w:sz w:val="24"/>
          <w:szCs w:val="24"/>
        </w:rPr>
        <w:t>Colo. App.</w:t>
      </w:r>
      <w:r w:rsidRPr="0039769C">
        <w:rPr>
          <w:rFonts w:eastAsia="Times New Roman"/>
          <w:sz w:val="24"/>
          <w:szCs w:val="24"/>
        </w:rPr>
        <w:t xml:space="preserve"> 1989); </w:t>
      </w:r>
      <w:r w:rsidRPr="0039769C">
        <w:rPr>
          <w:rFonts w:eastAsia="Times New Roman"/>
          <w:b/>
          <w:sz w:val="24"/>
          <w:szCs w:val="24"/>
        </w:rPr>
        <w:t>Cronk</w:t>
      </w:r>
      <w:r w:rsidRPr="0039769C">
        <w:rPr>
          <w:rFonts w:eastAsia="Times New Roman"/>
          <w:sz w:val="24"/>
          <w:szCs w:val="24"/>
        </w:rPr>
        <w:t>, 765 P.2d 619.</w:t>
      </w:r>
      <w:proofErr w:type="gramEnd"/>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6. There may be situations where the employee’s initial or continued employment does not constitute an acceptance of the employer’s offer. </w:t>
      </w:r>
      <w:r w:rsidRPr="0039769C">
        <w:rPr>
          <w:rFonts w:eastAsia="Times New Roman"/>
          <w:i/>
          <w:sz w:val="24"/>
          <w:szCs w:val="24"/>
        </w:rPr>
        <w:t>See, e.g.</w:t>
      </w:r>
      <w:r w:rsidRPr="0039769C">
        <w:rPr>
          <w:rFonts w:eastAsia="Times New Roman"/>
          <w:sz w:val="24"/>
          <w:szCs w:val="24"/>
        </w:rPr>
        <w:t xml:space="preserve">, </w:t>
      </w:r>
      <w:r w:rsidRPr="0039769C">
        <w:rPr>
          <w:rFonts w:eastAsia="Times New Roman"/>
          <w:b/>
          <w:sz w:val="24"/>
          <w:szCs w:val="24"/>
        </w:rPr>
        <w:t>Kuta</w:t>
      </w:r>
      <w:r w:rsidRPr="0039769C">
        <w:rPr>
          <w:rFonts w:eastAsia="Times New Roman"/>
          <w:sz w:val="24"/>
          <w:szCs w:val="24"/>
        </w:rPr>
        <w:t>, 799 P.2d 379 (where employees were merely fulfilling preexisting contractual obligations by continuing their employment, such continued employment did not constitute acceptance of offer or necessary consideration to modify contract).</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7. Even though an employer does not expressly reserve the right to modify termination policies or procedures set forth in an employee handbook, reservation of such a right is presumed. </w:t>
      </w:r>
      <w:proofErr w:type="gramStart"/>
      <w:r w:rsidRPr="0039769C">
        <w:rPr>
          <w:rFonts w:eastAsia="Times New Roman"/>
          <w:b/>
          <w:sz w:val="24"/>
          <w:szCs w:val="24"/>
        </w:rPr>
        <w:t>Ferrera v. Nielsen</w:t>
      </w:r>
      <w:r w:rsidRPr="0039769C">
        <w:rPr>
          <w:rFonts w:eastAsia="Times New Roman"/>
          <w:sz w:val="24"/>
          <w:szCs w:val="24"/>
        </w:rPr>
        <w:t>, 799 P.2d 458 (</w:t>
      </w:r>
      <w:r w:rsidR="0067408D">
        <w:rPr>
          <w:rFonts w:eastAsia="Times New Roman"/>
          <w:sz w:val="24"/>
          <w:szCs w:val="24"/>
        </w:rPr>
        <w:t>Colo. App.</w:t>
      </w:r>
      <w:r w:rsidRPr="0039769C">
        <w:rPr>
          <w:rFonts w:eastAsia="Times New Roman"/>
          <w:sz w:val="24"/>
          <w:szCs w:val="24"/>
        </w:rPr>
        <w:t xml:space="preserve"> 1990).</w:t>
      </w:r>
      <w:proofErr w:type="gramEnd"/>
      <w:r w:rsidRPr="0039769C">
        <w:rPr>
          <w:rFonts w:eastAsia="Times New Roman"/>
          <w:sz w:val="24"/>
          <w:szCs w:val="24"/>
        </w:rPr>
        <w:t xml:space="preserve"> </w:t>
      </w:r>
      <w:r w:rsidRPr="0039769C">
        <w:rPr>
          <w:rFonts w:eastAsia="Times New Roman"/>
          <w:i/>
          <w:sz w:val="24"/>
          <w:szCs w:val="24"/>
        </w:rPr>
        <w:t xml:space="preserve">Accord </w:t>
      </w:r>
      <w:r w:rsidRPr="0039769C">
        <w:rPr>
          <w:rFonts w:eastAsia="Times New Roman"/>
          <w:b/>
          <w:sz w:val="24"/>
          <w:szCs w:val="24"/>
        </w:rPr>
        <w:t>Jaynes</w:t>
      </w:r>
      <w:r w:rsidRPr="0039769C">
        <w:rPr>
          <w:rFonts w:eastAsia="Times New Roman"/>
          <w:sz w:val="24"/>
          <w:szCs w:val="24"/>
        </w:rPr>
        <w:t xml:space="preserve">, 148 P.3d 241 (claim of wrongful discharge cannot be based on employee handbook that has been superseded). Consequently, an employee is not entitled to rely on termination procedures in a handbook when the termination procedures are changed by the employer before the employee is discharged, </w:t>
      </w:r>
      <w:r w:rsidRPr="0039769C">
        <w:rPr>
          <w:rFonts w:eastAsia="Times New Roman"/>
          <w:sz w:val="24"/>
          <w:szCs w:val="24"/>
        </w:rPr>
        <w:lastRenderedPageBreak/>
        <w:t xml:space="preserve">provided that the employer has given the affected employee reasonable notice of the change. </w:t>
      </w:r>
      <w:r w:rsidRPr="0039769C">
        <w:rPr>
          <w:rFonts w:eastAsia="Times New Roman"/>
          <w:i/>
          <w:sz w:val="24"/>
          <w:szCs w:val="24"/>
        </w:rPr>
        <w:t>Id</w:t>
      </w:r>
      <w:r w:rsidRPr="0039769C">
        <w:rPr>
          <w:rFonts w:eastAsia="Times New Roman"/>
          <w:sz w:val="24"/>
          <w:szCs w:val="24"/>
        </w:rPr>
        <w:t xml:space="preserve">. Further, if the employer has clearly and conspicuously disclaimed any intent to be contractually bound by the termination procedures of an employee handbook, the existence of a contract may be negated as a matter of law. </w:t>
      </w:r>
      <w:r w:rsidRPr="0039769C">
        <w:rPr>
          <w:rFonts w:eastAsia="Times New Roman"/>
          <w:i/>
          <w:sz w:val="24"/>
          <w:szCs w:val="24"/>
        </w:rPr>
        <w:t>Id</w:t>
      </w:r>
      <w:r w:rsidRPr="0039769C">
        <w:rPr>
          <w:rFonts w:eastAsia="Times New Roman"/>
          <w:sz w:val="24"/>
          <w:szCs w:val="24"/>
        </w:rPr>
        <w:t xml:space="preserve">.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Jaynes v. Centura Health Corp.</w:t>
      </w:r>
      <w:r w:rsidRPr="0039769C">
        <w:rPr>
          <w:rFonts w:eastAsia="Times New Roman"/>
          <w:sz w:val="24"/>
          <w:szCs w:val="24"/>
        </w:rPr>
        <w:t>, 148 P.3d 241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 xml:space="preserve">cert. denied </w:t>
      </w:r>
      <w:r w:rsidRPr="0039769C">
        <w:rPr>
          <w:rFonts w:eastAsia="Times New Roman"/>
          <w:sz w:val="24"/>
          <w:szCs w:val="24"/>
        </w:rPr>
        <w:t xml:space="preserve">(2006) (where there is a clear disclaimer, termination procedures in an employee handbook does not create any contractual rights); </w:t>
      </w:r>
      <w:r w:rsidRPr="0039769C">
        <w:rPr>
          <w:rFonts w:eastAsia="Times New Roman"/>
          <w:b/>
          <w:sz w:val="24"/>
          <w:szCs w:val="24"/>
        </w:rPr>
        <w:t>Axtell v. Park Sch. Dist. R-3</w:t>
      </w:r>
      <w:r w:rsidRPr="0039769C">
        <w:rPr>
          <w:rFonts w:eastAsia="Times New Roman"/>
          <w:sz w:val="24"/>
          <w:szCs w:val="24"/>
        </w:rPr>
        <w:t>, 962 P.2d 319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cert. denied</w:t>
      </w:r>
      <w:r w:rsidRPr="0039769C">
        <w:rPr>
          <w:rFonts w:eastAsia="Times New Roman"/>
          <w:sz w:val="24"/>
          <w:szCs w:val="24"/>
        </w:rPr>
        <w:t xml:space="preserve"> (1998) (no implied contract where there was a clear disclaimer of contractual rights); </w:t>
      </w:r>
      <w:r w:rsidRPr="0039769C">
        <w:rPr>
          <w:rFonts w:eastAsia="Times New Roman"/>
          <w:b/>
          <w:sz w:val="24"/>
          <w:szCs w:val="24"/>
        </w:rPr>
        <w:t>Middlemist v. BDO Seidman, LLP</w:t>
      </w:r>
      <w:r w:rsidRPr="0039769C">
        <w:rPr>
          <w:rFonts w:eastAsia="Times New Roman"/>
          <w:sz w:val="24"/>
          <w:szCs w:val="24"/>
        </w:rPr>
        <w:t>, 958 P.2d 486 (</w:t>
      </w:r>
      <w:r w:rsidR="0067408D">
        <w:rPr>
          <w:rFonts w:eastAsia="Times New Roman"/>
          <w:sz w:val="24"/>
          <w:szCs w:val="24"/>
        </w:rPr>
        <w:t>Colo. App.</w:t>
      </w:r>
      <w:r w:rsidRPr="0039769C">
        <w:rPr>
          <w:rFonts w:eastAsia="Times New Roman"/>
          <w:sz w:val="24"/>
          <w:szCs w:val="24"/>
        </w:rPr>
        <w:t xml:space="preserve"> 1997), </w:t>
      </w:r>
      <w:r w:rsidRPr="0039769C">
        <w:rPr>
          <w:rFonts w:eastAsia="Times New Roman"/>
          <w:i/>
          <w:sz w:val="24"/>
          <w:szCs w:val="24"/>
        </w:rPr>
        <w:t>cert. denied</w:t>
      </w:r>
      <w:r w:rsidRPr="0039769C">
        <w:rPr>
          <w:rFonts w:eastAsia="Times New Roman"/>
          <w:sz w:val="24"/>
          <w:szCs w:val="24"/>
        </w:rPr>
        <w:t xml:space="preserve"> (1998) (where employer clearly and conspicuously disclaimed intent to limit right to discharge, summary judgment was appropriate on claim based on employee handbook); </w:t>
      </w:r>
      <w:r w:rsidRPr="0039769C">
        <w:rPr>
          <w:rFonts w:eastAsia="Times New Roman"/>
          <w:b/>
          <w:sz w:val="24"/>
          <w:szCs w:val="24"/>
        </w:rPr>
        <w:t>George v. Ute Water Conservancy Dist.</w:t>
      </w:r>
      <w:r w:rsidRPr="0039769C">
        <w:rPr>
          <w:rFonts w:eastAsia="Times New Roman"/>
          <w:sz w:val="24"/>
          <w:szCs w:val="24"/>
        </w:rPr>
        <w:t>, 950 P.2d 1195 (</w:t>
      </w:r>
      <w:r w:rsidR="0067408D">
        <w:rPr>
          <w:rFonts w:eastAsia="Times New Roman"/>
          <w:sz w:val="24"/>
          <w:szCs w:val="24"/>
        </w:rPr>
        <w:t>Colo. App.</w:t>
      </w:r>
      <w:r w:rsidRPr="0039769C">
        <w:rPr>
          <w:rFonts w:eastAsia="Times New Roman"/>
          <w:sz w:val="24"/>
          <w:szCs w:val="24"/>
        </w:rPr>
        <w:t xml:space="preserve"> 1997) (no implied contract where handbook contained clear, conspicuous disclaimers); </w:t>
      </w:r>
      <w:r w:rsidRPr="0039769C">
        <w:rPr>
          <w:rFonts w:eastAsia="Times New Roman"/>
          <w:b/>
          <w:sz w:val="24"/>
          <w:szCs w:val="24"/>
        </w:rPr>
        <w:t>Mariani v. Rocky Mtn. Hosp. &amp; Med. Serv.</w:t>
      </w:r>
      <w:r w:rsidRPr="0039769C">
        <w:rPr>
          <w:rFonts w:eastAsia="Times New Roman"/>
          <w:sz w:val="24"/>
          <w:szCs w:val="24"/>
        </w:rPr>
        <w:t>, 902 P.2d 429 (</w:t>
      </w:r>
      <w:r w:rsidR="0067408D">
        <w:rPr>
          <w:rFonts w:eastAsia="Times New Roman"/>
          <w:sz w:val="24"/>
          <w:szCs w:val="24"/>
        </w:rPr>
        <w:t>Colo. App.</w:t>
      </w:r>
      <w:r w:rsidRPr="0039769C">
        <w:rPr>
          <w:rFonts w:eastAsia="Times New Roman"/>
          <w:sz w:val="24"/>
          <w:szCs w:val="24"/>
        </w:rPr>
        <w:t xml:space="preserve"> 1994), </w:t>
      </w:r>
      <w:r w:rsidRPr="0039769C">
        <w:rPr>
          <w:rFonts w:eastAsia="Times New Roman"/>
          <w:i/>
          <w:sz w:val="24"/>
          <w:szCs w:val="24"/>
        </w:rPr>
        <w:t>aff’d on other grounds</w:t>
      </w:r>
      <w:r w:rsidRPr="0039769C">
        <w:rPr>
          <w:rFonts w:eastAsia="Times New Roman"/>
          <w:sz w:val="24"/>
          <w:szCs w:val="24"/>
        </w:rPr>
        <w:t xml:space="preserve">, 916 P.2d 519 (Colo. 1996) (employee failed to establish implied contract where manual contained express disclaimer); </w:t>
      </w:r>
      <w:r w:rsidRPr="0039769C">
        <w:rPr>
          <w:rFonts w:eastAsia="Times New Roman"/>
          <w:b/>
          <w:sz w:val="24"/>
          <w:szCs w:val="24"/>
        </w:rPr>
        <w:t>Schur v. Storage Tech. Corp.</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878 P.2d 51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cert. denied</w:t>
      </w:r>
      <w:r w:rsidRPr="0039769C">
        <w:rPr>
          <w:rFonts w:eastAsia="Times New Roman"/>
          <w:sz w:val="24"/>
          <w:szCs w:val="24"/>
        </w:rPr>
        <w:t xml:space="preserve"> (1994); </w:t>
      </w:r>
      <w:r w:rsidRPr="0039769C">
        <w:rPr>
          <w:rFonts w:eastAsia="Times New Roman"/>
          <w:b/>
          <w:sz w:val="24"/>
          <w:szCs w:val="24"/>
        </w:rPr>
        <w:t>Holland v. Board of County Comm’rs</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883 P.2d 500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cert. denied</w:t>
      </w:r>
      <w:r w:rsidRPr="0039769C">
        <w:rPr>
          <w:rFonts w:eastAsia="Times New Roman"/>
          <w:sz w:val="24"/>
          <w:szCs w:val="24"/>
        </w:rPr>
        <w:t xml:space="preserve"> (1994) (summary judgment proper where express contract stated employment was “at-will”); </w:t>
      </w:r>
      <w:r w:rsidRPr="0039769C">
        <w:rPr>
          <w:rFonts w:eastAsia="Times New Roman"/>
          <w:b/>
          <w:sz w:val="24"/>
          <w:szCs w:val="24"/>
        </w:rPr>
        <w:t>Watson</w:t>
      </w:r>
      <w:r w:rsidRPr="0039769C">
        <w:rPr>
          <w:rFonts w:eastAsia="Times New Roman"/>
          <w:sz w:val="24"/>
          <w:szCs w:val="24"/>
        </w:rPr>
        <w:t xml:space="preserve">, 207 P.3d 860 (clear and conspicuous disclaimers in handbook precluded existence of  implied contract); </w:t>
      </w:r>
      <w:r w:rsidRPr="0039769C">
        <w:rPr>
          <w:rFonts w:eastAsia="Times New Roman"/>
          <w:b/>
          <w:sz w:val="24"/>
          <w:szCs w:val="24"/>
        </w:rPr>
        <w:t>Therrien v. United Air Lines, Inc.</w:t>
      </w:r>
      <w:r w:rsidRPr="0039769C">
        <w:rPr>
          <w:rFonts w:eastAsia="Times New Roman"/>
          <w:sz w:val="24"/>
          <w:szCs w:val="24"/>
        </w:rPr>
        <w:t>, 670 F.</w:t>
      </w:r>
      <w:r w:rsidR="00901FA0">
        <w:rPr>
          <w:rFonts w:eastAsia="Times New Roman"/>
          <w:sz w:val="24"/>
          <w:szCs w:val="24"/>
        </w:rPr>
        <w:t xml:space="preserve"> </w:t>
      </w:r>
      <w:r w:rsidRPr="0039769C">
        <w:rPr>
          <w:rFonts w:eastAsia="Times New Roman"/>
          <w:sz w:val="24"/>
          <w:szCs w:val="24"/>
        </w:rPr>
        <w:t>Supp. 1517 (D.</w:t>
      </w:r>
      <w:r w:rsidR="00901FA0">
        <w:rPr>
          <w:rFonts w:eastAsia="Times New Roman"/>
          <w:sz w:val="24"/>
          <w:szCs w:val="24"/>
        </w:rPr>
        <w:t xml:space="preserve"> </w:t>
      </w:r>
      <w:r w:rsidRPr="0039769C">
        <w:rPr>
          <w:rFonts w:eastAsia="Times New Roman"/>
          <w:sz w:val="24"/>
          <w:szCs w:val="24"/>
        </w:rPr>
        <w:t xml:space="preserve">Colo. 1987) (summary judgment denying claims based on an employee handbook is appropriate if the employer has clearly and conspicuously disclaimed intent to enter into a contract limiting the right to discharge employees). </w:t>
      </w:r>
      <w:r w:rsidRPr="0039769C">
        <w:rPr>
          <w:rFonts w:eastAsia="Times New Roman"/>
          <w:i/>
          <w:sz w:val="24"/>
          <w:szCs w:val="24"/>
        </w:rPr>
        <w:t>But see</w:t>
      </w:r>
      <w:r w:rsidRPr="0039769C">
        <w:rPr>
          <w:rFonts w:eastAsia="Times New Roman"/>
          <w:sz w:val="24"/>
          <w:szCs w:val="24"/>
        </w:rPr>
        <w:t xml:space="preserve"> </w:t>
      </w:r>
      <w:r w:rsidRPr="0039769C">
        <w:rPr>
          <w:rFonts w:eastAsia="Times New Roman"/>
          <w:b/>
          <w:sz w:val="24"/>
          <w:szCs w:val="24"/>
        </w:rPr>
        <w:t>Fair v. Red Lion Inn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920 P.2d 820 (</w:t>
      </w:r>
      <w:r w:rsidR="0067408D">
        <w:rPr>
          <w:rFonts w:eastAsia="Times New Roman"/>
          <w:sz w:val="24"/>
          <w:szCs w:val="24"/>
        </w:rPr>
        <w:t>Colo. App.</w:t>
      </w:r>
      <w:r w:rsidRPr="0039769C">
        <w:rPr>
          <w:rFonts w:eastAsia="Times New Roman"/>
          <w:sz w:val="24"/>
          <w:szCs w:val="24"/>
        </w:rPr>
        <w:t xml:space="preserve"> 1995), </w:t>
      </w:r>
      <w:r w:rsidRPr="0039769C">
        <w:rPr>
          <w:rFonts w:eastAsia="Times New Roman"/>
          <w:i/>
          <w:sz w:val="24"/>
          <w:szCs w:val="24"/>
        </w:rPr>
        <w:t>aff’d on other grounds</w:t>
      </w:r>
      <w:r w:rsidRPr="0039769C">
        <w:rPr>
          <w:rFonts w:eastAsia="Times New Roman"/>
          <w:sz w:val="24"/>
          <w:szCs w:val="24"/>
        </w:rPr>
        <w:t>, 943 P.2d 431 (Colo. 1997) (although employee manual contained conspicuous disclaimer to the effect that provisions in manual were not intended to create binding contractual obligations, evidence was sufficient to sustain jury determination that employer, by words or conduct, had modified at-will employment and breached employment contract by discharging employee).</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8. However, even if the employer has disclaimed any intent to be bound by the provisions of an employee handbook, there may be other provisions in the handbook or other documents which are inconsistent with a disclaimer and raise factual issues for the jury to determine regarding whether the employer was contractually bound by such provisions, thus precluding the entry of summary judgment for the employer. </w:t>
      </w:r>
      <w:proofErr w:type="gramStart"/>
      <w:r w:rsidRPr="0039769C">
        <w:rPr>
          <w:rFonts w:eastAsia="Times New Roman"/>
          <w:i/>
          <w:sz w:val="24"/>
          <w:szCs w:val="24"/>
        </w:rPr>
        <w:t>See, e.g.</w:t>
      </w:r>
      <w:r w:rsidRPr="0039769C">
        <w:rPr>
          <w:rFonts w:eastAsia="Times New Roman"/>
          <w:sz w:val="24"/>
          <w:szCs w:val="24"/>
        </w:rPr>
        <w:t xml:space="preserve">, </w:t>
      </w:r>
      <w:r w:rsidRPr="0039769C">
        <w:rPr>
          <w:rFonts w:eastAsia="Times New Roman"/>
          <w:b/>
          <w:sz w:val="24"/>
          <w:szCs w:val="24"/>
        </w:rPr>
        <w:t>Evenson v. Colorado Farm Bureau Mut.</w:t>
      </w:r>
      <w:proofErr w:type="gramEnd"/>
      <w:r w:rsidRPr="0039769C">
        <w:rPr>
          <w:rFonts w:eastAsia="Times New Roman"/>
          <w:b/>
          <w:sz w:val="24"/>
          <w:szCs w:val="24"/>
        </w:rPr>
        <w:t xml:space="preserve"> Ins.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879 P.2d 402 (</w:t>
      </w:r>
      <w:r w:rsidR="0067408D">
        <w:rPr>
          <w:rFonts w:eastAsia="Times New Roman"/>
          <w:sz w:val="24"/>
          <w:szCs w:val="24"/>
        </w:rPr>
        <w:t>Colo. App.</w:t>
      </w:r>
      <w:r w:rsidRPr="0039769C">
        <w:rPr>
          <w:rFonts w:eastAsia="Times New Roman"/>
          <w:sz w:val="24"/>
          <w:szCs w:val="24"/>
        </w:rPr>
        <w:t xml:space="preserve"> 1993), </w:t>
      </w:r>
      <w:r w:rsidRPr="0039769C">
        <w:rPr>
          <w:rFonts w:eastAsia="Times New Roman"/>
          <w:i/>
          <w:sz w:val="24"/>
          <w:szCs w:val="24"/>
        </w:rPr>
        <w:t>cert. denied</w:t>
      </w:r>
      <w:r w:rsidRPr="0039769C">
        <w:rPr>
          <w:rFonts w:eastAsia="Times New Roman"/>
          <w:sz w:val="24"/>
          <w:szCs w:val="24"/>
        </w:rPr>
        <w:t xml:space="preserve"> (1994); </w:t>
      </w:r>
      <w:r w:rsidRPr="0039769C">
        <w:rPr>
          <w:rFonts w:eastAsia="Times New Roman"/>
          <w:b/>
          <w:sz w:val="24"/>
          <w:szCs w:val="24"/>
        </w:rPr>
        <w:t>Allabashi v. Lincoln Nat’l Sales Corp.</w:t>
      </w:r>
      <w:r w:rsidRPr="0039769C">
        <w:rPr>
          <w:rFonts w:eastAsia="Times New Roman"/>
          <w:sz w:val="24"/>
          <w:szCs w:val="24"/>
        </w:rPr>
        <w:t>, 824 P.2d 1 (</w:t>
      </w:r>
      <w:r w:rsidR="0067408D">
        <w:rPr>
          <w:rFonts w:eastAsia="Times New Roman"/>
          <w:sz w:val="24"/>
          <w:szCs w:val="24"/>
        </w:rPr>
        <w:t>Colo. App.</w:t>
      </w:r>
      <w:r w:rsidRPr="0039769C">
        <w:rPr>
          <w:rFonts w:eastAsia="Times New Roman"/>
          <w:sz w:val="24"/>
          <w:szCs w:val="24"/>
        </w:rPr>
        <w:t xml:space="preserve"> 1991) (reasonable jury could have found existence of employment contract where evidence showed that, although employee handbook contained a disclaimer providing that employment was at-will, other documents given to employee contained policies requiring just cause for involuntary termination and mandating specific procedures for dismissal);</w:t>
      </w:r>
      <w:r w:rsidRPr="0039769C">
        <w:rPr>
          <w:rFonts w:eastAsia="Times New Roman"/>
          <w:b/>
          <w:sz w:val="24"/>
          <w:szCs w:val="24"/>
        </w:rPr>
        <w:t xml:space="preserve"> Cronk</w:t>
      </w:r>
      <w:r w:rsidRPr="0039769C">
        <w:rPr>
          <w:rFonts w:eastAsia="Times New Roman"/>
          <w:sz w:val="24"/>
          <w:szCs w:val="24"/>
        </w:rPr>
        <w:t>, 765 P.2d 619.</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9. Termination procedures or policies set forth in personnel manuals can also be enforced by an employee under a promissory estoppel theory if, as stated in </w:t>
      </w:r>
      <w:r w:rsidRPr="0039769C">
        <w:rPr>
          <w:rFonts w:eastAsia="Times New Roman"/>
          <w:b/>
          <w:sz w:val="24"/>
          <w:szCs w:val="24"/>
        </w:rPr>
        <w:t>Continental Air Lines v. Keenan</w:t>
      </w:r>
      <w:r w:rsidRPr="0039769C">
        <w:rPr>
          <w:rFonts w:eastAsia="Times New Roman"/>
          <w:sz w:val="24"/>
          <w:szCs w:val="24"/>
        </w:rPr>
        <w:t>, 731 P.2d 708, 712 (Colo. 1987) the employee can show that:</w:t>
      </w:r>
    </w:p>
    <w:p w:rsidR="0039769C" w:rsidRPr="0039769C" w:rsidRDefault="0039769C" w:rsidP="0039769C">
      <w:pPr>
        <w:spacing w:after="240"/>
        <w:ind w:left="720"/>
        <w:rPr>
          <w:rFonts w:eastAsia="Times New Roman"/>
          <w:sz w:val="24"/>
          <w:szCs w:val="24"/>
        </w:rPr>
      </w:pPr>
      <w:r w:rsidRPr="0039769C">
        <w:rPr>
          <w:rFonts w:eastAsia="Times New Roman"/>
          <w:sz w:val="24"/>
          <w:szCs w:val="24"/>
        </w:rPr>
        <w:t xml:space="preserve">[T]he employer should reasonably have expected the employee to consider the employee manual as a commitment from the employer to follow the termination procedures, that </w:t>
      </w:r>
      <w:r w:rsidRPr="0039769C">
        <w:rPr>
          <w:rFonts w:eastAsia="Times New Roman"/>
          <w:sz w:val="24"/>
          <w:szCs w:val="24"/>
        </w:rPr>
        <w:lastRenderedPageBreak/>
        <w:t>the employee reasonably relied on the termination procedures to his detriment, and that injustice can be avoided only by enforcement of the termination procedures.</w:t>
      </w:r>
    </w:p>
    <w:p w:rsidR="0039769C" w:rsidRPr="0039769C" w:rsidRDefault="0039769C" w:rsidP="0039769C">
      <w:pPr>
        <w:spacing w:after="240"/>
        <w:rPr>
          <w:rFonts w:eastAsia="Times New Roman"/>
          <w:sz w:val="24"/>
          <w:szCs w:val="24"/>
        </w:rPr>
      </w:pPr>
      <w:r w:rsidRPr="0039769C">
        <w:rPr>
          <w:rFonts w:eastAsia="Times New Roman"/>
          <w:sz w:val="24"/>
          <w:szCs w:val="24"/>
        </w:rPr>
        <w:t>See also Source and Authority to Instruction 30:7.</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10. Since promissory estoppel is an equitable claim under C.R.C.P. 38(a), </w:t>
      </w:r>
      <w:r w:rsidRPr="0039769C">
        <w:rPr>
          <w:rFonts w:eastAsia="Times New Roman"/>
          <w:b/>
          <w:sz w:val="24"/>
          <w:szCs w:val="24"/>
        </w:rPr>
        <w:t>Shoemaker v. Mountain States Telephone &amp; Telegraph Co.</w:t>
      </w:r>
      <w:r w:rsidRPr="0039769C">
        <w:rPr>
          <w:rFonts w:eastAsia="Times New Roman"/>
          <w:sz w:val="24"/>
          <w:szCs w:val="24"/>
        </w:rPr>
        <w:t xml:space="preserve">, 38 </w:t>
      </w:r>
      <w:r w:rsidR="0067408D">
        <w:rPr>
          <w:rFonts w:eastAsia="Times New Roman"/>
          <w:sz w:val="24"/>
          <w:szCs w:val="24"/>
        </w:rPr>
        <w:t>Colo. App.</w:t>
      </w:r>
      <w:r w:rsidRPr="0039769C">
        <w:rPr>
          <w:rFonts w:eastAsia="Times New Roman"/>
          <w:sz w:val="24"/>
          <w:szCs w:val="24"/>
        </w:rPr>
        <w:t xml:space="preserve"> 321, 559 P.2d 721 (1976), there is no right to a jury trial with respect to such claim. </w:t>
      </w:r>
      <w:r w:rsidRPr="0039769C">
        <w:rPr>
          <w:rFonts w:eastAsia="Times New Roman"/>
          <w:b/>
          <w:sz w:val="24"/>
          <w:szCs w:val="24"/>
        </w:rPr>
        <w:t>Snow Basin, Ltd. v. Boettcher &amp; Co., Inc.</w:t>
      </w:r>
      <w:r w:rsidRPr="0039769C">
        <w:rPr>
          <w:rFonts w:eastAsia="Times New Roman"/>
          <w:sz w:val="24"/>
          <w:szCs w:val="24"/>
        </w:rPr>
        <w:t>, 805 P.2d 1151 (</w:t>
      </w:r>
      <w:r w:rsidR="0067408D">
        <w:rPr>
          <w:rFonts w:eastAsia="Times New Roman"/>
          <w:sz w:val="24"/>
          <w:szCs w:val="24"/>
        </w:rPr>
        <w:t>Colo. App.</w:t>
      </w:r>
      <w:r w:rsidRPr="0039769C">
        <w:rPr>
          <w:rFonts w:eastAsia="Times New Roman"/>
          <w:sz w:val="24"/>
          <w:szCs w:val="24"/>
        </w:rPr>
        <w:t xml:space="preserve"> 1990), </w:t>
      </w:r>
      <w:r w:rsidRPr="0039769C">
        <w:rPr>
          <w:rFonts w:eastAsia="Times New Roman"/>
          <w:i/>
          <w:sz w:val="24"/>
          <w:szCs w:val="24"/>
        </w:rPr>
        <w:t>cert. denied</w:t>
      </w:r>
      <w:r w:rsidRPr="0039769C">
        <w:rPr>
          <w:rFonts w:eastAsia="Times New Roman"/>
          <w:sz w:val="24"/>
          <w:szCs w:val="24"/>
        </w:rPr>
        <w:t xml:space="preserve"> (1991).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Mariani</w:t>
      </w:r>
      <w:r w:rsidRPr="0039769C">
        <w:rPr>
          <w:rFonts w:eastAsia="Times New Roman"/>
          <w:sz w:val="24"/>
          <w:szCs w:val="24"/>
        </w:rPr>
        <w:t xml:space="preserve">, 902 P.2d 429 (employee’s promissory estoppel claim was properly resolved by the court and not submitted to the jury); </w:t>
      </w:r>
      <w:r w:rsidRPr="0039769C">
        <w:rPr>
          <w:rFonts w:eastAsia="Times New Roman"/>
          <w:b/>
          <w:sz w:val="24"/>
          <w:szCs w:val="24"/>
        </w:rPr>
        <w:t>Pickell v. Arizona Components Co.</w:t>
      </w:r>
      <w:r w:rsidRPr="0039769C">
        <w:rPr>
          <w:rFonts w:eastAsia="Times New Roman"/>
          <w:sz w:val="24"/>
          <w:szCs w:val="24"/>
        </w:rPr>
        <w:t>, 902 P.2d 392 (</w:t>
      </w:r>
      <w:r w:rsidR="0067408D">
        <w:rPr>
          <w:rFonts w:eastAsia="Times New Roman"/>
          <w:sz w:val="24"/>
          <w:szCs w:val="24"/>
        </w:rPr>
        <w:t>Colo. App.</w:t>
      </w:r>
      <w:r w:rsidRPr="0039769C">
        <w:rPr>
          <w:rFonts w:eastAsia="Times New Roman"/>
          <w:sz w:val="24"/>
          <w:szCs w:val="24"/>
        </w:rPr>
        <w:t xml:space="preserve"> 1994), </w:t>
      </w:r>
      <w:r w:rsidRPr="0039769C">
        <w:rPr>
          <w:rFonts w:eastAsia="Times New Roman"/>
          <w:i/>
          <w:sz w:val="24"/>
          <w:szCs w:val="24"/>
        </w:rPr>
        <w:t>rev’d on other grounds</w:t>
      </w:r>
      <w:r w:rsidRPr="0039769C">
        <w:rPr>
          <w:rFonts w:eastAsia="Times New Roman"/>
          <w:sz w:val="24"/>
          <w:szCs w:val="24"/>
        </w:rPr>
        <w:t xml:space="preserve">, 931 P.2d 1184 (Colo. 1997) (employee’s claim of promissory estoppel could not be predicated on representations of employer that did not affect material terms of contract for at-will employment); </w:t>
      </w:r>
      <w:r w:rsidRPr="0039769C">
        <w:rPr>
          <w:rFonts w:eastAsia="Times New Roman"/>
          <w:b/>
          <w:sz w:val="24"/>
          <w:szCs w:val="24"/>
        </w:rPr>
        <w:t>Watson</w:t>
      </w:r>
      <w:r w:rsidRPr="0039769C">
        <w:rPr>
          <w:rFonts w:eastAsia="Times New Roman"/>
          <w:sz w:val="24"/>
          <w:szCs w:val="24"/>
        </w:rPr>
        <w:t>, 207 P.3d 860 (employer’s statement must be specific and definite to form basis for a promissory estoppel claim).</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11. Where an employee discovers a misrepresentation on an employment application or résumé after the employee has been terminated for other reasons, such “after acquired evidence” is a complete defense to a claim for wrongful discharge predicated on breach of contract or promissory estoppel, if the employer shows that the employee’s misrepresentation was material and that “a reasonable, objective employer would not have hired the employee if it had discovered the misrepresentation at the outset.” </w:t>
      </w:r>
      <w:proofErr w:type="gramStart"/>
      <w:r w:rsidRPr="0039769C">
        <w:rPr>
          <w:rFonts w:eastAsia="Times New Roman"/>
          <w:b/>
          <w:sz w:val="24"/>
          <w:szCs w:val="24"/>
        </w:rPr>
        <w:t>Crawford Rehab.</w:t>
      </w:r>
      <w:proofErr w:type="gramEnd"/>
      <w:r w:rsidRPr="0039769C">
        <w:rPr>
          <w:rFonts w:eastAsia="Times New Roman"/>
          <w:b/>
          <w:sz w:val="24"/>
          <w:szCs w:val="24"/>
        </w:rPr>
        <w:t xml:space="preserve"> </w:t>
      </w:r>
      <w:proofErr w:type="gramStart"/>
      <w:r w:rsidRPr="0039769C">
        <w:rPr>
          <w:rFonts w:eastAsia="Times New Roman"/>
          <w:b/>
          <w:sz w:val="24"/>
          <w:szCs w:val="24"/>
        </w:rPr>
        <w:t>Servs.,</w:t>
      </w:r>
      <w:proofErr w:type="gramEnd"/>
      <w:r w:rsidRPr="0039769C">
        <w:rPr>
          <w:rFonts w:eastAsia="Times New Roman"/>
          <w:b/>
          <w:sz w:val="24"/>
          <w:szCs w:val="24"/>
        </w:rPr>
        <w:t xml:space="preserve"> Inc. v. Weissman</w:t>
      </w:r>
      <w:r w:rsidRPr="0039769C">
        <w:rPr>
          <w:rFonts w:eastAsia="Times New Roman"/>
          <w:sz w:val="24"/>
          <w:szCs w:val="24"/>
        </w:rPr>
        <w:t>, 938 P.2d 540 (Colo. 1997). See Instruction 31:11.</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12. An employee disciplinary procedure adopted by a private employer is not subject to the requirements of the Fourteenth Amendment and, therefore, need not comply with traditional notions of procedural due process. </w:t>
      </w:r>
      <w:r w:rsidRPr="0039769C">
        <w:rPr>
          <w:rFonts w:eastAsia="Times New Roman"/>
          <w:b/>
          <w:sz w:val="24"/>
          <w:szCs w:val="24"/>
        </w:rPr>
        <w:t>Floyd v. Coors Brewing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952 P.2d 797 (</w:t>
      </w:r>
      <w:r w:rsidR="0067408D">
        <w:rPr>
          <w:rFonts w:eastAsia="Times New Roman"/>
          <w:sz w:val="24"/>
          <w:szCs w:val="24"/>
        </w:rPr>
        <w:t>Colo. App.</w:t>
      </w:r>
      <w:r w:rsidRPr="0039769C">
        <w:rPr>
          <w:rFonts w:eastAsia="Times New Roman"/>
          <w:sz w:val="24"/>
          <w:szCs w:val="24"/>
        </w:rPr>
        <w:t xml:space="preserve"> 1997), </w:t>
      </w:r>
      <w:r w:rsidRPr="0039769C">
        <w:rPr>
          <w:rFonts w:eastAsia="Times New Roman"/>
          <w:i/>
          <w:sz w:val="24"/>
          <w:szCs w:val="24"/>
        </w:rPr>
        <w:t>rev’d on other grounds</w:t>
      </w:r>
      <w:r w:rsidRPr="0039769C">
        <w:rPr>
          <w:rFonts w:eastAsia="Times New Roman"/>
          <w:sz w:val="24"/>
          <w:szCs w:val="24"/>
        </w:rPr>
        <w:t xml:space="preserve">, 978 P.2d 663 (Colo. 1999). And if an employee relies on an employee handbook or other written policy as the basis for an implied contract or promissory estoppel claim, the employee must accept the entire policy and may not accept only those parts of the policy that are favorable to the employee’s claim. </w:t>
      </w:r>
      <w:r w:rsidRPr="0039769C">
        <w:rPr>
          <w:rFonts w:eastAsia="Times New Roman"/>
          <w:i/>
          <w:sz w:val="24"/>
          <w:szCs w:val="24"/>
        </w:rPr>
        <w:t>Id. Accord</w:t>
      </w:r>
      <w:r w:rsidRPr="0039769C">
        <w:rPr>
          <w:rFonts w:eastAsia="Times New Roman"/>
          <w:sz w:val="24"/>
          <w:szCs w:val="24"/>
        </w:rPr>
        <w:t xml:space="preserve"> </w:t>
      </w:r>
      <w:r w:rsidRPr="0039769C">
        <w:rPr>
          <w:rFonts w:eastAsia="Times New Roman"/>
          <w:b/>
          <w:sz w:val="24"/>
          <w:szCs w:val="24"/>
        </w:rPr>
        <w:t>Collins v. Colorado Mtn. Coll.</w:t>
      </w:r>
      <w:r w:rsidRPr="0039769C">
        <w:rPr>
          <w:rFonts w:eastAsia="Times New Roman"/>
          <w:sz w:val="24"/>
          <w:szCs w:val="24"/>
        </w:rPr>
        <w:t>, 56 P.3d 1132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cert. denied</w:t>
      </w:r>
      <w:r w:rsidRPr="0039769C">
        <w:rPr>
          <w:rFonts w:eastAsia="Times New Roman"/>
          <w:sz w:val="24"/>
          <w:szCs w:val="24"/>
        </w:rPr>
        <w:t xml:space="preserve"> (2002) (grievance procedures contained in college’s policy manual did not create implied contract with instructor whose employment was at-will where policy manual expressly stated that grievance procedures did not apply to temporary employees).</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13. In </w:t>
      </w:r>
      <w:r w:rsidRPr="0039769C">
        <w:rPr>
          <w:rFonts w:eastAsia="Times New Roman"/>
          <w:b/>
          <w:bCs/>
          <w:sz w:val="24"/>
          <w:szCs w:val="24"/>
        </w:rPr>
        <w:t>Lucht’s Concrete Pumping, Inc. v. Horner</w:t>
      </w:r>
      <w:r w:rsidRPr="0039769C">
        <w:rPr>
          <w:rFonts w:eastAsia="Times New Roman"/>
          <w:sz w:val="24"/>
          <w:szCs w:val="24"/>
        </w:rPr>
        <w:t xml:space="preserve">, 255 P.3d 1058 (Colo. 2011), the Colorado Supreme Court determined that continuing the employment of an existing at-will employee is adequate consideration to support a noncompetition agreement signed by the employee during an existing employment relationship: “Because an employer may terminate an at-will employee at any time during the employment relationship as a matter of right, its forbearance from terminating that employee is the forbearance of a legal right. As </w:t>
      </w:r>
      <w:proofErr w:type="gramStart"/>
      <w:r w:rsidRPr="0039769C">
        <w:rPr>
          <w:rFonts w:eastAsia="Times New Roman"/>
          <w:sz w:val="24"/>
          <w:szCs w:val="24"/>
        </w:rPr>
        <w:t>such, . . .</w:t>
      </w:r>
      <w:proofErr w:type="gramEnd"/>
      <w:r w:rsidRPr="0039769C">
        <w:rPr>
          <w:rFonts w:eastAsia="Times New Roman"/>
          <w:sz w:val="24"/>
          <w:szCs w:val="24"/>
        </w:rPr>
        <w:t xml:space="preserve"> forbearance constitutes adequate consideration to support a noncompetition agreement with an existing at-will employee.” </w:t>
      </w:r>
      <w:r w:rsidRPr="0039769C">
        <w:rPr>
          <w:rFonts w:eastAsia="Times New Roman"/>
          <w:b/>
          <w:bCs/>
          <w:sz w:val="24"/>
          <w:szCs w:val="24"/>
        </w:rPr>
        <w:t>Lucht’s Concrete</w:t>
      </w:r>
      <w:r w:rsidRPr="0039769C">
        <w:rPr>
          <w:rFonts w:eastAsia="Times New Roman"/>
          <w:sz w:val="24"/>
          <w:szCs w:val="24"/>
        </w:rPr>
        <w:t>, 255 P.3d at 1061.</w:t>
      </w:r>
    </w:p>
    <w:p w:rsidR="0039769C" w:rsidRDefault="0039769C">
      <w:pPr>
        <w:rPr>
          <w:rFonts w:eastAsia="Times New Roman"/>
          <w:bCs/>
          <w:sz w:val="24"/>
          <w:szCs w:val="24"/>
        </w:rPr>
      </w:pPr>
      <w:r>
        <w:rPr>
          <w:rFonts w:eastAsia="Times New Roman"/>
          <w:bCs/>
          <w:sz w:val="24"/>
          <w:szCs w:val="24"/>
        </w:rPr>
        <w:br w:type="page"/>
      </w:r>
    </w:p>
    <w:p w:rsidR="0039769C" w:rsidRPr="009E3DA4" w:rsidRDefault="0039769C" w:rsidP="0039769C">
      <w:pPr>
        <w:spacing w:after="240"/>
        <w:ind w:left="720" w:hanging="720"/>
        <w:rPr>
          <w:rFonts w:eastAsia="Times New Roman"/>
          <w:b/>
          <w:sz w:val="24"/>
          <w:szCs w:val="24"/>
        </w:rPr>
      </w:pPr>
      <w:bookmarkStart w:id="5" w:name="a31_05"/>
      <w:bookmarkEnd w:id="5"/>
      <w:r w:rsidRPr="0039769C">
        <w:rPr>
          <w:rFonts w:eastAsia="Times New Roman"/>
          <w:b/>
          <w:sz w:val="24"/>
          <w:szCs w:val="24"/>
        </w:rPr>
        <w:lastRenderedPageBreak/>
        <w:t xml:space="preserve">31:5 </w:t>
      </w:r>
      <w:r w:rsidRPr="0039769C">
        <w:rPr>
          <w:rFonts w:eastAsia="Times New Roman"/>
          <w:b/>
          <w:sz w:val="24"/>
          <w:szCs w:val="24"/>
        </w:rPr>
        <w:tab/>
        <w:t>AT-WILL EMPLOYMENT — DEFINED</w:t>
      </w:r>
    </w:p>
    <w:p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An at-will employment exists when</w:t>
      </w:r>
      <w:r w:rsidRPr="0039769C">
        <w:rPr>
          <w:rFonts w:eastAsia="Times New Roman"/>
          <w:sz w:val="24"/>
          <w:szCs w:val="24"/>
        </w:rPr>
        <w:t xml:space="preserve"> </w:t>
      </w:r>
      <w:r w:rsidRPr="0039769C">
        <w:rPr>
          <w:rFonts w:eastAsia="Times New Roman"/>
          <w:b/>
          <w:sz w:val="24"/>
          <w:szCs w:val="24"/>
        </w:rPr>
        <w:t>an employee is hired for an indefinite period of time and there is no agreement limiting the employer’s right to discharge the employee. An at-will employment may be terminated at any time by either the employer or the employee without notice or cause.</w:t>
      </w:r>
    </w:p>
    <w:p w:rsidR="0039769C" w:rsidRDefault="0039769C" w:rsidP="0039769C">
      <w:pPr>
        <w:jc w:val="center"/>
        <w:rPr>
          <w:rFonts w:eastAsia="Times New Roman"/>
          <w:sz w:val="24"/>
          <w:szCs w:val="24"/>
        </w:rPr>
      </w:pPr>
    </w:p>
    <w:p w:rsidR="0039769C" w:rsidRPr="0054263B" w:rsidRDefault="0039769C" w:rsidP="0039769C">
      <w:pPr>
        <w:keepNext/>
        <w:spacing w:after="240"/>
        <w:jc w:val="center"/>
        <w:rPr>
          <w:rFonts w:eastAsia="Times New Roman"/>
          <w:b/>
          <w:sz w:val="24"/>
          <w:szCs w:val="24"/>
        </w:rPr>
      </w:pPr>
      <w:r w:rsidRPr="0054263B">
        <w:rPr>
          <w:rFonts w:eastAsia="Times New Roman"/>
          <w:b/>
          <w:sz w:val="24"/>
          <w:szCs w:val="24"/>
        </w:rPr>
        <w:t>Notes on Use</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1. This instruction may be used with Instructions 31:1, 31:3, or 31:4 where an employee is asserting a claim for wrongful discharge based on breach of an employment contract and there is a factual question as to whether the employment was at-will.</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This instruction should not be given if plaintiff is asserting a tort rather than a contract claim for wrongful discharge. If plaintiff is asserting both contract and tort claims for wrongful discharge and this instruction </w:t>
      </w:r>
      <w:proofErr w:type="gramStart"/>
      <w:r w:rsidRPr="0039769C">
        <w:rPr>
          <w:rFonts w:eastAsia="Times New Roman"/>
          <w:sz w:val="24"/>
          <w:szCs w:val="24"/>
        </w:rPr>
        <w:t>is</w:t>
      </w:r>
      <w:proofErr w:type="gramEnd"/>
      <w:r w:rsidRPr="0039769C">
        <w:rPr>
          <w:rFonts w:eastAsia="Times New Roman"/>
          <w:sz w:val="24"/>
          <w:szCs w:val="24"/>
        </w:rPr>
        <w:t xml:space="preserve"> given, the jury should be advised that the existence of an at-will employment relationship does not preclude the plaintiff from recovering in tort.</w:t>
      </w:r>
    </w:p>
    <w:p w:rsidR="0039769C" w:rsidRPr="0054263B" w:rsidRDefault="0039769C" w:rsidP="0039769C">
      <w:pPr>
        <w:keepNext/>
        <w:spacing w:after="240"/>
        <w:jc w:val="center"/>
        <w:rPr>
          <w:rFonts w:eastAsia="Times New Roman"/>
          <w:b/>
          <w:sz w:val="24"/>
          <w:szCs w:val="24"/>
        </w:rPr>
      </w:pPr>
      <w:r>
        <w:rPr>
          <w:rFonts w:eastAsia="Times New Roman"/>
          <w:b/>
          <w:sz w:val="24"/>
          <w:szCs w:val="24"/>
        </w:rPr>
        <w:t>Source and Authority</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 This instruction is supported by </w:t>
      </w:r>
      <w:r w:rsidRPr="0039769C">
        <w:rPr>
          <w:rFonts w:eastAsia="Times New Roman"/>
          <w:b/>
          <w:sz w:val="24"/>
          <w:szCs w:val="24"/>
        </w:rPr>
        <w:t>Continental Air Lines, Inc. v. Keenan</w:t>
      </w:r>
      <w:r w:rsidRPr="0039769C">
        <w:rPr>
          <w:rFonts w:eastAsia="Times New Roman"/>
          <w:sz w:val="24"/>
          <w:szCs w:val="24"/>
        </w:rPr>
        <w:t xml:space="preserve">, 731 P.2d 708 (Colo. 1987); </w:t>
      </w:r>
      <w:r w:rsidRPr="0039769C">
        <w:rPr>
          <w:rFonts w:eastAsia="Times New Roman"/>
          <w:b/>
          <w:sz w:val="24"/>
          <w:szCs w:val="24"/>
        </w:rPr>
        <w:t>Churchey v. Adolph Coors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759 P.2d 1336 (Colo. 1988); </w:t>
      </w:r>
      <w:r w:rsidRPr="0039769C">
        <w:rPr>
          <w:rFonts w:eastAsia="Times New Roman"/>
          <w:b/>
          <w:sz w:val="24"/>
          <w:szCs w:val="24"/>
        </w:rPr>
        <w:t xml:space="preserve">Crawford Rehab. </w:t>
      </w:r>
      <w:proofErr w:type="gramStart"/>
      <w:r w:rsidRPr="0039769C">
        <w:rPr>
          <w:rFonts w:eastAsia="Times New Roman"/>
          <w:b/>
          <w:sz w:val="24"/>
          <w:szCs w:val="24"/>
        </w:rPr>
        <w:t>Servs.,</w:t>
      </w:r>
      <w:proofErr w:type="gramEnd"/>
      <w:r w:rsidRPr="0039769C">
        <w:rPr>
          <w:rFonts w:eastAsia="Times New Roman"/>
          <w:b/>
          <w:sz w:val="24"/>
          <w:szCs w:val="24"/>
        </w:rPr>
        <w:t xml:space="preserve"> Inc. v. Weissman</w:t>
      </w:r>
      <w:r w:rsidRPr="0039769C">
        <w:rPr>
          <w:rFonts w:eastAsia="Times New Roman"/>
          <w:sz w:val="24"/>
          <w:szCs w:val="24"/>
        </w:rPr>
        <w:t>, 938 P.2d 540 (Colo. 1997).</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Generally, when an employee is hired for an indefinite period of time, in the absence of special consideration or an agreement to the contrary, there is an at-will employment relationship which may be terminated at any time either by the employer or by the employee without notice or cause, and the termination of such an employment relationship does not give rise to any liability for breach of contract. </w:t>
      </w:r>
      <w:proofErr w:type="gramStart"/>
      <w:r w:rsidRPr="0039769C">
        <w:rPr>
          <w:rFonts w:eastAsia="Times New Roman"/>
          <w:b/>
          <w:sz w:val="24"/>
          <w:szCs w:val="24"/>
        </w:rPr>
        <w:t>Crawford Rehab.</w:t>
      </w:r>
      <w:proofErr w:type="gramEnd"/>
      <w:r w:rsidRPr="0039769C">
        <w:rPr>
          <w:rFonts w:eastAsia="Times New Roman"/>
          <w:b/>
          <w:sz w:val="24"/>
          <w:szCs w:val="24"/>
        </w:rPr>
        <w:t xml:space="preserve"> Servs., Inc. v. Weissman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938 P.2d 540 (Colo. 1997); </w:t>
      </w:r>
      <w:r w:rsidRPr="0039769C">
        <w:rPr>
          <w:rFonts w:eastAsia="Times New Roman"/>
          <w:b/>
          <w:sz w:val="24"/>
          <w:szCs w:val="24"/>
        </w:rPr>
        <w:t>Pickell v. Arizona Components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931 P.2d 1184 (Colo. 1997); </w:t>
      </w:r>
      <w:r w:rsidRPr="0039769C">
        <w:rPr>
          <w:rFonts w:eastAsia="Times New Roman"/>
          <w:b/>
          <w:sz w:val="24"/>
          <w:szCs w:val="24"/>
        </w:rPr>
        <w:t>Adams County Sch. Dist. No. 50 v. Dickey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791 P.2d 688 (Colo. 1990); </w:t>
      </w:r>
      <w:r w:rsidRPr="0039769C">
        <w:rPr>
          <w:rFonts w:eastAsia="Times New Roman"/>
          <w:b/>
          <w:sz w:val="24"/>
          <w:szCs w:val="24"/>
        </w:rPr>
        <w:t>Churchey v. Adolph Coors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759 P.2d 1336 (Colo. 1988); </w:t>
      </w:r>
      <w:r w:rsidRPr="0039769C">
        <w:rPr>
          <w:rFonts w:eastAsia="Times New Roman"/>
          <w:b/>
          <w:sz w:val="24"/>
          <w:szCs w:val="24"/>
        </w:rPr>
        <w:t>Continental Air Lines, Inc. v. Keenan</w:t>
      </w:r>
      <w:r w:rsidRPr="0039769C">
        <w:rPr>
          <w:rFonts w:eastAsia="Times New Roman"/>
          <w:sz w:val="24"/>
          <w:szCs w:val="24"/>
        </w:rPr>
        <w:t xml:space="preserve">, 731 P.2d 708 (Colo. 1987); </w:t>
      </w:r>
      <w:r w:rsidRPr="0039769C">
        <w:rPr>
          <w:rFonts w:eastAsia="Times New Roman"/>
          <w:b/>
          <w:sz w:val="24"/>
          <w:szCs w:val="24"/>
        </w:rPr>
        <w:t>Jaynes v. Centura Health Corp.</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148 P.3d 241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 xml:space="preserve">cert. denied </w:t>
      </w:r>
      <w:r w:rsidRPr="0039769C">
        <w:rPr>
          <w:rFonts w:eastAsia="Times New Roman"/>
          <w:sz w:val="24"/>
          <w:szCs w:val="24"/>
        </w:rPr>
        <w:t xml:space="preserve">(2006); </w:t>
      </w:r>
      <w:r w:rsidRPr="0039769C">
        <w:rPr>
          <w:rFonts w:eastAsia="Times New Roman"/>
          <w:b/>
          <w:sz w:val="24"/>
          <w:szCs w:val="24"/>
        </w:rPr>
        <w:t>Wisehart v. Meganck</w:t>
      </w:r>
      <w:r w:rsidRPr="0039769C">
        <w:rPr>
          <w:rFonts w:eastAsia="Times New Roman"/>
          <w:sz w:val="24"/>
          <w:szCs w:val="24"/>
        </w:rPr>
        <w:t>, 66 P.3d 124 (</w:t>
      </w:r>
      <w:r w:rsidR="0067408D">
        <w:rPr>
          <w:rFonts w:eastAsia="Times New Roman"/>
          <w:sz w:val="24"/>
          <w:szCs w:val="24"/>
        </w:rPr>
        <w:t>Colo. App.</w:t>
      </w:r>
      <w:r w:rsidRPr="0039769C">
        <w:rPr>
          <w:rFonts w:eastAsia="Times New Roman"/>
          <w:sz w:val="24"/>
          <w:szCs w:val="24"/>
        </w:rPr>
        <w:t xml:space="preserve"> 2002), </w:t>
      </w:r>
      <w:r w:rsidRPr="0039769C">
        <w:rPr>
          <w:rFonts w:eastAsia="Times New Roman"/>
          <w:i/>
          <w:sz w:val="24"/>
          <w:szCs w:val="24"/>
        </w:rPr>
        <w:t>cert. denied</w:t>
      </w:r>
      <w:r w:rsidRPr="0039769C">
        <w:rPr>
          <w:rFonts w:eastAsia="Times New Roman"/>
          <w:sz w:val="24"/>
          <w:szCs w:val="24"/>
        </w:rPr>
        <w:t xml:space="preserve"> (2003); </w:t>
      </w:r>
      <w:r w:rsidRPr="0039769C">
        <w:rPr>
          <w:rFonts w:eastAsia="Times New Roman"/>
          <w:b/>
          <w:sz w:val="24"/>
          <w:szCs w:val="24"/>
        </w:rPr>
        <w:t>Collins v. Colorado Mtn. Coll.</w:t>
      </w:r>
      <w:r w:rsidRPr="0039769C">
        <w:rPr>
          <w:rFonts w:eastAsia="Times New Roman"/>
          <w:sz w:val="24"/>
          <w:szCs w:val="24"/>
        </w:rPr>
        <w:t>, 56 P.3d 1132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cert. denied</w:t>
      </w:r>
      <w:r w:rsidRPr="0039769C">
        <w:rPr>
          <w:rFonts w:eastAsia="Times New Roman"/>
          <w:sz w:val="24"/>
          <w:szCs w:val="24"/>
        </w:rPr>
        <w:t xml:space="preserve"> (2002); </w:t>
      </w:r>
      <w:r w:rsidRPr="0039769C">
        <w:rPr>
          <w:rFonts w:eastAsia="Times New Roman"/>
          <w:b/>
          <w:sz w:val="24"/>
          <w:szCs w:val="24"/>
        </w:rPr>
        <w:t>Herrera v. San Luis C.R.R.</w:t>
      </w:r>
      <w:r w:rsidRPr="0039769C">
        <w:rPr>
          <w:rFonts w:eastAsia="Times New Roman"/>
          <w:sz w:val="24"/>
          <w:szCs w:val="24"/>
        </w:rPr>
        <w:t>, 997 P.2d 1238 (</w:t>
      </w:r>
      <w:r w:rsidR="0067408D">
        <w:rPr>
          <w:rFonts w:eastAsia="Times New Roman"/>
          <w:sz w:val="24"/>
          <w:szCs w:val="24"/>
        </w:rPr>
        <w:t>Colo. App.</w:t>
      </w:r>
      <w:r w:rsidRPr="0039769C">
        <w:rPr>
          <w:rFonts w:eastAsia="Times New Roman"/>
          <w:sz w:val="24"/>
          <w:szCs w:val="24"/>
        </w:rPr>
        <w:t xml:space="preserve"> 1999), </w:t>
      </w:r>
      <w:r w:rsidRPr="0039769C">
        <w:rPr>
          <w:rFonts w:eastAsia="Times New Roman"/>
          <w:i/>
          <w:sz w:val="24"/>
          <w:szCs w:val="24"/>
        </w:rPr>
        <w:t>cert. denied</w:t>
      </w:r>
      <w:r w:rsidRPr="0039769C">
        <w:rPr>
          <w:rFonts w:eastAsia="Times New Roman"/>
          <w:sz w:val="24"/>
          <w:szCs w:val="24"/>
        </w:rPr>
        <w:t xml:space="preserve"> (2000); </w:t>
      </w:r>
      <w:r w:rsidRPr="0039769C">
        <w:rPr>
          <w:rFonts w:eastAsia="Times New Roman"/>
          <w:b/>
          <w:sz w:val="24"/>
          <w:szCs w:val="24"/>
        </w:rPr>
        <w:t>Middlemist v. BDO Seidman, LLP</w:t>
      </w:r>
      <w:r w:rsidRPr="0039769C">
        <w:rPr>
          <w:rFonts w:eastAsia="Times New Roman"/>
          <w:sz w:val="24"/>
          <w:szCs w:val="24"/>
        </w:rPr>
        <w:t>, 958 P.2d 486 (</w:t>
      </w:r>
      <w:r w:rsidR="0067408D">
        <w:rPr>
          <w:rFonts w:eastAsia="Times New Roman"/>
          <w:sz w:val="24"/>
          <w:szCs w:val="24"/>
        </w:rPr>
        <w:t>Colo. App.</w:t>
      </w:r>
      <w:r w:rsidRPr="0039769C">
        <w:rPr>
          <w:rFonts w:eastAsia="Times New Roman"/>
          <w:sz w:val="24"/>
          <w:szCs w:val="24"/>
        </w:rPr>
        <w:t xml:space="preserve"> 1997), </w:t>
      </w:r>
      <w:r w:rsidRPr="0039769C">
        <w:rPr>
          <w:rFonts w:eastAsia="Times New Roman"/>
          <w:i/>
          <w:sz w:val="24"/>
          <w:szCs w:val="24"/>
        </w:rPr>
        <w:t>cert. denied</w:t>
      </w:r>
      <w:r w:rsidRPr="0039769C">
        <w:rPr>
          <w:rFonts w:eastAsia="Times New Roman"/>
          <w:sz w:val="24"/>
          <w:szCs w:val="24"/>
        </w:rPr>
        <w:t xml:space="preserve"> (1998); </w:t>
      </w:r>
      <w:r w:rsidRPr="0039769C">
        <w:rPr>
          <w:rFonts w:eastAsia="Times New Roman"/>
          <w:b/>
          <w:sz w:val="24"/>
          <w:szCs w:val="24"/>
        </w:rPr>
        <w:t>Mariani v. Rocky Mtn. Hosp. &amp; Med. Serv.</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902 P.2d 429 (</w:t>
      </w:r>
      <w:r w:rsidR="0067408D">
        <w:rPr>
          <w:rFonts w:eastAsia="Times New Roman"/>
          <w:sz w:val="24"/>
          <w:szCs w:val="24"/>
        </w:rPr>
        <w:t>Colo. App.</w:t>
      </w:r>
      <w:r w:rsidRPr="0039769C">
        <w:rPr>
          <w:rFonts w:eastAsia="Times New Roman"/>
          <w:sz w:val="24"/>
          <w:szCs w:val="24"/>
        </w:rPr>
        <w:t xml:space="preserve"> 1994), </w:t>
      </w:r>
      <w:r w:rsidRPr="0039769C">
        <w:rPr>
          <w:rFonts w:eastAsia="Times New Roman"/>
          <w:i/>
          <w:sz w:val="24"/>
          <w:szCs w:val="24"/>
        </w:rPr>
        <w:t>aff’d on other grounds</w:t>
      </w:r>
      <w:r w:rsidRPr="0039769C">
        <w:rPr>
          <w:rFonts w:eastAsia="Times New Roman"/>
          <w:sz w:val="24"/>
          <w:szCs w:val="24"/>
        </w:rPr>
        <w:t xml:space="preserve">, 916 P.2d 519 (Colo. 1996); </w:t>
      </w:r>
      <w:r w:rsidRPr="0039769C">
        <w:rPr>
          <w:rFonts w:eastAsia="Times New Roman"/>
          <w:b/>
          <w:sz w:val="24"/>
          <w:szCs w:val="24"/>
        </w:rPr>
        <w:t>Holland v. Board of County Comm’rs</w:t>
      </w:r>
      <w:r w:rsidRPr="0039769C">
        <w:rPr>
          <w:rFonts w:eastAsia="Times New Roman"/>
          <w:sz w:val="24"/>
          <w:szCs w:val="24"/>
        </w:rPr>
        <w:t>, 883 P.2d 500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cert. denied</w:t>
      </w:r>
      <w:r w:rsidRPr="0039769C">
        <w:rPr>
          <w:rFonts w:eastAsia="Times New Roman"/>
          <w:sz w:val="24"/>
          <w:szCs w:val="24"/>
        </w:rPr>
        <w:t xml:space="preserve"> (1994); </w:t>
      </w:r>
      <w:r w:rsidRPr="0039769C">
        <w:rPr>
          <w:rFonts w:eastAsia="Times New Roman"/>
          <w:b/>
          <w:sz w:val="24"/>
          <w:szCs w:val="24"/>
        </w:rPr>
        <w:t>Evenson v. Colorado Farm Bureau Mut. Ins.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879 P.2d 402 (</w:t>
      </w:r>
      <w:r w:rsidR="0067408D">
        <w:rPr>
          <w:rFonts w:eastAsia="Times New Roman"/>
          <w:sz w:val="24"/>
          <w:szCs w:val="24"/>
        </w:rPr>
        <w:t>Colo. App.</w:t>
      </w:r>
      <w:r w:rsidRPr="0039769C">
        <w:rPr>
          <w:rFonts w:eastAsia="Times New Roman"/>
          <w:sz w:val="24"/>
          <w:szCs w:val="24"/>
        </w:rPr>
        <w:t xml:space="preserve"> 1993), </w:t>
      </w:r>
      <w:r w:rsidRPr="0039769C">
        <w:rPr>
          <w:rFonts w:eastAsia="Times New Roman"/>
          <w:i/>
          <w:sz w:val="24"/>
          <w:szCs w:val="24"/>
        </w:rPr>
        <w:t>cert. denied</w:t>
      </w:r>
      <w:r w:rsidRPr="0039769C">
        <w:rPr>
          <w:rFonts w:eastAsia="Times New Roman"/>
          <w:sz w:val="24"/>
          <w:szCs w:val="24"/>
        </w:rPr>
        <w:t xml:space="preserve"> (1994); </w:t>
      </w:r>
      <w:r w:rsidRPr="0039769C">
        <w:rPr>
          <w:rFonts w:eastAsia="Times New Roman"/>
          <w:b/>
          <w:sz w:val="24"/>
          <w:szCs w:val="24"/>
        </w:rPr>
        <w:t>Cronk v. Intermtn. Rural Elec. Ass’n</w:t>
      </w:r>
      <w:r w:rsidRPr="0039769C">
        <w:rPr>
          <w:rFonts w:eastAsia="Times New Roman"/>
          <w:sz w:val="24"/>
          <w:szCs w:val="24"/>
        </w:rPr>
        <w:t>, 765 P.2d 619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cert. denied</w:t>
      </w:r>
      <w:r w:rsidRPr="0039769C">
        <w:rPr>
          <w:rFonts w:eastAsia="Times New Roman"/>
          <w:sz w:val="24"/>
          <w:szCs w:val="24"/>
        </w:rPr>
        <w:t xml:space="preserve"> (1988); </w:t>
      </w:r>
      <w:r w:rsidRPr="0039769C">
        <w:rPr>
          <w:rFonts w:eastAsia="Times New Roman"/>
          <w:b/>
          <w:sz w:val="24"/>
          <w:szCs w:val="24"/>
        </w:rPr>
        <w:t>Hoff v. Amalgamated Transit Union</w:t>
      </w:r>
      <w:r w:rsidRPr="0039769C">
        <w:rPr>
          <w:rFonts w:eastAsia="Times New Roman"/>
          <w:sz w:val="24"/>
          <w:szCs w:val="24"/>
        </w:rPr>
        <w:t>, 758 P.2d 674 (</w:t>
      </w:r>
      <w:r w:rsidR="0067408D">
        <w:rPr>
          <w:rFonts w:eastAsia="Times New Roman"/>
          <w:sz w:val="24"/>
          <w:szCs w:val="24"/>
        </w:rPr>
        <w:t>Colo. App.</w:t>
      </w:r>
      <w:r w:rsidRPr="0039769C">
        <w:rPr>
          <w:rFonts w:eastAsia="Times New Roman"/>
          <w:sz w:val="24"/>
          <w:szCs w:val="24"/>
        </w:rPr>
        <w:t xml:space="preserve"> 1987); </w:t>
      </w:r>
      <w:r w:rsidRPr="0039769C">
        <w:rPr>
          <w:rFonts w:eastAsia="Times New Roman"/>
          <w:b/>
          <w:sz w:val="24"/>
          <w:szCs w:val="24"/>
        </w:rPr>
        <w:t>Pittman v. Larson Distrib. Co.</w:t>
      </w:r>
      <w:r w:rsidRPr="0039769C">
        <w:rPr>
          <w:rFonts w:eastAsia="Times New Roman"/>
          <w:sz w:val="24"/>
          <w:szCs w:val="24"/>
        </w:rPr>
        <w:t>, 724 P.2d 1379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cert. denied</w:t>
      </w:r>
      <w:r w:rsidRPr="0039769C">
        <w:rPr>
          <w:rFonts w:eastAsia="Times New Roman"/>
          <w:sz w:val="24"/>
          <w:szCs w:val="24"/>
        </w:rPr>
        <w:t xml:space="preserve"> (1986); </w:t>
      </w:r>
      <w:r w:rsidRPr="0039769C">
        <w:rPr>
          <w:rFonts w:eastAsia="Times New Roman"/>
          <w:b/>
          <w:sz w:val="24"/>
          <w:szCs w:val="24"/>
        </w:rPr>
        <w:t>Hughes v. Mountain States Tel. &amp; Tel.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686 P.2d 814 (</w:t>
      </w:r>
      <w:r w:rsidR="0067408D">
        <w:rPr>
          <w:rFonts w:eastAsia="Times New Roman"/>
          <w:sz w:val="24"/>
          <w:szCs w:val="24"/>
        </w:rPr>
        <w:t>Colo. App.</w:t>
      </w:r>
      <w:r w:rsidRPr="0039769C">
        <w:rPr>
          <w:rFonts w:eastAsia="Times New Roman"/>
          <w:sz w:val="24"/>
          <w:szCs w:val="24"/>
        </w:rPr>
        <w:t xml:space="preserve"> 1984); </w:t>
      </w:r>
      <w:r w:rsidRPr="0039769C">
        <w:rPr>
          <w:rFonts w:eastAsia="Times New Roman"/>
          <w:b/>
          <w:sz w:val="24"/>
          <w:szCs w:val="24"/>
        </w:rPr>
        <w:t>Lampe v. Presbyterian Med. Ctr.</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41 </w:t>
      </w:r>
      <w:r w:rsidR="0067408D">
        <w:rPr>
          <w:rFonts w:eastAsia="Times New Roman"/>
          <w:sz w:val="24"/>
          <w:szCs w:val="24"/>
        </w:rPr>
        <w:t>Colo. App.</w:t>
      </w:r>
      <w:r w:rsidRPr="0039769C">
        <w:rPr>
          <w:rFonts w:eastAsia="Times New Roman"/>
          <w:sz w:val="24"/>
          <w:szCs w:val="24"/>
        </w:rPr>
        <w:t xml:space="preserve"> 465, 590 P.2d 513 (1978); </w:t>
      </w:r>
      <w:r w:rsidRPr="0039769C">
        <w:rPr>
          <w:rFonts w:eastAsia="Times New Roman"/>
          <w:b/>
          <w:sz w:val="24"/>
          <w:szCs w:val="24"/>
        </w:rPr>
        <w:t>Justice v. Stanley Av. Corp.</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1, 530 P.2d 984 (1974). Contractual liability can arise from the discharge of an otherwise terminable at-will employee </w:t>
      </w:r>
      <w:r w:rsidRPr="0039769C">
        <w:rPr>
          <w:rFonts w:eastAsia="Times New Roman"/>
          <w:sz w:val="24"/>
          <w:szCs w:val="24"/>
        </w:rPr>
        <w:lastRenderedPageBreak/>
        <w:t xml:space="preserve">only where there is an express or implied contract limiting or restricting the employer’s right to terminate the relationship. </w:t>
      </w:r>
      <w:proofErr w:type="gramStart"/>
      <w:r w:rsidRPr="0039769C">
        <w:rPr>
          <w:rFonts w:eastAsia="Times New Roman"/>
          <w:b/>
          <w:sz w:val="24"/>
          <w:szCs w:val="24"/>
        </w:rPr>
        <w:t>Hoff v. Amalgamated Transit Union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758 P.2d 674 (</w:t>
      </w:r>
      <w:r w:rsidR="0067408D">
        <w:rPr>
          <w:rFonts w:eastAsia="Times New Roman"/>
          <w:sz w:val="24"/>
          <w:szCs w:val="24"/>
        </w:rPr>
        <w:t>Colo. App.</w:t>
      </w:r>
      <w:r w:rsidRPr="0039769C">
        <w:rPr>
          <w:rFonts w:eastAsia="Times New Roman"/>
          <w:sz w:val="24"/>
          <w:szCs w:val="24"/>
        </w:rPr>
        <w:t xml:space="preserve"> 1987).</w:t>
      </w:r>
      <w:proofErr w:type="gramEnd"/>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3. The “at-will” doctrine applicable to employment for an indefinite period of time is a substantive rule of law and not an evidentiary presumption. </w:t>
      </w:r>
      <w:r w:rsidRPr="0039769C">
        <w:rPr>
          <w:rFonts w:eastAsia="Times New Roman"/>
          <w:b/>
          <w:sz w:val="24"/>
          <w:szCs w:val="24"/>
        </w:rPr>
        <w:t>Schur v. Storage Tech. Corp.</w:t>
      </w:r>
      <w:r w:rsidRPr="0039769C">
        <w:rPr>
          <w:rFonts w:eastAsia="Times New Roman"/>
          <w:sz w:val="24"/>
          <w:szCs w:val="24"/>
        </w:rPr>
        <w:t>, 878 P.2d 51 (</w:t>
      </w:r>
      <w:r w:rsidR="0067408D">
        <w:rPr>
          <w:rFonts w:eastAsia="Times New Roman"/>
          <w:sz w:val="24"/>
          <w:szCs w:val="24"/>
        </w:rPr>
        <w:t>Colo. App.</w:t>
      </w:r>
      <w:r w:rsidRPr="0039769C">
        <w:rPr>
          <w:rFonts w:eastAsia="Times New Roman"/>
          <w:sz w:val="24"/>
          <w:szCs w:val="24"/>
        </w:rPr>
        <w:t xml:space="preserve">), </w:t>
      </w:r>
      <w:r w:rsidRPr="0039769C">
        <w:rPr>
          <w:rFonts w:eastAsia="Times New Roman"/>
          <w:i/>
          <w:sz w:val="24"/>
          <w:szCs w:val="24"/>
        </w:rPr>
        <w:t>cert. denied</w:t>
      </w:r>
      <w:r w:rsidRPr="0039769C">
        <w:rPr>
          <w:rFonts w:eastAsia="Times New Roman"/>
          <w:sz w:val="24"/>
          <w:szCs w:val="24"/>
        </w:rPr>
        <w:t xml:space="preserve"> (1994) (employee may establish exception to “at-will” doctrine by establishing that (1) terms of employment agreement restricted employer’s right to discharge employee, (2) policy statements of the employer restricting the employer’s right to discharge were accepted as part of the employment contract or relied upon by the employee under circumstances giving rise to a promissory estoppel, or (3) the discharge violated public policy). See Instructions 31:3, 31:4, 31:12, and 31:13. However, an employee who is hired without an express contract has the burden of pleading and proving an exception to the existence of an at-will employment relationship. </w:t>
      </w:r>
      <w:r w:rsidRPr="0039769C">
        <w:rPr>
          <w:rFonts w:eastAsia="Times New Roman"/>
          <w:b/>
          <w:sz w:val="24"/>
          <w:szCs w:val="24"/>
        </w:rPr>
        <w:t>Jaynes</w:t>
      </w:r>
      <w:r w:rsidRPr="0039769C">
        <w:rPr>
          <w:rFonts w:eastAsia="Times New Roman"/>
          <w:sz w:val="24"/>
          <w:szCs w:val="24"/>
        </w:rPr>
        <w:t xml:space="preserve">, </w:t>
      </w:r>
      <w:proofErr w:type="gramStart"/>
      <w:r w:rsidRPr="0039769C">
        <w:rPr>
          <w:rFonts w:eastAsia="Times New Roman"/>
          <w:sz w:val="24"/>
          <w:szCs w:val="24"/>
        </w:rPr>
        <w:t>148 P.3d 241</w:t>
      </w:r>
      <w:proofErr w:type="gramEnd"/>
      <w:r w:rsidRPr="0039769C">
        <w:rPr>
          <w:rFonts w:eastAsia="Times New Roman"/>
          <w:sz w:val="24"/>
          <w:szCs w:val="24"/>
        </w:rPr>
        <w:t>.</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In the absence of special consideration or an agreement to the contrary, a contract for permanent employment is no more than an indefinite general hiring terminable at the will of either party. </w:t>
      </w:r>
      <w:r w:rsidRPr="0039769C">
        <w:rPr>
          <w:rFonts w:eastAsia="Times New Roman"/>
          <w:b/>
          <w:sz w:val="24"/>
          <w:szCs w:val="24"/>
        </w:rPr>
        <w:t>Justice</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1, </w:t>
      </w:r>
      <w:proofErr w:type="gramStart"/>
      <w:r w:rsidRPr="0039769C">
        <w:rPr>
          <w:rFonts w:eastAsia="Times New Roman"/>
          <w:sz w:val="24"/>
          <w:szCs w:val="24"/>
        </w:rPr>
        <w:t>530 P.2d 984</w:t>
      </w:r>
      <w:proofErr w:type="gramEnd"/>
      <w:r w:rsidRPr="0039769C">
        <w:rPr>
          <w:rFonts w:eastAsia="Times New Roman"/>
          <w:sz w:val="24"/>
          <w:szCs w:val="24"/>
        </w:rPr>
        <w:t xml:space="preserve">.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Schur</w:t>
      </w:r>
      <w:r w:rsidRPr="0039769C">
        <w:rPr>
          <w:rFonts w:eastAsia="Times New Roman"/>
          <w:sz w:val="24"/>
          <w:szCs w:val="24"/>
        </w:rPr>
        <w:t xml:space="preserve">, 878 P.2d 51 (employee’s expertise in job that he was hired to perform did not constitute “special consideration”). In </w:t>
      </w:r>
      <w:r w:rsidRPr="0039769C">
        <w:rPr>
          <w:rFonts w:eastAsia="Times New Roman"/>
          <w:b/>
          <w:sz w:val="24"/>
          <w:szCs w:val="24"/>
        </w:rPr>
        <w:t>Pittman</w:t>
      </w:r>
      <w:r w:rsidRPr="0039769C">
        <w:rPr>
          <w:rFonts w:eastAsia="Times New Roman"/>
          <w:sz w:val="24"/>
          <w:szCs w:val="24"/>
        </w:rPr>
        <w:t xml:space="preserve">, 724 P.2d 1379, the court held that if there is evidence of “special consideration,” it is ordinarily for the jury to determine the meaning of “permanent,” when used in an oral contract of employment, in light of all of the circumstances surrounding the making of the agreement.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Pickell</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931 P.2d 1184.</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5. Also, unless the circumstances indicate otherwise, a contract which sets forth an annual salary rate, but states no definite term of employment, is considered to be an indefinite general hiring, terminable at the will of either party. </w:t>
      </w:r>
      <w:r w:rsidRPr="0039769C">
        <w:rPr>
          <w:rFonts w:eastAsia="Times New Roman"/>
          <w:b/>
          <w:sz w:val="24"/>
          <w:szCs w:val="24"/>
        </w:rPr>
        <w:t>Justice</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1, </w:t>
      </w:r>
      <w:proofErr w:type="gramStart"/>
      <w:r w:rsidRPr="0039769C">
        <w:rPr>
          <w:rFonts w:eastAsia="Times New Roman"/>
          <w:sz w:val="24"/>
          <w:szCs w:val="24"/>
        </w:rPr>
        <w:t>530 P.2d 984</w:t>
      </w:r>
      <w:proofErr w:type="gramEnd"/>
      <w:r w:rsidRPr="0039769C">
        <w:rPr>
          <w:rFonts w:eastAsia="Times New Roman"/>
          <w:sz w:val="24"/>
          <w:szCs w:val="24"/>
        </w:rPr>
        <w:t xml:space="preserve">.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Lee v. Great Empire Broad., Inc.</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794 P.2d 1032 (</w:t>
      </w:r>
      <w:r w:rsidR="0067408D">
        <w:rPr>
          <w:rFonts w:eastAsia="Times New Roman"/>
          <w:sz w:val="24"/>
          <w:szCs w:val="24"/>
        </w:rPr>
        <w:t>Colo. App.</w:t>
      </w:r>
      <w:r w:rsidRPr="0039769C">
        <w:rPr>
          <w:rFonts w:eastAsia="Times New Roman"/>
          <w:sz w:val="24"/>
          <w:szCs w:val="24"/>
        </w:rPr>
        <w:t xml:space="preserve"> 1989) (an agreement to “guarantee” an employee a certain sum during a particular period of time did not necessarily constitute an agreement that the employment relationship was to continue for that period).</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6. In </w:t>
      </w:r>
      <w:r w:rsidRPr="0039769C">
        <w:rPr>
          <w:rFonts w:eastAsia="Times New Roman"/>
          <w:b/>
          <w:sz w:val="24"/>
          <w:szCs w:val="24"/>
        </w:rPr>
        <w:t>Wisehart v. Meganck</w:t>
      </w:r>
      <w:r w:rsidRPr="0039769C">
        <w:rPr>
          <w:rFonts w:eastAsia="Times New Roman"/>
          <w:sz w:val="24"/>
          <w:szCs w:val="24"/>
        </w:rPr>
        <w:t>, 66 P.3d 124 (</w:t>
      </w:r>
      <w:r w:rsidR="0067408D">
        <w:rPr>
          <w:rFonts w:eastAsia="Times New Roman"/>
          <w:sz w:val="24"/>
          <w:szCs w:val="24"/>
        </w:rPr>
        <w:t>Colo. App.</w:t>
      </w:r>
      <w:r w:rsidRPr="0039769C">
        <w:rPr>
          <w:rFonts w:eastAsia="Times New Roman"/>
          <w:sz w:val="24"/>
          <w:szCs w:val="24"/>
        </w:rPr>
        <w:t xml:space="preserve"> 2002), </w:t>
      </w:r>
      <w:r w:rsidRPr="0039769C">
        <w:rPr>
          <w:rFonts w:eastAsia="Times New Roman"/>
          <w:i/>
          <w:sz w:val="24"/>
          <w:szCs w:val="24"/>
        </w:rPr>
        <w:t>cert. denied</w:t>
      </w:r>
      <w:r w:rsidRPr="0039769C">
        <w:rPr>
          <w:rFonts w:eastAsia="Times New Roman"/>
          <w:sz w:val="24"/>
          <w:szCs w:val="24"/>
        </w:rPr>
        <w:t xml:space="preserve"> (2003), the court declined to recognize an exception to the at-will employment doctrine where the employer allegedly used fraud or deception to justify terminating an at-will employee. The court concluded that since </w:t>
      </w:r>
      <w:proofErr w:type="gramStart"/>
      <w:r w:rsidRPr="0039769C">
        <w:rPr>
          <w:rFonts w:eastAsia="Times New Roman"/>
          <w:sz w:val="24"/>
          <w:szCs w:val="24"/>
        </w:rPr>
        <w:t>all of the</w:t>
      </w:r>
      <w:proofErr w:type="gramEnd"/>
      <w:r w:rsidRPr="0039769C">
        <w:rPr>
          <w:rFonts w:eastAsia="Times New Roman"/>
          <w:sz w:val="24"/>
          <w:szCs w:val="24"/>
        </w:rPr>
        <w:t xml:space="preserve"> employee’s claimed damages arose from the termination of his employment, his fraud claims were barred by the employment at-will doctrine. </w:t>
      </w:r>
      <w:r w:rsidRPr="0039769C">
        <w:rPr>
          <w:rFonts w:eastAsia="Times New Roman"/>
          <w:i/>
          <w:sz w:val="24"/>
          <w:szCs w:val="24"/>
        </w:rPr>
        <w:t>Id</w:t>
      </w:r>
      <w:r w:rsidRPr="0039769C">
        <w:rPr>
          <w:rFonts w:eastAsia="Times New Roman"/>
          <w:sz w:val="24"/>
          <w:szCs w:val="24"/>
        </w:rPr>
        <w:t>.</w:t>
      </w:r>
    </w:p>
    <w:p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7. In </w:t>
      </w:r>
      <w:r w:rsidRPr="0039769C">
        <w:rPr>
          <w:rFonts w:eastAsia="Times New Roman"/>
          <w:b/>
          <w:bCs/>
          <w:sz w:val="24"/>
          <w:szCs w:val="24"/>
        </w:rPr>
        <w:t>Lucht’s Concrete Pumping, Inc. v. Horner</w:t>
      </w:r>
      <w:r w:rsidRPr="0039769C">
        <w:rPr>
          <w:rFonts w:eastAsia="Times New Roman"/>
          <w:sz w:val="24"/>
          <w:szCs w:val="24"/>
        </w:rPr>
        <w:t xml:space="preserve">, 255 P.3d 1058 (Colo. 2011), the Colorado Supreme Court determined that continuing the employment of an existing at-will employee is adequate consideration to support a noncompetition agreement signed by the employee during an existing employment relationship: “Because an employer may terminate an at-will employee at any time during the employment relationship as a matter of right, its forbearance from terminating that employee is the forbearance of a legal right. As </w:t>
      </w:r>
      <w:proofErr w:type="gramStart"/>
      <w:r w:rsidRPr="0039769C">
        <w:rPr>
          <w:rFonts w:eastAsia="Times New Roman"/>
          <w:sz w:val="24"/>
          <w:szCs w:val="24"/>
        </w:rPr>
        <w:t>such, . . .</w:t>
      </w:r>
      <w:proofErr w:type="gramEnd"/>
      <w:r w:rsidRPr="0039769C">
        <w:rPr>
          <w:rFonts w:eastAsia="Times New Roman"/>
          <w:sz w:val="24"/>
          <w:szCs w:val="24"/>
        </w:rPr>
        <w:t xml:space="preserve"> forbearance constitutes adequate consideration to support a noncompetition agreement with an existing at-will employee.” </w:t>
      </w:r>
      <w:r w:rsidRPr="0039769C">
        <w:rPr>
          <w:rFonts w:eastAsia="Times New Roman"/>
          <w:b/>
          <w:bCs/>
          <w:sz w:val="24"/>
          <w:szCs w:val="24"/>
        </w:rPr>
        <w:t>Lucht’s Concrete</w:t>
      </w:r>
      <w:r w:rsidRPr="0039769C">
        <w:rPr>
          <w:rFonts w:eastAsia="Times New Roman"/>
          <w:sz w:val="24"/>
          <w:szCs w:val="24"/>
        </w:rPr>
        <w:t>, 255 P.3d at 1061.</w:t>
      </w:r>
    </w:p>
    <w:p w:rsidR="0039769C" w:rsidRDefault="0039769C">
      <w:pPr>
        <w:rPr>
          <w:rFonts w:eastAsia="Times New Roman"/>
          <w:bCs/>
          <w:sz w:val="24"/>
          <w:szCs w:val="24"/>
        </w:rPr>
      </w:pPr>
      <w:r>
        <w:rPr>
          <w:rFonts w:eastAsia="Times New Roman"/>
          <w:bCs/>
          <w:sz w:val="24"/>
          <w:szCs w:val="24"/>
        </w:rPr>
        <w:br w:type="page"/>
      </w:r>
    </w:p>
    <w:p w:rsidR="0039769C" w:rsidRPr="009E3DA4" w:rsidRDefault="003916C4" w:rsidP="0039769C">
      <w:pPr>
        <w:spacing w:after="240"/>
        <w:ind w:left="720" w:hanging="720"/>
        <w:rPr>
          <w:rFonts w:eastAsia="Times New Roman"/>
          <w:b/>
          <w:sz w:val="24"/>
          <w:szCs w:val="24"/>
        </w:rPr>
      </w:pPr>
      <w:bookmarkStart w:id="6" w:name="a31_06"/>
      <w:bookmarkEnd w:id="6"/>
      <w:r w:rsidRPr="003916C4">
        <w:rPr>
          <w:rFonts w:eastAsia="Times New Roman"/>
          <w:b/>
          <w:sz w:val="24"/>
          <w:szCs w:val="24"/>
        </w:rPr>
        <w:lastRenderedPageBreak/>
        <w:t xml:space="preserve">31:6 </w:t>
      </w:r>
      <w:r w:rsidRPr="003916C4">
        <w:rPr>
          <w:rFonts w:eastAsia="Times New Roman"/>
          <w:b/>
          <w:sz w:val="24"/>
          <w:szCs w:val="24"/>
        </w:rPr>
        <w:tab/>
        <w:t xml:space="preserve">GOOD OR JUST </w:t>
      </w:r>
      <w:proofErr w:type="gramStart"/>
      <w:r w:rsidRPr="003916C4">
        <w:rPr>
          <w:rFonts w:eastAsia="Times New Roman"/>
          <w:b/>
          <w:sz w:val="24"/>
          <w:szCs w:val="24"/>
        </w:rPr>
        <w:t>CAUSE</w:t>
      </w:r>
      <w:proofErr w:type="gramEnd"/>
      <w:r w:rsidRPr="003916C4">
        <w:rPr>
          <w:rFonts w:eastAsia="Times New Roman"/>
          <w:b/>
          <w:sz w:val="24"/>
          <w:szCs w:val="24"/>
        </w:rPr>
        <w:t xml:space="preserve"> — DEFINED</w:t>
      </w:r>
    </w:p>
    <w:p w:rsidR="003916C4" w:rsidRPr="003916C4" w:rsidRDefault="003916C4" w:rsidP="003916C4">
      <w:pPr>
        <w:spacing w:after="240"/>
        <w:ind w:firstLine="720"/>
        <w:rPr>
          <w:rFonts w:eastAsia="Times New Roman"/>
          <w:b/>
          <w:sz w:val="24"/>
          <w:szCs w:val="24"/>
        </w:rPr>
      </w:pPr>
      <w:r w:rsidRPr="003916C4">
        <w:rPr>
          <w:rFonts w:eastAsia="Times New Roman"/>
          <w:b/>
          <w:sz w:val="24"/>
          <w:szCs w:val="24"/>
        </w:rPr>
        <w:t>No instruction provided.</w:t>
      </w:r>
    </w:p>
    <w:p w:rsidR="0039769C" w:rsidRDefault="0039769C" w:rsidP="0039769C">
      <w:pPr>
        <w:jc w:val="center"/>
        <w:rPr>
          <w:rFonts w:eastAsia="Times New Roman"/>
          <w:sz w:val="24"/>
          <w:szCs w:val="24"/>
        </w:rPr>
      </w:pPr>
    </w:p>
    <w:p w:rsidR="0039769C" w:rsidRPr="0054263B" w:rsidRDefault="0039769C" w:rsidP="0039769C">
      <w:pPr>
        <w:keepNext/>
        <w:spacing w:after="240"/>
        <w:jc w:val="center"/>
        <w:rPr>
          <w:rFonts w:eastAsia="Times New Roman"/>
          <w:b/>
          <w:sz w:val="24"/>
          <w:szCs w:val="24"/>
        </w:rPr>
      </w:pPr>
      <w:r w:rsidRPr="0054263B">
        <w:rPr>
          <w:rFonts w:eastAsia="Times New Roman"/>
          <w:b/>
          <w:sz w:val="24"/>
          <w:szCs w:val="24"/>
        </w:rPr>
        <w:t>Notes on Use</w:t>
      </w:r>
    </w:p>
    <w:p w:rsidR="003916C4" w:rsidRPr="003916C4" w:rsidRDefault="003916C4" w:rsidP="003916C4">
      <w:pPr>
        <w:spacing w:after="240"/>
        <w:ind w:firstLine="720"/>
        <w:rPr>
          <w:rFonts w:eastAsia="Times New Roman"/>
          <w:sz w:val="24"/>
          <w:szCs w:val="24"/>
        </w:rPr>
      </w:pPr>
      <w:r w:rsidRPr="003916C4">
        <w:rPr>
          <w:rFonts w:eastAsia="Times New Roman"/>
          <w:sz w:val="24"/>
          <w:szCs w:val="24"/>
        </w:rPr>
        <w:t>1. When required, an instruction defining “good and just cause” should be used with Instructions 31:1, 31:3 and 31:4. If the employment contract, handbook, personnel manual, etc., contains a definition or examples of what constitutes “cause” or “good and just cause,” this instruction should set out those examples. If the employment contract, handbook, personnel manual, etc., does not define “cause,” the court may be required to formulate an appropriate instruction informing the jury of what “good or just cause” for termination of employment means.</w:t>
      </w:r>
    </w:p>
    <w:p w:rsidR="003916C4" w:rsidRPr="003916C4" w:rsidRDefault="003916C4" w:rsidP="003916C4">
      <w:pPr>
        <w:spacing w:after="240"/>
        <w:ind w:firstLine="720"/>
        <w:rPr>
          <w:rFonts w:eastAsia="Times New Roman"/>
          <w:sz w:val="24"/>
          <w:szCs w:val="24"/>
        </w:rPr>
      </w:pPr>
      <w:r w:rsidRPr="003916C4">
        <w:rPr>
          <w:rFonts w:eastAsia="Times New Roman"/>
          <w:sz w:val="24"/>
          <w:szCs w:val="24"/>
        </w:rPr>
        <w:t>2. Colorado appellate courts have not yet addressed the following questions, among others, that might be raised by this type of instruction:</w:t>
      </w:r>
    </w:p>
    <w:p w:rsidR="003916C4" w:rsidRPr="003916C4" w:rsidRDefault="003916C4" w:rsidP="003916C4">
      <w:pPr>
        <w:spacing w:after="240"/>
        <w:ind w:firstLine="720"/>
        <w:rPr>
          <w:rFonts w:eastAsia="Times New Roman"/>
          <w:sz w:val="24"/>
          <w:szCs w:val="24"/>
        </w:rPr>
      </w:pPr>
      <w:r w:rsidRPr="003916C4">
        <w:rPr>
          <w:rFonts w:eastAsia="Times New Roman"/>
          <w:sz w:val="24"/>
          <w:szCs w:val="24"/>
        </w:rPr>
        <w:t>a. Whether the test is an objective or subjective one;</w:t>
      </w:r>
    </w:p>
    <w:p w:rsidR="003916C4" w:rsidRPr="003916C4" w:rsidRDefault="003916C4" w:rsidP="003916C4">
      <w:pPr>
        <w:spacing w:after="240"/>
        <w:ind w:firstLine="720"/>
        <w:rPr>
          <w:rFonts w:eastAsia="Times New Roman"/>
          <w:sz w:val="24"/>
          <w:szCs w:val="24"/>
        </w:rPr>
      </w:pPr>
      <w:r w:rsidRPr="003916C4">
        <w:rPr>
          <w:rFonts w:eastAsia="Times New Roman"/>
          <w:sz w:val="24"/>
          <w:szCs w:val="24"/>
        </w:rPr>
        <w:t>b. What constitutes legally sufficient or legally insufficient causes (apart from the clearly insufficient ones such as discrimination on an impermissible basis);</w:t>
      </w:r>
    </w:p>
    <w:p w:rsidR="003916C4" w:rsidRPr="003916C4" w:rsidRDefault="003916C4" w:rsidP="003916C4">
      <w:pPr>
        <w:spacing w:after="240"/>
        <w:ind w:firstLine="720"/>
        <w:rPr>
          <w:rFonts w:eastAsia="Times New Roman"/>
          <w:sz w:val="24"/>
          <w:szCs w:val="24"/>
        </w:rPr>
      </w:pPr>
      <w:r w:rsidRPr="003916C4">
        <w:rPr>
          <w:rFonts w:eastAsia="Times New Roman"/>
          <w:sz w:val="24"/>
          <w:szCs w:val="24"/>
        </w:rPr>
        <w:t>c. The consequences of a “mixed motive” termination (e.g., the employer’s termination decision is based in part on factors that are recited in the manual or are legally sufficient and in part on factors that are not included in the manual or are legally insufficient);</w:t>
      </w:r>
    </w:p>
    <w:p w:rsidR="003916C4" w:rsidRPr="003916C4" w:rsidRDefault="003916C4" w:rsidP="003916C4">
      <w:pPr>
        <w:spacing w:after="240"/>
        <w:ind w:firstLine="720"/>
        <w:rPr>
          <w:rFonts w:eastAsia="Times New Roman"/>
          <w:sz w:val="24"/>
          <w:szCs w:val="24"/>
        </w:rPr>
      </w:pPr>
      <w:r w:rsidRPr="003916C4">
        <w:rPr>
          <w:rFonts w:eastAsia="Times New Roman"/>
          <w:sz w:val="24"/>
          <w:szCs w:val="24"/>
        </w:rPr>
        <w:t>d. Whether “good or just cause” necessarily incorporates components of “due process” (i.e., notice, opportunity to be heard, etc.); or</w:t>
      </w:r>
    </w:p>
    <w:p w:rsidR="003916C4" w:rsidRPr="003916C4" w:rsidRDefault="003916C4" w:rsidP="003916C4">
      <w:pPr>
        <w:spacing w:after="240"/>
        <w:ind w:firstLine="720"/>
        <w:rPr>
          <w:rFonts w:eastAsia="Times New Roman"/>
          <w:sz w:val="24"/>
          <w:szCs w:val="24"/>
        </w:rPr>
      </w:pPr>
      <w:r w:rsidRPr="003916C4">
        <w:rPr>
          <w:rFonts w:eastAsia="Times New Roman"/>
          <w:sz w:val="24"/>
          <w:szCs w:val="24"/>
        </w:rPr>
        <w:t>e. Whether the meaning of the term “good or just cause” is a question of law for the court or a factual question for the jury to determine in light of the facts and circumstances of a given case.</w:t>
      </w:r>
    </w:p>
    <w:p w:rsidR="0039769C" w:rsidRPr="0054263B" w:rsidRDefault="0039769C" w:rsidP="0039769C">
      <w:pPr>
        <w:keepNext/>
        <w:spacing w:after="240"/>
        <w:jc w:val="center"/>
        <w:rPr>
          <w:rFonts w:eastAsia="Times New Roman"/>
          <w:b/>
          <w:sz w:val="24"/>
          <w:szCs w:val="24"/>
        </w:rPr>
      </w:pPr>
      <w:r>
        <w:rPr>
          <w:rFonts w:eastAsia="Times New Roman"/>
          <w:b/>
          <w:sz w:val="24"/>
          <w:szCs w:val="24"/>
        </w:rPr>
        <w:t>Source and Authority</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1. In </w:t>
      </w:r>
      <w:r w:rsidRPr="00A80748">
        <w:rPr>
          <w:rFonts w:eastAsia="Times New Roman"/>
          <w:b/>
          <w:sz w:val="24"/>
          <w:szCs w:val="24"/>
        </w:rPr>
        <w:t>Adams v. Frontier Airlines Federal Credit Union</w:t>
      </w:r>
      <w:r w:rsidRPr="00A80748">
        <w:rPr>
          <w:rFonts w:eastAsia="Times New Roman"/>
          <w:sz w:val="24"/>
          <w:szCs w:val="24"/>
        </w:rPr>
        <w:t>, 691 P.2d 352 (</w:t>
      </w:r>
      <w:r w:rsidR="0067408D">
        <w:rPr>
          <w:rFonts w:eastAsia="Times New Roman"/>
          <w:sz w:val="24"/>
          <w:szCs w:val="24"/>
        </w:rPr>
        <w:t>Colo. App.</w:t>
      </w:r>
      <w:r w:rsidRPr="00A80748">
        <w:rPr>
          <w:rFonts w:eastAsia="Times New Roman"/>
          <w:sz w:val="24"/>
          <w:szCs w:val="24"/>
        </w:rPr>
        <w:t xml:space="preserve"> 1984), the court held that whether an employee’s job performance was adequate was a question for the trier of fact to determine, notwithstanding the employer’s claim that its determination of inadequacy was based on competent evidence and was, therefore, conclusive. Thus, the court implicitly rejected the employer’s subjective good faith determination as a standard for good or just cause.</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2. In </w:t>
      </w:r>
      <w:r w:rsidRPr="00A80748">
        <w:rPr>
          <w:rFonts w:eastAsia="Times New Roman"/>
          <w:b/>
          <w:sz w:val="24"/>
          <w:szCs w:val="24"/>
        </w:rPr>
        <w:t>Fredrickson v. Denver Public School District No. 1</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819 P.2d 1068 (</w:t>
      </w:r>
      <w:r w:rsidR="0067408D">
        <w:rPr>
          <w:rFonts w:eastAsia="Times New Roman"/>
          <w:sz w:val="24"/>
          <w:szCs w:val="24"/>
        </w:rPr>
        <w:t>Colo. App.</w:t>
      </w:r>
      <w:r w:rsidRPr="00A80748">
        <w:rPr>
          <w:rFonts w:eastAsia="Times New Roman"/>
          <w:sz w:val="24"/>
          <w:szCs w:val="24"/>
        </w:rPr>
        <w:t xml:space="preserve">), </w:t>
      </w:r>
      <w:r w:rsidRPr="00A80748">
        <w:rPr>
          <w:rFonts w:eastAsia="Times New Roman"/>
          <w:i/>
          <w:sz w:val="24"/>
          <w:szCs w:val="24"/>
        </w:rPr>
        <w:t>cert. denied</w:t>
      </w:r>
      <w:r w:rsidRPr="00A80748">
        <w:rPr>
          <w:rFonts w:eastAsia="Times New Roman"/>
          <w:sz w:val="24"/>
          <w:szCs w:val="24"/>
        </w:rPr>
        <w:t xml:space="preserve"> (1991), the court construed the “good and just cause” provision of the statute setting forth the grounds for dismissal of a public school teacher with tenure, now § 22-63-301, C.R.S., as requiring conduct that adversely impacts a teacher’s fitness to perform his or her job duties or that materially and substantially affects his or her job performance. </w:t>
      </w:r>
      <w:proofErr w:type="gramStart"/>
      <w:r w:rsidRPr="00A80748">
        <w:rPr>
          <w:rFonts w:eastAsia="Times New Roman"/>
          <w:i/>
          <w:sz w:val="24"/>
          <w:szCs w:val="24"/>
        </w:rPr>
        <w:t>Accord</w:t>
      </w:r>
      <w:r w:rsidRPr="00A80748">
        <w:rPr>
          <w:rFonts w:eastAsia="Times New Roman"/>
          <w:sz w:val="24"/>
          <w:szCs w:val="24"/>
        </w:rPr>
        <w:t xml:space="preserve"> </w:t>
      </w:r>
      <w:r w:rsidRPr="00A80748">
        <w:rPr>
          <w:rFonts w:eastAsia="Times New Roman"/>
          <w:b/>
          <w:sz w:val="24"/>
          <w:szCs w:val="24"/>
        </w:rPr>
        <w:t xml:space="preserve">Board of Educ. v. </w:t>
      </w:r>
      <w:r w:rsidRPr="00A80748">
        <w:rPr>
          <w:rFonts w:eastAsia="Times New Roman"/>
          <w:b/>
          <w:sz w:val="24"/>
          <w:szCs w:val="24"/>
        </w:rPr>
        <w:lastRenderedPageBreak/>
        <w:t>Flaming</w:t>
      </w:r>
      <w:r w:rsidRPr="00A80748">
        <w:rPr>
          <w:rFonts w:eastAsia="Times New Roman"/>
          <w:sz w:val="24"/>
          <w:szCs w:val="24"/>
        </w:rPr>
        <w:t>, 938 P.2d 151 (Colo. 1997).</w:t>
      </w:r>
      <w:proofErr w:type="gramEnd"/>
      <w:r w:rsidRPr="00A80748">
        <w:rPr>
          <w:rFonts w:eastAsia="Times New Roman"/>
          <w:sz w:val="24"/>
          <w:szCs w:val="24"/>
        </w:rPr>
        <w:t xml:space="preserve"> </w:t>
      </w:r>
      <w:r w:rsidRPr="00A80748">
        <w:rPr>
          <w:rFonts w:eastAsia="Times New Roman"/>
          <w:i/>
          <w:sz w:val="24"/>
          <w:szCs w:val="24"/>
        </w:rPr>
        <w:t>See also</w:t>
      </w:r>
      <w:r w:rsidRPr="00A80748">
        <w:rPr>
          <w:rFonts w:eastAsia="Times New Roman"/>
          <w:sz w:val="24"/>
          <w:szCs w:val="24"/>
        </w:rPr>
        <w:t xml:space="preserve"> </w:t>
      </w:r>
      <w:r w:rsidRPr="00A80748">
        <w:rPr>
          <w:rFonts w:eastAsia="Times New Roman"/>
          <w:b/>
          <w:sz w:val="24"/>
          <w:szCs w:val="24"/>
        </w:rPr>
        <w:t>Snyder v. Jefferson County Sch. Dist. R-1</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842 P.2d 624 (Colo. 1992); </w:t>
      </w:r>
      <w:r w:rsidRPr="00A80748">
        <w:rPr>
          <w:rFonts w:eastAsia="Times New Roman"/>
          <w:b/>
          <w:sz w:val="24"/>
          <w:szCs w:val="24"/>
        </w:rPr>
        <w:t>School Dist. No. 1 v. Cornish</w:t>
      </w:r>
      <w:r w:rsidRPr="00A80748">
        <w:rPr>
          <w:rFonts w:eastAsia="Times New Roman"/>
          <w:sz w:val="24"/>
          <w:szCs w:val="24"/>
        </w:rPr>
        <w:t>, 58 P.3d 1091 (</w:t>
      </w:r>
      <w:r w:rsidR="0067408D">
        <w:rPr>
          <w:rFonts w:eastAsia="Times New Roman"/>
          <w:sz w:val="24"/>
          <w:szCs w:val="24"/>
        </w:rPr>
        <w:t>Colo. App.</w:t>
      </w:r>
      <w:r w:rsidRPr="00A80748">
        <w:rPr>
          <w:rFonts w:eastAsia="Times New Roman"/>
          <w:sz w:val="24"/>
          <w:szCs w:val="24"/>
        </w:rPr>
        <w:t xml:space="preserve">), </w:t>
      </w:r>
      <w:r w:rsidRPr="00A80748">
        <w:rPr>
          <w:rFonts w:eastAsia="Times New Roman"/>
          <w:i/>
          <w:sz w:val="24"/>
          <w:szCs w:val="24"/>
        </w:rPr>
        <w:t>cert. denied</w:t>
      </w:r>
      <w:r w:rsidRPr="00A80748">
        <w:rPr>
          <w:rFonts w:eastAsia="Times New Roman"/>
          <w:sz w:val="24"/>
          <w:szCs w:val="24"/>
        </w:rPr>
        <w:t xml:space="preserve"> (2002) (allowing teaching certificate to lapse and not informing school officials of such lapse constituted “other good and just cause” for terminating teacher’s employment); </w:t>
      </w:r>
      <w:r w:rsidRPr="00A80748">
        <w:rPr>
          <w:rFonts w:eastAsia="Times New Roman"/>
          <w:b/>
          <w:sz w:val="24"/>
          <w:szCs w:val="24"/>
        </w:rPr>
        <w:t>Kerin v. Board of Educ.</w:t>
      </w:r>
      <w:r w:rsidRPr="00A80748">
        <w:rPr>
          <w:rFonts w:eastAsia="Times New Roman"/>
          <w:sz w:val="24"/>
          <w:szCs w:val="24"/>
        </w:rPr>
        <w:t>, 860 P.2d 574 (</w:t>
      </w:r>
      <w:r w:rsidR="0067408D">
        <w:rPr>
          <w:rFonts w:eastAsia="Times New Roman"/>
          <w:sz w:val="24"/>
          <w:szCs w:val="24"/>
        </w:rPr>
        <w:t>Colo. App.</w:t>
      </w:r>
      <w:r w:rsidRPr="00A80748">
        <w:rPr>
          <w:rFonts w:eastAsia="Times New Roman"/>
          <w:sz w:val="24"/>
          <w:szCs w:val="24"/>
        </w:rPr>
        <w:t xml:space="preserve">), </w:t>
      </w:r>
      <w:r w:rsidRPr="00A80748">
        <w:rPr>
          <w:rFonts w:eastAsia="Times New Roman"/>
          <w:i/>
          <w:sz w:val="24"/>
          <w:szCs w:val="24"/>
        </w:rPr>
        <w:t>cert. denied</w:t>
      </w:r>
      <w:r w:rsidRPr="00A80748">
        <w:rPr>
          <w:rFonts w:eastAsia="Times New Roman"/>
          <w:sz w:val="24"/>
          <w:szCs w:val="24"/>
        </w:rPr>
        <w:t xml:space="preserve"> (1993).</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3. In </w:t>
      </w:r>
      <w:r w:rsidRPr="00A80748">
        <w:rPr>
          <w:rFonts w:eastAsia="Times New Roman"/>
          <w:b/>
          <w:sz w:val="24"/>
          <w:szCs w:val="24"/>
        </w:rPr>
        <w:t>Barham v. University of Northern Colorado</w:t>
      </w:r>
      <w:r w:rsidRPr="00A80748">
        <w:rPr>
          <w:rFonts w:eastAsia="Times New Roman"/>
          <w:sz w:val="24"/>
          <w:szCs w:val="24"/>
        </w:rPr>
        <w:t>, 964 P.2d 545 (</w:t>
      </w:r>
      <w:r w:rsidR="0067408D">
        <w:rPr>
          <w:rFonts w:eastAsia="Times New Roman"/>
          <w:sz w:val="24"/>
          <w:szCs w:val="24"/>
        </w:rPr>
        <w:t>Colo. App.</w:t>
      </w:r>
      <w:r w:rsidRPr="00A80748">
        <w:rPr>
          <w:rFonts w:eastAsia="Times New Roman"/>
          <w:sz w:val="24"/>
          <w:szCs w:val="24"/>
        </w:rPr>
        <w:t xml:space="preserve"> 1997), </w:t>
      </w:r>
      <w:r w:rsidRPr="00A80748">
        <w:rPr>
          <w:rFonts w:eastAsia="Times New Roman"/>
          <w:i/>
          <w:sz w:val="24"/>
          <w:szCs w:val="24"/>
        </w:rPr>
        <w:t>cert. denied</w:t>
      </w:r>
      <w:r w:rsidRPr="00A80748">
        <w:rPr>
          <w:rFonts w:eastAsia="Times New Roman"/>
          <w:sz w:val="24"/>
          <w:szCs w:val="24"/>
        </w:rPr>
        <w:t xml:space="preserve"> (1998), the court held that a section of the university code providing for termination of tenured faculty only for “legally sufficient ground or reason” was not impermissibly vague and, therefore, did not violate tenured professor’s right to substantive due process or equal protection.</w:t>
      </w:r>
    </w:p>
    <w:p w:rsidR="00A80748" w:rsidRDefault="00A80748">
      <w:pPr>
        <w:rPr>
          <w:rFonts w:eastAsia="Times New Roman"/>
          <w:bCs/>
          <w:sz w:val="24"/>
          <w:szCs w:val="24"/>
        </w:rPr>
      </w:pPr>
      <w:r>
        <w:rPr>
          <w:rFonts w:eastAsia="Times New Roman"/>
          <w:bCs/>
          <w:sz w:val="24"/>
          <w:szCs w:val="24"/>
        </w:rPr>
        <w:br w:type="page"/>
      </w:r>
    </w:p>
    <w:p w:rsidR="00A80748" w:rsidRPr="009E3DA4" w:rsidRDefault="00A80748" w:rsidP="00A80748">
      <w:pPr>
        <w:spacing w:after="240"/>
        <w:ind w:left="720" w:hanging="720"/>
        <w:rPr>
          <w:rFonts w:eastAsia="Times New Roman"/>
          <w:b/>
          <w:sz w:val="24"/>
          <w:szCs w:val="24"/>
        </w:rPr>
      </w:pPr>
      <w:bookmarkStart w:id="7" w:name="a31_07"/>
      <w:bookmarkEnd w:id="7"/>
      <w:r w:rsidRPr="00A80748">
        <w:rPr>
          <w:rFonts w:eastAsia="Times New Roman"/>
          <w:b/>
          <w:sz w:val="24"/>
          <w:szCs w:val="24"/>
        </w:rPr>
        <w:lastRenderedPageBreak/>
        <w:t xml:space="preserve">31:7 </w:t>
      </w:r>
      <w:r w:rsidRPr="00A80748">
        <w:rPr>
          <w:rFonts w:eastAsia="Times New Roman"/>
          <w:b/>
          <w:sz w:val="24"/>
          <w:szCs w:val="24"/>
        </w:rPr>
        <w:tab/>
        <w:t>GENERAL DAMAGES FOR WRONGFUL DISCHARGE — BREACH OF CONTRACT CLAIM</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If you find in favor of the plaintiff, </w:t>
      </w:r>
      <w:r w:rsidRPr="00A80748">
        <w:rPr>
          <w:rFonts w:eastAsia="Times New Roman"/>
          <w:i/>
          <w:sz w:val="24"/>
          <w:szCs w:val="24"/>
        </w:rPr>
        <w:t>(name)</w:t>
      </w:r>
      <w:r w:rsidRPr="00A80748">
        <w:rPr>
          <w:rFonts w:eastAsia="Times New Roman"/>
          <w:b/>
          <w:sz w:val="24"/>
          <w:szCs w:val="24"/>
        </w:rPr>
        <w:t>, on (his) (her) claim for breach of an employment contract, then you must award (him) (her) actual or nominal damages.</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To award actual damages, you must find by a preponderance of the evidence that the plaintiff incurred actual damages as a result of the breach and the amount of those damages.</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To the extent that actual damages have been proved by the evidence, you shall award as actual damages:</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1. The amount of earnings and benefits the plaintiff would have received under the terms of the contract during the full term of the contract:</w:t>
      </w:r>
    </w:p>
    <w:p w:rsidR="00A80748" w:rsidRPr="00A80748" w:rsidRDefault="00A80748" w:rsidP="00A80748">
      <w:pPr>
        <w:spacing w:after="240"/>
        <w:ind w:left="720"/>
        <w:rPr>
          <w:rFonts w:eastAsia="Times New Roman"/>
          <w:b/>
          <w:sz w:val="24"/>
          <w:szCs w:val="24"/>
        </w:rPr>
      </w:pPr>
      <w:proofErr w:type="gramStart"/>
      <w:r w:rsidRPr="00A80748">
        <w:rPr>
          <w:rFonts w:eastAsia="Times New Roman"/>
          <w:b/>
          <w:sz w:val="24"/>
          <w:szCs w:val="24"/>
        </w:rPr>
        <w:t>a</w:t>
      </w:r>
      <w:proofErr w:type="gramEnd"/>
      <w:r w:rsidRPr="00A80748">
        <w:rPr>
          <w:rFonts w:eastAsia="Times New Roman"/>
          <w:b/>
          <w:sz w:val="24"/>
          <w:szCs w:val="24"/>
        </w:rPr>
        <w:t>. less any expenses arising from the contract which (he) (she) did not have to pay because the contract was ended; and</w:t>
      </w:r>
    </w:p>
    <w:p w:rsidR="00A80748" w:rsidRPr="00A80748" w:rsidRDefault="00A80748" w:rsidP="00A80748">
      <w:pPr>
        <w:spacing w:after="240"/>
        <w:ind w:left="720"/>
        <w:rPr>
          <w:rFonts w:eastAsia="Times New Roman"/>
          <w:b/>
          <w:sz w:val="24"/>
          <w:szCs w:val="24"/>
        </w:rPr>
      </w:pPr>
      <w:proofErr w:type="gramStart"/>
      <w:r w:rsidRPr="00A80748">
        <w:rPr>
          <w:rFonts w:eastAsia="Times New Roman"/>
          <w:b/>
          <w:sz w:val="24"/>
          <w:szCs w:val="24"/>
        </w:rPr>
        <w:t>b</w:t>
      </w:r>
      <w:proofErr w:type="gramEnd"/>
      <w:r w:rsidRPr="00A80748">
        <w:rPr>
          <w:rFonts w:eastAsia="Times New Roman"/>
          <w:b/>
          <w:sz w:val="24"/>
          <w:szCs w:val="24"/>
        </w:rPr>
        <w:t>. less any amount (he) (she) earned from any replacement employment; and</w:t>
      </w:r>
    </w:p>
    <w:p w:rsidR="00A80748" w:rsidRPr="00A80748" w:rsidRDefault="00A80748" w:rsidP="00A80748">
      <w:pPr>
        <w:spacing w:after="240"/>
        <w:ind w:left="720"/>
        <w:rPr>
          <w:rFonts w:eastAsia="Times New Roman"/>
          <w:b/>
          <w:sz w:val="24"/>
          <w:szCs w:val="24"/>
        </w:rPr>
      </w:pPr>
      <w:proofErr w:type="gramStart"/>
      <w:r w:rsidRPr="00A80748">
        <w:rPr>
          <w:rFonts w:eastAsia="Times New Roman"/>
          <w:b/>
          <w:sz w:val="24"/>
          <w:szCs w:val="24"/>
        </w:rPr>
        <w:t>c</w:t>
      </w:r>
      <w:proofErr w:type="gramEnd"/>
      <w:r w:rsidRPr="00A80748">
        <w:rPr>
          <w:rFonts w:eastAsia="Times New Roman"/>
          <w:b/>
          <w:sz w:val="24"/>
          <w:szCs w:val="24"/>
        </w:rPr>
        <w:t>. less any amount (he) (she) reasonably could have earned from any replacement employment.</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w:t>
      </w:r>
      <w:r w:rsidRPr="00A80748">
        <w:rPr>
          <w:rFonts w:eastAsia="Times New Roman"/>
          <w:i/>
          <w:sz w:val="24"/>
          <w:szCs w:val="24"/>
        </w:rPr>
        <w:t>(Insert the proper measure of any recoverable special damages of which there is sufficient evidence)</w:t>
      </w:r>
      <w:r w:rsidRPr="00A80748">
        <w:rPr>
          <w:rFonts w:eastAsia="Times New Roman"/>
          <w:b/>
          <w:sz w:val="24"/>
          <w:szCs w:val="24"/>
        </w:rPr>
        <w:t xml:space="preserve">, provided, as to these damages, you find by a preponderance of the evidence (a) that they were a natural and probable consequence of the claimed breach of the contract by the defendant, </w:t>
      </w:r>
      <w:r w:rsidRPr="00A80748">
        <w:rPr>
          <w:rFonts w:eastAsia="Times New Roman"/>
          <w:i/>
          <w:sz w:val="24"/>
          <w:szCs w:val="24"/>
        </w:rPr>
        <w:t>(name)</w:t>
      </w:r>
      <w:r w:rsidRPr="00A80748">
        <w:rPr>
          <w:rFonts w:eastAsia="Times New Roman"/>
          <w:b/>
          <w:sz w:val="24"/>
          <w:szCs w:val="24"/>
        </w:rPr>
        <w:t>, and (b) that, at the time the parties entered into the contract, the defendant reasonably could have anticipated from the facts or circumstances that the defendant knew or should have known that these damages would probably be incurred by the plaintiff if the defendant breached the contract.</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If you find in favor of the plaintiff, but do not find any actual damages, you shall nonetheless award (him) (her) nominal damages in the sum of one dollar.</w:t>
      </w:r>
    </w:p>
    <w:p w:rsidR="00A80748" w:rsidRDefault="00A80748" w:rsidP="00A80748">
      <w:pPr>
        <w:jc w:val="center"/>
        <w:rPr>
          <w:rFonts w:eastAsia="Times New Roman"/>
          <w:sz w:val="24"/>
          <w:szCs w:val="24"/>
        </w:rPr>
      </w:pPr>
    </w:p>
    <w:p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1. Use whichever parenthesized and bracketed words and phrases are appropriate.</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2. Except when the amount of damages is not in dispute, e.g., liquidated damages, the amount due on a promissory note, etc., the instruction should not state the amount of damages prayed for. </w:t>
      </w:r>
      <w:r w:rsidRPr="00A80748">
        <w:rPr>
          <w:rFonts w:eastAsia="Times New Roman"/>
          <w:i/>
          <w:sz w:val="24"/>
          <w:szCs w:val="24"/>
        </w:rPr>
        <w:t>See</w:t>
      </w:r>
      <w:r w:rsidRPr="00A80748">
        <w:rPr>
          <w:rFonts w:eastAsia="Times New Roman"/>
          <w:sz w:val="24"/>
          <w:szCs w:val="24"/>
        </w:rPr>
        <w:t xml:space="preserve"> </w:t>
      </w:r>
      <w:r w:rsidRPr="00A80748">
        <w:rPr>
          <w:rFonts w:eastAsia="Times New Roman"/>
          <w:b/>
          <w:sz w:val="24"/>
          <w:szCs w:val="24"/>
        </w:rPr>
        <w:t>Rodrigue v. Hausman</w:t>
      </w:r>
      <w:r w:rsidRPr="00A80748">
        <w:rPr>
          <w:rFonts w:eastAsia="Times New Roman"/>
          <w:sz w:val="24"/>
          <w:szCs w:val="24"/>
        </w:rPr>
        <w:t xml:space="preserve">, 33 </w:t>
      </w:r>
      <w:r w:rsidR="0067408D">
        <w:rPr>
          <w:rFonts w:eastAsia="Times New Roman"/>
          <w:sz w:val="24"/>
          <w:szCs w:val="24"/>
        </w:rPr>
        <w:t>Colo. App.</w:t>
      </w:r>
      <w:r w:rsidRPr="00A80748">
        <w:rPr>
          <w:rFonts w:eastAsia="Times New Roman"/>
          <w:sz w:val="24"/>
          <w:szCs w:val="24"/>
        </w:rPr>
        <w:t xml:space="preserve"> 305, </w:t>
      </w:r>
      <w:proofErr w:type="gramStart"/>
      <w:r w:rsidRPr="00A80748">
        <w:rPr>
          <w:rFonts w:eastAsia="Times New Roman"/>
          <w:sz w:val="24"/>
          <w:szCs w:val="24"/>
        </w:rPr>
        <w:t>519 P.2d 1216</w:t>
      </w:r>
      <w:proofErr w:type="gramEnd"/>
      <w:r w:rsidRPr="00A80748">
        <w:rPr>
          <w:rFonts w:eastAsia="Times New Roman"/>
          <w:sz w:val="24"/>
          <w:szCs w:val="24"/>
        </w:rPr>
        <w:t xml:space="preserve"> (1974).</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3. Omit either numbered paragraph 1 or 2 if inapplicable.</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4. If there is sufficient evidence that the plaintiff may not have reasonably mitigated his or her damages by seeking other employment, paragraph 1c of this instruction should be given </w:t>
      </w:r>
      <w:r w:rsidRPr="00A80748">
        <w:rPr>
          <w:rFonts w:eastAsia="Times New Roman"/>
          <w:sz w:val="24"/>
          <w:szCs w:val="24"/>
        </w:rPr>
        <w:lastRenderedPageBreak/>
        <w:t xml:space="preserve">together with Instruction 5:2. An employee’s duty to mitigate or minimize damages includes duty to accept unconditional offer of reinstatement if no special circumstances exist to justify rejection of offer. </w:t>
      </w:r>
      <w:r w:rsidRPr="00A80748">
        <w:rPr>
          <w:rFonts w:eastAsia="Times New Roman"/>
          <w:b/>
          <w:sz w:val="24"/>
          <w:szCs w:val="24"/>
        </w:rPr>
        <w:t>Fair v. Red Lion Inn</w:t>
      </w:r>
      <w:r w:rsidRPr="00A80748">
        <w:rPr>
          <w:rFonts w:eastAsia="Times New Roman"/>
          <w:sz w:val="24"/>
          <w:szCs w:val="24"/>
        </w:rPr>
        <w:t>, 943 P.2d 431 (Colo. 1997) (employee’s rejection of employer’s unconditional offer of reinstatement resulted in loss of any claim for damages for back pay from date of offer).</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5. In any case where, in mitigating damages, the plaintiff has incurred additional expenses, such damages may be recovered as special damages. </w:t>
      </w:r>
      <w:proofErr w:type="gramStart"/>
      <w:r w:rsidRPr="00A80748">
        <w:rPr>
          <w:rFonts w:eastAsia="Times New Roman"/>
          <w:i/>
          <w:sz w:val="24"/>
          <w:szCs w:val="24"/>
        </w:rPr>
        <w:t>See, e.g.</w:t>
      </w:r>
      <w:r w:rsidRPr="00A80748">
        <w:rPr>
          <w:rFonts w:eastAsia="Times New Roman"/>
          <w:sz w:val="24"/>
          <w:szCs w:val="24"/>
        </w:rPr>
        <w:t xml:space="preserve">, </w:t>
      </w:r>
      <w:r w:rsidRPr="00A80748">
        <w:rPr>
          <w:rFonts w:eastAsia="Times New Roman"/>
          <w:b/>
          <w:sz w:val="24"/>
          <w:szCs w:val="24"/>
        </w:rPr>
        <w:t>School Dist. No. 3 v. Nash</w:t>
      </w:r>
      <w:r w:rsidRPr="00A80748">
        <w:rPr>
          <w:rFonts w:eastAsia="Times New Roman"/>
          <w:sz w:val="24"/>
          <w:szCs w:val="24"/>
        </w:rPr>
        <w:t xml:space="preserve">, 27 </w:t>
      </w:r>
      <w:r w:rsidR="0067408D">
        <w:rPr>
          <w:rFonts w:eastAsia="Times New Roman"/>
          <w:sz w:val="24"/>
          <w:szCs w:val="24"/>
        </w:rPr>
        <w:t>Colo. App.</w:t>
      </w:r>
      <w:r w:rsidRPr="00A80748">
        <w:rPr>
          <w:rFonts w:eastAsia="Times New Roman"/>
          <w:sz w:val="24"/>
          <w:szCs w:val="24"/>
        </w:rPr>
        <w:t xml:space="preserve"> 551, 140 P. 473 (1914).</w:t>
      </w:r>
      <w:proofErr w:type="gramEnd"/>
      <w:r w:rsidRPr="00A80748">
        <w:rPr>
          <w:rFonts w:eastAsia="Times New Roman"/>
          <w:sz w:val="24"/>
          <w:szCs w:val="24"/>
        </w:rPr>
        <w:t xml:space="preserve"> </w:t>
      </w:r>
      <w:r w:rsidRPr="00A80748">
        <w:rPr>
          <w:rFonts w:eastAsia="Times New Roman"/>
          <w:i/>
          <w:sz w:val="24"/>
          <w:szCs w:val="24"/>
        </w:rPr>
        <w:t>See also</w:t>
      </w:r>
      <w:r w:rsidRPr="00A80748">
        <w:rPr>
          <w:rFonts w:eastAsia="Times New Roman"/>
          <w:sz w:val="24"/>
          <w:szCs w:val="24"/>
        </w:rPr>
        <w:t xml:space="preserve"> Instruction 31:8 (Mitigation of Damages for Wrongful Discharge).</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6. </w:t>
      </w:r>
      <w:proofErr w:type="gramStart"/>
      <w:r w:rsidRPr="00A80748">
        <w:rPr>
          <w:rFonts w:eastAsia="Times New Roman"/>
          <w:sz w:val="24"/>
          <w:szCs w:val="24"/>
        </w:rPr>
        <w:t>For</w:t>
      </w:r>
      <w:proofErr w:type="gramEnd"/>
      <w:r w:rsidRPr="00A80748">
        <w:rPr>
          <w:rFonts w:eastAsia="Times New Roman"/>
          <w:sz w:val="24"/>
          <w:szCs w:val="24"/>
        </w:rPr>
        <w:t xml:space="preserve"> authorities on the measure of damages in breach of contract cases in general, see Source and Authority to Instruction 30:37.</w:t>
      </w:r>
    </w:p>
    <w:p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1. This instruction is supported by </w:t>
      </w:r>
      <w:r w:rsidRPr="00A80748">
        <w:rPr>
          <w:rFonts w:eastAsia="Times New Roman"/>
          <w:b/>
          <w:sz w:val="24"/>
          <w:szCs w:val="24"/>
        </w:rPr>
        <w:t>Colorado School of Mines v. Neighbors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119 Colo. 399, 203 P.2d 904 (1949) (plaintiff entitled only to nominal damages where his earnings after the breach exceeded those he would have earned under the contract); </w:t>
      </w:r>
      <w:r w:rsidRPr="00A80748">
        <w:rPr>
          <w:rFonts w:eastAsia="Times New Roman"/>
          <w:b/>
          <w:sz w:val="24"/>
          <w:szCs w:val="24"/>
        </w:rPr>
        <w:t>Ryan v. School District No. 2</w:t>
      </w:r>
      <w:r w:rsidRPr="00A80748">
        <w:rPr>
          <w:rFonts w:eastAsia="Times New Roman"/>
          <w:sz w:val="24"/>
          <w:szCs w:val="24"/>
        </w:rPr>
        <w:t xml:space="preserve">, 68 Colo. 370, 189 P. 782 (1920) (same); </w:t>
      </w:r>
      <w:r w:rsidRPr="00A80748">
        <w:rPr>
          <w:rFonts w:eastAsia="Times New Roman"/>
          <w:b/>
          <w:sz w:val="24"/>
          <w:szCs w:val="24"/>
        </w:rPr>
        <w:t>Saxonia Mining &amp; Reduction Co. v. Cook</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7 Colo. 569, 4 P. 1111 (1884); </w:t>
      </w:r>
      <w:r w:rsidRPr="00A80748">
        <w:rPr>
          <w:rFonts w:eastAsia="Times New Roman"/>
          <w:smallCaps/>
          <w:sz w:val="24"/>
          <w:szCs w:val="24"/>
        </w:rPr>
        <w:t>C. McCormick, Damages</w:t>
      </w:r>
      <w:r w:rsidRPr="00A80748">
        <w:rPr>
          <w:rFonts w:eastAsia="Times New Roman"/>
          <w:sz w:val="24"/>
          <w:szCs w:val="24"/>
        </w:rPr>
        <w:t xml:space="preserve"> §§ 158-162 (1935). </w:t>
      </w:r>
      <w:r w:rsidRPr="00A80748">
        <w:rPr>
          <w:rFonts w:eastAsia="Times New Roman"/>
          <w:i/>
          <w:sz w:val="24"/>
          <w:szCs w:val="24"/>
        </w:rPr>
        <w:t>See also</w:t>
      </w:r>
      <w:r w:rsidRPr="00A80748">
        <w:rPr>
          <w:rFonts w:eastAsia="Times New Roman"/>
          <w:sz w:val="24"/>
          <w:szCs w:val="24"/>
        </w:rPr>
        <w:t xml:space="preserve"> </w:t>
      </w:r>
      <w:r w:rsidRPr="00A80748">
        <w:rPr>
          <w:rFonts w:eastAsia="Times New Roman"/>
          <w:b/>
          <w:sz w:val="24"/>
          <w:szCs w:val="24"/>
        </w:rPr>
        <w:t>Adams v. Frontier Airlines Fed. Credit Union</w:t>
      </w:r>
      <w:r w:rsidRPr="00A80748">
        <w:rPr>
          <w:rFonts w:eastAsia="Times New Roman"/>
          <w:sz w:val="24"/>
          <w:szCs w:val="24"/>
        </w:rPr>
        <w:t>, 691 P.2d 352 (</w:t>
      </w:r>
      <w:r w:rsidR="0067408D">
        <w:rPr>
          <w:rFonts w:eastAsia="Times New Roman"/>
          <w:sz w:val="24"/>
          <w:szCs w:val="24"/>
        </w:rPr>
        <w:t>Colo. App.</w:t>
      </w:r>
      <w:r w:rsidRPr="00A80748">
        <w:rPr>
          <w:rFonts w:eastAsia="Times New Roman"/>
          <w:sz w:val="24"/>
          <w:szCs w:val="24"/>
        </w:rPr>
        <w:t xml:space="preserve">), </w:t>
      </w:r>
      <w:r w:rsidRPr="00A80748">
        <w:rPr>
          <w:rFonts w:eastAsia="Times New Roman"/>
          <w:i/>
          <w:sz w:val="24"/>
          <w:szCs w:val="24"/>
        </w:rPr>
        <w:t>cert. denied</w:t>
      </w:r>
      <w:r w:rsidRPr="00A80748">
        <w:rPr>
          <w:rFonts w:eastAsia="Times New Roman"/>
          <w:sz w:val="24"/>
          <w:szCs w:val="24"/>
        </w:rPr>
        <w:t xml:space="preserve"> (1984) (plaintiff entitled to recover value of benefits employment contract provided including employer’s pension contributions, life, health and dental insurance, and use of car); </w:t>
      </w:r>
      <w:r w:rsidRPr="00A80748">
        <w:rPr>
          <w:rFonts w:eastAsia="Times New Roman"/>
          <w:b/>
          <w:sz w:val="24"/>
          <w:szCs w:val="24"/>
        </w:rPr>
        <w:t>Technical Computer Servs., Inc. v. Buckley</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844 P.2d 1249 (</w:t>
      </w:r>
      <w:r w:rsidR="0067408D">
        <w:rPr>
          <w:rFonts w:eastAsia="Times New Roman"/>
          <w:sz w:val="24"/>
          <w:szCs w:val="24"/>
        </w:rPr>
        <w:t>Colo. App.</w:t>
      </w:r>
      <w:r w:rsidRPr="00A80748">
        <w:rPr>
          <w:rFonts w:eastAsia="Times New Roman"/>
          <w:sz w:val="24"/>
          <w:szCs w:val="24"/>
        </w:rPr>
        <w:t xml:space="preserve"> 1992), </w:t>
      </w:r>
      <w:r w:rsidRPr="00A80748">
        <w:rPr>
          <w:rFonts w:eastAsia="Times New Roman"/>
          <w:i/>
          <w:sz w:val="24"/>
          <w:szCs w:val="24"/>
        </w:rPr>
        <w:t>cert. denied</w:t>
      </w:r>
      <w:r w:rsidRPr="00A80748">
        <w:rPr>
          <w:rFonts w:eastAsia="Times New Roman"/>
          <w:sz w:val="24"/>
          <w:szCs w:val="24"/>
        </w:rPr>
        <w:t xml:space="preserve"> (1993) (damages reduced by amount of salary received from other employment).</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2. For additional damages that an employee may be entitled to recover upon termination as a civil penalty for an employer’s refusal, without a good faith legal justification, to pay compensation promptly when due, see § 8-4-109, C.R.S., formerly § 8-4-104, C.R.S.; </w:t>
      </w:r>
      <w:r w:rsidRPr="00A80748">
        <w:rPr>
          <w:rFonts w:eastAsia="Times New Roman"/>
          <w:b/>
          <w:sz w:val="24"/>
          <w:szCs w:val="24"/>
        </w:rPr>
        <w:t>Jet Courier Services, Inc. v. Mulei</w:t>
      </w:r>
      <w:r w:rsidRPr="00A80748">
        <w:rPr>
          <w:rFonts w:eastAsia="Times New Roman"/>
          <w:sz w:val="24"/>
          <w:szCs w:val="24"/>
        </w:rPr>
        <w:t xml:space="preserve">, 771 P.2d 486, 500-01 (Colo. 1989) (discussing the statute); </w:t>
      </w:r>
      <w:r w:rsidRPr="00A80748">
        <w:rPr>
          <w:rFonts w:eastAsia="Times New Roman"/>
          <w:b/>
          <w:sz w:val="24"/>
          <w:szCs w:val="24"/>
        </w:rPr>
        <w:t>Porter v. Castle Rock Ford Lincoln Mercury, Inc.</w:t>
      </w:r>
      <w:r w:rsidRPr="00A80748">
        <w:rPr>
          <w:rFonts w:eastAsia="Times New Roman"/>
          <w:sz w:val="24"/>
          <w:szCs w:val="24"/>
        </w:rPr>
        <w:t>, 895 P.2d 1146 (</w:t>
      </w:r>
      <w:r w:rsidR="0067408D">
        <w:rPr>
          <w:rFonts w:eastAsia="Times New Roman"/>
          <w:sz w:val="24"/>
          <w:szCs w:val="24"/>
        </w:rPr>
        <w:t>Colo. App.</w:t>
      </w:r>
      <w:r w:rsidRPr="00A80748">
        <w:rPr>
          <w:rFonts w:eastAsia="Times New Roman"/>
          <w:sz w:val="24"/>
          <w:szCs w:val="24"/>
        </w:rPr>
        <w:t xml:space="preserve"> 1995); </w:t>
      </w:r>
      <w:r w:rsidRPr="00A80748">
        <w:rPr>
          <w:rFonts w:eastAsia="Times New Roman"/>
          <w:b/>
          <w:sz w:val="24"/>
          <w:szCs w:val="24"/>
        </w:rPr>
        <w:t>Technical Computer Services, Inc. v. Buckley</w:t>
      </w:r>
      <w:r w:rsidRPr="00A80748">
        <w:rPr>
          <w:rFonts w:eastAsia="Times New Roman"/>
          <w:sz w:val="24"/>
          <w:szCs w:val="24"/>
        </w:rPr>
        <w:t>, 844 P.2d 1249 (</w:t>
      </w:r>
      <w:r w:rsidR="0067408D">
        <w:rPr>
          <w:rFonts w:eastAsia="Times New Roman"/>
          <w:sz w:val="24"/>
          <w:szCs w:val="24"/>
        </w:rPr>
        <w:t>Colo. App.</w:t>
      </w:r>
      <w:r w:rsidRPr="00A80748">
        <w:rPr>
          <w:rFonts w:eastAsia="Times New Roman"/>
          <w:sz w:val="24"/>
          <w:szCs w:val="24"/>
        </w:rPr>
        <w:t xml:space="preserve"> 1992), </w:t>
      </w:r>
      <w:r w:rsidRPr="00A80748">
        <w:rPr>
          <w:rFonts w:eastAsia="Times New Roman"/>
          <w:i/>
          <w:sz w:val="24"/>
          <w:szCs w:val="24"/>
        </w:rPr>
        <w:t>cert. denied</w:t>
      </w:r>
      <w:r w:rsidRPr="00A80748">
        <w:rPr>
          <w:rFonts w:eastAsia="Times New Roman"/>
          <w:sz w:val="24"/>
          <w:szCs w:val="24"/>
        </w:rPr>
        <w:t xml:space="preserve"> (1993). </w:t>
      </w:r>
      <w:r w:rsidRPr="00A80748">
        <w:rPr>
          <w:rFonts w:eastAsia="Times New Roman"/>
          <w:i/>
          <w:sz w:val="24"/>
          <w:szCs w:val="24"/>
        </w:rPr>
        <w:t>See also</w:t>
      </w:r>
      <w:r w:rsidRPr="00A80748">
        <w:rPr>
          <w:rFonts w:eastAsia="Times New Roman"/>
          <w:sz w:val="24"/>
          <w:szCs w:val="24"/>
        </w:rPr>
        <w:t xml:space="preserve"> </w:t>
      </w:r>
      <w:r w:rsidRPr="00A80748">
        <w:rPr>
          <w:rFonts w:eastAsia="Times New Roman"/>
          <w:b/>
          <w:sz w:val="24"/>
          <w:szCs w:val="24"/>
        </w:rPr>
        <w:t>Carruthers v. Carrier Access Corp.</w:t>
      </w:r>
      <w:r w:rsidRPr="00A80748">
        <w:rPr>
          <w:rFonts w:eastAsia="Times New Roman"/>
          <w:sz w:val="24"/>
          <w:szCs w:val="24"/>
        </w:rPr>
        <w:t>, 251 P.3d 1199 (</w:t>
      </w:r>
      <w:r w:rsidR="0067408D">
        <w:rPr>
          <w:rFonts w:eastAsia="Times New Roman"/>
          <w:sz w:val="24"/>
          <w:szCs w:val="24"/>
        </w:rPr>
        <w:t>Colo. App.</w:t>
      </w:r>
      <w:r w:rsidRPr="00A80748">
        <w:rPr>
          <w:rFonts w:eastAsia="Times New Roman"/>
          <w:sz w:val="24"/>
          <w:szCs w:val="24"/>
        </w:rPr>
        <w:t xml:space="preserve"> 2010) (prevailing employees and employers may recover attorney fees and costs under the wage statute unless the wage claim is for less than $7,500, in which case only employers may recover such costs if the court finds that the employee’s wage claim is frivolous); </w:t>
      </w:r>
      <w:r w:rsidRPr="00A80748">
        <w:rPr>
          <w:rFonts w:eastAsia="Times New Roman"/>
          <w:b/>
          <w:sz w:val="24"/>
          <w:szCs w:val="24"/>
        </w:rPr>
        <w:t>Lee v. Great Empire Broad., Inc.</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794 P.2d 1032 (</w:t>
      </w:r>
      <w:r w:rsidR="0067408D">
        <w:rPr>
          <w:rFonts w:eastAsia="Times New Roman"/>
          <w:sz w:val="24"/>
          <w:szCs w:val="24"/>
        </w:rPr>
        <w:t>Colo. App.</w:t>
      </w:r>
      <w:r w:rsidRPr="00A80748">
        <w:rPr>
          <w:rFonts w:eastAsia="Times New Roman"/>
          <w:sz w:val="24"/>
          <w:szCs w:val="24"/>
        </w:rPr>
        <w:t xml:space="preserve"> 1989) (wage statute applies only to wages earned and unpaid at the time of employee’s discharge).</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3. As to when a plaintiff may be entitled to recover interest on damages for breach of contract, generally, see Note 5 of the Introductory Note to Part E of Chapter 30. </w:t>
      </w:r>
      <w:r w:rsidRPr="00A80748">
        <w:rPr>
          <w:rFonts w:eastAsia="Times New Roman"/>
          <w:i/>
          <w:sz w:val="24"/>
          <w:szCs w:val="24"/>
        </w:rPr>
        <w:t>See also</w:t>
      </w:r>
      <w:r w:rsidRPr="00A80748">
        <w:rPr>
          <w:rFonts w:eastAsia="Times New Roman"/>
          <w:sz w:val="24"/>
          <w:szCs w:val="24"/>
        </w:rPr>
        <w:t xml:space="preserve"> </w:t>
      </w:r>
      <w:r w:rsidRPr="00A80748">
        <w:rPr>
          <w:rFonts w:eastAsia="Times New Roman"/>
          <w:b/>
          <w:sz w:val="24"/>
          <w:szCs w:val="24"/>
        </w:rPr>
        <w:t>Shannon v. Colorado Sch. of Mines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847 P.2d 210 (</w:t>
      </w:r>
      <w:r w:rsidR="0067408D">
        <w:rPr>
          <w:rFonts w:eastAsia="Times New Roman"/>
          <w:sz w:val="24"/>
          <w:szCs w:val="24"/>
        </w:rPr>
        <w:t>Colo. App.</w:t>
      </w:r>
      <w:r w:rsidRPr="00A80748">
        <w:rPr>
          <w:rFonts w:eastAsia="Times New Roman"/>
          <w:sz w:val="24"/>
          <w:szCs w:val="24"/>
        </w:rPr>
        <w:t xml:space="preserve"> 1992) (prejudgment interest on damages for loss of future profits not recoverable).</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4. Under the collateral source rule, damages awarded for breach of an employment contract cannot be reduced by the amount of unemployment benefits received by the discharged </w:t>
      </w:r>
      <w:r w:rsidRPr="00A80748">
        <w:rPr>
          <w:rFonts w:eastAsia="Times New Roman"/>
          <w:sz w:val="24"/>
          <w:szCs w:val="24"/>
        </w:rPr>
        <w:lastRenderedPageBreak/>
        <w:t xml:space="preserve">employee. </w:t>
      </w:r>
      <w:r w:rsidRPr="00A80748">
        <w:rPr>
          <w:rFonts w:eastAsia="Times New Roman"/>
          <w:b/>
          <w:sz w:val="24"/>
          <w:szCs w:val="24"/>
        </w:rPr>
        <w:t>Technical Computer Servs., Inc. v. Buckley</w:t>
      </w:r>
      <w:r w:rsidRPr="00A80748">
        <w:rPr>
          <w:rFonts w:eastAsia="Times New Roman"/>
          <w:sz w:val="24"/>
          <w:szCs w:val="24"/>
        </w:rPr>
        <w:t>, 844 P.2d 1249 (</w:t>
      </w:r>
      <w:r w:rsidR="0067408D">
        <w:rPr>
          <w:rFonts w:eastAsia="Times New Roman"/>
          <w:sz w:val="24"/>
          <w:szCs w:val="24"/>
        </w:rPr>
        <w:t>Colo. App.</w:t>
      </w:r>
      <w:r w:rsidRPr="00A80748">
        <w:rPr>
          <w:rFonts w:eastAsia="Times New Roman"/>
          <w:sz w:val="24"/>
          <w:szCs w:val="24"/>
        </w:rPr>
        <w:t xml:space="preserve"> 1992), </w:t>
      </w:r>
      <w:r w:rsidRPr="00A80748">
        <w:rPr>
          <w:rFonts w:eastAsia="Times New Roman"/>
          <w:i/>
          <w:sz w:val="24"/>
          <w:szCs w:val="24"/>
        </w:rPr>
        <w:t>cert. denied</w:t>
      </w:r>
      <w:r w:rsidRPr="00A80748">
        <w:rPr>
          <w:rFonts w:eastAsia="Times New Roman"/>
          <w:sz w:val="24"/>
          <w:szCs w:val="24"/>
        </w:rPr>
        <w:t xml:space="preserve"> (1993).</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5. If an employee is discharged in violation of the procedural provisions of a personnel manual or handbook (see Instruction 31:4), but the employer establishes “good or just cause” for the discharge, an award of nominal damages may be appropriate. </w:t>
      </w:r>
      <w:r w:rsidRPr="00A80748">
        <w:rPr>
          <w:rFonts w:eastAsia="Times New Roman"/>
          <w:i/>
          <w:sz w:val="24"/>
          <w:szCs w:val="24"/>
        </w:rPr>
        <w:t xml:space="preserve">See </w:t>
      </w:r>
      <w:r w:rsidRPr="00A80748">
        <w:rPr>
          <w:rFonts w:eastAsia="Times New Roman"/>
          <w:b/>
          <w:sz w:val="24"/>
          <w:szCs w:val="24"/>
        </w:rPr>
        <w:t>Rogers v. Board of Trustees</w:t>
      </w:r>
      <w:r w:rsidRPr="00A80748">
        <w:rPr>
          <w:rFonts w:eastAsia="Times New Roman"/>
          <w:sz w:val="24"/>
          <w:szCs w:val="24"/>
        </w:rPr>
        <w:t>, 859 P.2d 284 (</w:t>
      </w:r>
      <w:r w:rsidR="0067408D">
        <w:rPr>
          <w:rFonts w:eastAsia="Times New Roman"/>
          <w:sz w:val="24"/>
          <w:szCs w:val="24"/>
        </w:rPr>
        <w:t>Colo. App.</w:t>
      </w:r>
      <w:r w:rsidRPr="00A80748">
        <w:rPr>
          <w:rFonts w:eastAsia="Times New Roman"/>
          <w:sz w:val="24"/>
          <w:szCs w:val="24"/>
        </w:rPr>
        <w:t xml:space="preserve">), </w:t>
      </w:r>
      <w:r w:rsidRPr="00A80748">
        <w:rPr>
          <w:rFonts w:eastAsia="Times New Roman"/>
          <w:i/>
          <w:sz w:val="24"/>
          <w:szCs w:val="24"/>
        </w:rPr>
        <w:t>cert. denied</w:t>
      </w:r>
      <w:r w:rsidRPr="00A80748">
        <w:rPr>
          <w:rFonts w:eastAsia="Times New Roman"/>
          <w:sz w:val="24"/>
          <w:szCs w:val="24"/>
        </w:rPr>
        <w:t xml:space="preserve"> (1993).</w:t>
      </w:r>
    </w:p>
    <w:p w:rsidR="00A80748" w:rsidRDefault="00A80748">
      <w:pPr>
        <w:rPr>
          <w:rFonts w:eastAsia="Times New Roman"/>
          <w:bCs/>
          <w:sz w:val="24"/>
          <w:szCs w:val="24"/>
        </w:rPr>
      </w:pPr>
      <w:r>
        <w:rPr>
          <w:rFonts w:eastAsia="Times New Roman"/>
          <w:bCs/>
          <w:sz w:val="24"/>
          <w:szCs w:val="24"/>
        </w:rPr>
        <w:br w:type="page"/>
      </w:r>
    </w:p>
    <w:p w:rsidR="00A80748" w:rsidRPr="009E3DA4" w:rsidRDefault="00A80748" w:rsidP="00A80748">
      <w:pPr>
        <w:spacing w:after="240"/>
        <w:ind w:left="720" w:hanging="720"/>
        <w:rPr>
          <w:rFonts w:eastAsia="Times New Roman"/>
          <w:b/>
          <w:sz w:val="24"/>
          <w:szCs w:val="24"/>
        </w:rPr>
      </w:pPr>
      <w:bookmarkStart w:id="8" w:name="a31_08"/>
      <w:bookmarkEnd w:id="8"/>
      <w:proofErr w:type="gramStart"/>
      <w:r w:rsidRPr="00A80748">
        <w:rPr>
          <w:rFonts w:eastAsia="Times New Roman"/>
          <w:b/>
          <w:sz w:val="24"/>
          <w:szCs w:val="24"/>
        </w:rPr>
        <w:lastRenderedPageBreak/>
        <w:t xml:space="preserve">31:8 </w:t>
      </w:r>
      <w:r w:rsidRPr="00A80748">
        <w:rPr>
          <w:rFonts w:eastAsia="Times New Roman"/>
          <w:b/>
          <w:sz w:val="24"/>
          <w:szCs w:val="24"/>
        </w:rPr>
        <w:tab/>
        <w:t>MITIGATION OF DAMAGES FOR WRONGFUL DISCHARGE</w:t>
      </w:r>
      <w:proofErr w:type="gramEnd"/>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If an employee is wrongfully discharged, that employee must take reasonable steps to reduce or minimize the damages that might result from that discharge. However, the employee is not required to take any steps that would not be reasonable under all of the circumstances.</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The defendant, </w:t>
      </w:r>
      <w:r w:rsidRPr="00A80748">
        <w:rPr>
          <w:rFonts w:eastAsia="Times New Roman"/>
          <w:i/>
          <w:sz w:val="24"/>
          <w:szCs w:val="24"/>
        </w:rPr>
        <w:t>(name)</w:t>
      </w:r>
      <w:r w:rsidRPr="00A80748">
        <w:rPr>
          <w:rFonts w:eastAsia="Times New Roman"/>
          <w:b/>
          <w:sz w:val="24"/>
          <w:szCs w:val="24"/>
        </w:rPr>
        <w:t xml:space="preserve">, has the burden of proving that plaintiff, </w:t>
      </w:r>
      <w:r w:rsidRPr="00A80748">
        <w:rPr>
          <w:rFonts w:eastAsia="Times New Roman"/>
          <w:i/>
          <w:sz w:val="24"/>
          <w:szCs w:val="24"/>
        </w:rPr>
        <w:t>(name)</w:t>
      </w:r>
      <w:r w:rsidRPr="00A80748">
        <w:rPr>
          <w:rFonts w:eastAsia="Times New Roman"/>
          <w:b/>
          <w:sz w:val="24"/>
          <w:szCs w:val="24"/>
        </w:rPr>
        <w:t>, did not take reasonable steps to reduce or minimize (his) (her) damages.</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[If you find that:</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1. The plaintiff failed to seek other employment that was substantially similar to the position (he) (she) had held with the defendant, and</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2. Seeking other similar employment would have been reasonable under all of the circumstances, then you must reduce the amount of any actual damages suffered by the plaintiff by the amount of any earnings and benefits (he) (she) might reasonably have expected to earn from that other employment during any period during which you find that the plaintiff suffered damages, as Instruction No. __ instructs you to do.]</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[If you find that:</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1. After the plaintiff was discharged, the defendant offered to re-employ the plaintiff (in the same position from which [he] [she] was discharged) (in another position with substantially the same compensation, benefits and responsibilities as [he] [she] had before the discharge), and</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2. That offer was made without requiring the plaintiff to waive any right (he) (she) might have and was not dependent upon some other improper requirement, and</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3. The plaintiff failed to accept that offer, then you may not award to the plaintiff any amount for earnings or benefits for any period after (he) (she) failed to accept the defendant’s offer of re-employment unless you also find that the plaintiff has proved that there were special circumstances that reasonably justified the failure to accept that offer of re-employment.]</w:t>
      </w:r>
    </w:p>
    <w:p w:rsidR="00A80748" w:rsidRDefault="00A80748" w:rsidP="00A80748">
      <w:pPr>
        <w:jc w:val="center"/>
        <w:rPr>
          <w:rFonts w:eastAsia="Times New Roman"/>
          <w:sz w:val="24"/>
          <w:szCs w:val="24"/>
        </w:rPr>
      </w:pPr>
    </w:p>
    <w:p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1. Use whichever parenthesized and bracketed words and phrases are appropriate.</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2. For a general description of when the issue of mitigation of damages should be submitted to the jury, see the Notes on Use to Instruction No. 5:2.</w:t>
      </w:r>
    </w:p>
    <w:p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1. This instruction is supported by </w:t>
      </w:r>
      <w:r w:rsidRPr="00A80748">
        <w:rPr>
          <w:rFonts w:eastAsia="Times New Roman"/>
          <w:b/>
          <w:sz w:val="24"/>
          <w:szCs w:val="24"/>
        </w:rPr>
        <w:t>Fair v. Red Lion Inn</w:t>
      </w:r>
      <w:r w:rsidRPr="00A80748">
        <w:rPr>
          <w:rFonts w:eastAsia="Times New Roman"/>
          <w:sz w:val="24"/>
          <w:szCs w:val="24"/>
        </w:rPr>
        <w:t>, 943 P.2d 431 (Colo. 1997).</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lastRenderedPageBreak/>
        <w:t xml:space="preserve">2. The defense of mitigation of damages can be asserted as an affirmative defense to either a tort claim for wrongful discharge in violation of public policy (see Instructions 31:12 and 31:13) or a claim for a discharge in violation of an express or implied contract (see Instructions 31:1, 31:3, and 31:4). Generally, the question of what constitutes a reasonable effort to mitigate damages is to be determined by the trier of fact. </w:t>
      </w:r>
      <w:r w:rsidRPr="00A80748">
        <w:rPr>
          <w:rFonts w:eastAsia="Times New Roman"/>
          <w:b/>
          <w:sz w:val="24"/>
          <w:szCs w:val="24"/>
        </w:rPr>
        <w:t>Fitzgerald v. Edelen</w:t>
      </w:r>
      <w:r w:rsidRPr="00A80748">
        <w:rPr>
          <w:rFonts w:eastAsia="Times New Roman"/>
          <w:sz w:val="24"/>
          <w:szCs w:val="24"/>
        </w:rPr>
        <w:t>, 623 P.2d 418 (</w:t>
      </w:r>
      <w:r w:rsidR="0067408D">
        <w:rPr>
          <w:rFonts w:eastAsia="Times New Roman"/>
          <w:sz w:val="24"/>
          <w:szCs w:val="24"/>
        </w:rPr>
        <w:t>Colo. App.</w:t>
      </w:r>
      <w:r w:rsidRPr="00A80748">
        <w:rPr>
          <w:rFonts w:eastAsia="Times New Roman"/>
          <w:sz w:val="24"/>
          <w:szCs w:val="24"/>
        </w:rPr>
        <w:t xml:space="preserve"> 1980), </w:t>
      </w:r>
      <w:r w:rsidRPr="00A80748">
        <w:rPr>
          <w:rFonts w:eastAsia="Times New Roman"/>
          <w:i/>
          <w:sz w:val="24"/>
          <w:szCs w:val="24"/>
        </w:rPr>
        <w:t>cert. denied</w:t>
      </w:r>
      <w:r w:rsidRPr="00A80748">
        <w:rPr>
          <w:rFonts w:eastAsia="Times New Roman"/>
          <w:sz w:val="24"/>
          <w:szCs w:val="24"/>
        </w:rPr>
        <w:t xml:space="preserve"> (1981). But “the defense of failure to mitigate damages will not be presented to the jury unless the trial court determines there is sufficient evidence to support it.” </w:t>
      </w:r>
      <w:proofErr w:type="gramStart"/>
      <w:r w:rsidRPr="00A80748">
        <w:rPr>
          <w:rFonts w:eastAsia="Times New Roman"/>
          <w:b/>
          <w:sz w:val="24"/>
          <w:szCs w:val="24"/>
        </w:rPr>
        <w:t>Fair v. Red Lion Inn</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943 P.2d 431, 437 (</w:t>
      </w:r>
      <w:smartTag w:uri="urn:schemas-microsoft-com:office:smarttags" w:element="place">
        <w:smartTag w:uri="urn:schemas-microsoft-com:office:smarttags" w:element="State">
          <w:r w:rsidRPr="00A80748">
            <w:rPr>
              <w:rFonts w:eastAsia="Times New Roman"/>
              <w:sz w:val="24"/>
              <w:szCs w:val="24"/>
            </w:rPr>
            <w:t>Colo.</w:t>
          </w:r>
        </w:smartTag>
      </w:smartTag>
      <w:r w:rsidRPr="00A80748">
        <w:rPr>
          <w:rFonts w:eastAsia="Times New Roman"/>
          <w:sz w:val="24"/>
          <w:szCs w:val="24"/>
        </w:rPr>
        <w:t xml:space="preserve"> 1997).</w:t>
      </w:r>
      <w:proofErr w:type="gramEnd"/>
      <w:r w:rsidRPr="00A80748">
        <w:rPr>
          <w:rFonts w:eastAsia="Times New Roman"/>
          <w:sz w:val="24"/>
          <w:szCs w:val="24"/>
        </w:rPr>
        <w:t xml:space="preserve"> </w:t>
      </w:r>
      <w:r w:rsidRPr="00A80748">
        <w:rPr>
          <w:rFonts w:eastAsia="Times New Roman"/>
          <w:i/>
          <w:sz w:val="24"/>
          <w:szCs w:val="24"/>
        </w:rPr>
        <w:t>See also</w:t>
      </w:r>
      <w:r w:rsidRPr="00A80748">
        <w:rPr>
          <w:rFonts w:eastAsia="Times New Roman"/>
          <w:b/>
          <w:sz w:val="24"/>
          <w:szCs w:val="24"/>
        </w:rPr>
        <w:t xml:space="preserve"> Bonidy v. Vail Valley Ctr. For Aesthetic Dentistry, P.C.</w:t>
      </w:r>
      <w:r w:rsidRPr="00A80748">
        <w:rPr>
          <w:rFonts w:eastAsia="Times New Roman"/>
          <w:sz w:val="24"/>
          <w:szCs w:val="24"/>
        </w:rPr>
        <w:t>, 232 P.3d 277 (</w:t>
      </w:r>
      <w:r w:rsidR="0067408D">
        <w:rPr>
          <w:rFonts w:eastAsia="Times New Roman"/>
          <w:sz w:val="24"/>
          <w:szCs w:val="24"/>
        </w:rPr>
        <w:t>Colo. App.</w:t>
      </w:r>
      <w:r w:rsidRPr="00A80748">
        <w:rPr>
          <w:rFonts w:eastAsia="Times New Roman"/>
          <w:sz w:val="24"/>
          <w:szCs w:val="24"/>
        </w:rPr>
        <w:t xml:space="preserve"> 2010) (employee’s decision to start her own business did not automatically constitute a failure to mitigate or terminate the accrual of back pay damages, and the formula for such damages is decided as a matter of law).</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3. In the case of a discharged employee, if the former employer makes an “unconditional” offer to reinstate the employee to his or her former position or one that has substantially the same compensation, benefits, and responsibilities, the employee is under a duty to accept that offer, unless the employee can demonstrate the existence of “special circumstances” to justify the failure to accept it. In such a case, the employee’s right to collect any wages or benefits that would otherwise have been earned will cease as of the date that the unconditional offer was not accepted. </w:t>
      </w:r>
      <w:r w:rsidRPr="00A80748">
        <w:rPr>
          <w:rFonts w:eastAsia="Times New Roman"/>
          <w:b/>
          <w:sz w:val="24"/>
          <w:szCs w:val="24"/>
        </w:rPr>
        <w:t>Fair</w:t>
      </w:r>
      <w:r w:rsidRPr="00A80748">
        <w:rPr>
          <w:rFonts w:eastAsia="Times New Roman"/>
          <w:sz w:val="24"/>
          <w:szCs w:val="24"/>
        </w:rPr>
        <w:t xml:space="preserve">, </w:t>
      </w:r>
      <w:proofErr w:type="gramStart"/>
      <w:r w:rsidRPr="00A80748">
        <w:rPr>
          <w:rFonts w:eastAsia="Times New Roman"/>
          <w:sz w:val="24"/>
          <w:szCs w:val="24"/>
        </w:rPr>
        <w:t>943 P.2d 431</w:t>
      </w:r>
      <w:proofErr w:type="gramEnd"/>
      <w:r w:rsidRPr="00A80748">
        <w:rPr>
          <w:rFonts w:eastAsia="Times New Roman"/>
          <w:sz w:val="24"/>
          <w:szCs w:val="24"/>
        </w:rPr>
        <w:t xml:space="preserve">. </w:t>
      </w:r>
      <w:r w:rsidRPr="00A80748">
        <w:rPr>
          <w:rFonts w:eastAsia="Times New Roman"/>
          <w:i/>
          <w:sz w:val="24"/>
          <w:szCs w:val="24"/>
        </w:rPr>
        <w:t xml:space="preserve">See also </w:t>
      </w:r>
      <w:r w:rsidRPr="00A80748">
        <w:rPr>
          <w:rFonts w:eastAsia="Times New Roman"/>
          <w:b/>
          <w:sz w:val="24"/>
          <w:szCs w:val="24"/>
        </w:rPr>
        <w:t>Ford Motor Co. v. EEOC</w:t>
      </w:r>
      <w:r w:rsidRPr="00A80748">
        <w:rPr>
          <w:rFonts w:eastAsia="Times New Roman"/>
          <w:sz w:val="24"/>
          <w:szCs w:val="24"/>
        </w:rPr>
        <w:t>, 458 U.S. 219, 102 S.</w:t>
      </w:r>
      <w:r w:rsidR="00901FA0">
        <w:rPr>
          <w:rFonts w:eastAsia="Times New Roman"/>
          <w:sz w:val="24"/>
          <w:szCs w:val="24"/>
        </w:rPr>
        <w:t xml:space="preserve"> </w:t>
      </w:r>
      <w:r w:rsidRPr="00A80748">
        <w:rPr>
          <w:rFonts w:eastAsia="Times New Roman"/>
          <w:sz w:val="24"/>
          <w:szCs w:val="24"/>
        </w:rPr>
        <w:t>Ct. 3057, 73 L.</w:t>
      </w:r>
      <w:r w:rsidR="00901FA0">
        <w:rPr>
          <w:rFonts w:eastAsia="Times New Roman"/>
          <w:sz w:val="24"/>
          <w:szCs w:val="24"/>
        </w:rPr>
        <w:t xml:space="preserve"> </w:t>
      </w:r>
      <w:r w:rsidRPr="00A80748">
        <w:rPr>
          <w:rFonts w:eastAsia="Times New Roman"/>
          <w:sz w:val="24"/>
          <w:szCs w:val="24"/>
        </w:rPr>
        <w:t>Ed.</w:t>
      </w:r>
      <w:r w:rsidR="00901FA0">
        <w:rPr>
          <w:rFonts w:eastAsia="Times New Roman"/>
          <w:sz w:val="24"/>
          <w:szCs w:val="24"/>
        </w:rPr>
        <w:t xml:space="preserve"> </w:t>
      </w:r>
      <w:r w:rsidRPr="00A80748">
        <w:rPr>
          <w:rFonts w:eastAsia="Times New Roman"/>
          <w:sz w:val="24"/>
          <w:szCs w:val="24"/>
        </w:rPr>
        <w:t xml:space="preserve">2d 721 (1982) (discharge in violation of Title VII); </w:t>
      </w:r>
      <w:r w:rsidRPr="00A80748">
        <w:rPr>
          <w:rFonts w:eastAsia="Times New Roman"/>
          <w:b/>
          <w:sz w:val="24"/>
          <w:szCs w:val="24"/>
        </w:rPr>
        <w:t>Giandonato v. Sybron Corp</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804 F.2d 120 (10th Cir. 1986) (relied upon by the Colorado Supreme Court in </w:t>
      </w:r>
      <w:r w:rsidRPr="00A80748">
        <w:rPr>
          <w:rFonts w:eastAsia="Times New Roman"/>
          <w:b/>
          <w:sz w:val="24"/>
          <w:szCs w:val="24"/>
        </w:rPr>
        <w:t>Fair</w:t>
      </w:r>
      <w:r w:rsidRPr="00A80748">
        <w:rPr>
          <w:rFonts w:eastAsia="Times New Roman"/>
          <w:sz w:val="24"/>
          <w:szCs w:val="24"/>
        </w:rPr>
        <w:t xml:space="preserve">, 943 P.2d 431). </w:t>
      </w:r>
      <w:r w:rsidRPr="00A80748">
        <w:rPr>
          <w:rFonts w:eastAsia="Times New Roman"/>
          <w:i/>
          <w:sz w:val="24"/>
          <w:szCs w:val="24"/>
        </w:rPr>
        <w:t>But see</w:t>
      </w:r>
      <w:r w:rsidRPr="00A80748">
        <w:rPr>
          <w:rFonts w:eastAsia="Times New Roman"/>
          <w:sz w:val="24"/>
          <w:szCs w:val="24"/>
        </w:rPr>
        <w:t xml:space="preserve"> </w:t>
      </w:r>
      <w:r w:rsidRPr="00A80748">
        <w:rPr>
          <w:rFonts w:eastAsia="Times New Roman"/>
          <w:b/>
          <w:sz w:val="24"/>
          <w:szCs w:val="24"/>
        </w:rPr>
        <w:t>Ryan v. Mineral County High Sch. Dist.</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27 </w:t>
      </w:r>
      <w:r w:rsidR="0067408D">
        <w:rPr>
          <w:rFonts w:eastAsia="Times New Roman"/>
          <w:sz w:val="24"/>
          <w:szCs w:val="24"/>
        </w:rPr>
        <w:t>Colo. App.</w:t>
      </w:r>
      <w:r w:rsidRPr="00A80748">
        <w:rPr>
          <w:rFonts w:eastAsia="Times New Roman"/>
          <w:sz w:val="24"/>
          <w:szCs w:val="24"/>
        </w:rPr>
        <w:t xml:space="preserve"> 63, 146 P. 792 (1915) (holding that the plaintiff failed to mitigate his damages where the employer offered employment conditioned upon the plaintiff’s release of a breach of contract claim against the employer). </w:t>
      </w:r>
      <w:r w:rsidRPr="00A80748">
        <w:rPr>
          <w:rFonts w:eastAsia="Times New Roman"/>
          <w:b/>
          <w:sz w:val="24"/>
          <w:szCs w:val="24"/>
        </w:rPr>
        <w:t>Fair</w:t>
      </w:r>
      <w:r w:rsidRPr="00A80748">
        <w:rPr>
          <w:rFonts w:eastAsia="Times New Roman"/>
          <w:sz w:val="24"/>
          <w:szCs w:val="24"/>
        </w:rPr>
        <w:t xml:space="preserve">, 943 P.2d 431, “disapproved” of </w:t>
      </w:r>
      <w:r w:rsidRPr="00A80748">
        <w:rPr>
          <w:rFonts w:eastAsia="Times New Roman"/>
          <w:b/>
          <w:sz w:val="24"/>
          <w:szCs w:val="24"/>
        </w:rPr>
        <w:t>Ryan</w:t>
      </w:r>
      <w:r w:rsidRPr="00A80748">
        <w:rPr>
          <w:rFonts w:eastAsia="Times New Roman"/>
          <w:sz w:val="24"/>
          <w:szCs w:val="24"/>
        </w:rPr>
        <w:t xml:space="preserve">, holding that the mitigation defense applies only in cases where the employer makes an </w:t>
      </w:r>
      <w:r w:rsidRPr="00A80748">
        <w:rPr>
          <w:rFonts w:eastAsia="Times New Roman"/>
          <w:i/>
          <w:sz w:val="24"/>
          <w:szCs w:val="24"/>
        </w:rPr>
        <w:t>unconditional</w:t>
      </w:r>
      <w:r w:rsidRPr="00A80748">
        <w:rPr>
          <w:rFonts w:eastAsia="Times New Roman"/>
          <w:sz w:val="24"/>
          <w:szCs w:val="24"/>
        </w:rPr>
        <w:t xml:space="preserve"> offer of employment.</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4. There has been no general definition of those “special circumstances” that would justify an employee in rejecting an unconditional offer of reinstatement. However, if the employee asserts that the offer was rejected because it was felt that the offer was not bona fide or that the employee would be retaliated against if he or she returned to the same employment, the employee has the burden of establishing such special circumstances. The employee’s subjective feelings upon the question are insufficient to present an issue for the jury. </w:t>
      </w:r>
      <w:r w:rsidRPr="00A80748">
        <w:rPr>
          <w:rFonts w:eastAsia="Times New Roman"/>
          <w:b/>
          <w:sz w:val="24"/>
          <w:szCs w:val="24"/>
        </w:rPr>
        <w:t>Fair</w:t>
      </w:r>
      <w:r w:rsidRPr="00A80748">
        <w:rPr>
          <w:rFonts w:eastAsia="Times New Roman"/>
          <w:sz w:val="24"/>
          <w:szCs w:val="24"/>
        </w:rPr>
        <w:t xml:space="preserve">, </w:t>
      </w:r>
      <w:proofErr w:type="gramStart"/>
      <w:r w:rsidRPr="00A80748">
        <w:rPr>
          <w:rFonts w:eastAsia="Times New Roman"/>
          <w:sz w:val="24"/>
          <w:szCs w:val="24"/>
        </w:rPr>
        <w:t>943 P.2d 431</w:t>
      </w:r>
      <w:proofErr w:type="gramEnd"/>
      <w:r w:rsidRPr="00A80748">
        <w:rPr>
          <w:rFonts w:eastAsia="Times New Roman"/>
          <w:sz w:val="24"/>
          <w:szCs w:val="24"/>
        </w:rPr>
        <w:t>.</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5. Under a special statutory provision governing probationary teachers, § 22-63-203(3), C.R.S., a teacher who was improperly terminated was not obligated to mitigate his damages. </w:t>
      </w:r>
      <w:r w:rsidRPr="00A80748">
        <w:rPr>
          <w:rFonts w:eastAsia="Times New Roman"/>
          <w:b/>
          <w:sz w:val="24"/>
          <w:szCs w:val="24"/>
        </w:rPr>
        <w:t>Hanover Sch. Dist. No. 28 v. Barbour</w:t>
      </w:r>
      <w:r w:rsidRPr="00A80748">
        <w:rPr>
          <w:rFonts w:eastAsia="Times New Roman"/>
          <w:sz w:val="24"/>
          <w:szCs w:val="24"/>
        </w:rPr>
        <w:t>, 171 P.3d 223 (Colo. 2007).</w:t>
      </w:r>
    </w:p>
    <w:p w:rsidR="00A80748" w:rsidRDefault="00A80748">
      <w:pPr>
        <w:rPr>
          <w:rFonts w:eastAsia="Times New Roman"/>
          <w:bCs/>
          <w:sz w:val="24"/>
          <w:szCs w:val="24"/>
        </w:rPr>
      </w:pPr>
      <w:r>
        <w:rPr>
          <w:rFonts w:eastAsia="Times New Roman"/>
          <w:bCs/>
          <w:sz w:val="24"/>
          <w:szCs w:val="24"/>
        </w:rPr>
        <w:br w:type="page"/>
      </w:r>
    </w:p>
    <w:p w:rsidR="00A80748" w:rsidRPr="009E3DA4" w:rsidRDefault="00A80748" w:rsidP="00A80748">
      <w:pPr>
        <w:spacing w:after="240"/>
        <w:ind w:left="720" w:hanging="720"/>
        <w:rPr>
          <w:rFonts w:eastAsia="Times New Roman"/>
          <w:b/>
          <w:sz w:val="24"/>
          <w:szCs w:val="24"/>
        </w:rPr>
      </w:pPr>
      <w:bookmarkStart w:id="9" w:name="a31_09"/>
      <w:bookmarkEnd w:id="9"/>
      <w:r w:rsidRPr="00A80748">
        <w:rPr>
          <w:rFonts w:eastAsia="Times New Roman"/>
          <w:b/>
          <w:sz w:val="24"/>
          <w:szCs w:val="24"/>
        </w:rPr>
        <w:lastRenderedPageBreak/>
        <w:t xml:space="preserve">31:9 </w:t>
      </w:r>
      <w:r w:rsidRPr="00A80748">
        <w:rPr>
          <w:rFonts w:eastAsia="Times New Roman"/>
          <w:b/>
          <w:sz w:val="24"/>
          <w:szCs w:val="24"/>
        </w:rPr>
        <w:tab/>
        <w:t xml:space="preserve">CONSTRUCTIVE </w:t>
      </w:r>
      <w:proofErr w:type="gramStart"/>
      <w:r w:rsidRPr="00A80748">
        <w:rPr>
          <w:rFonts w:eastAsia="Times New Roman"/>
          <w:b/>
          <w:sz w:val="24"/>
          <w:szCs w:val="24"/>
        </w:rPr>
        <w:t>DISCHARGE</w:t>
      </w:r>
      <w:proofErr w:type="gramEnd"/>
      <w:r w:rsidRPr="00A80748">
        <w:rPr>
          <w:rFonts w:eastAsia="Times New Roman"/>
          <w:b/>
          <w:sz w:val="24"/>
          <w:szCs w:val="24"/>
        </w:rPr>
        <w:t xml:space="preserve"> — DEFINED</w:t>
      </w:r>
    </w:p>
    <w:p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A constructive discharge occurs when an employer deliberately makes or allows an employee’s working conditions to become so intolerable that the employee has no reasonable choice but to quit or resign and the employee does quit or resign because of those conditions. However, a constructive discharge does not occur unless a reasonable person would consider those working conditions to be intolerable.</w:t>
      </w:r>
    </w:p>
    <w:p w:rsidR="00A80748" w:rsidRDefault="00A80748" w:rsidP="00A80748">
      <w:pPr>
        <w:jc w:val="center"/>
        <w:rPr>
          <w:rFonts w:eastAsia="Times New Roman"/>
          <w:sz w:val="24"/>
          <w:szCs w:val="24"/>
        </w:rPr>
      </w:pPr>
    </w:p>
    <w:p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1. When applicable, this instruction should be given with Instructions such as 31:1, 31:3, 31:4, 31:12, and 31:13.</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2. Where a constructive discharge claim is based on a violation of the Age Discrimination in Employment Act, 29 U.S.C. §§ 623, </w:t>
      </w:r>
      <w:r w:rsidRPr="00A80748">
        <w:rPr>
          <w:rFonts w:eastAsia="Times New Roman"/>
          <w:i/>
          <w:sz w:val="24"/>
          <w:szCs w:val="24"/>
        </w:rPr>
        <w:t>et seq</w:t>
      </w:r>
      <w:r w:rsidRPr="00A80748">
        <w:rPr>
          <w:rFonts w:eastAsia="Times New Roman"/>
          <w:sz w:val="24"/>
          <w:szCs w:val="24"/>
        </w:rPr>
        <w:t xml:space="preserve">., rather than on state law, the state courts must apply the federal law of constructive discharge developed under that statute. </w:t>
      </w:r>
      <w:proofErr w:type="gramStart"/>
      <w:r w:rsidRPr="00A80748">
        <w:rPr>
          <w:rFonts w:eastAsia="Times New Roman"/>
          <w:b/>
          <w:sz w:val="24"/>
          <w:szCs w:val="24"/>
        </w:rPr>
        <w:t>Evenson v. Colorado Farm Bureau Mut.</w:t>
      </w:r>
      <w:proofErr w:type="gramEnd"/>
      <w:r w:rsidRPr="00A80748">
        <w:rPr>
          <w:rFonts w:eastAsia="Times New Roman"/>
          <w:b/>
          <w:sz w:val="24"/>
          <w:szCs w:val="24"/>
        </w:rPr>
        <w:t xml:space="preserve"> Ins. Co.</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879 P.2d 402 (</w:t>
      </w:r>
      <w:r w:rsidR="0067408D">
        <w:rPr>
          <w:rFonts w:eastAsia="Times New Roman"/>
          <w:sz w:val="24"/>
          <w:szCs w:val="24"/>
        </w:rPr>
        <w:t>Colo. App.</w:t>
      </w:r>
      <w:r w:rsidRPr="00A80748">
        <w:rPr>
          <w:rFonts w:eastAsia="Times New Roman"/>
          <w:sz w:val="24"/>
          <w:szCs w:val="24"/>
        </w:rPr>
        <w:t xml:space="preserve"> 1993), </w:t>
      </w:r>
      <w:r w:rsidRPr="00A80748">
        <w:rPr>
          <w:rFonts w:eastAsia="Times New Roman"/>
          <w:i/>
          <w:sz w:val="24"/>
          <w:szCs w:val="24"/>
        </w:rPr>
        <w:t>cert. denied</w:t>
      </w:r>
      <w:r w:rsidRPr="00A80748">
        <w:rPr>
          <w:rFonts w:eastAsia="Times New Roman"/>
          <w:sz w:val="24"/>
          <w:szCs w:val="24"/>
        </w:rPr>
        <w:t xml:space="preserve"> (1994).</w:t>
      </w:r>
    </w:p>
    <w:p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This instruction is supported by </w:t>
      </w:r>
      <w:r w:rsidRPr="00A80748">
        <w:rPr>
          <w:rFonts w:eastAsia="Times New Roman"/>
          <w:b/>
          <w:sz w:val="24"/>
          <w:szCs w:val="24"/>
        </w:rPr>
        <w:t>Boulder Valley School District R-2 v. Price</w:t>
      </w:r>
      <w:r w:rsidRPr="00A80748">
        <w:rPr>
          <w:rFonts w:eastAsia="Times New Roman"/>
          <w:sz w:val="24"/>
          <w:szCs w:val="24"/>
        </w:rPr>
        <w:t xml:space="preserve">, 805 P.2d 1085 (Colo. 1991); </w:t>
      </w:r>
      <w:r w:rsidRPr="00A80748">
        <w:rPr>
          <w:rFonts w:eastAsia="Times New Roman"/>
          <w:b/>
          <w:sz w:val="24"/>
          <w:szCs w:val="24"/>
        </w:rPr>
        <w:t>Wilson v. Board of County Comm’rs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703 P.2d 1257 (Colo. 1985); </w:t>
      </w:r>
      <w:r w:rsidRPr="00A80748">
        <w:rPr>
          <w:rFonts w:eastAsia="Times New Roman"/>
          <w:b/>
          <w:sz w:val="24"/>
          <w:szCs w:val="24"/>
        </w:rPr>
        <w:t>Koinis v. State Dep’t of Pub. Safety</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97 P.3d 193 (</w:t>
      </w:r>
      <w:r w:rsidR="0067408D">
        <w:rPr>
          <w:rFonts w:eastAsia="Times New Roman"/>
          <w:sz w:val="24"/>
          <w:szCs w:val="24"/>
        </w:rPr>
        <w:t>Colo. App.</w:t>
      </w:r>
      <w:r w:rsidRPr="00A80748">
        <w:rPr>
          <w:rFonts w:eastAsia="Times New Roman"/>
          <w:sz w:val="24"/>
          <w:szCs w:val="24"/>
        </w:rPr>
        <w:t xml:space="preserve"> 2003), </w:t>
      </w:r>
      <w:r w:rsidRPr="00A80748">
        <w:rPr>
          <w:rFonts w:eastAsia="Times New Roman"/>
          <w:i/>
          <w:sz w:val="24"/>
          <w:szCs w:val="24"/>
        </w:rPr>
        <w:t xml:space="preserve">cert. denied </w:t>
      </w:r>
      <w:r w:rsidRPr="00A80748">
        <w:rPr>
          <w:rFonts w:eastAsia="Times New Roman"/>
          <w:sz w:val="24"/>
          <w:szCs w:val="24"/>
        </w:rPr>
        <w:t xml:space="preserve">(2004) (request for resignation, in and of itself, will not support claim of constructive discharge); </w:t>
      </w:r>
      <w:r w:rsidRPr="00A80748">
        <w:rPr>
          <w:rFonts w:eastAsia="Times New Roman"/>
          <w:b/>
          <w:sz w:val="24"/>
          <w:szCs w:val="24"/>
        </w:rPr>
        <w:t>Krauss v. Catholic Health Initiatives Mtn. Region</w:t>
      </w:r>
      <w:r w:rsidRPr="00A80748">
        <w:rPr>
          <w:rFonts w:eastAsia="Times New Roman"/>
          <w:sz w:val="24"/>
          <w:szCs w:val="24"/>
        </w:rPr>
        <w:t>, 66 P.3d 195 (</w:t>
      </w:r>
      <w:r w:rsidR="0067408D">
        <w:rPr>
          <w:rFonts w:eastAsia="Times New Roman"/>
          <w:sz w:val="24"/>
          <w:szCs w:val="24"/>
        </w:rPr>
        <w:t>Colo. App.</w:t>
      </w:r>
      <w:r w:rsidRPr="00A80748">
        <w:rPr>
          <w:rFonts w:eastAsia="Times New Roman"/>
          <w:sz w:val="24"/>
          <w:szCs w:val="24"/>
        </w:rPr>
        <w:t xml:space="preserve"> 2003); </w:t>
      </w:r>
      <w:r w:rsidRPr="00A80748">
        <w:rPr>
          <w:rFonts w:eastAsia="Times New Roman"/>
          <w:b/>
          <w:sz w:val="24"/>
          <w:szCs w:val="24"/>
        </w:rPr>
        <w:t>Montemayor v. Jacor Commc’ns, Inc.</w:t>
      </w:r>
      <w:r w:rsidRPr="00A80748">
        <w:rPr>
          <w:rFonts w:eastAsia="Times New Roman"/>
          <w:sz w:val="24"/>
          <w:szCs w:val="24"/>
        </w:rPr>
        <w:t>, 64 P.3d 916 (</w:t>
      </w:r>
      <w:r w:rsidR="0067408D">
        <w:rPr>
          <w:rFonts w:eastAsia="Times New Roman"/>
          <w:sz w:val="24"/>
          <w:szCs w:val="24"/>
        </w:rPr>
        <w:t>Colo. App.</w:t>
      </w:r>
      <w:r w:rsidRPr="00A80748">
        <w:rPr>
          <w:rFonts w:eastAsia="Times New Roman"/>
          <w:sz w:val="24"/>
          <w:szCs w:val="24"/>
        </w:rPr>
        <w:t xml:space="preserve"> 2002), </w:t>
      </w:r>
      <w:r w:rsidRPr="00A80748">
        <w:rPr>
          <w:rFonts w:eastAsia="Times New Roman"/>
          <w:i/>
          <w:sz w:val="24"/>
          <w:szCs w:val="24"/>
        </w:rPr>
        <w:t xml:space="preserve">cert. denied </w:t>
      </w:r>
      <w:r w:rsidRPr="00A80748">
        <w:rPr>
          <w:rFonts w:eastAsia="Times New Roman"/>
          <w:sz w:val="24"/>
          <w:szCs w:val="24"/>
        </w:rPr>
        <w:t xml:space="preserve">(2003); and </w:t>
      </w:r>
      <w:r w:rsidRPr="00A80748">
        <w:rPr>
          <w:rFonts w:eastAsia="Times New Roman"/>
          <w:b/>
          <w:sz w:val="24"/>
          <w:szCs w:val="24"/>
        </w:rPr>
        <w:t>Christie v. San Miguel County Sch. Dist. R-2(J)</w:t>
      </w:r>
      <w:r w:rsidRPr="00A80748">
        <w:rPr>
          <w:rFonts w:eastAsia="Times New Roman"/>
          <w:sz w:val="24"/>
          <w:szCs w:val="24"/>
        </w:rPr>
        <w:t>, 759 P.2d 779 (</w:t>
      </w:r>
      <w:r w:rsidR="0067408D">
        <w:rPr>
          <w:rFonts w:eastAsia="Times New Roman"/>
          <w:sz w:val="24"/>
          <w:szCs w:val="24"/>
        </w:rPr>
        <w:t>Colo. App.</w:t>
      </w:r>
      <w:r w:rsidRPr="00A80748">
        <w:rPr>
          <w:rFonts w:eastAsia="Times New Roman"/>
          <w:sz w:val="24"/>
          <w:szCs w:val="24"/>
        </w:rPr>
        <w:t xml:space="preserve">), </w:t>
      </w:r>
      <w:r w:rsidRPr="00A80748">
        <w:rPr>
          <w:rFonts w:eastAsia="Times New Roman"/>
          <w:i/>
          <w:sz w:val="24"/>
          <w:szCs w:val="24"/>
        </w:rPr>
        <w:t>cert. denied</w:t>
      </w:r>
      <w:r w:rsidRPr="00A80748">
        <w:rPr>
          <w:rFonts w:eastAsia="Times New Roman"/>
          <w:sz w:val="24"/>
          <w:szCs w:val="24"/>
        </w:rPr>
        <w:t xml:space="preserve"> (1988).</w:t>
      </w:r>
    </w:p>
    <w:p w:rsidR="00A80748" w:rsidRDefault="00A80748">
      <w:pPr>
        <w:rPr>
          <w:rFonts w:eastAsia="Times New Roman"/>
          <w:bCs/>
          <w:sz w:val="24"/>
          <w:szCs w:val="24"/>
        </w:rPr>
      </w:pPr>
      <w:r>
        <w:rPr>
          <w:rFonts w:eastAsia="Times New Roman"/>
          <w:bCs/>
          <w:sz w:val="24"/>
          <w:szCs w:val="24"/>
        </w:rPr>
        <w:br w:type="page"/>
      </w:r>
    </w:p>
    <w:p w:rsidR="00A80748" w:rsidRPr="009E3DA4" w:rsidRDefault="009A10F1" w:rsidP="00A80748">
      <w:pPr>
        <w:spacing w:after="240"/>
        <w:ind w:left="720" w:hanging="720"/>
        <w:rPr>
          <w:rFonts w:eastAsia="Times New Roman"/>
          <w:b/>
          <w:sz w:val="24"/>
          <w:szCs w:val="24"/>
        </w:rPr>
      </w:pPr>
      <w:bookmarkStart w:id="10" w:name="a31_10"/>
      <w:bookmarkEnd w:id="10"/>
      <w:r w:rsidRPr="009A10F1">
        <w:rPr>
          <w:rFonts w:eastAsia="Times New Roman"/>
          <w:b/>
          <w:sz w:val="24"/>
          <w:szCs w:val="24"/>
        </w:rPr>
        <w:lastRenderedPageBreak/>
        <w:t xml:space="preserve">31:10 </w:t>
      </w:r>
      <w:r w:rsidRPr="009A10F1">
        <w:rPr>
          <w:rFonts w:eastAsia="Times New Roman"/>
          <w:b/>
          <w:sz w:val="24"/>
          <w:szCs w:val="24"/>
        </w:rPr>
        <w:tab/>
        <w:t xml:space="preserve">CONSTRUCTIVE (IMPLIED) </w:t>
      </w:r>
      <w:proofErr w:type="gramStart"/>
      <w:r w:rsidRPr="009A10F1">
        <w:rPr>
          <w:rFonts w:eastAsia="Times New Roman"/>
          <w:b/>
          <w:sz w:val="24"/>
          <w:szCs w:val="24"/>
        </w:rPr>
        <w:t>DISCHARGE</w:t>
      </w:r>
      <w:proofErr w:type="gramEnd"/>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Even if the plaintiff resigned from (his) (her) employment, if you find that the words spoken or actions taken by the defendant would have led a reasonable person in the plaintiff’s position to believe, and did lead the plaintiff to believe, that (he) (she) had been or was going to be discharged by the defendant, then the plaintiff was, in fact, discharged by the defendant.</w:t>
      </w:r>
    </w:p>
    <w:p w:rsidR="00A80748" w:rsidRDefault="00A80748" w:rsidP="00A80748">
      <w:pPr>
        <w:jc w:val="center"/>
        <w:rPr>
          <w:rFonts w:eastAsia="Times New Roman"/>
          <w:sz w:val="24"/>
          <w:szCs w:val="24"/>
        </w:rPr>
      </w:pPr>
    </w:p>
    <w:p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1. See Notes on Use to Instruction 31:9.</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2. This instruction should be given if the evidence creates a legitimate issue as to whether the plaintiff’s resignation was voluntary or was induced by the employer’s conduct that led the plaintiff to believe and would have led a reasonable person in the plaintiff’s position to believe that he or she had been or was going to be discharged.</w:t>
      </w:r>
    </w:p>
    <w:p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Colorado Civil Rights Commission v. School District No.</w:t>
      </w:r>
      <w:r w:rsidRPr="009A10F1">
        <w:rPr>
          <w:rFonts w:eastAsia="Times New Roman"/>
          <w:sz w:val="24"/>
          <w:szCs w:val="24"/>
        </w:rPr>
        <w:t xml:space="preserve"> </w:t>
      </w:r>
      <w:r w:rsidRPr="009A10F1">
        <w:rPr>
          <w:rFonts w:eastAsia="Times New Roman"/>
          <w:b/>
          <w:sz w:val="24"/>
          <w:szCs w:val="24"/>
        </w:rPr>
        <w:t>1</w:t>
      </w:r>
      <w:r w:rsidRPr="009A10F1">
        <w:rPr>
          <w:rFonts w:eastAsia="Times New Roman"/>
          <w:sz w:val="24"/>
          <w:szCs w:val="24"/>
        </w:rPr>
        <w:t xml:space="preserve">, 30 </w:t>
      </w:r>
      <w:r w:rsidR="0067408D">
        <w:rPr>
          <w:rFonts w:eastAsia="Times New Roman"/>
          <w:sz w:val="24"/>
          <w:szCs w:val="24"/>
        </w:rPr>
        <w:t>Colo. App.</w:t>
      </w:r>
      <w:r w:rsidRPr="009A10F1">
        <w:rPr>
          <w:rFonts w:eastAsia="Times New Roman"/>
          <w:sz w:val="24"/>
          <w:szCs w:val="24"/>
        </w:rPr>
        <w:t xml:space="preserve"> 10, 488 P.2d 83 (1971).</w:t>
      </w:r>
    </w:p>
    <w:p w:rsidR="009A10F1" w:rsidRDefault="009A10F1">
      <w:pPr>
        <w:rPr>
          <w:rFonts w:eastAsia="Times New Roman"/>
          <w:sz w:val="24"/>
          <w:szCs w:val="24"/>
        </w:rPr>
      </w:pPr>
      <w:r>
        <w:rPr>
          <w:rFonts w:eastAsia="Times New Roman"/>
          <w:sz w:val="24"/>
          <w:szCs w:val="24"/>
        </w:rPr>
        <w:br w:type="page"/>
      </w:r>
    </w:p>
    <w:p w:rsidR="009A10F1" w:rsidRPr="009E3DA4" w:rsidRDefault="009A10F1" w:rsidP="009A10F1">
      <w:pPr>
        <w:spacing w:after="240"/>
        <w:ind w:left="720" w:hanging="720"/>
        <w:rPr>
          <w:rFonts w:eastAsia="Times New Roman"/>
          <w:b/>
          <w:sz w:val="24"/>
          <w:szCs w:val="24"/>
        </w:rPr>
      </w:pPr>
      <w:bookmarkStart w:id="11" w:name="a31_11"/>
      <w:bookmarkEnd w:id="11"/>
      <w:r w:rsidRPr="009A10F1">
        <w:rPr>
          <w:rFonts w:eastAsia="Times New Roman"/>
          <w:b/>
          <w:sz w:val="24"/>
          <w:szCs w:val="24"/>
        </w:rPr>
        <w:lastRenderedPageBreak/>
        <w:t>31:11</w:t>
      </w:r>
      <w:r w:rsidRPr="009A10F1">
        <w:rPr>
          <w:rFonts w:eastAsia="Times New Roman"/>
          <w:b/>
          <w:sz w:val="24"/>
          <w:szCs w:val="24"/>
        </w:rPr>
        <w:tab/>
        <w:t>AFFIRMATIVE DEFENSE TO CONTRACT CLAIM — AFTER-ACQUIRED EVIDENCE OF FRAUD OR OTHER MISCONDUCT</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The defendant, </w:t>
      </w:r>
      <w:r w:rsidRPr="009A10F1">
        <w:rPr>
          <w:rFonts w:eastAsia="Times New Roman"/>
          <w:i/>
          <w:sz w:val="24"/>
          <w:szCs w:val="24"/>
        </w:rPr>
        <w:t>(name)</w:t>
      </w:r>
      <w:r w:rsidRPr="009A10F1">
        <w:rPr>
          <w:rFonts w:eastAsia="Times New Roman"/>
          <w:b/>
          <w:sz w:val="24"/>
          <w:szCs w:val="24"/>
        </w:rPr>
        <w:t>, is not liable for breach of an employment contract if you find that the defendant has proved the affirmative defense of after-acquired evidence of (fraud) (misconduct). This affirmative defense is proved if you find all of the following:</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The plaintiff, </w:t>
      </w:r>
      <w:r w:rsidRPr="009A10F1">
        <w:rPr>
          <w:rFonts w:eastAsia="Times New Roman"/>
          <w:i/>
          <w:sz w:val="24"/>
          <w:szCs w:val="24"/>
        </w:rPr>
        <w:t>(name)</w:t>
      </w:r>
      <w:r w:rsidRPr="009A10F1">
        <w:rPr>
          <w:rFonts w:eastAsia="Times New Roman"/>
          <w:b/>
          <w:sz w:val="24"/>
          <w:szCs w:val="24"/>
        </w:rPr>
        <w:t xml:space="preserve">, </w:t>
      </w:r>
      <w:r w:rsidRPr="009A10F1">
        <w:rPr>
          <w:rFonts w:eastAsia="Times New Roman"/>
          <w:i/>
          <w:sz w:val="24"/>
          <w:szCs w:val="24"/>
        </w:rPr>
        <w:t>(describe type of misconduct, e.g., concealed or misrepresented a material fact or facts on a résumé with the intent of creating a false impression in the mind of the defendant; committed theft; committed sexual harassment; etc.)</w:t>
      </w:r>
      <w:r w:rsidRPr="009A10F1">
        <w:rPr>
          <w:rFonts w:eastAsia="Times New Roman"/>
          <w:b/>
          <w:sz w:val="24"/>
          <w:szCs w:val="24"/>
        </w:rPr>
        <w:t>;</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defendant did not discover the (concealed or misrepresented fact or facts) (misconduct) until after the plaintiff was discharged; and</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A reasonable, objective employer (would not have hired) (would have discharged) the plaintiff if it had discovered the (concealed) (misrepresented) fact(s) (misconduct) at the time of the plaintiff’s (fraud) (misconduct).</w:t>
      </w:r>
    </w:p>
    <w:p w:rsidR="009A10F1" w:rsidRDefault="009A10F1" w:rsidP="009A10F1">
      <w:pPr>
        <w:jc w:val="center"/>
        <w:rPr>
          <w:rFonts w:eastAsia="Times New Roman"/>
          <w:sz w:val="24"/>
          <w:szCs w:val="24"/>
        </w:rPr>
      </w:pPr>
    </w:p>
    <w:p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1. Use whichever parenthesized and bracketed words and phrases are appropriate. In paragraph 1, insert specific description of the conduct described.</w:t>
      </w:r>
    </w:p>
    <w:p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This instruction is supported by </w:t>
      </w:r>
      <w:r w:rsidRPr="009A10F1">
        <w:rPr>
          <w:rFonts w:eastAsia="Times New Roman"/>
          <w:b/>
          <w:sz w:val="24"/>
          <w:szCs w:val="24"/>
        </w:rPr>
        <w:t>Crawford Rehabilitation Services, Inc. v. Weissman</w:t>
      </w:r>
      <w:r w:rsidRPr="009A10F1">
        <w:rPr>
          <w:rFonts w:eastAsia="Times New Roman"/>
          <w:sz w:val="24"/>
          <w:szCs w:val="24"/>
        </w:rPr>
        <w:t>, 938 P.2d 540 (Colo. 1997).</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Issues of whether a reasonable, objective employer would have hired or terminated an employee if it had known certain facts and questions of intent are generally for the trier of fact. However, if there is insufficient evidence to allow a reasonable fact finder to reach more than one conclusion from the evidence submitted, the question becomes one of law for the court. </w:t>
      </w:r>
      <w:r w:rsidRPr="009A10F1">
        <w:rPr>
          <w:rFonts w:eastAsia="Times New Roman"/>
          <w:i/>
          <w:sz w:val="24"/>
          <w:szCs w:val="24"/>
        </w:rPr>
        <w:t>See</w:t>
      </w:r>
      <w:r w:rsidRPr="009A10F1">
        <w:rPr>
          <w:rFonts w:eastAsia="Times New Roman"/>
          <w:sz w:val="24"/>
          <w:szCs w:val="24"/>
        </w:rPr>
        <w:t xml:space="preserve"> </w:t>
      </w:r>
      <w:r w:rsidRPr="009A10F1">
        <w:rPr>
          <w:rFonts w:eastAsia="Times New Roman"/>
          <w:b/>
          <w:sz w:val="24"/>
          <w:szCs w:val="24"/>
        </w:rPr>
        <w:t xml:space="preserve">Crawford Rehab. </w:t>
      </w:r>
      <w:proofErr w:type="gramStart"/>
      <w:r w:rsidRPr="009A10F1">
        <w:rPr>
          <w:rFonts w:eastAsia="Times New Roman"/>
          <w:b/>
          <w:sz w:val="24"/>
          <w:szCs w:val="24"/>
        </w:rPr>
        <w:t>Servs.,</w:t>
      </w:r>
      <w:proofErr w:type="gramEnd"/>
      <w:r w:rsidRPr="009A10F1">
        <w:rPr>
          <w:rFonts w:eastAsia="Times New Roman"/>
          <w:b/>
          <w:sz w:val="24"/>
          <w:szCs w:val="24"/>
        </w:rPr>
        <w:t xml:space="preserve"> Inc. v. Weissman</w:t>
      </w:r>
      <w:r w:rsidRPr="009A10F1">
        <w:rPr>
          <w:rFonts w:eastAsia="Times New Roman"/>
          <w:sz w:val="24"/>
          <w:szCs w:val="24"/>
        </w:rPr>
        <w:t>, 938 P.2d 540 (Colo. 1997).</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3. After-acquired evidence of fraud or misconduct would also bar a claim of promissory estoppel based on an employer’s policies. </w:t>
      </w:r>
      <w:proofErr w:type="gramStart"/>
      <w:r w:rsidRPr="009A10F1">
        <w:rPr>
          <w:rFonts w:eastAsia="Times New Roman"/>
          <w:b/>
          <w:sz w:val="24"/>
          <w:szCs w:val="24"/>
        </w:rPr>
        <w:t>Crawford Rehab.</w:t>
      </w:r>
      <w:proofErr w:type="gramEnd"/>
      <w:r w:rsidRPr="009A10F1">
        <w:rPr>
          <w:rFonts w:eastAsia="Times New Roman"/>
          <w:b/>
          <w:sz w:val="24"/>
          <w:szCs w:val="24"/>
        </w:rPr>
        <w:t xml:space="preserve"> </w:t>
      </w:r>
      <w:proofErr w:type="gramStart"/>
      <w:r w:rsidRPr="009A10F1">
        <w:rPr>
          <w:rFonts w:eastAsia="Times New Roman"/>
          <w:b/>
          <w:sz w:val="24"/>
          <w:szCs w:val="24"/>
        </w:rPr>
        <w:t>Servs.,</w:t>
      </w:r>
      <w:proofErr w:type="gramEnd"/>
      <w:r w:rsidRPr="009A10F1">
        <w:rPr>
          <w:rFonts w:eastAsia="Times New Roman"/>
          <w:b/>
          <w:sz w:val="24"/>
          <w:szCs w:val="24"/>
        </w:rPr>
        <w:t xml:space="preserve"> Inc.</w:t>
      </w:r>
      <w:r w:rsidRPr="009A10F1">
        <w:rPr>
          <w:rFonts w:eastAsia="Times New Roman"/>
          <w:sz w:val="24"/>
          <w:szCs w:val="24"/>
        </w:rPr>
        <w:t xml:space="preserve">, 938 P.2d 540. However, since promissory estoppel is an equitable claim, there is no right to a jury trial with respect to such a claim. </w:t>
      </w:r>
      <w:r w:rsidRPr="009A10F1">
        <w:rPr>
          <w:rFonts w:eastAsia="Times New Roman"/>
          <w:b/>
          <w:sz w:val="24"/>
          <w:szCs w:val="24"/>
        </w:rPr>
        <w:t>Snow Basin, Ltd. v. Boettcher &amp; Co.</w:t>
      </w:r>
      <w:r w:rsidRPr="009A10F1">
        <w:rPr>
          <w:rFonts w:eastAsia="Times New Roman"/>
          <w:sz w:val="24"/>
          <w:szCs w:val="24"/>
        </w:rPr>
        <w:t>, 805 P.2d 1151 (</w:t>
      </w:r>
      <w:r w:rsidR="0067408D">
        <w:rPr>
          <w:rFonts w:eastAsia="Times New Roman"/>
          <w:sz w:val="24"/>
          <w:szCs w:val="24"/>
        </w:rPr>
        <w:t>Colo. App.</w:t>
      </w:r>
      <w:r w:rsidRPr="009A10F1">
        <w:rPr>
          <w:rFonts w:eastAsia="Times New Roman"/>
          <w:sz w:val="24"/>
          <w:szCs w:val="24"/>
        </w:rPr>
        <w:t xml:space="preserve"> 1990), </w:t>
      </w:r>
      <w:r w:rsidRPr="009A10F1">
        <w:rPr>
          <w:rFonts w:eastAsia="Times New Roman"/>
          <w:i/>
          <w:sz w:val="24"/>
          <w:szCs w:val="24"/>
        </w:rPr>
        <w:t>cert. denied</w:t>
      </w:r>
      <w:r w:rsidRPr="009A10F1">
        <w:rPr>
          <w:rFonts w:eastAsia="Times New Roman"/>
          <w:sz w:val="24"/>
          <w:szCs w:val="24"/>
        </w:rPr>
        <w:t xml:space="preserve"> (1991).</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4. The court of appeals decision in </w:t>
      </w:r>
      <w:r w:rsidRPr="009A10F1">
        <w:rPr>
          <w:rFonts w:eastAsia="Times New Roman"/>
          <w:b/>
          <w:sz w:val="24"/>
          <w:szCs w:val="24"/>
        </w:rPr>
        <w:t>Weissman v. Crawford Rehabilitation Services, Inc.</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914 P.2d 380 (</w:t>
      </w:r>
      <w:r w:rsidR="0067408D">
        <w:rPr>
          <w:rFonts w:eastAsia="Times New Roman"/>
          <w:sz w:val="24"/>
          <w:szCs w:val="24"/>
        </w:rPr>
        <w:t>Colo. App.</w:t>
      </w:r>
      <w:r w:rsidRPr="009A10F1">
        <w:rPr>
          <w:rFonts w:eastAsia="Times New Roman"/>
          <w:sz w:val="24"/>
          <w:szCs w:val="24"/>
        </w:rPr>
        <w:t xml:space="preserve"> 1995), extended the doctrine to after-acquired evidence of misconduct that may have occurred after the commencement of the employment relationship. The </w:t>
      </w:r>
      <w:proofErr w:type="gramStart"/>
      <w:r w:rsidRPr="009A10F1">
        <w:rPr>
          <w:rFonts w:eastAsia="Times New Roman"/>
          <w:sz w:val="24"/>
          <w:szCs w:val="24"/>
        </w:rPr>
        <w:t>supreme court’s</w:t>
      </w:r>
      <w:proofErr w:type="gramEnd"/>
      <w:r w:rsidRPr="009A10F1">
        <w:rPr>
          <w:rFonts w:eastAsia="Times New Roman"/>
          <w:sz w:val="24"/>
          <w:szCs w:val="24"/>
        </w:rPr>
        <w:t xml:space="preserve"> decision expressly did not reach that issue. </w:t>
      </w:r>
      <w:proofErr w:type="gramStart"/>
      <w:r w:rsidRPr="009A10F1">
        <w:rPr>
          <w:rFonts w:eastAsia="Times New Roman"/>
          <w:b/>
          <w:sz w:val="24"/>
          <w:szCs w:val="24"/>
        </w:rPr>
        <w:t>Crawford Rehab.</w:t>
      </w:r>
      <w:proofErr w:type="gramEnd"/>
      <w:r w:rsidRPr="009A10F1">
        <w:rPr>
          <w:rFonts w:eastAsia="Times New Roman"/>
          <w:b/>
          <w:sz w:val="24"/>
          <w:szCs w:val="24"/>
        </w:rPr>
        <w:t xml:space="preserve"> </w:t>
      </w:r>
      <w:proofErr w:type="gramStart"/>
      <w:r w:rsidRPr="009A10F1">
        <w:rPr>
          <w:rFonts w:eastAsia="Times New Roman"/>
          <w:b/>
          <w:sz w:val="24"/>
          <w:szCs w:val="24"/>
        </w:rPr>
        <w:t>Servs.,</w:t>
      </w:r>
      <w:proofErr w:type="gramEnd"/>
      <w:r w:rsidRPr="009A10F1">
        <w:rPr>
          <w:rFonts w:eastAsia="Times New Roman"/>
          <w:b/>
          <w:sz w:val="24"/>
          <w:szCs w:val="24"/>
        </w:rPr>
        <w:t xml:space="preserve"> Inc.</w:t>
      </w:r>
      <w:r w:rsidRPr="009A10F1">
        <w:rPr>
          <w:rFonts w:eastAsia="Times New Roman"/>
          <w:sz w:val="24"/>
          <w:szCs w:val="24"/>
        </w:rPr>
        <w:t>, 938 P.2d 540.</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lastRenderedPageBreak/>
        <w:t xml:space="preserve">5. When after-acquired evidence is presented in a case alleging violation of a public-policy interest, such as violation of Title VII or violation of 29 U.S.C. 621, </w:t>
      </w:r>
      <w:r w:rsidRPr="009A10F1">
        <w:rPr>
          <w:rFonts w:eastAsia="Times New Roman"/>
          <w:i/>
          <w:sz w:val="24"/>
          <w:szCs w:val="24"/>
        </w:rPr>
        <w:t>et seq.</w:t>
      </w:r>
      <w:r w:rsidRPr="009A10F1">
        <w:rPr>
          <w:rFonts w:eastAsia="Times New Roman"/>
          <w:sz w:val="24"/>
          <w:szCs w:val="24"/>
        </w:rPr>
        <w:t xml:space="preserve">, then the after-acquired evidence serves to limit damages, but it does not act as a complete defense to the cause of action. </w:t>
      </w:r>
      <w:proofErr w:type="gramStart"/>
      <w:r w:rsidRPr="009A10F1">
        <w:rPr>
          <w:rFonts w:eastAsia="Times New Roman"/>
          <w:b/>
          <w:sz w:val="24"/>
          <w:szCs w:val="24"/>
        </w:rPr>
        <w:t>Crawford Rehab.</w:t>
      </w:r>
      <w:proofErr w:type="gramEnd"/>
      <w:r w:rsidRPr="009A10F1">
        <w:rPr>
          <w:rFonts w:eastAsia="Times New Roman"/>
          <w:b/>
          <w:sz w:val="24"/>
          <w:szCs w:val="24"/>
        </w:rPr>
        <w:t xml:space="preserve"> </w:t>
      </w:r>
      <w:proofErr w:type="gramStart"/>
      <w:r w:rsidRPr="009A10F1">
        <w:rPr>
          <w:rFonts w:eastAsia="Times New Roman"/>
          <w:b/>
          <w:sz w:val="24"/>
          <w:szCs w:val="24"/>
        </w:rPr>
        <w:t>Servs.,</w:t>
      </w:r>
      <w:proofErr w:type="gramEnd"/>
      <w:r w:rsidRPr="009A10F1">
        <w:rPr>
          <w:rFonts w:eastAsia="Times New Roman"/>
          <w:b/>
          <w:sz w:val="24"/>
          <w:szCs w:val="24"/>
        </w:rPr>
        <w:t xml:space="preserve"> Inc.</w:t>
      </w:r>
      <w:r w:rsidRPr="009A10F1">
        <w:rPr>
          <w:rFonts w:eastAsia="Times New Roman"/>
          <w:sz w:val="24"/>
          <w:szCs w:val="24"/>
        </w:rPr>
        <w:t xml:space="preserve">, 938 P.2d 540. </w:t>
      </w:r>
      <w:r w:rsidRPr="009A10F1">
        <w:rPr>
          <w:rFonts w:eastAsia="Times New Roman"/>
          <w:b/>
          <w:sz w:val="24"/>
          <w:szCs w:val="24"/>
        </w:rPr>
        <w:t xml:space="preserve">Crawford </w:t>
      </w:r>
      <w:r w:rsidRPr="009A10F1">
        <w:rPr>
          <w:rFonts w:eastAsia="Times New Roman"/>
          <w:sz w:val="24"/>
          <w:szCs w:val="24"/>
        </w:rPr>
        <w:t>declined to apply this limitation to claims for breach of implied contract and promissory estoppel if the employer can prove that the employee’s concealment undermined the very basis upon which he or she was hired.</w:t>
      </w:r>
    </w:p>
    <w:p w:rsidR="009A10F1" w:rsidRDefault="009A10F1">
      <w:pPr>
        <w:rPr>
          <w:rFonts w:eastAsia="Times New Roman"/>
          <w:sz w:val="24"/>
          <w:szCs w:val="24"/>
        </w:rPr>
      </w:pPr>
      <w:r>
        <w:rPr>
          <w:rFonts w:eastAsia="Times New Roman"/>
          <w:sz w:val="24"/>
          <w:szCs w:val="24"/>
        </w:rPr>
        <w:br w:type="page"/>
      </w:r>
    </w:p>
    <w:p w:rsidR="009A10F1" w:rsidRDefault="009A10F1" w:rsidP="009A10F1">
      <w:pPr>
        <w:spacing w:after="240"/>
        <w:jc w:val="center"/>
        <w:rPr>
          <w:rFonts w:eastAsia="Times New Roman"/>
          <w:b/>
          <w:sz w:val="24"/>
          <w:szCs w:val="24"/>
        </w:rPr>
      </w:pPr>
      <w:r w:rsidRPr="009A10F1">
        <w:rPr>
          <w:rFonts w:eastAsia="Times New Roman"/>
          <w:b/>
          <w:sz w:val="24"/>
          <w:szCs w:val="24"/>
        </w:rPr>
        <w:lastRenderedPageBreak/>
        <w:t>B. TORT CLAIMS</w:t>
      </w:r>
    </w:p>
    <w:p w:rsidR="009A10F1" w:rsidRPr="009E3DA4" w:rsidRDefault="009A10F1" w:rsidP="009A10F1">
      <w:pPr>
        <w:spacing w:after="240"/>
        <w:ind w:left="720" w:hanging="720"/>
        <w:rPr>
          <w:rFonts w:eastAsia="Times New Roman"/>
          <w:b/>
          <w:sz w:val="24"/>
          <w:szCs w:val="24"/>
        </w:rPr>
      </w:pPr>
      <w:bookmarkStart w:id="12" w:name="a31_12"/>
      <w:bookmarkEnd w:id="12"/>
      <w:r w:rsidRPr="009A10F1">
        <w:rPr>
          <w:rFonts w:eastAsia="Times New Roman"/>
          <w:b/>
          <w:sz w:val="24"/>
          <w:szCs w:val="24"/>
        </w:rPr>
        <w:t>31:12</w:t>
      </w:r>
      <w:r w:rsidRPr="009A10F1">
        <w:rPr>
          <w:rFonts w:eastAsia="Times New Roman"/>
          <w:b/>
          <w:sz w:val="24"/>
          <w:szCs w:val="24"/>
        </w:rPr>
        <w:tab/>
        <w:t>TORT CLAIM FOR WRONGFUL DISCHARGE BASED ON VIOLATIONS OF PUBLIC POLICY — EMPLOYER’S RETALIATION AGAINST AN EMPLOYEE FOR REFUSAL TO COMPLY WITH EMPLOYER’S IMPROPER DIRECTIVE — ELEMENTS OF LIABILITY</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For the plaintiff, </w:t>
      </w:r>
      <w:r w:rsidRPr="009A10F1">
        <w:rPr>
          <w:rFonts w:eastAsia="Times New Roman"/>
          <w:i/>
          <w:sz w:val="24"/>
          <w:szCs w:val="24"/>
        </w:rPr>
        <w:t>(name)</w:t>
      </w:r>
      <w:r w:rsidRPr="009A10F1">
        <w:rPr>
          <w:rFonts w:eastAsia="Times New Roman"/>
          <w:b/>
          <w:sz w:val="24"/>
          <w:szCs w:val="24"/>
        </w:rPr>
        <w:t xml:space="preserve">, to recover from the </w:t>
      </w:r>
      <w:proofErr w:type="gramStart"/>
      <w:r w:rsidRPr="009A10F1">
        <w:rPr>
          <w:rFonts w:eastAsia="Times New Roman"/>
          <w:b/>
          <w:sz w:val="24"/>
          <w:szCs w:val="24"/>
        </w:rPr>
        <w:t xml:space="preserve">defendant, </w:t>
      </w:r>
      <w:r w:rsidRPr="009A10F1">
        <w:rPr>
          <w:rFonts w:eastAsia="Times New Roman"/>
          <w:i/>
          <w:sz w:val="24"/>
          <w:szCs w:val="24"/>
        </w:rPr>
        <w:t>(name)</w:t>
      </w:r>
      <w:r w:rsidRPr="009A10F1">
        <w:rPr>
          <w:rFonts w:eastAsia="Times New Roman"/>
          <w:b/>
          <w:sz w:val="24"/>
          <w:szCs w:val="24"/>
        </w:rPr>
        <w:t>, on (his) (her) claim</w:t>
      </w:r>
      <w:proofErr w:type="gramEnd"/>
      <w:r w:rsidRPr="009A10F1">
        <w:rPr>
          <w:rFonts w:eastAsia="Times New Roman"/>
          <w:b/>
          <w:sz w:val="24"/>
          <w:szCs w:val="24"/>
        </w:rPr>
        <w:t xml:space="preserve"> for wrongful discharge in violation of public policy, you must find that all of the following have been proved by a preponderance of the evidence:</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During the course of the plaintiff’s employment with the defendant, the defendant directed the plaintiff (not) to: </w:t>
      </w:r>
      <w:r w:rsidRPr="009A10F1">
        <w:rPr>
          <w:rFonts w:eastAsia="Times New Roman"/>
          <w:i/>
          <w:sz w:val="24"/>
          <w:szCs w:val="24"/>
        </w:rPr>
        <w:t>(describe the action, omission, or conduct that would have (1) violated a statute, rule, or regulation relating to public health, safety, or welfare, or (2) undermined a public policy relating to plaintiff’s basic responsibility as a citizen, or (3) prevented the plaintiff from exercising an important work-related right or privilege)</w:t>
      </w:r>
      <w:r w:rsidRPr="009A10F1">
        <w:rPr>
          <w:rFonts w:eastAsia="Times New Roman"/>
          <w:b/>
          <w:sz w:val="24"/>
          <w:szCs w:val="24"/>
        </w:rPr>
        <w:t>;</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plaintiff refused to comply with the defendant’s directive because the plaintiff reasonably believed that to do so would have been (illegal) (a violation of a rule) (a violation of a regulation) (contrary to the plaintiff’s duty as a citizen) (a violation of the plaintiff’s legal right or privilege as a worker);</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The defendant was aware or reasonably should have been aware that the plaintiff’s refusal to comply with the defendant’s directive was based on the plaintiff’s reasonable belief that to do so would have been (illegal) (a violation of a rule) (a violation of a regulation) (contrary to the plaintiff’s duty as a citizen) (a violation of the plaintiff’s legal right or privilege as a worker); and</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4. The defendant (constructively) discharged the plaintiff because the plaintiff refused to comply with the defendant’s directive.</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any one of these </w:t>
      </w:r>
      <w:r w:rsidRPr="009A10F1">
        <w:rPr>
          <w:rFonts w:eastAsia="Times New Roman"/>
          <w:i/>
          <w:sz w:val="24"/>
          <w:szCs w:val="24"/>
        </w:rPr>
        <w:t>(number)</w:t>
      </w:r>
      <w:r w:rsidRPr="009A10F1">
        <w:rPr>
          <w:rFonts w:eastAsia="Times New Roman"/>
          <w:b/>
          <w:sz w:val="24"/>
          <w:szCs w:val="24"/>
        </w:rPr>
        <w:t xml:space="preserve"> statements has not been proved, then your verdict must be for the defendant.</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On the other hand, if you find that all of these </w:t>
      </w:r>
      <w:r w:rsidRPr="009A10F1">
        <w:rPr>
          <w:rFonts w:eastAsia="Times New Roman"/>
          <w:i/>
          <w:sz w:val="24"/>
          <w:szCs w:val="24"/>
        </w:rPr>
        <w:t>(number)</w:t>
      </w:r>
      <w:r w:rsidRPr="009A10F1">
        <w:rPr>
          <w:rFonts w:eastAsia="Times New Roman"/>
          <w:b/>
          <w:sz w:val="24"/>
          <w:szCs w:val="24"/>
        </w:rPr>
        <w:t xml:space="preserve"> statements have been proved, (then your verdict must be for the plaintiff) (then you must consider the defendant’s affirmative defense(s) of </w:t>
      </w:r>
      <w:r w:rsidRPr="009A10F1">
        <w:rPr>
          <w:rFonts w:eastAsia="Times New Roman"/>
          <w:i/>
          <w:sz w:val="24"/>
          <w:szCs w:val="24"/>
        </w:rPr>
        <w:t>[insert any affirmative defense that would be a complete defense to plaintiff’s claim]</w:t>
      </w:r>
      <w:r w:rsidRPr="009A10F1">
        <w:rPr>
          <w:rFonts w:eastAsia="Times New Roman"/>
          <w:b/>
          <w:sz w:val="24"/>
          <w:szCs w:val="24"/>
        </w:rPr>
        <w:t>).</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However, if you find that (this affirmative defense has not) (none of these affirmative defenses have) been proved, then your verdict must be for the plaintiff.</w:t>
      </w:r>
    </w:p>
    <w:p w:rsidR="009A10F1" w:rsidRDefault="009A10F1" w:rsidP="009A10F1">
      <w:pPr>
        <w:jc w:val="center"/>
        <w:rPr>
          <w:rFonts w:eastAsia="Times New Roman"/>
          <w:sz w:val="24"/>
          <w:szCs w:val="24"/>
        </w:rPr>
      </w:pPr>
    </w:p>
    <w:p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lastRenderedPageBreak/>
        <w:t>Notes on Use</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This instruction and Instruction 31:13 are predicated on </w:t>
      </w:r>
      <w:r w:rsidRPr="009A10F1">
        <w:rPr>
          <w:rFonts w:eastAsia="Times New Roman"/>
          <w:b/>
          <w:sz w:val="24"/>
          <w:szCs w:val="24"/>
        </w:rPr>
        <w:t>Martin Marietta Corp. v. Lorenz</w:t>
      </w:r>
      <w:r w:rsidRPr="009A10F1">
        <w:rPr>
          <w:rFonts w:eastAsia="Times New Roman"/>
          <w:sz w:val="24"/>
          <w:szCs w:val="24"/>
        </w:rPr>
        <w:t xml:space="preserve">, 823 P.2d 100 (Colo. 1992), where the court identified the elements of a claim for wrongful discharge under the public-policy exception to the employment at will doctrine. </w:t>
      </w:r>
      <w:r w:rsidRPr="009A10F1">
        <w:rPr>
          <w:rFonts w:eastAsia="Times New Roman"/>
          <w:i/>
          <w:sz w:val="24"/>
          <w:szCs w:val="24"/>
        </w:rPr>
        <w:t xml:space="preserve">See also </w:t>
      </w:r>
      <w:r w:rsidRPr="009A10F1">
        <w:rPr>
          <w:rFonts w:eastAsia="Times New Roman"/>
          <w:b/>
          <w:sz w:val="24"/>
          <w:szCs w:val="24"/>
        </w:rPr>
        <w:t>Rocky Mtn. Hosp. &amp; Med. Serv. v. Mariani</w:t>
      </w:r>
      <w:r w:rsidRPr="009A10F1">
        <w:rPr>
          <w:rFonts w:eastAsia="Times New Roman"/>
          <w:sz w:val="24"/>
          <w:szCs w:val="24"/>
        </w:rPr>
        <w:t xml:space="preserve">, 916 P.2d 519 (Colo. 1996); </w:t>
      </w:r>
      <w:r w:rsidRPr="009A10F1">
        <w:rPr>
          <w:rFonts w:eastAsia="Times New Roman"/>
          <w:b/>
          <w:sz w:val="24"/>
          <w:szCs w:val="24"/>
        </w:rPr>
        <w:t>Bonidy v. Vail Valley Ctr. For Aesthetic Dentistry, P.C.</w:t>
      </w:r>
      <w:r w:rsidRPr="009A10F1">
        <w:rPr>
          <w:rFonts w:eastAsia="Times New Roman"/>
          <w:sz w:val="24"/>
          <w:szCs w:val="24"/>
        </w:rPr>
        <w:t>, 186 P.3d 80 (</w:t>
      </w:r>
      <w:r w:rsidR="0067408D">
        <w:rPr>
          <w:rFonts w:eastAsia="Times New Roman"/>
          <w:sz w:val="24"/>
          <w:szCs w:val="24"/>
        </w:rPr>
        <w:t>Colo. App.</w:t>
      </w:r>
      <w:r w:rsidRPr="009A10F1">
        <w:rPr>
          <w:rFonts w:eastAsia="Times New Roman"/>
          <w:sz w:val="24"/>
          <w:szCs w:val="24"/>
        </w:rPr>
        <w:t xml:space="preserve">), </w:t>
      </w:r>
      <w:r w:rsidRPr="009A10F1">
        <w:rPr>
          <w:rFonts w:eastAsia="Times New Roman"/>
          <w:i/>
          <w:sz w:val="24"/>
          <w:szCs w:val="24"/>
        </w:rPr>
        <w:t>cert. denied</w:t>
      </w:r>
      <w:r w:rsidRPr="009A10F1">
        <w:rPr>
          <w:rFonts w:eastAsia="Times New Roman"/>
          <w:sz w:val="24"/>
          <w:szCs w:val="24"/>
        </w:rPr>
        <w:t xml:space="preserve"> (2008). If the wrongful discharge claim is based on an employee’s refusal to obey a directive of the employer, this instruction should be used. If the claim is based on an allegation an employer discharged an employee for exercising a right or duty without any prior order or directive not to exercise such right, Instruction 31:13 should be used.</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w:t>
      </w:r>
      <w:r w:rsidRPr="009A10F1">
        <w:rPr>
          <w:rFonts w:eastAsia="Times New Roman"/>
          <w:b/>
          <w:sz w:val="24"/>
          <w:szCs w:val="24"/>
        </w:rPr>
        <w:t>Martin Marietta Corp.</w:t>
      </w:r>
      <w:r w:rsidRPr="009A10F1">
        <w:rPr>
          <w:rFonts w:eastAsia="Times New Roman"/>
          <w:sz w:val="24"/>
          <w:szCs w:val="24"/>
        </w:rPr>
        <w:t xml:space="preserve">, 823 P.2d 100, identified the sources of public policy that would support this claim as public duties, important job-related rights, and statutes related to public health, safety, or welfare. But see Note 3 below. The trial court must determine initially as a matter of law whether the public policy involved is sufficiently specific and serious to support this claim. </w:t>
      </w:r>
      <w:r w:rsidRPr="009A10F1">
        <w:rPr>
          <w:rFonts w:eastAsia="Times New Roman"/>
          <w:b/>
          <w:sz w:val="24"/>
          <w:szCs w:val="24"/>
        </w:rPr>
        <w:t>Martin Marietta Corp.</w:t>
      </w:r>
      <w:r w:rsidRPr="009A10F1">
        <w:rPr>
          <w:rFonts w:eastAsia="Times New Roman"/>
          <w:sz w:val="24"/>
          <w:szCs w:val="24"/>
        </w:rPr>
        <w:t xml:space="preserve">, </w:t>
      </w:r>
      <w:proofErr w:type="gramStart"/>
      <w:r w:rsidRPr="009A10F1">
        <w:rPr>
          <w:rFonts w:eastAsia="Times New Roman"/>
          <w:sz w:val="24"/>
          <w:szCs w:val="24"/>
        </w:rPr>
        <w:t>823 P.2d 100</w:t>
      </w:r>
      <w:proofErr w:type="gramEnd"/>
      <w:r w:rsidRPr="009A10F1">
        <w:rPr>
          <w:rFonts w:eastAsia="Times New Roman"/>
          <w:sz w:val="24"/>
          <w:szCs w:val="24"/>
        </w:rPr>
        <w:t xml:space="preserve">; </w:t>
      </w:r>
      <w:r w:rsidRPr="009A10F1">
        <w:rPr>
          <w:rFonts w:eastAsia="Times New Roman"/>
          <w:b/>
          <w:sz w:val="24"/>
          <w:szCs w:val="24"/>
        </w:rPr>
        <w:t>Mariani</w:t>
      </w:r>
      <w:r w:rsidRPr="009A10F1">
        <w:rPr>
          <w:rFonts w:eastAsia="Times New Roman"/>
          <w:sz w:val="24"/>
          <w:szCs w:val="24"/>
        </w:rPr>
        <w:t xml:space="preserve">, 916 P.2d 519. </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3. The language of Paragraphs 2 and 3 may need to be modified to reflect the source of the public policy supporting the claim, depending on the facts in the case. Cases decided prior to </w:t>
      </w:r>
      <w:r w:rsidRPr="009A10F1">
        <w:rPr>
          <w:rFonts w:eastAsia="Times New Roman"/>
          <w:b/>
          <w:sz w:val="24"/>
          <w:szCs w:val="24"/>
        </w:rPr>
        <w:t xml:space="preserve">Martin Marietta </w:t>
      </w:r>
      <w:r w:rsidRPr="009A10F1">
        <w:rPr>
          <w:rFonts w:eastAsia="Times New Roman"/>
          <w:sz w:val="24"/>
          <w:szCs w:val="24"/>
        </w:rPr>
        <w:t xml:space="preserve">held that a tort claim for wrongful discharge based on a violation of public policy could be maintained only if a specific statutory right or duty was involved, and such a claim could not be based on statutes containing only broad general statements of public policy. </w:t>
      </w:r>
      <w:r w:rsidRPr="009A10F1">
        <w:rPr>
          <w:rFonts w:eastAsia="Times New Roman"/>
          <w:i/>
          <w:sz w:val="24"/>
          <w:szCs w:val="24"/>
        </w:rPr>
        <w:t>See, e.g.</w:t>
      </w:r>
      <w:r w:rsidRPr="009A10F1">
        <w:rPr>
          <w:rFonts w:eastAsia="Times New Roman"/>
          <w:sz w:val="24"/>
          <w:szCs w:val="24"/>
        </w:rPr>
        <w:t xml:space="preserve">, </w:t>
      </w:r>
      <w:r w:rsidRPr="009A10F1">
        <w:rPr>
          <w:rFonts w:eastAsia="Times New Roman"/>
          <w:b/>
          <w:sz w:val="24"/>
          <w:szCs w:val="24"/>
        </w:rPr>
        <w:t>Lathrop v. Entenmann’s, Inc.</w:t>
      </w:r>
      <w:r w:rsidRPr="009A10F1">
        <w:rPr>
          <w:rFonts w:eastAsia="Times New Roman"/>
          <w:sz w:val="24"/>
          <w:szCs w:val="24"/>
        </w:rPr>
        <w:t>, 770 P.2d 1367 (</w:t>
      </w:r>
      <w:r w:rsidR="0067408D">
        <w:rPr>
          <w:rFonts w:eastAsia="Times New Roman"/>
          <w:sz w:val="24"/>
          <w:szCs w:val="24"/>
        </w:rPr>
        <w:t>Colo. App.</w:t>
      </w:r>
      <w:r w:rsidRPr="009A10F1">
        <w:rPr>
          <w:rFonts w:eastAsia="Times New Roman"/>
          <w:sz w:val="24"/>
          <w:szCs w:val="24"/>
        </w:rPr>
        <w:t xml:space="preserve">), </w:t>
      </w:r>
      <w:r w:rsidRPr="009A10F1">
        <w:rPr>
          <w:rFonts w:eastAsia="Times New Roman"/>
          <w:i/>
          <w:sz w:val="24"/>
          <w:szCs w:val="24"/>
        </w:rPr>
        <w:t>cert. dism’d</w:t>
      </w:r>
      <w:r w:rsidRPr="009A10F1">
        <w:rPr>
          <w:rFonts w:eastAsia="Times New Roman"/>
          <w:sz w:val="24"/>
          <w:szCs w:val="24"/>
        </w:rPr>
        <w:t xml:space="preserve"> (1989); </w:t>
      </w:r>
      <w:r w:rsidRPr="009A10F1">
        <w:rPr>
          <w:rFonts w:eastAsia="Times New Roman"/>
          <w:b/>
          <w:sz w:val="24"/>
          <w:szCs w:val="24"/>
        </w:rPr>
        <w:t>Cronk v. Intermtn. Rural Elec. Ass’n</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765 P.2d 619 (</w:t>
      </w:r>
      <w:r w:rsidR="0067408D">
        <w:rPr>
          <w:rFonts w:eastAsia="Times New Roman"/>
          <w:sz w:val="24"/>
          <w:szCs w:val="24"/>
        </w:rPr>
        <w:t>Colo. App.</w:t>
      </w:r>
      <w:r w:rsidRPr="009A10F1">
        <w:rPr>
          <w:rFonts w:eastAsia="Times New Roman"/>
          <w:sz w:val="24"/>
          <w:szCs w:val="24"/>
        </w:rPr>
        <w:t xml:space="preserve">), </w:t>
      </w:r>
      <w:r w:rsidRPr="009A10F1">
        <w:rPr>
          <w:rFonts w:eastAsia="Times New Roman"/>
          <w:i/>
          <w:sz w:val="24"/>
          <w:szCs w:val="24"/>
        </w:rPr>
        <w:t>cert. denied</w:t>
      </w:r>
      <w:r w:rsidRPr="009A10F1">
        <w:rPr>
          <w:rFonts w:eastAsia="Times New Roman"/>
          <w:sz w:val="24"/>
          <w:szCs w:val="24"/>
        </w:rPr>
        <w:t xml:space="preserve"> (1988); </w:t>
      </w:r>
      <w:r w:rsidRPr="009A10F1">
        <w:rPr>
          <w:rFonts w:eastAsia="Times New Roman"/>
          <w:b/>
          <w:sz w:val="24"/>
          <w:szCs w:val="24"/>
        </w:rPr>
        <w:t>Farmer v. Central Bancorp., Inc.</w:t>
      </w:r>
      <w:r w:rsidRPr="009A10F1">
        <w:rPr>
          <w:rFonts w:eastAsia="Times New Roman"/>
          <w:sz w:val="24"/>
          <w:szCs w:val="24"/>
        </w:rPr>
        <w:t>, 761 P.2d 220 (</w:t>
      </w:r>
      <w:r w:rsidR="0067408D">
        <w:rPr>
          <w:rFonts w:eastAsia="Times New Roman"/>
          <w:sz w:val="24"/>
          <w:szCs w:val="24"/>
        </w:rPr>
        <w:t>Colo. App.</w:t>
      </w:r>
      <w:r w:rsidRPr="009A10F1">
        <w:rPr>
          <w:rFonts w:eastAsia="Times New Roman"/>
          <w:sz w:val="24"/>
          <w:szCs w:val="24"/>
        </w:rPr>
        <w:t xml:space="preserve">), </w:t>
      </w:r>
      <w:r w:rsidRPr="009A10F1">
        <w:rPr>
          <w:rFonts w:eastAsia="Times New Roman"/>
          <w:i/>
          <w:sz w:val="24"/>
          <w:szCs w:val="24"/>
        </w:rPr>
        <w:t>cert. denied</w:t>
      </w:r>
      <w:r w:rsidRPr="009A10F1">
        <w:rPr>
          <w:rFonts w:eastAsia="Times New Roman"/>
          <w:sz w:val="24"/>
          <w:szCs w:val="24"/>
        </w:rPr>
        <w:t xml:space="preserve"> (1988); </w:t>
      </w:r>
      <w:r w:rsidRPr="009A10F1">
        <w:rPr>
          <w:rFonts w:eastAsia="Times New Roman"/>
          <w:b/>
          <w:sz w:val="24"/>
          <w:szCs w:val="24"/>
        </w:rPr>
        <w:t xml:space="preserve">Pittman v. Larson Distrib. </w:t>
      </w:r>
      <w:proofErr w:type="gramStart"/>
      <w:r w:rsidRPr="009A10F1">
        <w:rPr>
          <w:rFonts w:eastAsia="Times New Roman"/>
          <w:b/>
          <w:sz w:val="24"/>
          <w:szCs w:val="24"/>
        </w:rPr>
        <w:t>Co.</w:t>
      </w:r>
      <w:r w:rsidRPr="009A10F1">
        <w:rPr>
          <w:rFonts w:eastAsia="Times New Roman"/>
          <w:sz w:val="24"/>
          <w:szCs w:val="24"/>
        </w:rPr>
        <w:t>, 724 P.2d 1379 (</w:t>
      </w:r>
      <w:r w:rsidR="0067408D">
        <w:rPr>
          <w:rFonts w:eastAsia="Times New Roman"/>
          <w:sz w:val="24"/>
          <w:szCs w:val="24"/>
        </w:rPr>
        <w:t>Colo. App.</w:t>
      </w:r>
      <w:r w:rsidRPr="009A10F1">
        <w:rPr>
          <w:rFonts w:eastAsia="Times New Roman"/>
          <w:sz w:val="24"/>
          <w:szCs w:val="24"/>
        </w:rPr>
        <w:t xml:space="preserve"> 1986); </w:t>
      </w:r>
      <w:r w:rsidRPr="009A10F1">
        <w:rPr>
          <w:rFonts w:eastAsia="Times New Roman"/>
          <w:b/>
          <w:sz w:val="24"/>
          <w:szCs w:val="24"/>
        </w:rPr>
        <w:t>Corbin v. Sinclair Mktg., Inc.</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684 P.2d 265 (</w:t>
      </w:r>
      <w:r w:rsidR="0067408D">
        <w:rPr>
          <w:rFonts w:eastAsia="Times New Roman"/>
          <w:sz w:val="24"/>
          <w:szCs w:val="24"/>
        </w:rPr>
        <w:t>Colo. App.</w:t>
      </w:r>
      <w:r w:rsidRPr="009A10F1">
        <w:rPr>
          <w:rFonts w:eastAsia="Times New Roman"/>
          <w:sz w:val="24"/>
          <w:szCs w:val="24"/>
        </w:rPr>
        <w:t xml:space="preserve"> 1984); </w:t>
      </w:r>
      <w:r w:rsidRPr="009A10F1">
        <w:rPr>
          <w:rFonts w:eastAsia="Times New Roman"/>
          <w:b/>
          <w:sz w:val="24"/>
          <w:szCs w:val="24"/>
        </w:rPr>
        <w:t>Lampe v. Presbyterian Med.</w:t>
      </w:r>
      <w:r w:rsidRPr="009A10F1">
        <w:rPr>
          <w:rFonts w:eastAsia="Times New Roman"/>
          <w:sz w:val="24"/>
          <w:szCs w:val="24"/>
        </w:rPr>
        <w:t xml:space="preserve"> </w:t>
      </w:r>
      <w:r w:rsidRPr="009A10F1">
        <w:rPr>
          <w:rFonts w:eastAsia="Times New Roman"/>
          <w:b/>
          <w:sz w:val="24"/>
          <w:szCs w:val="24"/>
        </w:rPr>
        <w:t>Ctr.</w:t>
      </w:r>
      <w:r w:rsidRPr="009A10F1">
        <w:rPr>
          <w:rFonts w:eastAsia="Times New Roman"/>
          <w:sz w:val="24"/>
          <w:szCs w:val="24"/>
        </w:rPr>
        <w:t xml:space="preserve">, 41 </w:t>
      </w:r>
      <w:r w:rsidR="0067408D">
        <w:rPr>
          <w:rFonts w:eastAsia="Times New Roman"/>
          <w:sz w:val="24"/>
          <w:szCs w:val="24"/>
        </w:rPr>
        <w:t>Colo. App.</w:t>
      </w:r>
      <w:r w:rsidRPr="009A10F1">
        <w:rPr>
          <w:rFonts w:eastAsia="Times New Roman"/>
          <w:sz w:val="24"/>
          <w:szCs w:val="24"/>
        </w:rPr>
        <w:t xml:space="preserve"> 465, 590 P.2d 513 (1978).</w:t>
      </w:r>
      <w:proofErr w:type="gramEnd"/>
      <w:r w:rsidRPr="009A10F1">
        <w:rPr>
          <w:rFonts w:eastAsia="Times New Roman"/>
          <w:sz w:val="24"/>
          <w:szCs w:val="24"/>
        </w:rPr>
        <w:t xml:space="preserve"> More recently, constitutional provisions, municipal ordinances, administrative regulations, professional rules, and accepted public policy have been held to support a claim for wrongful discharge, but only if the public policy involves a matter of serious public concern. </w:t>
      </w:r>
      <w:proofErr w:type="gramStart"/>
      <w:r w:rsidRPr="009A10F1">
        <w:rPr>
          <w:rFonts w:eastAsia="Times New Roman"/>
          <w:i/>
          <w:sz w:val="24"/>
          <w:szCs w:val="24"/>
        </w:rPr>
        <w:t>See, e.g.</w:t>
      </w:r>
      <w:r w:rsidRPr="009A10F1">
        <w:rPr>
          <w:rFonts w:eastAsia="Times New Roman"/>
          <w:sz w:val="24"/>
          <w:szCs w:val="24"/>
        </w:rPr>
        <w:t xml:space="preserve">, </w:t>
      </w:r>
      <w:r w:rsidRPr="009A10F1">
        <w:rPr>
          <w:rFonts w:eastAsia="Times New Roman"/>
          <w:b/>
          <w:sz w:val="24"/>
          <w:szCs w:val="24"/>
        </w:rPr>
        <w:t>Crawford Rehab.</w:t>
      </w:r>
      <w:proofErr w:type="gramEnd"/>
      <w:r w:rsidRPr="009A10F1">
        <w:rPr>
          <w:rFonts w:eastAsia="Times New Roman"/>
          <w:b/>
          <w:sz w:val="24"/>
          <w:szCs w:val="24"/>
        </w:rPr>
        <w:t xml:space="preserve"> Servs., Inc. v. Weissman</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 xml:space="preserve">938 P.2d 540 (Colo. 1997) (administrative regulation providing that employees are entitled to ten minute rest period for each four hour work period does not constitute public-policy mandate sufficient to support tort claim for wrongful discharge); </w:t>
      </w:r>
      <w:r w:rsidRPr="009A10F1">
        <w:rPr>
          <w:rFonts w:eastAsia="Times New Roman"/>
          <w:b/>
          <w:sz w:val="24"/>
          <w:szCs w:val="24"/>
        </w:rPr>
        <w:t>Rocky Mtn. Hosp. &amp; Med. Serv. v. Mariani</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 xml:space="preserve">916 P.2d 519 (Colo. 1996) (rules of professional conduct for accountants promulgated by state board of accountancy have sufficient public purpose to constitute public policy for purposes of wrongful discharge claim); </w:t>
      </w:r>
      <w:r w:rsidRPr="009A10F1">
        <w:rPr>
          <w:rFonts w:eastAsia="Times New Roman"/>
          <w:b/>
          <w:sz w:val="24"/>
          <w:szCs w:val="24"/>
        </w:rPr>
        <w:t>Kearl</w:t>
      </w:r>
      <w:r w:rsidRPr="009A10F1">
        <w:rPr>
          <w:rFonts w:eastAsia="Times New Roman"/>
          <w:sz w:val="24"/>
          <w:szCs w:val="24"/>
        </w:rPr>
        <w:t xml:space="preserve"> </w:t>
      </w:r>
      <w:r w:rsidRPr="009A10F1">
        <w:rPr>
          <w:rFonts w:eastAsia="Times New Roman"/>
          <w:b/>
          <w:sz w:val="24"/>
          <w:szCs w:val="24"/>
        </w:rPr>
        <w:t>v. Portage Envtl., Inc.</w:t>
      </w:r>
      <w:r w:rsidRPr="009A10F1">
        <w:rPr>
          <w:rFonts w:eastAsia="Times New Roman"/>
          <w:sz w:val="24"/>
          <w:szCs w:val="24"/>
        </w:rPr>
        <w:t>, 205 P.3d 496 (</w:t>
      </w:r>
      <w:r w:rsidR="0067408D">
        <w:rPr>
          <w:rFonts w:eastAsia="Times New Roman"/>
          <w:sz w:val="24"/>
          <w:szCs w:val="24"/>
        </w:rPr>
        <w:t>Colo. App.</w:t>
      </w:r>
      <w:r w:rsidRPr="009A10F1">
        <w:rPr>
          <w:rFonts w:eastAsia="Times New Roman"/>
          <w:sz w:val="24"/>
          <w:szCs w:val="24"/>
        </w:rPr>
        <w:t xml:space="preserve"> 2008) (preventing or opposing fraud on the government is a widely accepted public policy for purpose of wrongful discharge claim); </w:t>
      </w:r>
      <w:r w:rsidRPr="009A10F1">
        <w:rPr>
          <w:rFonts w:eastAsia="Times New Roman"/>
          <w:b/>
          <w:sz w:val="24"/>
          <w:szCs w:val="24"/>
        </w:rPr>
        <w:t>Bonidy</w:t>
      </w:r>
      <w:r w:rsidRPr="009A10F1">
        <w:rPr>
          <w:rFonts w:eastAsia="Times New Roman"/>
          <w:sz w:val="24"/>
          <w:szCs w:val="24"/>
        </w:rPr>
        <w:t xml:space="preserve">, 186 P.3d 80 (wage orders of Colorado Division of Labor mandating breaks from work implicated public safety where employee’s job duties included sterilizing instruments, taking x-rays, and other medical procedures); </w:t>
      </w:r>
      <w:r w:rsidRPr="009A10F1">
        <w:rPr>
          <w:rFonts w:eastAsia="Times New Roman"/>
          <w:b/>
          <w:sz w:val="24"/>
          <w:szCs w:val="24"/>
        </w:rPr>
        <w:t>Jaynes v. Centura Health Corp.</w:t>
      </w:r>
      <w:r w:rsidRPr="009A10F1">
        <w:rPr>
          <w:rFonts w:eastAsia="Times New Roman"/>
          <w:sz w:val="24"/>
          <w:szCs w:val="24"/>
        </w:rPr>
        <w:t>, 148 P.3d 241 (</w:t>
      </w:r>
      <w:r w:rsidR="0067408D">
        <w:rPr>
          <w:rFonts w:eastAsia="Times New Roman"/>
          <w:sz w:val="24"/>
          <w:szCs w:val="24"/>
        </w:rPr>
        <w:t>Colo. App.</w:t>
      </w:r>
      <w:r w:rsidRPr="009A10F1">
        <w:rPr>
          <w:rFonts w:eastAsia="Times New Roman"/>
          <w:sz w:val="24"/>
          <w:szCs w:val="24"/>
        </w:rPr>
        <w:t xml:space="preserve">), </w:t>
      </w:r>
      <w:r w:rsidRPr="009A10F1">
        <w:rPr>
          <w:rFonts w:eastAsia="Times New Roman"/>
          <w:i/>
          <w:sz w:val="24"/>
          <w:szCs w:val="24"/>
        </w:rPr>
        <w:t xml:space="preserve">cert. denied </w:t>
      </w:r>
      <w:r w:rsidRPr="009A10F1">
        <w:rPr>
          <w:rFonts w:eastAsia="Times New Roman"/>
          <w:sz w:val="24"/>
          <w:szCs w:val="24"/>
        </w:rPr>
        <w:t xml:space="preserve">(2006) (neither ethical standards published by private nurses’ association nor statute governing patient quality management provided basis for nurse’s claim against hospital for wrongful discharge in violation of public policy); </w:t>
      </w:r>
      <w:r w:rsidRPr="009A10F1">
        <w:rPr>
          <w:rFonts w:eastAsia="Times New Roman"/>
          <w:b/>
          <w:sz w:val="24"/>
          <w:szCs w:val="24"/>
        </w:rPr>
        <w:t>Slaughter v. John Elway Dodge Southwest/AutoNation</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107 P.3d 1165 (</w:t>
      </w:r>
      <w:r w:rsidR="0067408D">
        <w:rPr>
          <w:rFonts w:eastAsia="Times New Roman"/>
          <w:sz w:val="24"/>
          <w:szCs w:val="24"/>
        </w:rPr>
        <w:t>Colo. App.</w:t>
      </w:r>
      <w:r w:rsidRPr="009A10F1">
        <w:rPr>
          <w:rFonts w:eastAsia="Times New Roman"/>
          <w:sz w:val="24"/>
          <w:szCs w:val="24"/>
        </w:rPr>
        <w:t xml:space="preserve"> 2005) (private employee who was allegedly terminated from her employment for refusing to take drug test did not state cause of action for </w:t>
      </w:r>
      <w:r w:rsidRPr="009A10F1">
        <w:rPr>
          <w:rFonts w:eastAsia="Times New Roman"/>
          <w:sz w:val="24"/>
          <w:szCs w:val="24"/>
        </w:rPr>
        <w:lastRenderedPageBreak/>
        <w:t xml:space="preserve">wrongful termination based on violation of public policy); </w:t>
      </w:r>
      <w:r w:rsidRPr="009A10F1">
        <w:rPr>
          <w:rFonts w:eastAsia="Times New Roman"/>
          <w:b/>
          <w:sz w:val="24"/>
          <w:szCs w:val="24"/>
        </w:rPr>
        <w:t>Herrera v. San Luis C.R.R.</w:t>
      </w:r>
      <w:r w:rsidRPr="009A10F1">
        <w:rPr>
          <w:rFonts w:eastAsia="Times New Roman"/>
          <w:sz w:val="24"/>
          <w:szCs w:val="24"/>
        </w:rPr>
        <w:t>, 997 P.2d 1238 (</w:t>
      </w:r>
      <w:r w:rsidR="0067408D">
        <w:rPr>
          <w:rFonts w:eastAsia="Times New Roman"/>
          <w:sz w:val="24"/>
          <w:szCs w:val="24"/>
        </w:rPr>
        <w:t>Colo. App.</w:t>
      </w:r>
      <w:r w:rsidRPr="009A10F1">
        <w:rPr>
          <w:rFonts w:eastAsia="Times New Roman"/>
          <w:sz w:val="24"/>
          <w:szCs w:val="24"/>
        </w:rPr>
        <w:t xml:space="preserve"> 1999), </w:t>
      </w:r>
      <w:r w:rsidRPr="009A10F1">
        <w:rPr>
          <w:rFonts w:eastAsia="Times New Roman"/>
          <w:i/>
          <w:sz w:val="24"/>
          <w:szCs w:val="24"/>
        </w:rPr>
        <w:t>cert. denied</w:t>
      </w:r>
      <w:r w:rsidRPr="009A10F1">
        <w:rPr>
          <w:rFonts w:eastAsia="Times New Roman"/>
          <w:sz w:val="24"/>
          <w:szCs w:val="24"/>
        </w:rPr>
        <w:t xml:space="preserve"> (2000) (retaliatory discharge of employee for obtaining jury verdict under Federal Employer’s Liability Act stated claim for wrongful discharge in violation of public policy); </w:t>
      </w:r>
      <w:r w:rsidRPr="009A10F1">
        <w:rPr>
          <w:rFonts w:eastAsia="Times New Roman"/>
          <w:b/>
          <w:sz w:val="24"/>
          <w:szCs w:val="24"/>
        </w:rPr>
        <w:t>Flores v. American Pharm. Servs., Inc.</w:t>
      </w:r>
      <w:r w:rsidRPr="009A10F1">
        <w:rPr>
          <w:rFonts w:eastAsia="Times New Roman"/>
          <w:sz w:val="24"/>
          <w:szCs w:val="24"/>
        </w:rPr>
        <w:t>, 994 P.2d 455 (</w:t>
      </w:r>
      <w:r w:rsidR="0067408D">
        <w:rPr>
          <w:rFonts w:eastAsia="Times New Roman"/>
          <w:sz w:val="24"/>
          <w:szCs w:val="24"/>
        </w:rPr>
        <w:t>Colo. App.</w:t>
      </w:r>
      <w:r w:rsidRPr="009A10F1">
        <w:rPr>
          <w:rFonts w:eastAsia="Times New Roman"/>
          <w:sz w:val="24"/>
          <w:szCs w:val="24"/>
        </w:rPr>
        <w:t xml:space="preserve"> 1999), </w:t>
      </w:r>
      <w:r w:rsidRPr="009A10F1">
        <w:rPr>
          <w:rFonts w:eastAsia="Times New Roman"/>
          <w:i/>
          <w:sz w:val="24"/>
          <w:szCs w:val="24"/>
        </w:rPr>
        <w:t>cert. denied</w:t>
      </w:r>
      <w:r w:rsidRPr="009A10F1">
        <w:rPr>
          <w:rFonts w:eastAsia="Times New Roman"/>
          <w:sz w:val="24"/>
          <w:szCs w:val="24"/>
        </w:rPr>
        <w:t xml:space="preserve"> (2000) (evidence that employee was discharged for reporting insurance fraud of co-employee was sufficient to support claim for wrongful discharge in violation of public policy where state statute declared need to aggressively confront problem of insurance fraud); </w:t>
      </w:r>
      <w:r w:rsidRPr="009A10F1">
        <w:rPr>
          <w:rFonts w:eastAsia="Times New Roman"/>
          <w:b/>
          <w:sz w:val="24"/>
          <w:szCs w:val="24"/>
        </w:rPr>
        <w:t>Hoyt v. Target Stores</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981 P.2d 188 (</w:t>
      </w:r>
      <w:r w:rsidR="0067408D">
        <w:rPr>
          <w:rFonts w:eastAsia="Times New Roman"/>
          <w:sz w:val="24"/>
          <w:szCs w:val="24"/>
        </w:rPr>
        <w:t>Colo. App.</w:t>
      </w:r>
      <w:r w:rsidRPr="009A10F1">
        <w:rPr>
          <w:rFonts w:eastAsia="Times New Roman"/>
          <w:sz w:val="24"/>
          <w:szCs w:val="24"/>
        </w:rPr>
        <w:t xml:space="preserve"> 1998), </w:t>
      </w:r>
      <w:r w:rsidRPr="009A10F1">
        <w:rPr>
          <w:rFonts w:eastAsia="Times New Roman"/>
          <w:i/>
          <w:sz w:val="24"/>
          <w:szCs w:val="24"/>
        </w:rPr>
        <w:t>cert. denied</w:t>
      </w:r>
      <w:r w:rsidRPr="009A10F1">
        <w:rPr>
          <w:rFonts w:eastAsia="Times New Roman"/>
          <w:sz w:val="24"/>
          <w:szCs w:val="24"/>
        </w:rPr>
        <w:t xml:space="preserve"> (1999) (evidence that employee was discharged for exercising job-related right to be paid for travel time from store to store in violation of Colorado Wage Claim Act supported claim for wrongful discharge in violation of public policy); </w:t>
      </w:r>
      <w:r w:rsidRPr="009A10F1">
        <w:rPr>
          <w:rFonts w:eastAsia="Times New Roman"/>
          <w:b/>
          <w:sz w:val="24"/>
          <w:szCs w:val="24"/>
        </w:rPr>
        <w:t>Webster v. Konczak Corp.</w:t>
      </w:r>
      <w:r w:rsidRPr="009A10F1">
        <w:rPr>
          <w:rFonts w:eastAsia="Times New Roman"/>
          <w:sz w:val="24"/>
          <w:szCs w:val="24"/>
        </w:rPr>
        <w:t>, 976 P.2d 317 (</w:t>
      </w:r>
      <w:r w:rsidR="0067408D">
        <w:rPr>
          <w:rFonts w:eastAsia="Times New Roman"/>
          <w:sz w:val="24"/>
          <w:szCs w:val="24"/>
        </w:rPr>
        <w:t>Colo. App.</w:t>
      </w:r>
      <w:r w:rsidRPr="009A10F1">
        <w:rPr>
          <w:rFonts w:eastAsia="Times New Roman"/>
          <w:sz w:val="24"/>
          <w:szCs w:val="24"/>
        </w:rPr>
        <w:t xml:space="preserve"> 1998) (retaliatory discharge of an employee for reporting a suspected violation of a regulation promulgated under the Limited Gaming Act may provide a sufficient basis for a claim for wrongful discharge in violation of public policy). </w:t>
      </w:r>
      <w:r w:rsidRPr="009A10F1">
        <w:rPr>
          <w:rFonts w:eastAsia="Times New Roman"/>
          <w:i/>
          <w:sz w:val="24"/>
          <w:szCs w:val="24"/>
        </w:rPr>
        <w:t>See also</w:t>
      </w:r>
      <w:r w:rsidRPr="009A10F1">
        <w:rPr>
          <w:rFonts w:eastAsia="Times New Roman"/>
          <w:sz w:val="24"/>
          <w:szCs w:val="24"/>
        </w:rPr>
        <w:t xml:space="preserve"> </w:t>
      </w:r>
      <w:r w:rsidRPr="009A10F1">
        <w:rPr>
          <w:rFonts w:eastAsia="Times New Roman"/>
          <w:b/>
          <w:sz w:val="24"/>
          <w:szCs w:val="24"/>
        </w:rPr>
        <w:t>Coors Brewing Co. v. Floyd</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 xml:space="preserve">978 P.2d 663 (Colo. 1999) (discussing application of public-policy exception to at-will employment doctrine). </w:t>
      </w:r>
    </w:p>
    <w:p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w:t>
      </w:r>
      <w:r w:rsidRPr="009A10F1">
        <w:rPr>
          <w:rFonts w:eastAsia="Times New Roman"/>
          <w:i/>
          <w:sz w:val="24"/>
          <w:szCs w:val="24"/>
        </w:rPr>
        <w:t>See</w:t>
      </w:r>
      <w:r w:rsidRPr="009A10F1">
        <w:rPr>
          <w:rFonts w:eastAsia="Times New Roman"/>
          <w:sz w:val="24"/>
          <w:szCs w:val="24"/>
        </w:rPr>
        <w:t xml:space="preserve"> </w:t>
      </w:r>
      <w:r w:rsidRPr="009A10F1">
        <w:rPr>
          <w:rFonts w:eastAsia="Times New Roman"/>
          <w:b/>
          <w:sz w:val="24"/>
          <w:szCs w:val="24"/>
        </w:rPr>
        <w:t>Rocky Mtn. Hosp. &amp; Med. Serv. v. Mariani</w:t>
      </w:r>
      <w:r w:rsidRPr="009A10F1">
        <w:rPr>
          <w:rFonts w:eastAsia="Times New Roman"/>
          <w:sz w:val="24"/>
          <w:szCs w:val="24"/>
        </w:rPr>
        <w:t xml:space="preserve">, 916 P.2d 519 (Colo. 1996); </w:t>
      </w:r>
      <w:r w:rsidRPr="009A10F1">
        <w:rPr>
          <w:rFonts w:eastAsia="Times New Roman"/>
          <w:b/>
          <w:sz w:val="24"/>
          <w:szCs w:val="24"/>
        </w:rPr>
        <w:t>Martin Marietta Corp. v. Lorenz</w:t>
      </w:r>
      <w:r w:rsidRPr="009A10F1">
        <w:rPr>
          <w:rFonts w:eastAsia="Times New Roman"/>
          <w:sz w:val="24"/>
          <w:szCs w:val="24"/>
        </w:rPr>
        <w:t xml:space="preserve">, 823 P.2d 100 (Colo. 1992); </w:t>
      </w:r>
      <w:r w:rsidRPr="009A10F1">
        <w:rPr>
          <w:rFonts w:eastAsia="Times New Roman"/>
          <w:b/>
          <w:sz w:val="24"/>
          <w:szCs w:val="24"/>
        </w:rPr>
        <w:t>Middlemist v. BDO Seidman, LLP</w:t>
      </w:r>
      <w:r w:rsidRPr="009A10F1">
        <w:rPr>
          <w:rFonts w:eastAsia="Times New Roman"/>
          <w:sz w:val="24"/>
          <w:szCs w:val="24"/>
        </w:rPr>
        <w:t>, 958 P.2d 486 (</w:t>
      </w:r>
      <w:r w:rsidR="0067408D">
        <w:rPr>
          <w:rFonts w:eastAsia="Times New Roman"/>
          <w:sz w:val="24"/>
          <w:szCs w:val="24"/>
        </w:rPr>
        <w:t>Colo. App.</w:t>
      </w:r>
      <w:r w:rsidRPr="009A10F1">
        <w:rPr>
          <w:rFonts w:eastAsia="Times New Roman"/>
          <w:sz w:val="24"/>
          <w:szCs w:val="24"/>
        </w:rPr>
        <w:t xml:space="preserve"> 1997), </w:t>
      </w:r>
      <w:r w:rsidRPr="009A10F1">
        <w:rPr>
          <w:rFonts w:eastAsia="Times New Roman"/>
          <w:i/>
          <w:sz w:val="24"/>
          <w:szCs w:val="24"/>
        </w:rPr>
        <w:t xml:space="preserve">cert. denied </w:t>
      </w:r>
      <w:r w:rsidRPr="009A10F1">
        <w:rPr>
          <w:rFonts w:eastAsia="Times New Roman"/>
          <w:sz w:val="24"/>
          <w:szCs w:val="24"/>
        </w:rPr>
        <w:t>(1998).</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An employee’s refusal to perform an illegal act is not limited to verbal expressions of refusal but can consist of inaction as well. </w:t>
      </w:r>
      <w:r w:rsidRPr="009A10F1">
        <w:rPr>
          <w:rFonts w:eastAsia="Times New Roman"/>
          <w:b/>
          <w:sz w:val="24"/>
          <w:szCs w:val="24"/>
        </w:rPr>
        <w:t>Rocky Mtn. Hosp. &amp; Med Serv.</w:t>
      </w:r>
      <w:r w:rsidRPr="009A10F1">
        <w:rPr>
          <w:rFonts w:eastAsia="Times New Roman"/>
          <w:sz w:val="24"/>
          <w:szCs w:val="24"/>
        </w:rPr>
        <w:t xml:space="preserve">, 916 P.2d 519; </w:t>
      </w:r>
      <w:r w:rsidRPr="009A10F1">
        <w:rPr>
          <w:rFonts w:eastAsia="Times New Roman"/>
          <w:b/>
          <w:sz w:val="24"/>
          <w:szCs w:val="24"/>
        </w:rPr>
        <w:t>Bonidy v. Vail Valley Ctr. for Aesthetic Dentistry, P.C.</w:t>
      </w:r>
      <w:r w:rsidRPr="009A10F1">
        <w:rPr>
          <w:rFonts w:eastAsia="Times New Roman"/>
          <w:sz w:val="24"/>
          <w:szCs w:val="24"/>
        </w:rPr>
        <w:t>, 232 P.3d 277 (</w:t>
      </w:r>
      <w:r w:rsidR="0067408D">
        <w:rPr>
          <w:rFonts w:eastAsia="Times New Roman"/>
          <w:sz w:val="24"/>
          <w:szCs w:val="24"/>
        </w:rPr>
        <w:t>Colo. App.</w:t>
      </w:r>
      <w:r w:rsidRPr="009A10F1">
        <w:rPr>
          <w:rFonts w:eastAsia="Times New Roman"/>
          <w:sz w:val="24"/>
          <w:szCs w:val="24"/>
        </w:rPr>
        <w:t xml:space="preserve"> 2010) (evidence of employee’s objection to illegal policy followed by her immediate termination is adequate to support requirement that employee refused to perform illegal acts). </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3. In some circumstances, Instruction 31:14 should be used with this instruction to permit the jury to determine whether the propositions set forth in paragraphs 2 and 3 of this instruction have been established by a preponderance of the evidence.</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4. When a statute creates a duty that did not exist at common law and provides a remedy for a breach of that duty, the statute’s remedy is exclusive and precludes an action for wrongful discharge in tort based upon a common-law theory. </w:t>
      </w:r>
      <w:r w:rsidRPr="009A10F1">
        <w:rPr>
          <w:rFonts w:eastAsia="Times New Roman"/>
          <w:b/>
          <w:sz w:val="24"/>
          <w:szCs w:val="24"/>
        </w:rPr>
        <w:t>Farmers Group, Inc. v. Williams</w:t>
      </w:r>
      <w:r w:rsidRPr="009A10F1">
        <w:rPr>
          <w:rFonts w:eastAsia="Times New Roman"/>
          <w:sz w:val="24"/>
          <w:szCs w:val="24"/>
        </w:rPr>
        <w:t xml:space="preserve">, 805 P.2d 419 (Colo. 1991); </w:t>
      </w:r>
      <w:r w:rsidRPr="009A10F1">
        <w:rPr>
          <w:rFonts w:eastAsia="Times New Roman"/>
          <w:b/>
          <w:sz w:val="24"/>
          <w:szCs w:val="24"/>
        </w:rPr>
        <w:t>Krauss v. Catholic Health Initiatives Mtn. Region</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66 P.3d 195 (</w:t>
      </w:r>
      <w:r w:rsidR="0067408D">
        <w:rPr>
          <w:rFonts w:eastAsia="Times New Roman"/>
          <w:sz w:val="24"/>
          <w:szCs w:val="24"/>
        </w:rPr>
        <w:t>Colo. App.</w:t>
      </w:r>
      <w:r w:rsidRPr="009A10F1">
        <w:rPr>
          <w:rFonts w:eastAsia="Times New Roman"/>
          <w:sz w:val="24"/>
          <w:szCs w:val="24"/>
        </w:rPr>
        <w:t xml:space="preserve"> 2003) (alleged violation of Family Medical Leave Act of 1993, 29 U.S.C. §§ 2601-2654); </w:t>
      </w:r>
      <w:r w:rsidRPr="009A10F1">
        <w:rPr>
          <w:rFonts w:eastAsia="Times New Roman"/>
          <w:b/>
          <w:sz w:val="24"/>
          <w:szCs w:val="24"/>
        </w:rPr>
        <w:t>Gamble v. Levitz Furniture Co.</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759 P.2d 761 (</w:t>
      </w:r>
      <w:r w:rsidR="0067408D">
        <w:rPr>
          <w:rFonts w:eastAsia="Times New Roman"/>
          <w:sz w:val="24"/>
          <w:szCs w:val="24"/>
        </w:rPr>
        <w:t>Colo. App.</w:t>
      </w:r>
      <w:r w:rsidRPr="009A10F1">
        <w:rPr>
          <w:rFonts w:eastAsia="Times New Roman"/>
          <w:sz w:val="24"/>
          <w:szCs w:val="24"/>
        </w:rPr>
        <w:t xml:space="preserve"> 1988), </w:t>
      </w:r>
      <w:r w:rsidRPr="009A10F1">
        <w:rPr>
          <w:rFonts w:eastAsia="Times New Roman"/>
          <w:i/>
          <w:sz w:val="24"/>
          <w:szCs w:val="24"/>
        </w:rPr>
        <w:t>cert. denied</w:t>
      </w:r>
      <w:r w:rsidRPr="009A10F1">
        <w:rPr>
          <w:rFonts w:eastAsia="Times New Roman"/>
          <w:sz w:val="24"/>
          <w:szCs w:val="24"/>
        </w:rPr>
        <w:t xml:space="preserve"> (1989); </w:t>
      </w:r>
      <w:r w:rsidRPr="009A10F1">
        <w:rPr>
          <w:rFonts w:eastAsia="Times New Roman"/>
          <w:b/>
          <w:sz w:val="24"/>
          <w:szCs w:val="24"/>
        </w:rPr>
        <w:t>Corbin v. Sinclair Mktg., Inc.</w:t>
      </w:r>
      <w:r w:rsidRPr="009A10F1">
        <w:rPr>
          <w:rFonts w:eastAsia="Times New Roman"/>
          <w:sz w:val="24"/>
          <w:szCs w:val="24"/>
        </w:rPr>
        <w:t>, 684 P.2d 265 (</w:t>
      </w:r>
      <w:r w:rsidR="0067408D">
        <w:rPr>
          <w:rFonts w:eastAsia="Times New Roman"/>
          <w:sz w:val="24"/>
          <w:szCs w:val="24"/>
        </w:rPr>
        <w:t>Colo. App.</w:t>
      </w:r>
      <w:r w:rsidRPr="009A10F1">
        <w:rPr>
          <w:rFonts w:eastAsia="Times New Roman"/>
          <w:sz w:val="24"/>
          <w:szCs w:val="24"/>
        </w:rPr>
        <w:t xml:space="preserve"> 1984). </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5. Evidence of omissions or misstatements on employment application form, discovered by the employer after employee was discharged, cannot be relied upon as a complete defense to a tort claim for a retaliatory discharge in violation of public policy, but may provide grounds for limiting the relief available to the employee. </w:t>
      </w:r>
      <w:proofErr w:type="gramStart"/>
      <w:r w:rsidRPr="009A10F1">
        <w:rPr>
          <w:rFonts w:eastAsia="Times New Roman"/>
          <w:b/>
          <w:sz w:val="24"/>
          <w:szCs w:val="24"/>
        </w:rPr>
        <w:t>Weissman v. Crawford Rehab.</w:t>
      </w:r>
      <w:proofErr w:type="gramEnd"/>
      <w:r w:rsidRPr="009A10F1">
        <w:rPr>
          <w:rFonts w:eastAsia="Times New Roman"/>
          <w:b/>
          <w:sz w:val="24"/>
          <w:szCs w:val="24"/>
        </w:rPr>
        <w:t xml:space="preserve"> Servs., Inc.</w:t>
      </w:r>
      <w:r w:rsidRPr="009A10F1">
        <w:rPr>
          <w:rFonts w:eastAsia="Times New Roman"/>
          <w:sz w:val="24"/>
          <w:szCs w:val="24"/>
        </w:rPr>
        <w:t>, 914 P.2d 380 (</w:t>
      </w:r>
      <w:r w:rsidR="0067408D">
        <w:rPr>
          <w:rFonts w:eastAsia="Times New Roman"/>
          <w:sz w:val="24"/>
          <w:szCs w:val="24"/>
        </w:rPr>
        <w:t>Colo. App.</w:t>
      </w:r>
      <w:r w:rsidRPr="009A10F1">
        <w:rPr>
          <w:rFonts w:eastAsia="Times New Roman"/>
          <w:sz w:val="24"/>
          <w:szCs w:val="24"/>
        </w:rPr>
        <w:t xml:space="preserve"> 1995), </w:t>
      </w:r>
      <w:r w:rsidRPr="009A10F1">
        <w:rPr>
          <w:rFonts w:eastAsia="Times New Roman"/>
          <w:i/>
          <w:sz w:val="24"/>
          <w:szCs w:val="24"/>
        </w:rPr>
        <w:t>rev’d on other grounds</w:t>
      </w:r>
      <w:r w:rsidRPr="009A10F1">
        <w:rPr>
          <w:rFonts w:eastAsia="Times New Roman"/>
          <w:sz w:val="24"/>
          <w:szCs w:val="24"/>
        </w:rPr>
        <w:t xml:space="preserve">, 938 P.2d 540 (Colo. 1997) (adopting after-acquired evidence rule enunciated by the United States Supreme Court in </w:t>
      </w:r>
      <w:r w:rsidRPr="009A10F1">
        <w:rPr>
          <w:rFonts w:eastAsia="Times New Roman"/>
          <w:b/>
          <w:sz w:val="24"/>
          <w:szCs w:val="24"/>
        </w:rPr>
        <w:t xml:space="preserve">McKennon v. </w:t>
      </w:r>
      <w:r w:rsidRPr="009A10F1">
        <w:rPr>
          <w:rFonts w:eastAsia="Times New Roman"/>
          <w:b/>
          <w:sz w:val="24"/>
          <w:szCs w:val="24"/>
        </w:rPr>
        <w:lastRenderedPageBreak/>
        <w:t>Nashville Banner Publ’g Co.</w:t>
      </w:r>
      <w:r w:rsidRPr="009A10F1">
        <w:rPr>
          <w:rFonts w:eastAsia="Times New Roman"/>
          <w:sz w:val="24"/>
          <w:szCs w:val="24"/>
        </w:rPr>
        <w:t>, 513 U.S. 352, 115 S.</w:t>
      </w:r>
      <w:r w:rsidR="00901FA0">
        <w:rPr>
          <w:rFonts w:eastAsia="Times New Roman"/>
          <w:sz w:val="24"/>
          <w:szCs w:val="24"/>
        </w:rPr>
        <w:t xml:space="preserve"> </w:t>
      </w:r>
      <w:r w:rsidRPr="009A10F1">
        <w:rPr>
          <w:rFonts w:eastAsia="Times New Roman"/>
          <w:sz w:val="24"/>
          <w:szCs w:val="24"/>
        </w:rPr>
        <w:t>Ct. 879, 130 L.</w:t>
      </w:r>
      <w:r w:rsidR="00901FA0">
        <w:rPr>
          <w:rFonts w:eastAsia="Times New Roman"/>
          <w:sz w:val="24"/>
          <w:szCs w:val="24"/>
        </w:rPr>
        <w:t xml:space="preserve"> </w:t>
      </w:r>
      <w:r w:rsidRPr="009A10F1">
        <w:rPr>
          <w:rFonts w:eastAsia="Times New Roman"/>
          <w:sz w:val="24"/>
          <w:szCs w:val="24"/>
        </w:rPr>
        <w:t>Ed.</w:t>
      </w:r>
      <w:r w:rsidR="00901FA0">
        <w:rPr>
          <w:rFonts w:eastAsia="Times New Roman"/>
          <w:sz w:val="24"/>
          <w:szCs w:val="24"/>
        </w:rPr>
        <w:t xml:space="preserve"> </w:t>
      </w:r>
      <w:r w:rsidRPr="009A10F1">
        <w:rPr>
          <w:rFonts w:eastAsia="Times New Roman"/>
          <w:sz w:val="24"/>
          <w:szCs w:val="24"/>
        </w:rPr>
        <w:t>2d 852 (1995)); see Instruction 31:16.</w:t>
      </w:r>
    </w:p>
    <w:p w:rsidR="009A10F1" w:rsidRDefault="009A10F1">
      <w:pPr>
        <w:rPr>
          <w:rFonts w:eastAsia="Times New Roman"/>
          <w:sz w:val="24"/>
          <w:szCs w:val="24"/>
        </w:rPr>
      </w:pPr>
      <w:r>
        <w:rPr>
          <w:rFonts w:eastAsia="Times New Roman"/>
          <w:sz w:val="24"/>
          <w:szCs w:val="24"/>
        </w:rPr>
        <w:br w:type="page"/>
      </w:r>
    </w:p>
    <w:p w:rsidR="009A10F1" w:rsidRPr="009E3DA4" w:rsidRDefault="009A10F1" w:rsidP="009A10F1">
      <w:pPr>
        <w:spacing w:after="240"/>
        <w:ind w:left="720" w:hanging="720"/>
        <w:rPr>
          <w:rFonts w:eastAsia="Times New Roman"/>
          <w:b/>
          <w:sz w:val="24"/>
          <w:szCs w:val="24"/>
        </w:rPr>
      </w:pPr>
      <w:bookmarkStart w:id="13" w:name="a31_13"/>
      <w:bookmarkEnd w:id="13"/>
      <w:proofErr w:type="gramStart"/>
      <w:r w:rsidRPr="009A10F1">
        <w:rPr>
          <w:rFonts w:eastAsia="Times New Roman"/>
          <w:b/>
          <w:sz w:val="24"/>
          <w:szCs w:val="24"/>
        </w:rPr>
        <w:lastRenderedPageBreak/>
        <w:t>31:13  TORT</w:t>
      </w:r>
      <w:proofErr w:type="gramEnd"/>
      <w:r w:rsidRPr="009A10F1">
        <w:rPr>
          <w:rFonts w:eastAsia="Times New Roman"/>
          <w:b/>
          <w:sz w:val="24"/>
          <w:szCs w:val="24"/>
        </w:rPr>
        <w:t xml:space="preserve"> CLAIM FOR WRONGFUL DISCHARGE BASED ON VIOLATIONS OF PUBLIC POLICY ― EMPLOYER’S RETALIATION AGAINST AN EMPLOYEE FOR EXERCISING A RIGHT OR PERFORMING A PUBLIC DUTY — ELEMENTS OF LIABILITY</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For the plaintiff, </w:t>
      </w:r>
      <w:r w:rsidRPr="009A10F1">
        <w:rPr>
          <w:rFonts w:eastAsia="Times New Roman"/>
          <w:i/>
          <w:sz w:val="24"/>
          <w:szCs w:val="24"/>
        </w:rPr>
        <w:t>(name)</w:t>
      </w:r>
      <w:r w:rsidRPr="009A10F1">
        <w:rPr>
          <w:rFonts w:eastAsia="Times New Roman"/>
          <w:b/>
          <w:sz w:val="24"/>
          <w:szCs w:val="24"/>
        </w:rPr>
        <w:t xml:space="preserve">, to recover from the defendant, </w:t>
      </w:r>
      <w:r w:rsidRPr="009A10F1">
        <w:rPr>
          <w:rFonts w:eastAsia="Times New Roman"/>
          <w:i/>
          <w:sz w:val="24"/>
          <w:szCs w:val="24"/>
        </w:rPr>
        <w:t>(name)</w:t>
      </w:r>
      <w:r w:rsidRPr="009A10F1">
        <w:rPr>
          <w:rFonts w:eastAsia="Times New Roman"/>
          <w:b/>
          <w:sz w:val="24"/>
          <w:szCs w:val="24"/>
        </w:rPr>
        <w:t>, on (his) (her) claim for wrongful discharge, based on a violation of public policy, you must find that all of the following have been proved by a preponderance of the evidence:</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During the course of employment, plaintiff </w:t>
      </w:r>
      <w:r w:rsidRPr="009A10F1">
        <w:rPr>
          <w:rFonts w:eastAsia="Times New Roman"/>
          <w:i/>
          <w:sz w:val="24"/>
          <w:szCs w:val="24"/>
        </w:rPr>
        <w:t>(describe the action, omission, or conduct of plaintiff that was (1) an exercise of a statutory, regulatory, or rule-based right relating to public health, safety, or welfare, or (2) a performance of a public duty relating to plaintiff’s basic responsibility as a citizen, or (3) an exercise of an important work-related right or privilege)</w:t>
      </w:r>
      <w:r w:rsidRPr="009A10F1">
        <w:rPr>
          <w:rFonts w:eastAsia="Times New Roman"/>
          <w:b/>
          <w:sz w:val="24"/>
          <w:szCs w:val="24"/>
        </w:rPr>
        <w:t xml:space="preserve"> because (he) (she) (reasonably believed [he][she]) had a right to (follow the [statute] [regulation] [rule]) (perform [his] [her] duty as a citizen) (exercise [his] [her] right or privilege as a worker);</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defendant was aware or reasonably should have been aware that plaintiff (reasonably believed [he] [she]) had a right to (follow the [statute] [regulation] [rule]) (perform [his] [her] duty as a citizen) (exercise [his] [her] right or privilege as a worker); and</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The defendant (constructively) discharged the plaintiff because the plaintiff (followed the [statute] [rule] [regulation]) (performed [his] [her] duty as a citizen) (exercised [his] [her] right or privilege as a worker).</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any one or more of these </w:t>
      </w:r>
      <w:r w:rsidRPr="009A10F1">
        <w:rPr>
          <w:rFonts w:eastAsia="Times New Roman"/>
          <w:i/>
          <w:sz w:val="24"/>
          <w:szCs w:val="24"/>
        </w:rPr>
        <w:t>(number)</w:t>
      </w:r>
      <w:r w:rsidRPr="009A10F1">
        <w:rPr>
          <w:rFonts w:eastAsia="Times New Roman"/>
          <w:b/>
          <w:sz w:val="24"/>
          <w:szCs w:val="24"/>
        </w:rPr>
        <w:t xml:space="preserve"> statements has not been proved, then your verdict must be for the defendant.</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On the other hand, if you find that all of these </w:t>
      </w:r>
      <w:r w:rsidRPr="009A10F1">
        <w:rPr>
          <w:rFonts w:eastAsia="Times New Roman"/>
          <w:i/>
          <w:sz w:val="24"/>
          <w:szCs w:val="24"/>
        </w:rPr>
        <w:t>(number)</w:t>
      </w:r>
      <w:r w:rsidRPr="009A10F1">
        <w:rPr>
          <w:rFonts w:eastAsia="Times New Roman"/>
          <w:b/>
          <w:sz w:val="24"/>
          <w:szCs w:val="24"/>
        </w:rPr>
        <w:t xml:space="preserve"> statements have been proved, (then your verdict must be for the plaintiff) (then you must consider the defendant’s affirmative defense(s) of </w:t>
      </w:r>
      <w:r w:rsidRPr="009A10F1">
        <w:rPr>
          <w:rFonts w:eastAsia="Times New Roman"/>
          <w:i/>
          <w:sz w:val="24"/>
          <w:szCs w:val="24"/>
        </w:rPr>
        <w:t>[insert any affirmative defense that would be a complete defense to plaintiff’s claim]</w:t>
      </w:r>
      <w:r w:rsidRPr="009A10F1">
        <w:rPr>
          <w:rFonts w:eastAsia="Times New Roman"/>
          <w:b/>
          <w:sz w:val="24"/>
          <w:szCs w:val="24"/>
        </w:rPr>
        <w:t>).</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However, if you find that (this affirmative defense has not) (none of these affirmative defenses have) been proved, then your verdict must be for the plaintiff.</w:t>
      </w:r>
    </w:p>
    <w:p w:rsidR="009A10F1" w:rsidRDefault="009A10F1" w:rsidP="009A10F1">
      <w:pPr>
        <w:jc w:val="center"/>
        <w:rPr>
          <w:rFonts w:eastAsia="Times New Roman"/>
          <w:sz w:val="24"/>
          <w:szCs w:val="24"/>
        </w:rPr>
      </w:pPr>
    </w:p>
    <w:p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1. Use whichever parenthesized and bracketed words and phrases are appropriate. In paragraph 1, specify the plaintiff’s conduct asserted.</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lastRenderedPageBreak/>
        <w:t xml:space="preserve">2. This instruction should be used instead of Instruction 31:12 in the situation in which an employer discharges an employee for exercising a right or duty without any prior order or directive not to exercise such right or duty. </w:t>
      </w:r>
      <w:r w:rsidRPr="009A10F1">
        <w:rPr>
          <w:rFonts w:eastAsia="Times New Roman"/>
          <w:i/>
          <w:sz w:val="24"/>
          <w:szCs w:val="24"/>
        </w:rPr>
        <w:t>See, e.g.</w:t>
      </w:r>
      <w:r w:rsidRPr="009A10F1">
        <w:rPr>
          <w:rFonts w:eastAsia="Times New Roman"/>
          <w:sz w:val="24"/>
          <w:szCs w:val="24"/>
        </w:rPr>
        <w:t xml:space="preserve">, </w:t>
      </w:r>
      <w:r w:rsidRPr="009A10F1">
        <w:rPr>
          <w:rFonts w:eastAsia="Times New Roman"/>
          <w:b/>
          <w:sz w:val="24"/>
          <w:szCs w:val="24"/>
        </w:rPr>
        <w:t>Lathrop v. Entenmann’s, Inc.</w:t>
      </w:r>
      <w:r w:rsidRPr="009A10F1">
        <w:rPr>
          <w:rFonts w:eastAsia="Times New Roman"/>
          <w:sz w:val="24"/>
          <w:szCs w:val="24"/>
        </w:rPr>
        <w:t>, 770 P.2d 1367 (</w:t>
      </w:r>
      <w:r w:rsidR="0067408D">
        <w:rPr>
          <w:rFonts w:eastAsia="Times New Roman"/>
          <w:sz w:val="24"/>
          <w:szCs w:val="24"/>
        </w:rPr>
        <w:t>Colo. App.</w:t>
      </w:r>
      <w:r w:rsidRPr="009A10F1">
        <w:rPr>
          <w:rFonts w:eastAsia="Times New Roman"/>
          <w:sz w:val="24"/>
          <w:szCs w:val="24"/>
        </w:rPr>
        <w:t xml:space="preserve">), </w:t>
      </w:r>
      <w:r w:rsidRPr="009A10F1">
        <w:rPr>
          <w:rFonts w:eastAsia="Times New Roman"/>
          <w:i/>
          <w:sz w:val="24"/>
          <w:szCs w:val="24"/>
        </w:rPr>
        <w:t>cert. dism’d</w:t>
      </w:r>
      <w:r w:rsidRPr="009A10F1">
        <w:rPr>
          <w:rFonts w:eastAsia="Times New Roman"/>
          <w:sz w:val="24"/>
          <w:szCs w:val="24"/>
        </w:rPr>
        <w:t xml:space="preserve"> (1989) (discharge allegedly in retaliation for filing workers’ compensation claim); </w:t>
      </w:r>
      <w:r w:rsidRPr="009A10F1">
        <w:rPr>
          <w:rFonts w:eastAsia="Times New Roman"/>
          <w:b/>
          <w:sz w:val="24"/>
          <w:szCs w:val="24"/>
        </w:rPr>
        <w:t>Kearl v. Portage Envtl., Inc.</w:t>
      </w:r>
      <w:r w:rsidRPr="009A10F1">
        <w:rPr>
          <w:rFonts w:eastAsia="Times New Roman"/>
          <w:sz w:val="24"/>
          <w:szCs w:val="24"/>
        </w:rPr>
        <w:t>, 205 P.3d 496 (</w:t>
      </w:r>
      <w:r w:rsidR="0067408D">
        <w:rPr>
          <w:rFonts w:eastAsia="Times New Roman"/>
          <w:sz w:val="24"/>
          <w:szCs w:val="24"/>
        </w:rPr>
        <w:t>Colo. App.</w:t>
      </w:r>
      <w:r w:rsidRPr="009A10F1">
        <w:rPr>
          <w:rFonts w:eastAsia="Times New Roman"/>
          <w:sz w:val="24"/>
          <w:szCs w:val="24"/>
        </w:rPr>
        <w:t xml:space="preserve"> 2008) (allegations that employee was fired in retaliation for reporting to employer possible fraud on government stated claim for wrongful termination); </w:t>
      </w:r>
      <w:r w:rsidRPr="009A10F1">
        <w:rPr>
          <w:rFonts w:eastAsia="Times New Roman"/>
          <w:b/>
          <w:sz w:val="24"/>
          <w:szCs w:val="24"/>
        </w:rPr>
        <w:t>Herrera v. San Luis C.R.R.</w:t>
      </w:r>
      <w:r w:rsidRPr="009A10F1">
        <w:rPr>
          <w:rFonts w:eastAsia="Times New Roman"/>
          <w:sz w:val="24"/>
          <w:szCs w:val="24"/>
        </w:rPr>
        <w:t>, 997 P.2d 1238 (</w:t>
      </w:r>
      <w:r w:rsidR="0067408D">
        <w:rPr>
          <w:rFonts w:eastAsia="Times New Roman"/>
          <w:sz w:val="24"/>
          <w:szCs w:val="24"/>
        </w:rPr>
        <w:t>Colo. App.</w:t>
      </w:r>
      <w:r w:rsidRPr="009A10F1">
        <w:rPr>
          <w:rFonts w:eastAsia="Times New Roman"/>
          <w:sz w:val="24"/>
          <w:szCs w:val="24"/>
        </w:rPr>
        <w:t xml:space="preserve"> 1999) (discharge based on securing verdict on claim against employer). </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3. See also Notes on Use to Instruction 31:12.</w:t>
      </w:r>
    </w:p>
    <w:p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Lathrop v. Entenmann’s, Inc.</w:t>
      </w:r>
      <w:r w:rsidRPr="009A10F1">
        <w:rPr>
          <w:rFonts w:eastAsia="Times New Roman"/>
          <w:sz w:val="24"/>
          <w:szCs w:val="24"/>
        </w:rPr>
        <w:t>, 770 P.2d 1367 (</w:t>
      </w:r>
      <w:r w:rsidR="0067408D">
        <w:rPr>
          <w:rFonts w:eastAsia="Times New Roman"/>
          <w:sz w:val="24"/>
          <w:szCs w:val="24"/>
        </w:rPr>
        <w:t>Colo. App.</w:t>
      </w:r>
      <w:r w:rsidRPr="009A10F1">
        <w:rPr>
          <w:rFonts w:eastAsia="Times New Roman"/>
          <w:sz w:val="24"/>
          <w:szCs w:val="24"/>
        </w:rPr>
        <w:t xml:space="preserve">), </w:t>
      </w:r>
      <w:r w:rsidRPr="009A10F1">
        <w:rPr>
          <w:rFonts w:eastAsia="Times New Roman"/>
          <w:i/>
          <w:sz w:val="24"/>
          <w:szCs w:val="24"/>
        </w:rPr>
        <w:t>cert. dism’d</w:t>
      </w:r>
      <w:r w:rsidRPr="009A10F1">
        <w:rPr>
          <w:rFonts w:eastAsia="Times New Roman"/>
          <w:sz w:val="24"/>
          <w:szCs w:val="24"/>
        </w:rPr>
        <w:t xml:space="preserve"> (1989). Paragraph 2 is supported by </w:t>
      </w:r>
      <w:r w:rsidRPr="009A10F1">
        <w:rPr>
          <w:rFonts w:eastAsia="Times New Roman"/>
          <w:b/>
          <w:sz w:val="24"/>
          <w:szCs w:val="24"/>
        </w:rPr>
        <w:t>Martin Marietta Corp. v. Lorenz</w:t>
      </w:r>
      <w:r w:rsidRPr="009A10F1">
        <w:rPr>
          <w:rFonts w:eastAsia="Times New Roman"/>
          <w:sz w:val="24"/>
          <w:szCs w:val="24"/>
        </w:rPr>
        <w:t xml:space="preserve">, 823 P.2d 100 (Colo. 1992), and </w:t>
      </w:r>
      <w:r w:rsidRPr="009A10F1">
        <w:rPr>
          <w:rFonts w:eastAsia="Times New Roman"/>
          <w:b/>
          <w:sz w:val="24"/>
          <w:szCs w:val="24"/>
        </w:rPr>
        <w:t>Kearl v. Portage Environmental, Inc.</w:t>
      </w:r>
      <w:r w:rsidRPr="009A10F1">
        <w:rPr>
          <w:rFonts w:eastAsia="Times New Roman"/>
          <w:sz w:val="24"/>
          <w:szCs w:val="24"/>
        </w:rPr>
        <w:t>, 205 P.3d 496 (</w:t>
      </w:r>
      <w:r w:rsidR="0067408D">
        <w:rPr>
          <w:rFonts w:eastAsia="Times New Roman"/>
          <w:sz w:val="24"/>
          <w:szCs w:val="24"/>
        </w:rPr>
        <w:t>Colo. App.</w:t>
      </w:r>
      <w:r w:rsidRPr="009A10F1">
        <w:rPr>
          <w:rFonts w:eastAsia="Times New Roman"/>
          <w:sz w:val="24"/>
          <w:szCs w:val="24"/>
        </w:rPr>
        <w:t xml:space="preserve"> 2008).</w:t>
      </w:r>
    </w:p>
    <w:p w:rsidR="009A10F1" w:rsidRDefault="009A10F1">
      <w:pPr>
        <w:rPr>
          <w:rFonts w:eastAsia="Times New Roman"/>
          <w:sz w:val="24"/>
          <w:szCs w:val="24"/>
        </w:rPr>
      </w:pPr>
      <w:r>
        <w:rPr>
          <w:rFonts w:eastAsia="Times New Roman"/>
          <w:sz w:val="24"/>
          <w:szCs w:val="24"/>
        </w:rPr>
        <w:br w:type="page"/>
      </w:r>
    </w:p>
    <w:p w:rsidR="009A10F1" w:rsidRPr="009E3DA4" w:rsidRDefault="009A10F1" w:rsidP="009A10F1">
      <w:pPr>
        <w:spacing w:after="240"/>
        <w:ind w:left="720" w:hanging="720"/>
        <w:rPr>
          <w:rFonts w:eastAsia="Times New Roman"/>
          <w:b/>
          <w:sz w:val="24"/>
          <w:szCs w:val="24"/>
        </w:rPr>
      </w:pPr>
      <w:bookmarkStart w:id="14" w:name="a31_14"/>
      <w:bookmarkEnd w:id="14"/>
      <w:r w:rsidRPr="009A10F1">
        <w:rPr>
          <w:rFonts w:eastAsia="Times New Roman"/>
          <w:b/>
          <w:sz w:val="24"/>
          <w:szCs w:val="24"/>
        </w:rPr>
        <w:lastRenderedPageBreak/>
        <w:t>31:14</w:t>
      </w:r>
      <w:r w:rsidRPr="009A10F1">
        <w:rPr>
          <w:rFonts w:eastAsia="Times New Roman"/>
          <w:b/>
          <w:sz w:val="24"/>
          <w:szCs w:val="24"/>
        </w:rPr>
        <w:tab/>
        <w:t xml:space="preserve">ADVISORY </w:t>
      </w:r>
      <w:proofErr w:type="gramStart"/>
      <w:r w:rsidRPr="009A10F1">
        <w:rPr>
          <w:rFonts w:eastAsia="Times New Roman"/>
          <w:b/>
          <w:sz w:val="24"/>
          <w:szCs w:val="24"/>
        </w:rPr>
        <w:t>INSTRUCTION</w:t>
      </w:r>
      <w:proofErr w:type="gramEnd"/>
      <w:r w:rsidRPr="009A10F1">
        <w:rPr>
          <w:rFonts w:eastAsia="Times New Roman"/>
          <w:b/>
          <w:sz w:val="24"/>
          <w:szCs w:val="24"/>
        </w:rPr>
        <w:t xml:space="preserve"> ON WRONGFUL DISCHARGE IN VIOLATION OF PUBLIC POLICY</w:t>
      </w:r>
    </w:p>
    <w:p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the defendant directed the plaintiff (not) to </w:t>
      </w:r>
      <w:r w:rsidRPr="009A10F1">
        <w:rPr>
          <w:rFonts w:eastAsia="Times New Roman"/>
          <w:i/>
          <w:sz w:val="24"/>
          <w:szCs w:val="24"/>
        </w:rPr>
        <w:t>(describe action, omission, or conduct set forth in paragraph 1 of Instruction 31:12)</w:t>
      </w:r>
      <w:r w:rsidRPr="009A10F1">
        <w:rPr>
          <w:rFonts w:eastAsia="Times New Roman"/>
          <w:b/>
          <w:sz w:val="24"/>
          <w:szCs w:val="24"/>
        </w:rPr>
        <w:t>, then you are advised that had the plaintiff complied with the defendant’s directive, the plaintiff’s conduct would have been (illegal) (contrary to the plaintiff’s duty as a citizen) (or) (a violation of the plaintiff’s legal right or privilege as a worker).</w:t>
      </w:r>
    </w:p>
    <w:p w:rsidR="009A10F1" w:rsidRDefault="009A10F1" w:rsidP="009A10F1">
      <w:pPr>
        <w:jc w:val="center"/>
        <w:rPr>
          <w:rFonts w:eastAsia="Times New Roman"/>
          <w:sz w:val="24"/>
          <w:szCs w:val="24"/>
        </w:rPr>
      </w:pPr>
    </w:p>
    <w:p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1. Depending on the facts of the case, this instruction may be appropriate when Instruction 31:12 is given.</w:t>
      </w:r>
    </w:p>
    <w:p w:rsidR="009A10F1" w:rsidRPr="009A10F1" w:rsidRDefault="009A10F1" w:rsidP="009A10F1">
      <w:pPr>
        <w:spacing w:after="240"/>
        <w:ind w:firstLine="720"/>
        <w:rPr>
          <w:rFonts w:eastAsia="Times New Roman"/>
          <w:sz w:val="24"/>
          <w:szCs w:val="24"/>
        </w:rPr>
      </w:pPr>
      <w:r w:rsidRPr="009A10F1">
        <w:rPr>
          <w:rFonts w:eastAsia="Times New Roman"/>
          <w:sz w:val="24"/>
          <w:szCs w:val="24"/>
        </w:rPr>
        <w:t>2. If this instruction is used, insert the specific action, omission, or conduct asserted by plaintiff consistent with that described in Instruction 31:12.</w:t>
      </w:r>
    </w:p>
    <w:p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rsidR="009A10F1" w:rsidRPr="009A10F1" w:rsidRDefault="009A10F1" w:rsidP="009A10F1">
      <w:pPr>
        <w:spacing w:after="240"/>
        <w:ind w:firstLine="720"/>
        <w:rPr>
          <w:rFonts w:eastAsia="Times New Roman"/>
          <w:sz w:val="24"/>
          <w:szCs w:val="24"/>
        </w:rPr>
      </w:pPr>
      <w:proofErr w:type="gramStart"/>
      <w:r w:rsidRPr="009A10F1">
        <w:rPr>
          <w:rFonts w:eastAsia="Times New Roman"/>
          <w:sz w:val="24"/>
          <w:szCs w:val="24"/>
        </w:rPr>
        <w:t>See Source and Authority to Instruction 31:12.</w:t>
      </w:r>
      <w:proofErr w:type="gramEnd"/>
    </w:p>
    <w:p w:rsidR="00EE11EE" w:rsidRDefault="00EE11EE">
      <w:pPr>
        <w:rPr>
          <w:rFonts w:eastAsia="Times New Roman"/>
          <w:sz w:val="24"/>
          <w:szCs w:val="24"/>
        </w:rPr>
      </w:pPr>
      <w:r>
        <w:rPr>
          <w:rFonts w:eastAsia="Times New Roman"/>
          <w:sz w:val="24"/>
          <w:szCs w:val="24"/>
        </w:rPr>
        <w:br w:type="page"/>
      </w:r>
    </w:p>
    <w:p w:rsidR="00EE11EE" w:rsidRPr="009E3DA4" w:rsidRDefault="00EE11EE" w:rsidP="00EE11EE">
      <w:pPr>
        <w:spacing w:after="240"/>
        <w:ind w:left="720" w:hanging="720"/>
        <w:rPr>
          <w:rFonts w:eastAsia="Times New Roman"/>
          <w:b/>
          <w:sz w:val="24"/>
          <w:szCs w:val="24"/>
        </w:rPr>
      </w:pPr>
      <w:bookmarkStart w:id="15" w:name="a31_15"/>
      <w:bookmarkEnd w:id="15"/>
      <w:r w:rsidRPr="00EE11EE">
        <w:rPr>
          <w:rFonts w:eastAsia="Times New Roman"/>
          <w:b/>
          <w:sz w:val="24"/>
          <w:szCs w:val="24"/>
        </w:rPr>
        <w:lastRenderedPageBreak/>
        <w:t xml:space="preserve">31:15 </w:t>
      </w:r>
      <w:r w:rsidRPr="00EE11EE">
        <w:rPr>
          <w:rFonts w:eastAsia="Times New Roman"/>
          <w:b/>
          <w:sz w:val="24"/>
          <w:szCs w:val="24"/>
        </w:rPr>
        <w:tab/>
        <w:t>DAMAGES FOR WRONGFUL DISCHARGE — TORT CLAIM</w:t>
      </w:r>
    </w:p>
    <w:p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Plaintiff, </w:t>
      </w:r>
      <w:r w:rsidRPr="00EE11EE">
        <w:rPr>
          <w:rFonts w:eastAsia="Times New Roman"/>
          <w:i/>
          <w:sz w:val="24"/>
          <w:szCs w:val="24"/>
        </w:rPr>
        <w:t>(name)</w:t>
      </w:r>
      <w:r w:rsidRPr="00EE11EE">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wrongful discharge of the plaintiff by the defendant(s), </w:t>
      </w:r>
      <w:r w:rsidRPr="00EE11EE">
        <w:rPr>
          <w:rFonts w:eastAsia="Times New Roman"/>
          <w:i/>
          <w:sz w:val="24"/>
          <w:szCs w:val="24"/>
        </w:rPr>
        <w:t>(name[s])</w:t>
      </w:r>
      <w:r w:rsidRPr="00EE11EE">
        <w:rPr>
          <w:rFonts w:eastAsia="Times New Roman"/>
          <w:b/>
          <w:sz w:val="24"/>
          <w:szCs w:val="24"/>
        </w:rPr>
        <w:t xml:space="preserve">, (and the </w:t>
      </w:r>
      <w:r w:rsidRPr="00EE11EE">
        <w:rPr>
          <w:rFonts w:eastAsia="Times New Roman"/>
          <w:i/>
          <w:sz w:val="24"/>
          <w:szCs w:val="24"/>
        </w:rPr>
        <w:t>[insert appropriate description, e.g., “negligence”]</w:t>
      </w:r>
      <w:r w:rsidRPr="00EE11EE">
        <w:rPr>
          <w:rFonts w:eastAsia="Times New Roman"/>
          <w:b/>
          <w:sz w:val="24"/>
          <w:szCs w:val="24"/>
        </w:rPr>
        <w:t>, if any, of any designated nonparties).</w:t>
      </w:r>
    </w:p>
    <w:p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In determining such damages, you shall consider the following:</w:t>
      </w:r>
    </w:p>
    <w:p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1. Any noneconomic (losses) (injuries) which the plaintiff has had or will probably have in the future, including: </w:t>
      </w:r>
      <w:r w:rsidRPr="00EE11EE">
        <w:rPr>
          <w:rFonts w:eastAsia="Times New Roman"/>
          <w:i/>
          <w:sz w:val="24"/>
          <w:szCs w:val="24"/>
        </w:rPr>
        <w:t>(insert any recoverable noneconomic losses for which there is sufficient evidence)</w:t>
      </w:r>
      <w:r w:rsidRPr="00EE11EE">
        <w:rPr>
          <w:rFonts w:eastAsia="Times New Roman"/>
          <w:b/>
          <w:sz w:val="24"/>
          <w:szCs w:val="24"/>
        </w:rPr>
        <w:t>; and</w:t>
      </w:r>
    </w:p>
    <w:p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2. Any economic (losses) (injuries) which the plaintiff has had or will probably have in the future, including: </w:t>
      </w:r>
      <w:r w:rsidRPr="00EE11EE">
        <w:rPr>
          <w:rFonts w:eastAsia="Times New Roman"/>
          <w:i/>
          <w:sz w:val="24"/>
          <w:szCs w:val="24"/>
        </w:rPr>
        <w:t>(insert any recoverable economic losses for which there is sufficient evidence)</w:t>
      </w:r>
      <w:r w:rsidRPr="00EE11EE">
        <w:rPr>
          <w:rFonts w:eastAsia="Times New Roman"/>
          <w:b/>
          <w:sz w:val="24"/>
          <w:szCs w:val="24"/>
        </w:rPr>
        <w:t>.</w:t>
      </w:r>
    </w:p>
    <w:p w:rsidR="00EE11EE" w:rsidRDefault="00EE11EE" w:rsidP="00EE11EE">
      <w:pPr>
        <w:jc w:val="center"/>
        <w:rPr>
          <w:rFonts w:eastAsia="Times New Roman"/>
          <w:sz w:val="24"/>
          <w:szCs w:val="24"/>
        </w:rPr>
      </w:pPr>
    </w:p>
    <w:p w:rsidR="00EE11EE" w:rsidRPr="0054263B" w:rsidRDefault="00EE11EE" w:rsidP="00EE11EE">
      <w:pPr>
        <w:keepNext/>
        <w:spacing w:after="240"/>
        <w:jc w:val="center"/>
        <w:rPr>
          <w:rFonts w:eastAsia="Times New Roman"/>
          <w:b/>
          <w:sz w:val="24"/>
          <w:szCs w:val="24"/>
        </w:rPr>
      </w:pPr>
      <w:r w:rsidRPr="0054263B">
        <w:rPr>
          <w:rFonts w:eastAsia="Times New Roman"/>
          <w:b/>
          <w:sz w:val="24"/>
          <w:szCs w:val="24"/>
        </w:rPr>
        <w:t>Notes on Use</w:t>
      </w:r>
    </w:p>
    <w:p w:rsidR="00EE11EE" w:rsidRPr="00EE11EE" w:rsidRDefault="00EE11EE" w:rsidP="00EE11EE">
      <w:pPr>
        <w:spacing w:after="240"/>
        <w:ind w:firstLine="720"/>
        <w:rPr>
          <w:rFonts w:eastAsia="Times New Roman"/>
          <w:sz w:val="24"/>
          <w:szCs w:val="24"/>
        </w:rPr>
      </w:pPr>
      <w:proofErr w:type="gramStart"/>
      <w:r w:rsidRPr="00EE11EE">
        <w:rPr>
          <w:rFonts w:eastAsia="Times New Roman"/>
          <w:sz w:val="24"/>
          <w:szCs w:val="24"/>
        </w:rPr>
        <w:t>1. The amount of damages prayed for should not be stated in this instruction nor in the statement of the case.</w:t>
      </w:r>
      <w:proofErr w:type="gramEnd"/>
      <w:r w:rsidRPr="00EE11EE">
        <w:rPr>
          <w:rFonts w:eastAsia="Times New Roman"/>
          <w:sz w:val="24"/>
          <w:szCs w:val="24"/>
        </w:rPr>
        <w:t xml:space="preserve"> </w:t>
      </w:r>
      <w:proofErr w:type="gramStart"/>
      <w:r w:rsidRPr="00EE11EE">
        <w:rPr>
          <w:rFonts w:eastAsia="Times New Roman"/>
          <w:b/>
          <w:sz w:val="24"/>
          <w:szCs w:val="24"/>
        </w:rPr>
        <w:t>Rodrigue v. Hausman</w:t>
      </w:r>
      <w:r w:rsidRPr="00EE11EE">
        <w:rPr>
          <w:rFonts w:eastAsia="Times New Roman"/>
          <w:sz w:val="24"/>
          <w:szCs w:val="24"/>
        </w:rPr>
        <w:t xml:space="preserve">, 33 </w:t>
      </w:r>
      <w:r w:rsidR="0067408D">
        <w:rPr>
          <w:rFonts w:eastAsia="Times New Roman"/>
          <w:sz w:val="24"/>
          <w:szCs w:val="24"/>
        </w:rPr>
        <w:t>Colo. App.</w:t>
      </w:r>
      <w:r w:rsidRPr="00EE11EE">
        <w:rPr>
          <w:rFonts w:eastAsia="Times New Roman"/>
          <w:sz w:val="24"/>
          <w:szCs w:val="24"/>
        </w:rPr>
        <w:t xml:space="preserve"> 305, 519 P.2d 1216 (1974).</w:t>
      </w:r>
      <w:proofErr w:type="gramEnd"/>
    </w:p>
    <w:p w:rsidR="00EE11EE" w:rsidRPr="00EE11EE" w:rsidRDefault="00EE11EE" w:rsidP="00EE11EE">
      <w:pPr>
        <w:spacing w:after="240"/>
        <w:ind w:firstLine="720"/>
        <w:rPr>
          <w:rFonts w:eastAsia="Times New Roman"/>
          <w:sz w:val="24"/>
          <w:szCs w:val="24"/>
        </w:rPr>
      </w:pPr>
      <w:r w:rsidRPr="00EE11EE">
        <w:rPr>
          <w:rFonts w:eastAsia="Times New Roman"/>
          <w:sz w:val="24"/>
          <w:szCs w:val="24"/>
        </w:rPr>
        <w:t>2. Use whichever parenthesized words or phrases are appropriate.</w:t>
      </w:r>
    </w:p>
    <w:p w:rsidR="00EE11EE" w:rsidRPr="00EE11EE" w:rsidRDefault="00EE11EE" w:rsidP="00EE11EE">
      <w:pPr>
        <w:spacing w:after="240"/>
        <w:ind w:firstLine="720"/>
        <w:rPr>
          <w:rFonts w:eastAsia="Times New Roman"/>
          <w:sz w:val="24"/>
          <w:szCs w:val="24"/>
        </w:rPr>
      </w:pPr>
      <w:r w:rsidRPr="00EE11EE">
        <w:rPr>
          <w:rFonts w:eastAsia="Times New Roman"/>
          <w:sz w:val="24"/>
          <w:szCs w:val="24"/>
        </w:rPr>
        <w:t>3. Back pay damages are recoverable in a wrongful termination case.</w:t>
      </w:r>
      <w:r w:rsidRPr="00EE11EE">
        <w:rPr>
          <w:rFonts w:eastAsia="Times New Roman"/>
          <w:b/>
          <w:sz w:val="24"/>
          <w:szCs w:val="24"/>
        </w:rPr>
        <w:t xml:space="preserve"> Bonidy v. Vail Valley Ctr. for Aesthetic Dentistry, P.C.</w:t>
      </w:r>
      <w:r w:rsidRPr="00EE11EE">
        <w:rPr>
          <w:rFonts w:eastAsia="Times New Roman"/>
          <w:sz w:val="24"/>
          <w:szCs w:val="24"/>
        </w:rPr>
        <w:t>, 232 P.3d 277 (</w:t>
      </w:r>
      <w:r w:rsidR="0067408D">
        <w:rPr>
          <w:rFonts w:eastAsia="Times New Roman"/>
          <w:sz w:val="24"/>
          <w:szCs w:val="24"/>
        </w:rPr>
        <w:t>Colo. App.</w:t>
      </w:r>
      <w:r w:rsidRPr="00EE11EE">
        <w:rPr>
          <w:rFonts w:eastAsia="Times New Roman"/>
          <w:sz w:val="24"/>
          <w:szCs w:val="24"/>
        </w:rPr>
        <w:t xml:space="preserve"> 2010) (back pay damages are “the amount the employee reasonably could have expected to earn absent the wrongful termination, reduced by either (a) the employee’s actual earnings in an effort to mitigate damages or (b) the amount the employee failed to earn by not properly mitigating his or her damages”). </w:t>
      </w:r>
    </w:p>
    <w:p w:rsidR="00EE11EE" w:rsidRPr="00EE11EE" w:rsidRDefault="00EE11EE" w:rsidP="00EE11EE">
      <w:pPr>
        <w:spacing w:after="240"/>
        <w:ind w:firstLine="720"/>
        <w:rPr>
          <w:rFonts w:eastAsia="Times New Roman"/>
          <w:sz w:val="24"/>
          <w:szCs w:val="24"/>
        </w:rPr>
      </w:pPr>
      <w:r w:rsidRPr="00EE11EE">
        <w:rPr>
          <w:rFonts w:eastAsia="Times New Roman"/>
          <w:sz w:val="24"/>
          <w:szCs w:val="24"/>
        </w:rPr>
        <w:t>4. Where there is sufficient evidence to justify an award of punitive damages, see Instruction 5:4.</w:t>
      </w:r>
    </w:p>
    <w:p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5. If the affirmative defense of failure to mitigate damages has been raised and there is evidence to support such defense, Instruction 31:8 should be given with this instruction. </w:t>
      </w:r>
      <w:r w:rsidRPr="00EE11EE">
        <w:rPr>
          <w:rFonts w:eastAsia="Times New Roman"/>
          <w:i/>
          <w:sz w:val="24"/>
          <w:szCs w:val="24"/>
        </w:rPr>
        <w:t>See</w:t>
      </w:r>
      <w:r w:rsidRPr="00EE11EE">
        <w:rPr>
          <w:rFonts w:eastAsia="Times New Roman"/>
          <w:sz w:val="24"/>
          <w:szCs w:val="24"/>
        </w:rPr>
        <w:t xml:space="preserve"> </w:t>
      </w:r>
      <w:r w:rsidRPr="00EE11EE">
        <w:rPr>
          <w:rFonts w:eastAsia="Times New Roman"/>
          <w:b/>
          <w:sz w:val="24"/>
          <w:szCs w:val="24"/>
        </w:rPr>
        <w:t>Bonidy</w:t>
      </w:r>
      <w:r w:rsidRPr="00EE11EE">
        <w:rPr>
          <w:rFonts w:eastAsia="Times New Roman"/>
          <w:sz w:val="24"/>
          <w:szCs w:val="24"/>
        </w:rPr>
        <w:t>, 232 P.3d 277 (employee’s decision to start her own business did not automatically constitute a failure to mitigate or terminate the accrual of back pay damages).</w:t>
      </w:r>
    </w:p>
    <w:p w:rsidR="00EE11EE" w:rsidRPr="0054263B" w:rsidRDefault="00EE11EE" w:rsidP="00EE11EE">
      <w:pPr>
        <w:keepNext/>
        <w:spacing w:after="240"/>
        <w:jc w:val="center"/>
        <w:rPr>
          <w:rFonts w:eastAsia="Times New Roman"/>
          <w:b/>
          <w:sz w:val="24"/>
          <w:szCs w:val="24"/>
        </w:rPr>
      </w:pPr>
      <w:r>
        <w:rPr>
          <w:rFonts w:eastAsia="Times New Roman"/>
          <w:b/>
          <w:sz w:val="24"/>
          <w:szCs w:val="24"/>
        </w:rPr>
        <w:t>Source and Authority</w:t>
      </w:r>
    </w:p>
    <w:p w:rsidR="00EE11EE" w:rsidRPr="00EE11EE" w:rsidRDefault="00EE11EE" w:rsidP="00EE11EE">
      <w:pPr>
        <w:spacing w:after="240"/>
        <w:ind w:firstLine="720"/>
        <w:rPr>
          <w:rFonts w:eastAsia="Times New Roman"/>
          <w:sz w:val="24"/>
          <w:szCs w:val="24"/>
        </w:rPr>
      </w:pPr>
      <w:r w:rsidRPr="00EE11EE">
        <w:rPr>
          <w:rFonts w:eastAsia="Times New Roman"/>
          <w:i/>
          <w:sz w:val="24"/>
          <w:szCs w:val="24"/>
        </w:rPr>
        <w:t>See generally</w:t>
      </w:r>
      <w:r w:rsidRPr="00EE11EE">
        <w:rPr>
          <w:rFonts w:eastAsia="Times New Roman"/>
          <w:sz w:val="24"/>
          <w:szCs w:val="24"/>
        </w:rPr>
        <w:t xml:space="preserve"> Damages recoverable for wrongful discharge of at-will employee, 44 ALR4th 1131.</w:t>
      </w:r>
    </w:p>
    <w:p w:rsidR="00EE11EE" w:rsidRDefault="00EE11EE">
      <w:pPr>
        <w:rPr>
          <w:rFonts w:eastAsia="Times New Roman"/>
          <w:sz w:val="24"/>
          <w:szCs w:val="24"/>
        </w:rPr>
      </w:pPr>
      <w:r>
        <w:rPr>
          <w:rFonts w:eastAsia="Times New Roman"/>
          <w:sz w:val="24"/>
          <w:szCs w:val="24"/>
        </w:rPr>
        <w:br w:type="page"/>
      </w:r>
    </w:p>
    <w:p w:rsidR="00EE11EE" w:rsidRPr="009E3DA4" w:rsidRDefault="00EE11EE" w:rsidP="00EE11EE">
      <w:pPr>
        <w:spacing w:after="240"/>
        <w:ind w:left="720" w:hanging="720"/>
        <w:rPr>
          <w:rFonts w:eastAsia="Times New Roman"/>
          <w:b/>
          <w:sz w:val="24"/>
          <w:szCs w:val="24"/>
        </w:rPr>
      </w:pPr>
      <w:bookmarkStart w:id="16" w:name="a31_16"/>
      <w:bookmarkEnd w:id="16"/>
      <w:r w:rsidRPr="00EE11EE">
        <w:rPr>
          <w:rFonts w:eastAsia="Times New Roman"/>
          <w:b/>
          <w:sz w:val="24"/>
          <w:szCs w:val="24"/>
        </w:rPr>
        <w:lastRenderedPageBreak/>
        <w:t>31:16</w:t>
      </w:r>
      <w:r w:rsidRPr="00EE11EE">
        <w:rPr>
          <w:rFonts w:eastAsia="Times New Roman"/>
          <w:b/>
          <w:sz w:val="24"/>
          <w:szCs w:val="24"/>
        </w:rPr>
        <w:tab/>
        <w:t>AFFIRMATIVE DEFENSE TO DAMAGES FOR PUBLIC-POLICY DISCHARGE CLAIM — AFTER-ACQUIRED EVIDENCE OF FRAUD OR OTHER MISCONDUCT</w:t>
      </w:r>
    </w:p>
    <w:p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If you find that the plaintiff, </w:t>
      </w:r>
      <w:r w:rsidRPr="00EE11EE">
        <w:rPr>
          <w:rFonts w:eastAsia="Times New Roman"/>
          <w:i/>
          <w:sz w:val="24"/>
          <w:szCs w:val="24"/>
        </w:rPr>
        <w:t>(name)</w:t>
      </w:r>
      <w:r w:rsidRPr="00EE11EE">
        <w:rPr>
          <w:rFonts w:eastAsia="Times New Roman"/>
          <w:b/>
          <w:sz w:val="24"/>
          <w:szCs w:val="24"/>
        </w:rPr>
        <w:t xml:space="preserve">, had actual damages, then you must consider whether the defendant, </w:t>
      </w:r>
      <w:r w:rsidRPr="00EE11EE">
        <w:rPr>
          <w:rFonts w:eastAsia="Times New Roman"/>
          <w:i/>
          <w:sz w:val="24"/>
          <w:szCs w:val="24"/>
        </w:rPr>
        <w:t>(name)</w:t>
      </w:r>
      <w:r w:rsidRPr="00EE11EE">
        <w:rPr>
          <w:rFonts w:eastAsia="Times New Roman"/>
          <w:b/>
          <w:sz w:val="24"/>
          <w:szCs w:val="24"/>
        </w:rPr>
        <w:t>, has proved (his) (her) affirmative defense of after-acquired evidence of (fraud) (misconduct). The plaintiff cannot recover any damages that occurred after the date that the defendant discovered evidence of (fraud) (misconduct) by the plaintiff. This affirmative defense is proved if you find all of the following:</w:t>
      </w:r>
    </w:p>
    <w:p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1. The plaintiff </w:t>
      </w:r>
      <w:r w:rsidRPr="00EE11EE">
        <w:rPr>
          <w:rFonts w:eastAsia="Times New Roman"/>
          <w:i/>
          <w:sz w:val="24"/>
          <w:szCs w:val="24"/>
        </w:rPr>
        <w:t>(describe type of misconduct, e.g., concealed or misrepresented a material fact or facts on a resume with the intent of creating a false impression in the mind of the defendant; committed theft; committed sexual harassment, etc.)</w:t>
      </w:r>
      <w:r w:rsidRPr="00EE11EE">
        <w:rPr>
          <w:rFonts w:eastAsia="Times New Roman"/>
          <w:b/>
          <w:sz w:val="24"/>
          <w:szCs w:val="24"/>
        </w:rPr>
        <w:t>;</w:t>
      </w:r>
    </w:p>
    <w:p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2. The defendant did not discover the (concealed or misrepresented fact or facts) (misconduct) until after the plaintiff was discharged; and</w:t>
      </w:r>
    </w:p>
    <w:p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3. A reasonable, objective employer (would not have hired) (would have discharged) the plaintiff if it had discovered the (concealed or misrepresented fact or facts) (misconduct) at the time of the plaintiff’s (fraud) (misconduct).</w:t>
      </w:r>
    </w:p>
    <w:p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If you find that any one or more of these statements has not been proved, then you shall make no deduction from the plaintiff’s damages.</w:t>
      </w:r>
    </w:p>
    <w:p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On the other hand, if you find that all of these statements have been proved, then you must not award the plaintiff any damages occurring after the date that the defendant discovered evidence of the (fraud) (misconduct) by the plaintiff.</w:t>
      </w:r>
    </w:p>
    <w:p w:rsidR="00EE11EE" w:rsidRDefault="00EE11EE" w:rsidP="00EE11EE">
      <w:pPr>
        <w:jc w:val="center"/>
        <w:rPr>
          <w:rFonts w:eastAsia="Times New Roman"/>
          <w:sz w:val="24"/>
          <w:szCs w:val="24"/>
        </w:rPr>
      </w:pPr>
    </w:p>
    <w:p w:rsidR="00EE11EE" w:rsidRPr="0054263B" w:rsidRDefault="00EE11EE" w:rsidP="00EE11EE">
      <w:pPr>
        <w:keepNext/>
        <w:spacing w:after="240"/>
        <w:jc w:val="center"/>
        <w:rPr>
          <w:rFonts w:eastAsia="Times New Roman"/>
          <w:b/>
          <w:sz w:val="24"/>
          <w:szCs w:val="24"/>
        </w:rPr>
      </w:pPr>
      <w:r w:rsidRPr="0054263B">
        <w:rPr>
          <w:rFonts w:eastAsia="Times New Roman"/>
          <w:b/>
          <w:sz w:val="24"/>
          <w:szCs w:val="24"/>
        </w:rPr>
        <w:t>Notes on Use</w:t>
      </w:r>
    </w:p>
    <w:p w:rsidR="00EE11EE" w:rsidRPr="00EE11EE" w:rsidRDefault="00EE11EE" w:rsidP="00EE11EE">
      <w:pPr>
        <w:spacing w:after="240"/>
        <w:ind w:firstLine="720"/>
        <w:rPr>
          <w:rFonts w:eastAsia="Times New Roman"/>
          <w:sz w:val="24"/>
          <w:szCs w:val="24"/>
        </w:rPr>
      </w:pPr>
      <w:r w:rsidRPr="00EE11EE">
        <w:rPr>
          <w:rFonts w:eastAsia="Times New Roman"/>
          <w:sz w:val="24"/>
          <w:szCs w:val="24"/>
        </w:rPr>
        <w:t>1. Use whichever parenthesized and bracketed words and phrases are appropriate. In paragraph 1, describe the typed of misconduct alleged.</w:t>
      </w:r>
    </w:p>
    <w:p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2. The issue of whether a reasonable, objective employer would have terminated an employee if it had known certain facts is generally for the trier of fact. However, if there is insufficient evidence to allow a reasonable fact finder to reach more than one conclusion from the evidence submitted, the question becomes one of law for the court. </w:t>
      </w:r>
      <w:r w:rsidRPr="00EE11EE">
        <w:rPr>
          <w:rFonts w:eastAsia="Times New Roman"/>
          <w:i/>
          <w:sz w:val="24"/>
          <w:szCs w:val="24"/>
        </w:rPr>
        <w:t xml:space="preserve">See </w:t>
      </w:r>
      <w:r w:rsidRPr="00EE11EE">
        <w:rPr>
          <w:rFonts w:eastAsia="Times New Roman"/>
          <w:b/>
          <w:sz w:val="24"/>
          <w:szCs w:val="24"/>
        </w:rPr>
        <w:t xml:space="preserve">Crawford Rehab. </w:t>
      </w:r>
      <w:proofErr w:type="gramStart"/>
      <w:r w:rsidRPr="00EE11EE">
        <w:rPr>
          <w:rFonts w:eastAsia="Times New Roman"/>
          <w:b/>
          <w:sz w:val="24"/>
          <w:szCs w:val="24"/>
        </w:rPr>
        <w:t>Servs.,</w:t>
      </w:r>
      <w:proofErr w:type="gramEnd"/>
      <w:r w:rsidRPr="00EE11EE">
        <w:rPr>
          <w:rFonts w:eastAsia="Times New Roman"/>
          <w:b/>
          <w:sz w:val="24"/>
          <w:szCs w:val="24"/>
        </w:rPr>
        <w:t xml:space="preserve"> Inc. v. Weissman</w:t>
      </w:r>
      <w:r w:rsidRPr="00EE11EE">
        <w:rPr>
          <w:rFonts w:eastAsia="Times New Roman"/>
          <w:sz w:val="24"/>
          <w:szCs w:val="24"/>
        </w:rPr>
        <w:t>, 938 P.2d 540 (Colo. 1997).</w:t>
      </w:r>
    </w:p>
    <w:p w:rsidR="00EE11EE" w:rsidRPr="0054263B" w:rsidRDefault="00EE11EE" w:rsidP="00EE11EE">
      <w:pPr>
        <w:keepNext/>
        <w:spacing w:after="240"/>
        <w:jc w:val="center"/>
        <w:rPr>
          <w:rFonts w:eastAsia="Times New Roman"/>
          <w:b/>
          <w:sz w:val="24"/>
          <w:szCs w:val="24"/>
        </w:rPr>
      </w:pPr>
      <w:r>
        <w:rPr>
          <w:rFonts w:eastAsia="Times New Roman"/>
          <w:b/>
          <w:sz w:val="24"/>
          <w:szCs w:val="24"/>
        </w:rPr>
        <w:t>Source and Authority</w:t>
      </w:r>
    </w:p>
    <w:p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1. This instruction is supported by </w:t>
      </w:r>
      <w:r w:rsidRPr="00EE11EE">
        <w:rPr>
          <w:rFonts w:eastAsia="Times New Roman"/>
          <w:b/>
          <w:sz w:val="24"/>
          <w:szCs w:val="24"/>
        </w:rPr>
        <w:t>Weissman v. Crawford Rehabilitation Services, Inc.</w:t>
      </w:r>
      <w:r w:rsidRPr="00EE11EE">
        <w:rPr>
          <w:rFonts w:eastAsia="Times New Roman"/>
          <w:sz w:val="24"/>
          <w:szCs w:val="24"/>
        </w:rPr>
        <w:t>, 914 P.2d 380 (</w:t>
      </w:r>
      <w:r w:rsidR="0067408D">
        <w:rPr>
          <w:rFonts w:eastAsia="Times New Roman"/>
          <w:sz w:val="24"/>
          <w:szCs w:val="24"/>
        </w:rPr>
        <w:t>Colo. App.</w:t>
      </w:r>
      <w:r w:rsidRPr="00EE11EE">
        <w:rPr>
          <w:rFonts w:eastAsia="Times New Roman"/>
          <w:sz w:val="24"/>
          <w:szCs w:val="24"/>
        </w:rPr>
        <w:t xml:space="preserve"> 1995), </w:t>
      </w:r>
      <w:r w:rsidRPr="00EE11EE">
        <w:rPr>
          <w:rFonts w:eastAsia="Times New Roman"/>
          <w:i/>
          <w:sz w:val="24"/>
          <w:szCs w:val="24"/>
        </w:rPr>
        <w:t>rev’d on other grounds</w:t>
      </w:r>
      <w:r w:rsidRPr="00EE11EE">
        <w:rPr>
          <w:rFonts w:eastAsia="Times New Roman"/>
          <w:sz w:val="24"/>
          <w:szCs w:val="24"/>
        </w:rPr>
        <w:t xml:space="preserve">, 938 P.2d 540 (Colo. 1997). </w:t>
      </w:r>
      <w:r w:rsidRPr="00EE11EE">
        <w:rPr>
          <w:rFonts w:eastAsia="Times New Roman"/>
          <w:i/>
          <w:sz w:val="24"/>
          <w:szCs w:val="24"/>
        </w:rPr>
        <w:t xml:space="preserve">See also </w:t>
      </w:r>
      <w:r w:rsidRPr="00EE11EE">
        <w:rPr>
          <w:rFonts w:eastAsia="Times New Roman"/>
          <w:b/>
          <w:sz w:val="24"/>
          <w:szCs w:val="24"/>
        </w:rPr>
        <w:t>McKennon v. Nashville Banner Publ’g Co.</w:t>
      </w:r>
      <w:r w:rsidRPr="00EE11EE">
        <w:rPr>
          <w:rFonts w:eastAsia="Times New Roman"/>
          <w:sz w:val="24"/>
          <w:szCs w:val="24"/>
        </w:rPr>
        <w:t>, 513 U.S. 352, 115 S.</w:t>
      </w:r>
      <w:r w:rsidR="00901FA0">
        <w:rPr>
          <w:rFonts w:eastAsia="Times New Roman"/>
          <w:sz w:val="24"/>
          <w:szCs w:val="24"/>
        </w:rPr>
        <w:t xml:space="preserve"> </w:t>
      </w:r>
      <w:r w:rsidRPr="00EE11EE">
        <w:rPr>
          <w:rFonts w:eastAsia="Times New Roman"/>
          <w:sz w:val="24"/>
          <w:szCs w:val="24"/>
        </w:rPr>
        <w:t>Ct. 879, 130 L.</w:t>
      </w:r>
      <w:r w:rsidR="00901FA0">
        <w:rPr>
          <w:rFonts w:eastAsia="Times New Roman"/>
          <w:sz w:val="24"/>
          <w:szCs w:val="24"/>
        </w:rPr>
        <w:t xml:space="preserve"> </w:t>
      </w:r>
      <w:r w:rsidRPr="00EE11EE">
        <w:rPr>
          <w:rFonts w:eastAsia="Times New Roman"/>
          <w:sz w:val="24"/>
          <w:szCs w:val="24"/>
        </w:rPr>
        <w:t>Ed.</w:t>
      </w:r>
      <w:r w:rsidR="00901FA0">
        <w:rPr>
          <w:rFonts w:eastAsia="Times New Roman"/>
          <w:sz w:val="24"/>
          <w:szCs w:val="24"/>
        </w:rPr>
        <w:t xml:space="preserve"> </w:t>
      </w:r>
      <w:r w:rsidRPr="00EE11EE">
        <w:rPr>
          <w:rFonts w:eastAsia="Times New Roman"/>
          <w:sz w:val="24"/>
          <w:szCs w:val="24"/>
        </w:rPr>
        <w:t>2d 852 (1995).</w:t>
      </w:r>
    </w:p>
    <w:p w:rsidR="00EE11EE" w:rsidRPr="00EE11EE" w:rsidRDefault="00EE11EE" w:rsidP="00EE11EE">
      <w:pPr>
        <w:spacing w:after="240"/>
        <w:ind w:firstLine="720"/>
        <w:rPr>
          <w:rFonts w:eastAsia="Times New Roman"/>
          <w:sz w:val="24"/>
          <w:szCs w:val="24"/>
        </w:rPr>
      </w:pPr>
      <w:r w:rsidRPr="00EE11EE">
        <w:rPr>
          <w:rFonts w:eastAsia="Times New Roman"/>
          <w:sz w:val="24"/>
          <w:szCs w:val="24"/>
        </w:rPr>
        <w:lastRenderedPageBreak/>
        <w:t xml:space="preserve">2. The court of appeals decision in </w:t>
      </w:r>
      <w:r w:rsidRPr="00EE11EE">
        <w:rPr>
          <w:rFonts w:eastAsia="Times New Roman"/>
          <w:b/>
          <w:sz w:val="24"/>
          <w:szCs w:val="24"/>
        </w:rPr>
        <w:t xml:space="preserve">Weissman v. Crawford Rehab. </w:t>
      </w:r>
      <w:proofErr w:type="gramStart"/>
      <w:r w:rsidRPr="00EE11EE">
        <w:rPr>
          <w:rFonts w:eastAsia="Times New Roman"/>
          <w:b/>
          <w:sz w:val="24"/>
          <w:szCs w:val="24"/>
        </w:rPr>
        <w:t>Servs.,</w:t>
      </w:r>
      <w:proofErr w:type="gramEnd"/>
      <w:r w:rsidRPr="00EE11EE">
        <w:rPr>
          <w:rFonts w:eastAsia="Times New Roman"/>
          <w:b/>
          <w:sz w:val="24"/>
          <w:szCs w:val="24"/>
        </w:rPr>
        <w:t xml:space="preserve"> Inc.</w:t>
      </w:r>
      <w:r w:rsidRPr="00EE11EE">
        <w:rPr>
          <w:rFonts w:eastAsia="Times New Roman"/>
          <w:sz w:val="24"/>
          <w:szCs w:val="24"/>
        </w:rPr>
        <w:t>, 914 P.2d 380 (</w:t>
      </w:r>
      <w:r w:rsidR="0067408D">
        <w:rPr>
          <w:rFonts w:eastAsia="Times New Roman"/>
          <w:sz w:val="24"/>
          <w:szCs w:val="24"/>
        </w:rPr>
        <w:t>Colo. App.</w:t>
      </w:r>
      <w:r w:rsidRPr="00EE11EE">
        <w:rPr>
          <w:rFonts w:eastAsia="Times New Roman"/>
          <w:sz w:val="24"/>
          <w:szCs w:val="24"/>
        </w:rPr>
        <w:t xml:space="preserve"> 1995), extended the doctrine of after-acquired evidence of misconduct to misconduct that may have occurred after the commencement of the employment relationship. The </w:t>
      </w:r>
      <w:proofErr w:type="gramStart"/>
      <w:r w:rsidRPr="00EE11EE">
        <w:rPr>
          <w:rFonts w:eastAsia="Times New Roman"/>
          <w:sz w:val="24"/>
          <w:szCs w:val="24"/>
        </w:rPr>
        <w:t>supreme court’s</w:t>
      </w:r>
      <w:proofErr w:type="gramEnd"/>
      <w:r w:rsidRPr="00EE11EE">
        <w:rPr>
          <w:rFonts w:eastAsia="Times New Roman"/>
          <w:sz w:val="24"/>
          <w:szCs w:val="24"/>
        </w:rPr>
        <w:t xml:space="preserve"> decision expressly did not reach that issue.</w:t>
      </w:r>
      <w:r w:rsidRPr="00EE11EE">
        <w:rPr>
          <w:rFonts w:eastAsia="Times New Roman"/>
          <w:b/>
          <w:sz w:val="24"/>
          <w:szCs w:val="24"/>
        </w:rPr>
        <w:t xml:space="preserve"> </w:t>
      </w:r>
      <w:proofErr w:type="gramStart"/>
      <w:r w:rsidRPr="00EE11EE">
        <w:rPr>
          <w:rFonts w:eastAsia="Times New Roman"/>
          <w:b/>
          <w:sz w:val="24"/>
          <w:szCs w:val="24"/>
        </w:rPr>
        <w:t>Crawford Rehab.</w:t>
      </w:r>
      <w:proofErr w:type="gramEnd"/>
      <w:r w:rsidRPr="00EE11EE">
        <w:rPr>
          <w:rFonts w:eastAsia="Times New Roman"/>
          <w:b/>
          <w:sz w:val="24"/>
          <w:szCs w:val="24"/>
        </w:rPr>
        <w:t xml:space="preserve"> </w:t>
      </w:r>
      <w:proofErr w:type="gramStart"/>
      <w:r w:rsidRPr="00EE11EE">
        <w:rPr>
          <w:rFonts w:eastAsia="Times New Roman"/>
          <w:b/>
          <w:sz w:val="24"/>
          <w:szCs w:val="24"/>
        </w:rPr>
        <w:t>Servs.,</w:t>
      </w:r>
      <w:proofErr w:type="gramEnd"/>
      <w:r w:rsidRPr="00EE11EE">
        <w:rPr>
          <w:rFonts w:eastAsia="Times New Roman"/>
          <w:b/>
          <w:sz w:val="24"/>
          <w:szCs w:val="24"/>
        </w:rPr>
        <w:t xml:space="preserve"> Inc.</w:t>
      </w:r>
      <w:r w:rsidRPr="00EE11EE">
        <w:rPr>
          <w:rFonts w:eastAsia="Times New Roman"/>
          <w:sz w:val="24"/>
          <w:szCs w:val="24"/>
        </w:rPr>
        <w:t>, 938 P.2d 540.</w:t>
      </w:r>
    </w:p>
    <w:p w:rsidR="00A76271" w:rsidRPr="009A10F1" w:rsidRDefault="00EE11EE" w:rsidP="00A76271">
      <w:pPr>
        <w:spacing w:after="240"/>
        <w:ind w:firstLine="720"/>
        <w:rPr>
          <w:rFonts w:eastAsia="Times New Roman"/>
          <w:sz w:val="24"/>
          <w:szCs w:val="24"/>
        </w:rPr>
      </w:pPr>
      <w:r w:rsidRPr="00EE11EE">
        <w:rPr>
          <w:rFonts w:eastAsia="Times New Roman"/>
          <w:sz w:val="24"/>
          <w:szCs w:val="24"/>
        </w:rPr>
        <w:t xml:space="preserve">3. The court of appeals decision in </w:t>
      </w:r>
      <w:r w:rsidRPr="00EE11EE">
        <w:rPr>
          <w:rFonts w:eastAsia="Times New Roman"/>
          <w:b/>
          <w:sz w:val="24"/>
          <w:szCs w:val="24"/>
        </w:rPr>
        <w:t>Weissman</w:t>
      </w:r>
      <w:r w:rsidRPr="00EE11EE">
        <w:rPr>
          <w:rFonts w:eastAsia="Times New Roman"/>
          <w:sz w:val="24"/>
          <w:szCs w:val="24"/>
        </w:rPr>
        <w:t xml:space="preserve">, 914 P.2d 380, also extended the doctrine to claims of public-policy discharge, applying the United States Supreme Court’s decision in </w:t>
      </w:r>
      <w:r w:rsidRPr="00EE11EE">
        <w:rPr>
          <w:rFonts w:eastAsia="Times New Roman"/>
          <w:b/>
          <w:sz w:val="24"/>
          <w:szCs w:val="24"/>
        </w:rPr>
        <w:t>McKennon v. Nashville Banner Publishing Co.</w:t>
      </w:r>
      <w:r w:rsidRPr="00EE11EE">
        <w:rPr>
          <w:rFonts w:eastAsia="Times New Roman"/>
          <w:sz w:val="24"/>
          <w:szCs w:val="24"/>
        </w:rPr>
        <w:t>,</w:t>
      </w:r>
      <w:r w:rsidRPr="00EE11EE">
        <w:rPr>
          <w:rFonts w:eastAsia="Times New Roman"/>
          <w:b/>
          <w:sz w:val="24"/>
          <w:szCs w:val="24"/>
        </w:rPr>
        <w:t xml:space="preserve"> </w:t>
      </w:r>
      <w:r w:rsidRPr="00EE11EE">
        <w:rPr>
          <w:rFonts w:eastAsia="Times New Roman"/>
          <w:sz w:val="24"/>
          <w:szCs w:val="24"/>
        </w:rPr>
        <w:t>513 U.S. 352, 115 S.</w:t>
      </w:r>
      <w:r w:rsidR="00901FA0">
        <w:rPr>
          <w:rFonts w:eastAsia="Times New Roman"/>
          <w:sz w:val="24"/>
          <w:szCs w:val="24"/>
        </w:rPr>
        <w:t xml:space="preserve"> </w:t>
      </w:r>
      <w:r w:rsidRPr="00EE11EE">
        <w:rPr>
          <w:rFonts w:eastAsia="Times New Roman"/>
          <w:sz w:val="24"/>
          <w:szCs w:val="24"/>
        </w:rPr>
        <w:t>Ct. 879, 130 L.</w:t>
      </w:r>
      <w:r w:rsidR="00901FA0">
        <w:rPr>
          <w:rFonts w:eastAsia="Times New Roman"/>
          <w:sz w:val="24"/>
          <w:szCs w:val="24"/>
        </w:rPr>
        <w:t xml:space="preserve"> </w:t>
      </w:r>
      <w:r w:rsidRPr="00EE11EE">
        <w:rPr>
          <w:rFonts w:eastAsia="Times New Roman"/>
          <w:sz w:val="24"/>
          <w:szCs w:val="24"/>
        </w:rPr>
        <w:t>Ed.</w:t>
      </w:r>
      <w:r w:rsidR="00901FA0">
        <w:rPr>
          <w:rFonts w:eastAsia="Times New Roman"/>
          <w:sz w:val="24"/>
          <w:szCs w:val="24"/>
        </w:rPr>
        <w:t xml:space="preserve"> </w:t>
      </w:r>
      <w:r w:rsidRPr="00EE11EE">
        <w:rPr>
          <w:rFonts w:eastAsia="Times New Roman"/>
          <w:sz w:val="24"/>
          <w:szCs w:val="24"/>
        </w:rPr>
        <w:t xml:space="preserve">2d 852 (1995), and allowing after-acquired evidence to limit the type of relief available, although it cannot be relied upon to bar a public-policy discharge claim. The </w:t>
      </w:r>
      <w:proofErr w:type="gramStart"/>
      <w:r w:rsidRPr="00EE11EE">
        <w:rPr>
          <w:rFonts w:eastAsia="Times New Roman"/>
          <w:sz w:val="24"/>
          <w:szCs w:val="24"/>
        </w:rPr>
        <w:t>supreme court’s</w:t>
      </w:r>
      <w:proofErr w:type="gramEnd"/>
      <w:r w:rsidRPr="00EE11EE">
        <w:rPr>
          <w:rFonts w:eastAsia="Times New Roman"/>
          <w:sz w:val="24"/>
          <w:szCs w:val="24"/>
        </w:rPr>
        <w:t xml:space="preserve"> decision reversed and remanded the public-policy discharge claim for failure to state a claim and, therefore, did not reach the issue. </w:t>
      </w:r>
      <w:proofErr w:type="gramStart"/>
      <w:r w:rsidRPr="00EE11EE">
        <w:rPr>
          <w:rFonts w:eastAsia="Times New Roman"/>
          <w:b/>
          <w:sz w:val="24"/>
          <w:szCs w:val="24"/>
        </w:rPr>
        <w:t>Crawford Rehab.</w:t>
      </w:r>
      <w:proofErr w:type="gramEnd"/>
      <w:r w:rsidRPr="00EE11EE">
        <w:rPr>
          <w:rFonts w:eastAsia="Times New Roman"/>
          <w:b/>
          <w:sz w:val="24"/>
          <w:szCs w:val="24"/>
        </w:rPr>
        <w:t xml:space="preserve"> </w:t>
      </w:r>
      <w:proofErr w:type="gramStart"/>
      <w:r w:rsidRPr="00EE11EE">
        <w:rPr>
          <w:rFonts w:eastAsia="Times New Roman"/>
          <w:b/>
          <w:sz w:val="24"/>
          <w:szCs w:val="24"/>
        </w:rPr>
        <w:t>Servs.,</w:t>
      </w:r>
      <w:proofErr w:type="gramEnd"/>
      <w:r w:rsidRPr="00EE11EE">
        <w:rPr>
          <w:rFonts w:eastAsia="Times New Roman"/>
          <w:b/>
          <w:sz w:val="24"/>
          <w:szCs w:val="24"/>
        </w:rPr>
        <w:t xml:space="preserve"> Inc.</w:t>
      </w:r>
      <w:r w:rsidRPr="00EE11EE">
        <w:rPr>
          <w:rFonts w:eastAsia="Times New Roman"/>
          <w:sz w:val="24"/>
          <w:szCs w:val="24"/>
        </w:rPr>
        <w:t>, 938 P.2d 540.</w:t>
      </w:r>
    </w:p>
    <w:sectPr w:rsidR="00A76271" w:rsidRPr="009A10F1"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4D8" w:rsidRDefault="000344D8" w:rsidP="0054263B">
      <w:r>
        <w:separator/>
      </w:r>
    </w:p>
    <w:p w:rsidR="000344D8" w:rsidRDefault="000344D8"/>
  </w:endnote>
  <w:endnote w:type="continuationSeparator" w:id="0">
    <w:p w:rsidR="000344D8" w:rsidRDefault="000344D8" w:rsidP="0054263B">
      <w:r>
        <w:continuationSeparator/>
      </w:r>
    </w:p>
    <w:p w:rsidR="000344D8" w:rsidRDefault="00034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A80748" w:rsidRDefault="00A80748">
        <w:pPr>
          <w:pStyle w:val="Footer"/>
          <w:jc w:val="center"/>
        </w:pPr>
        <w:r>
          <w:fldChar w:fldCharType="begin"/>
        </w:r>
        <w:r>
          <w:instrText xml:space="preserve"> PAGE   \* MERGEFORMAT </w:instrText>
        </w:r>
        <w:r>
          <w:fldChar w:fldCharType="separate"/>
        </w:r>
        <w:r w:rsidR="00B37CC6">
          <w:rPr>
            <w:noProof/>
          </w:rPr>
          <w:t>34</w:t>
        </w:r>
        <w:r>
          <w:rPr>
            <w:noProof/>
          </w:rPr>
          <w:fldChar w:fldCharType="end"/>
        </w:r>
      </w:p>
    </w:sdtContent>
  </w:sdt>
  <w:p w:rsidR="00A80748" w:rsidRDefault="00A80748">
    <w:pPr>
      <w:pStyle w:val="Footer"/>
    </w:pPr>
  </w:p>
  <w:p w:rsidR="00A80748" w:rsidRDefault="00A807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4D8" w:rsidRDefault="000344D8" w:rsidP="0054263B">
      <w:r>
        <w:separator/>
      </w:r>
    </w:p>
    <w:p w:rsidR="000344D8" w:rsidRDefault="000344D8"/>
  </w:footnote>
  <w:footnote w:type="continuationSeparator" w:id="0">
    <w:p w:rsidR="000344D8" w:rsidRDefault="000344D8" w:rsidP="0054263B">
      <w:r>
        <w:continuationSeparator/>
      </w:r>
    </w:p>
    <w:p w:rsidR="000344D8" w:rsidRDefault="000344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321C"/>
    <w:rsid w:val="00004B85"/>
    <w:rsid w:val="000155C7"/>
    <w:rsid w:val="00020CF1"/>
    <w:rsid w:val="000344D8"/>
    <w:rsid w:val="00037111"/>
    <w:rsid w:val="0006367C"/>
    <w:rsid w:val="00074558"/>
    <w:rsid w:val="00074E3E"/>
    <w:rsid w:val="000824C8"/>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25209"/>
    <w:rsid w:val="00126B7A"/>
    <w:rsid w:val="00144917"/>
    <w:rsid w:val="001608FF"/>
    <w:rsid w:val="001671A9"/>
    <w:rsid w:val="00172259"/>
    <w:rsid w:val="00172674"/>
    <w:rsid w:val="00172700"/>
    <w:rsid w:val="00174BB5"/>
    <w:rsid w:val="00180579"/>
    <w:rsid w:val="0018388B"/>
    <w:rsid w:val="00184ADB"/>
    <w:rsid w:val="001903CB"/>
    <w:rsid w:val="00190BD9"/>
    <w:rsid w:val="001913B1"/>
    <w:rsid w:val="00191498"/>
    <w:rsid w:val="00191C86"/>
    <w:rsid w:val="001A2648"/>
    <w:rsid w:val="001E0F3B"/>
    <w:rsid w:val="001F0193"/>
    <w:rsid w:val="00200BA5"/>
    <w:rsid w:val="00202B81"/>
    <w:rsid w:val="00205E29"/>
    <w:rsid w:val="002065D8"/>
    <w:rsid w:val="0021368F"/>
    <w:rsid w:val="0021730E"/>
    <w:rsid w:val="00217435"/>
    <w:rsid w:val="0022134E"/>
    <w:rsid w:val="00223286"/>
    <w:rsid w:val="00227D3A"/>
    <w:rsid w:val="0024062B"/>
    <w:rsid w:val="0024597C"/>
    <w:rsid w:val="002547C3"/>
    <w:rsid w:val="002654B4"/>
    <w:rsid w:val="002655FC"/>
    <w:rsid w:val="0026610A"/>
    <w:rsid w:val="00267805"/>
    <w:rsid w:val="00273777"/>
    <w:rsid w:val="00290935"/>
    <w:rsid w:val="00293F7E"/>
    <w:rsid w:val="002A23B0"/>
    <w:rsid w:val="002A6EC7"/>
    <w:rsid w:val="002B5FCF"/>
    <w:rsid w:val="002D0987"/>
    <w:rsid w:val="002D163D"/>
    <w:rsid w:val="002E0970"/>
    <w:rsid w:val="002E1D1B"/>
    <w:rsid w:val="002E562A"/>
    <w:rsid w:val="002F0E75"/>
    <w:rsid w:val="002F48D6"/>
    <w:rsid w:val="00304398"/>
    <w:rsid w:val="00316D33"/>
    <w:rsid w:val="00317364"/>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16C4"/>
    <w:rsid w:val="003937B8"/>
    <w:rsid w:val="0039769C"/>
    <w:rsid w:val="003A2F1C"/>
    <w:rsid w:val="003A5A75"/>
    <w:rsid w:val="003B47A9"/>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4263B"/>
    <w:rsid w:val="00547D97"/>
    <w:rsid w:val="00550AFD"/>
    <w:rsid w:val="00555B52"/>
    <w:rsid w:val="00557FCC"/>
    <w:rsid w:val="005648EF"/>
    <w:rsid w:val="0057771F"/>
    <w:rsid w:val="005A22A6"/>
    <w:rsid w:val="005B27FE"/>
    <w:rsid w:val="005B3A78"/>
    <w:rsid w:val="005C56C9"/>
    <w:rsid w:val="005C5CCB"/>
    <w:rsid w:val="005D1AD3"/>
    <w:rsid w:val="005D1F16"/>
    <w:rsid w:val="005D3156"/>
    <w:rsid w:val="005E712D"/>
    <w:rsid w:val="005F1017"/>
    <w:rsid w:val="005F19FD"/>
    <w:rsid w:val="005F5A94"/>
    <w:rsid w:val="00604F03"/>
    <w:rsid w:val="006053F6"/>
    <w:rsid w:val="006272FE"/>
    <w:rsid w:val="00631BFF"/>
    <w:rsid w:val="00642649"/>
    <w:rsid w:val="00645D6D"/>
    <w:rsid w:val="00647CC5"/>
    <w:rsid w:val="00651A64"/>
    <w:rsid w:val="00661D05"/>
    <w:rsid w:val="0067408D"/>
    <w:rsid w:val="00675252"/>
    <w:rsid w:val="00682B93"/>
    <w:rsid w:val="0068336D"/>
    <w:rsid w:val="00683FA1"/>
    <w:rsid w:val="00685E76"/>
    <w:rsid w:val="00687304"/>
    <w:rsid w:val="00697DF2"/>
    <w:rsid w:val="006A74B6"/>
    <w:rsid w:val="006B2457"/>
    <w:rsid w:val="006B26D7"/>
    <w:rsid w:val="006D1D57"/>
    <w:rsid w:val="006E0D06"/>
    <w:rsid w:val="006E3575"/>
    <w:rsid w:val="006E62F0"/>
    <w:rsid w:val="006F590D"/>
    <w:rsid w:val="006F7581"/>
    <w:rsid w:val="006F7DC0"/>
    <w:rsid w:val="00702B5A"/>
    <w:rsid w:val="0070752A"/>
    <w:rsid w:val="007119D8"/>
    <w:rsid w:val="0071225B"/>
    <w:rsid w:val="00713866"/>
    <w:rsid w:val="007216DA"/>
    <w:rsid w:val="00724230"/>
    <w:rsid w:val="00726E21"/>
    <w:rsid w:val="007340B5"/>
    <w:rsid w:val="007532AB"/>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57D3"/>
    <w:rsid w:val="008859AF"/>
    <w:rsid w:val="00895065"/>
    <w:rsid w:val="008A1099"/>
    <w:rsid w:val="008A475A"/>
    <w:rsid w:val="008A6339"/>
    <w:rsid w:val="008A637B"/>
    <w:rsid w:val="008B1617"/>
    <w:rsid w:val="008B39B8"/>
    <w:rsid w:val="008C1739"/>
    <w:rsid w:val="008D2D56"/>
    <w:rsid w:val="008D41E0"/>
    <w:rsid w:val="008D4A28"/>
    <w:rsid w:val="008D609F"/>
    <w:rsid w:val="008D6B17"/>
    <w:rsid w:val="008D7ECC"/>
    <w:rsid w:val="008E41F1"/>
    <w:rsid w:val="008E51AF"/>
    <w:rsid w:val="008F3AE7"/>
    <w:rsid w:val="008F4C42"/>
    <w:rsid w:val="008F746C"/>
    <w:rsid w:val="009007E8"/>
    <w:rsid w:val="00901FA0"/>
    <w:rsid w:val="009022AA"/>
    <w:rsid w:val="0090292A"/>
    <w:rsid w:val="00902A25"/>
    <w:rsid w:val="00914128"/>
    <w:rsid w:val="00930778"/>
    <w:rsid w:val="00932723"/>
    <w:rsid w:val="009355C5"/>
    <w:rsid w:val="00935DA8"/>
    <w:rsid w:val="00936D0A"/>
    <w:rsid w:val="00950692"/>
    <w:rsid w:val="00952BBB"/>
    <w:rsid w:val="0095709A"/>
    <w:rsid w:val="009725D8"/>
    <w:rsid w:val="00973884"/>
    <w:rsid w:val="009902F2"/>
    <w:rsid w:val="009931B9"/>
    <w:rsid w:val="009A10F1"/>
    <w:rsid w:val="009A5AA6"/>
    <w:rsid w:val="009B6746"/>
    <w:rsid w:val="009C0C3F"/>
    <w:rsid w:val="009E20C7"/>
    <w:rsid w:val="009E3DA4"/>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40E1"/>
    <w:rsid w:val="00AF7D47"/>
    <w:rsid w:val="00B0264D"/>
    <w:rsid w:val="00B338E2"/>
    <w:rsid w:val="00B35185"/>
    <w:rsid w:val="00B37722"/>
    <w:rsid w:val="00B37CC6"/>
    <w:rsid w:val="00B473E5"/>
    <w:rsid w:val="00B538B9"/>
    <w:rsid w:val="00B567C1"/>
    <w:rsid w:val="00B579DF"/>
    <w:rsid w:val="00B6275E"/>
    <w:rsid w:val="00B70D68"/>
    <w:rsid w:val="00B719C2"/>
    <w:rsid w:val="00B72D6B"/>
    <w:rsid w:val="00B80FD1"/>
    <w:rsid w:val="00B937E4"/>
    <w:rsid w:val="00B96786"/>
    <w:rsid w:val="00B97801"/>
    <w:rsid w:val="00BA2389"/>
    <w:rsid w:val="00BA27A8"/>
    <w:rsid w:val="00BA510E"/>
    <w:rsid w:val="00BB344E"/>
    <w:rsid w:val="00BC29F9"/>
    <w:rsid w:val="00BC49BF"/>
    <w:rsid w:val="00BC60AE"/>
    <w:rsid w:val="00BC65EF"/>
    <w:rsid w:val="00BE2B09"/>
    <w:rsid w:val="00BE654D"/>
    <w:rsid w:val="00BE6634"/>
    <w:rsid w:val="00BF5DF3"/>
    <w:rsid w:val="00C018F8"/>
    <w:rsid w:val="00C21D93"/>
    <w:rsid w:val="00C225C9"/>
    <w:rsid w:val="00C26751"/>
    <w:rsid w:val="00C40968"/>
    <w:rsid w:val="00C473A2"/>
    <w:rsid w:val="00C60E95"/>
    <w:rsid w:val="00C610EC"/>
    <w:rsid w:val="00C63547"/>
    <w:rsid w:val="00C641B0"/>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D00330"/>
    <w:rsid w:val="00D0050C"/>
    <w:rsid w:val="00D014AE"/>
    <w:rsid w:val="00D05926"/>
    <w:rsid w:val="00D06D8D"/>
    <w:rsid w:val="00D16901"/>
    <w:rsid w:val="00D21951"/>
    <w:rsid w:val="00D23BD0"/>
    <w:rsid w:val="00D333AA"/>
    <w:rsid w:val="00D347CA"/>
    <w:rsid w:val="00D50C3D"/>
    <w:rsid w:val="00D51E80"/>
    <w:rsid w:val="00D53848"/>
    <w:rsid w:val="00D53AC5"/>
    <w:rsid w:val="00D5484F"/>
    <w:rsid w:val="00D8125F"/>
    <w:rsid w:val="00D90E67"/>
    <w:rsid w:val="00D93394"/>
    <w:rsid w:val="00DA1796"/>
    <w:rsid w:val="00DA2814"/>
    <w:rsid w:val="00DB2C90"/>
    <w:rsid w:val="00DC0393"/>
    <w:rsid w:val="00DC63A9"/>
    <w:rsid w:val="00DC66A6"/>
    <w:rsid w:val="00DC7533"/>
    <w:rsid w:val="00DD5492"/>
    <w:rsid w:val="00DE2930"/>
    <w:rsid w:val="00DF2CB7"/>
    <w:rsid w:val="00DF3BF1"/>
    <w:rsid w:val="00DF7595"/>
    <w:rsid w:val="00E007F8"/>
    <w:rsid w:val="00E058BA"/>
    <w:rsid w:val="00E111AA"/>
    <w:rsid w:val="00E14F99"/>
    <w:rsid w:val="00E172C8"/>
    <w:rsid w:val="00E21120"/>
    <w:rsid w:val="00E24E10"/>
    <w:rsid w:val="00E2724A"/>
    <w:rsid w:val="00E30D4B"/>
    <w:rsid w:val="00E32C6D"/>
    <w:rsid w:val="00E372EA"/>
    <w:rsid w:val="00E43BF9"/>
    <w:rsid w:val="00E50187"/>
    <w:rsid w:val="00E55147"/>
    <w:rsid w:val="00E551EB"/>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7C98"/>
    <w:rsid w:val="00ED5E52"/>
    <w:rsid w:val="00ED7176"/>
    <w:rsid w:val="00ED75EA"/>
    <w:rsid w:val="00EE11EE"/>
    <w:rsid w:val="00EF4043"/>
    <w:rsid w:val="00EF5096"/>
    <w:rsid w:val="00F022D4"/>
    <w:rsid w:val="00F062A4"/>
    <w:rsid w:val="00F32AA4"/>
    <w:rsid w:val="00F573CF"/>
    <w:rsid w:val="00F57A28"/>
    <w:rsid w:val="00F57A2B"/>
    <w:rsid w:val="00F658E5"/>
    <w:rsid w:val="00F755B7"/>
    <w:rsid w:val="00F764F4"/>
    <w:rsid w:val="00F86F49"/>
    <w:rsid w:val="00FA333E"/>
    <w:rsid w:val="00FA7B76"/>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69666-353D-47F1-8FB8-51297DC3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11070</Words>
  <Characters>63100</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2018-02-15T06:00:00Z</dcterms:created>
  <dcterms:modified xsi:type="dcterms:W3CDTF">2018-02-15T06:01:00Z</dcterms:modified>
</cp:coreProperties>
</file>