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B41AE" w14:textId="666DAA9D" w:rsidR="00CA41CC" w:rsidRPr="00914128" w:rsidRDefault="0068336D" w:rsidP="00914128">
      <w:pPr>
        <w:pStyle w:val="Heading1"/>
      </w:pPr>
      <w:r>
        <w:t>CHAPTER 6</w:t>
      </w:r>
    </w:p>
    <w:p w14:paraId="30A37EAA" w14:textId="77777777" w:rsidR="00EC7C98" w:rsidRPr="00914128" w:rsidRDefault="0068336D" w:rsidP="00914128">
      <w:pPr>
        <w:pStyle w:val="Heading1"/>
      </w:pPr>
      <w:r>
        <w:t>damages for injuries to persons or property</w:t>
      </w:r>
    </w:p>
    <w:p w14:paraId="0B3EFA0E" w14:textId="77777777" w:rsidR="0068336D" w:rsidRPr="0068336D" w:rsidRDefault="0068336D" w:rsidP="0068336D">
      <w:pPr>
        <w:pStyle w:val="Heading1"/>
        <w:jc w:val="left"/>
        <w:rPr>
          <w:b w:val="0"/>
          <w:caps w:val="0"/>
        </w:rPr>
      </w:pPr>
      <w:hyperlink w:anchor="Intro" w:history="1">
        <w:r w:rsidRPr="00682B93">
          <w:rPr>
            <w:rStyle w:val="Hyperlink"/>
            <w:b w:val="0"/>
            <w:caps w:val="0"/>
          </w:rPr>
          <w:t>Introductory Note</w:t>
        </w:r>
      </w:hyperlink>
    </w:p>
    <w:p w14:paraId="0A0BAAB4" w14:textId="77777777" w:rsidR="0022134E" w:rsidRPr="009B6746" w:rsidRDefault="0022134E" w:rsidP="0022134E">
      <w:pPr>
        <w:pStyle w:val="Heading1"/>
        <w:jc w:val="left"/>
        <w:rPr>
          <w:b w:val="0"/>
        </w:rPr>
      </w:pPr>
      <w:r w:rsidRPr="009B6746">
        <w:rPr>
          <w:b w:val="0"/>
        </w:rPr>
        <w:t xml:space="preserve">A. </w:t>
      </w:r>
      <w:r w:rsidR="0083763B">
        <w:rPr>
          <w:b w:val="0"/>
        </w:rPr>
        <w:t>PERSONAL INJURIES</w:t>
      </w:r>
    </w:p>
    <w:p w14:paraId="7CA07708" w14:textId="77777777" w:rsidR="00EC7C98" w:rsidRDefault="00320613" w:rsidP="00914128">
      <w:pPr>
        <w:pStyle w:val="ToC"/>
      </w:pPr>
      <w:hyperlink w:anchor="a6_1" w:history="1">
        <w:r w:rsidRPr="0083763B">
          <w:rPr>
            <w:rStyle w:val="Hyperlink"/>
          </w:rPr>
          <w:t>6:1</w:t>
        </w:r>
      </w:hyperlink>
      <w:r w:rsidRPr="0083763B">
        <w:t xml:space="preserve"> </w:t>
      </w:r>
      <w:r w:rsidRPr="0083763B">
        <w:tab/>
        <w:t>Personal Injuries — Adults</w:t>
      </w:r>
    </w:p>
    <w:p w14:paraId="33035E3A" w14:textId="77777777" w:rsidR="0083763B" w:rsidRDefault="00320613" w:rsidP="00914128">
      <w:pPr>
        <w:pStyle w:val="ToC"/>
      </w:pPr>
      <w:hyperlink w:anchor="a6_1A" w:history="1">
        <w:r w:rsidRPr="0083763B">
          <w:rPr>
            <w:rStyle w:val="Hyperlink"/>
          </w:rPr>
          <w:t>6:1</w:t>
        </w:r>
        <w:r>
          <w:rPr>
            <w:rStyle w:val="Hyperlink"/>
            <w:caps/>
          </w:rPr>
          <w:t>A</w:t>
        </w:r>
      </w:hyperlink>
      <w:r w:rsidRPr="0083763B">
        <w:t xml:space="preserve"> </w:t>
      </w:r>
      <w:r w:rsidRPr="0083763B">
        <w:tab/>
        <w:t xml:space="preserve">Special Interrogatories </w:t>
      </w:r>
      <w:r>
        <w:t>t</w:t>
      </w:r>
      <w:r w:rsidRPr="0083763B">
        <w:t xml:space="preserve">o </w:t>
      </w:r>
      <w:r>
        <w:t>t</w:t>
      </w:r>
      <w:r w:rsidRPr="0083763B">
        <w:t xml:space="preserve">he Jury </w:t>
      </w:r>
      <w:r>
        <w:t>t</w:t>
      </w:r>
      <w:r w:rsidRPr="0083763B">
        <w:t xml:space="preserve">o Determine </w:t>
      </w:r>
      <w:r>
        <w:t>t</w:t>
      </w:r>
      <w:r w:rsidRPr="0083763B">
        <w:t xml:space="preserve">he Amount </w:t>
      </w:r>
      <w:r>
        <w:t>o</w:t>
      </w:r>
      <w:r w:rsidRPr="0083763B">
        <w:t xml:space="preserve">f Damages Awarded </w:t>
      </w:r>
      <w:r>
        <w:t>f</w:t>
      </w:r>
      <w:r w:rsidRPr="0083763B">
        <w:t xml:space="preserve">or Economic </w:t>
      </w:r>
      <w:r>
        <w:t>a</w:t>
      </w:r>
      <w:r w:rsidRPr="0083763B">
        <w:t xml:space="preserve">nd Noneconomic Losses </w:t>
      </w:r>
      <w:r>
        <w:t>o</w:t>
      </w:r>
      <w:r w:rsidRPr="0083763B">
        <w:t xml:space="preserve">r Injuries </w:t>
      </w:r>
      <w:r>
        <w:t>a</w:t>
      </w:r>
      <w:r w:rsidRPr="0083763B">
        <w:t xml:space="preserve">nd </w:t>
      </w:r>
      <w:r>
        <w:t>f</w:t>
      </w:r>
      <w:r w:rsidRPr="0083763B">
        <w:t xml:space="preserve">or Physical Impairment </w:t>
      </w:r>
      <w:r>
        <w:t>o</w:t>
      </w:r>
      <w:r w:rsidRPr="0083763B">
        <w:t xml:space="preserve">r Disfigurement ― Mechanics </w:t>
      </w:r>
      <w:r>
        <w:t>f</w:t>
      </w:r>
      <w:r w:rsidRPr="0083763B">
        <w:t>or Submitting</w:t>
      </w:r>
    </w:p>
    <w:p w14:paraId="23429556" w14:textId="77777777" w:rsidR="0083763B" w:rsidRDefault="00320613" w:rsidP="00914128">
      <w:pPr>
        <w:pStyle w:val="ToC"/>
      </w:pPr>
      <w:hyperlink w:anchor="a6_1B" w:history="1">
        <w:r w:rsidRPr="0083763B">
          <w:rPr>
            <w:rStyle w:val="Hyperlink"/>
          </w:rPr>
          <w:t>6:1</w:t>
        </w:r>
        <w:r>
          <w:rPr>
            <w:rStyle w:val="Hyperlink"/>
          </w:rPr>
          <w:t>B</w:t>
        </w:r>
      </w:hyperlink>
      <w:r w:rsidRPr="0083763B">
        <w:t xml:space="preserve"> </w:t>
      </w:r>
      <w:r w:rsidRPr="0083763B">
        <w:tab/>
        <w:t xml:space="preserve">Answers </w:t>
      </w:r>
      <w:r w:rsidR="000962C8">
        <w:t>t</w:t>
      </w:r>
      <w:r w:rsidRPr="0083763B">
        <w:t xml:space="preserve">o Special Interrogatories </w:t>
      </w:r>
      <w:r w:rsidR="000962C8">
        <w:t>t</w:t>
      </w:r>
      <w:r w:rsidRPr="0083763B">
        <w:t xml:space="preserve">o </w:t>
      </w:r>
      <w:r w:rsidR="000962C8">
        <w:t>t</w:t>
      </w:r>
      <w:r w:rsidRPr="0083763B">
        <w:t xml:space="preserve">he Jury Set Forth </w:t>
      </w:r>
      <w:r w:rsidR="000962C8">
        <w:t>in Instruction 6:1A</w:t>
      </w:r>
    </w:p>
    <w:p w14:paraId="4C67DBE8" w14:textId="77777777" w:rsidR="0083763B" w:rsidRDefault="00320613" w:rsidP="00914128">
      <w:pPr>
        <w:pStyle w:val="ToC"/>
      </w:pPr>
      <w:hyperlink w:anchor="a6_2" w:history="1">
        <w:r w:rsidRPr="0083763B">
          <w:rPr>
            <w:rStyle w:val="Hyperlink"/>
          </w:rPr>
          <w:t>6:2</w:t>
        </w:r>
      </w:hyperlink>
      <w:r w:rsidRPr="0083763B">
        <w:t xml:space="preserve"> </w:t>
      </w:r>
      <w:r w:rsidRPr="0083763B">
        <w:tab/>
        <w:t>Personal Injuries — Minor Child</w:t>
      </w:r>
    </w:p>
    <w:p w14:paraId="476C410D" w14:textId="77777777" w:rsidR="0083763B" w:rsidRDefault="00320613" w:rsidP="00914128">
      <w:pPr>
        <w:pStyle w:val="ToC"/>
      </w:pPr>
      <w:hyperlink w:anchor="a6_3" w:history="1">
        <w:r w:rsidRPr="0083763B">
          <w:rPr>
            <w:rStyle w:val="Hyperlink"/>
          </w:rPr>
          <w:t>6:3</w:t>
        </w:r>
      </w:hyperlink>
      <w:r w:rsidRPr="0083763B">
        <w:t xml:space="preserve"> </w:t>
      </w:r>
      <w:r w:rsidRPr="0083763B">
        <w:tab/>
        <w:t xml:space="preserve">Personal Injuries — Minor Child — Measure </w:t>
      </w:r>
      <w:r w:rsidR="000962C8">
        <w:t>o</w:t>
      </w:r>
      <w:r w:rsidRPr="0083763B">
        <w:t>f Parents’ Damages</w:t>
      </w:r>
    </w:p>
    <w:p w14:paraId="1F086D89" w14:textId="77777777" w:rsidR="0083763B" w:rsidRDefault="00320613" w:rsidP="00914128">
      <w:pPr>
        <w:pStyle w:val="ToC"/>
      </w:pPr>
      <w:hyperlink w:anchor="a6_4" w:history="1">
        <w:r w:rsidRPr="0083763B">
          <w:rPr>
            <w:rStyle w:val="Hyperlink"/>
          </w:rPr>
          <w:t>6:4</w:t>
        </w:r>
      </w:hyperlink>
      <w:r w:rsidRPr="0083763B">
        <w:t xml:space="preserve"> </w:t>
      </w:r>
      <w:r w:rsidRPr="0083763B">
        <w:tab/>
        <w:t xml:space="preserve">Personal Injuries — Minor Child — Loss </w:t>
      </w:r>
      <w:r w:rsidR="000962C8">
        <w:t>o</w:t>
      </w:r>
      <w:r w:rsidRPr="0083763B">
        <w:t xml:space="preserve">f Earnings — Distinction Between Parents’ </w:t>
      </w:r>
      <w:r w:rsidR="000962C8">
        <w:t>a</w:t>
      </w:r>
      <w:r w:rsidRPr="0083763B">
        <w:t>nd Child’s Claims</w:t>
      </w:r>
    </w:p>
    <w:p w14:paraId="215EE422" w14:textId="77777777" w:rsidR="0083763B" w:rsidRDefault="00320613" w:rsidP="00914128">
      <w:pPr>
        <w:pStyle w:val="ToC"/>
      </w:pPr>
      <w:hyperlink w:anchor="a6_5" w:history="1">
        <w:r w:rsidRPr="0083763B">
          <w:rPr>
            <w:rStyle w:val="Hyperlink"/>
          </w:rPr>
          <w:t>6:5</w:t>
        </w:r>
      </w:hyperlink>
      <w:r w:rsidRPr="0083763B">
        <w:t xml:space="preserve"> </w:t>
      </w:r>
      <w:r w:rsidRPr="0083763B">
        <w:tab/>
        <w:t xml:space="preserve">Loss </w:t>
      </w:r>
      <w:r w:rsidR="000962C8">
        <w:t>o</w:t>
      </w:r>
      <w:r w:rsidRPr="0083763B">
        <w:t xml:space="preserve">f Consortium — Elements </w:t>
      </w:r>
      <w:r w:rsidR="000962C8">
        <w:t>o</w:t>
      </w:r>
      <w:r w:rsidRPr="0083763B">
        <w:t>f Liability</w:t>
      </w:r>
    </w:p>
    <w:p w14:paraId="5062AB24" w14:textId="77777777" w:rsidR="00973884" w:rsidRDefault="00320613" w:rsidP="00914128">
      <w:pPr>
        <w:pStyle w:val="ToC"/>
      </w:pPr>
      <w:hyperlink w:anchor="a6_6" w:history="1">
        <w:r w:rsidRPr="00973884">
          <w:rPr>
            <w:rStyle w:val="Hyperlink"/>
          </w:rPr>
          <w:t>6:6</w:t>
        </w:r>
      </w:hyperlink>
      <w:r w:rsidRPr="00973884">
        <w:t xml:space="preserve"> </w:t>
      </w:r>
      <w:r w:rsidRPr="00973884">
        <w:tab/>
        <w:t xml:space="preserve">Loss </w:t>
      </w:r>
      <w:r w:rsidR="000962C8">
        <w:t>o</w:t>
      </w:r>
      <w:r w:rsidRPr="00973884">
        <w:t>f Consortium — Defined — Damages</w:t>
      </w:r>
    </w:p>
    <w:p w14:paraId="744C6628" w14:textId="77777777" w:rsidR="00973884" w:rsidRDefault="00320613" w:rsidP="00914128">
      <w:pPr>
        <w:pStyle w:val="ToC"/>
      </w:pPr>
      <w:hyperlink w:anchor="a6_7" w:history="1">
        <w:r w:rsidRPr="00973884">
          <w:rPr>
            <w:rStyle w:val="Hyperlink"/>
          </w:rPr>
          <w:t>6:7</w:t>
        </w:r>
      </w:hyperlink>
      <w:r w:rsidRPr="00973884">
        <w:t xml:space="preserve"> </w:t>
      </w:r>
      <w:r w:rsidRPr="00973884">
        <w:tab/>
        <w:t xml:space="preserve">Personal Injuries — Non-Reduction </w:t>
      </w:r>
      <w:r w:rsidR="000962C8">
        <w:t>o</w:t>
      </w:r>
      <w:r w:rsidRPr="00973884">
        <w:t>f Damages — “Thin Skull” Doctrine</w:t>
      </w:r>
    </w:p>
    <w:p w14:paraId="31F803D1" w14:textId="77777777" w:rsidR="00973884" w:rsidRDefault="00320613" w:rsidP="00914128">
      <w:pPr>
        <w:pStyle w:val="ToC"/>
      </w:pPr>
      <w:hyperlink w:anchor="a6_8" w:history="1">
        <w:r w:rsidRPr="00973884">
          <w:rPr>
            <w:rStyle w:val="Hyperlink"/>
          </w:rPr>
          <w:t>6:8</w:t>
        </w:r>
      </w:hyperlink>
      <w:r w:rsidRPr="00973884">
        <w:t xml:space="preserve"> </w:t>
      </w:r>
      <w:r w:rsidRPr="00973884">
        <w:tab/>
        <w:t xml:space="preserve">Aggravation </w:t>
      </w:r>
      <w:r w:rsidR="000962C8">
        <w:t>o</w:t>
      </w:r>
      <w:r w:rsidRPr="00973884">
        <w:t>f Preexisting Condition</w:t>
      </w:r>
    </w:p>
    <w:p w14:paraId="12B7495D" w14:textId="77777777" w:rsidR="00973884" w:rsidRDefault="00320613" w:rsidP="00914128">
      <w:pPr>
        <w:pStyle w:val="ToC"/>
      </w:pPr>
      <w:hyperlink w:anchor="a6_9" w:history="1">
        <w:r w:rsidRPr="00973884">
          <w:rPr>
            <w:rStyle w:val="Hyperlink"/>
          </w:rPr>
          <w:t>6:9</w:t>
        </w:r>
      </w:hyperlink>
      <w:r w:rsidR="000962C8">
        <w:t xml:space="preserve"> </w:t>
      </w:r>
      <w:r w:rsidR="000962C8">
        <w:tab/>
        <w:t>Damages Caused b</w:t>
      </w:r>
      <w:r w:rsidRPr="00973884">
        <w:t>y Unrelated Second Event</w:t>
      </w:r>
    </w:p>
    <w:p w14:paraId="1C861F7F" w14:textId="77777777" w:rsidR="00973884" w:rsidRDefault="00320613" w:rsidP="00914128">
      <w:pPr>
        <w:pStyle w:val="ToC"/>
      </w:pPr>
      <w:hyperlink w:anchor="a6_10" w:history="1">
        <w:r w:rsidRPr="00973884">
          <w:rPr>
            <w:rStyle w:val="Hyperlink"/>
          </w:rPr>
          <w:t>6:10</w:t>
        </w:r>
      </w:hyperlink>
      <w:r w:rsidRPr="00973884">
        <w:t xml:space="preserve"> </w:t>
      </w:r>
      <w:r w:rsidRPr="00973884">
        <w:tab/>
        <w:t xml:space="preserve">Effect Of Income Tax </w:t>
      </w:r>
      <w:r w:rsidR="000962C8">
        <w:t>a</w:t>
      </w:r>
      <w:r w:rsidRPr="00973884">
        <w:t xml:space="preserve">nd Other Economic Factors </w:t>
      </w:r>
      <w:r w:rsidR="000962C8">
        <w:t>o</w:t>
      </w:r>
      <w:r w:rsidRPr="00973884">
        <w:t xml:space="preserve">n Award </w:t>
      </w:r>
      <w:r w:rsidR="000962C8">
        <w:t>o</w:t>
      </w:r>
      <w:r w:rsidRPr="00973884">
        <w:t>f Damages</w:t>
      </w:r>
    </w:p>
    <w:p w14:paraId="60731324" w14:textId="77777777" w:rsidR="0068336D" w:rsidRPr="00EC7C98" w:rsidRDefault="0068336D" w:rsidP="0068336D">
      <w:pPr>
        <w:pStyle w:val="ToC"/>
      </w:pPr>
    </w:p>
    <w:p w14:paraId="39B23B46" w14:textId="77777777" w:rsidR="0068336D" w:rsidRPr="009B6746" w:rsidRDefault="00973884" w:rsidP="0068336D">
      <w:pPr>
        <w:pStyle w:val="Heading1"/>
        <w:jc w:val="left"/>
        <w:rPr>
          <w:b w:val="0"/>
        </w:rPr>
      </w:pPr>
      <w:r w:rsidRPr="00973884">
        <w:rPr>
          <w:b w:val="0"/>
        </w:rPr>
        <w:t>B. DAMAGES FOR LOSS OR DESTRUCTION OF PERSONAL PROPERTY</w:t>
      </w:r>
    </w:p>
    <w:p w14:paraId="0598B530" w14:textId="77777777" w:rsidR="0068336D" w:rsidRDefault="00320613" w:rsidP="0068336D">
      <w:pPr>
        <w:pStyle w:val="ToC"/>
      </w:pPr>
      <w:hyperlink w:anchor="a6_11" w:history="1">
        <w:r w:rsidRPr="00973884">
          <w:rPr>
            <w:rStyle w:val="Hyperlink"/>
          </w:rPr>
          <w:t>6:11</w:t>
        </w:r>
      </w:hyperlink>
      <w:r w:rsidRPr="00973884">
        <w:t xml:space="preserve"> </w:t>
      </w:r>
      <w:r w:rsidRPr="00973884">
        <w:tab/>
        <w:t xml:space="preserve">Personal Property — Difference </w:t>
      </w:r>
      <w:r w:rsidR="000962C8">
        <w:t>i</w:t>
      </w:r>
      <w:r w:rsidRPr="00973884">
        <w:t>n Market Value</w:t>
      </w:r>
    </w:p>
    <w:p w14:paraId="4E6BB439" w14:textId="77777777" w:rsidR="00973884" w:rsidRDefault="00320613" w:rsidP="0068336D">
      <w:pPr>
        <w:pStyle w:val="ToC"/>
      </w:pPr>
      <w:hyperlink w:anchor="a6_12" w:history="1">
        <w:r w:rsidRPr="00973884">
          <w:rPr>
            <w:rStyle w:val="Hyperlink"/>
          </w:rPr>
          <w:t>6:12</w:t>
        </w:r>
      </w:hyperlink>
      <w:r w:rsidRPr="00973884">
        <w:t xml:space="preserve"> </w:t>
      </w:r>
      <w:r w:rsidRPr="00973884">
        <w:tab/>
        <w:t xml:space="preserve">Personal Property — Cost </w:t>
      </w:r>
      <w:r w:rsidR="000962C8">
        <w:t>o</w:t>
      </w:r>
      <w:r w:rsidRPr="00973884">
        <w:t>f Repairs</w:t>
      </w:r>
    </w:p>
    <w:p w14:paraId="14EDDAFB" w14:textId="77777777" w:rsidR="00973884" w:rsidRDefault="00320613" w:rsidP="0068336D">
      <w:pPr>
        <w:pStyle w:val="ToC"/>
      </w:pPr>
      <w:hyperlink w:anchor="a6_13" w:history="1">
        <w:r w:rsidRPr="00973884">
          <w:rPr>
            <w:rStyle w:val="Hyperlink"/>
          </w:rPr>
          <w:t>6:13</w:t>
        </w:r>
      </w:hyperlink>
      <w:r w:rsidRPr="00973884">
        <w:t xml:space="preserve"> </w:t>
      </w:r>
      <w:r w:rsidRPr="00973884">
        <w:tab/>
        <w:t xml:space="preserve">Personal Property — Loss </w:t>
      </w:r>
      <w:r w:rsidR="000962C8">
        <w:t>o</w:t>
      </w:r>
      <w:r w:rsidRPr="00973884">
        <w:t>f Use</w:t>
      </w:r>
    </w:p>
    <w:p w14:paraId="03F694B9" w14:textId="77777777" w:rsidR="009B6746" w:rsidRPr="00EC7C98" w:rsidRDefault="009B6746" w:rsidP="00ED7176">
      <w:pPr>
        <w:pStyle w:val="ToC"/>
      </w:pPr>
    </w:p>
    <w:p w14:paraId="25B41FE7" w14:textId="77777777" w:rsidR="009B6746" w:rsidRPr="009B6746" w:rsidRDefault="00973884" w:rsidP="009B6746">
      <w:pPr>
        <w:pStyle w:val="Heading1"/>
        <w:jc w:val="left"/>
        <w:rPr>
          <w:b w:val="0"/>
        </w:rPr>
      </w:pPr>
      <w:r w:rsidRPr="00973884">
        <w:rPr>
          <w:b w:val="0"/>
        </w:rPr>
        <w:t>C. MULTIPLE RECOVERY</w:t>
      </w:r>
    </w:p>
    <w:p w14:paraId="0A389838" w14:textId="77777777" w:rsidR="00ED7176" w:rsidRDefault="00320613" w:rsidP="00ED7176">
      <w:pPr>
        <w:pStyle w:val="ToC"/>
      </w:pPr>
      <w:hyperlink w:anchor="a6_14" w:history="1">
        <w:r w:rsidRPr="00973884">
          <w:rPr>
            <w:rStyle w:val="Hyperlink"/>
          </w:rPr>
          <w:t>6:14</w:t>
        </w:r>
      </w:hyperlink>
      <w:r w:rsidRPr="00973884">
        <w:t xml:space="preserve"> </w:t>
      </w:r>
      <w:r w:rsidRPr="00973884">
        <w:tab/>
        <w:t>Multiple Recovery Pr</w:t>
      </w:r>
      <w:r w:rsidR="000962C8">
        <w:t>ohibited (When Plaintiff Suing o</w:t>
      </w:r>
      <w:r w:rsidRPr="00973884">
        <w:t xml:space="preserve">n Alternative But Duplicative Claims </w:t>
      </w:r>
      <w:r w:rsidR="000962C8">
        <w:t>f</w:t>
      </w:r>
      <w:r w:rsidRPr="00973884">
        <w:t>or Relief)</w:t>
      </w:r>
    </w:p>
    <w:p w14:paraId="383451C5" w14:textId="77777777" w:rsidR="00352111" w:rsidRPr="00352111" w:rsidRDefault="00352111">
      <w:pPr>
        <w:rPr>
          <w:rFonts w:eastAsia="Times New Roman"/>
          <w:sz w:val="24"/>
          <w:szCs w:val="24"/>
        </w:rPr>
      </w:pPr>
      <w:r w:rsidRPr="00352111">
        <w:rPr>
          <w:rFonts w:eastAsia="Times New Roman"/>
          <w:sz w:val="24"/>
          <w:szCs w:val="24"/>
        </w:rPr>
        <w:br w:type="page"/>
      </w:r>
    </w:p>
    <w:p w14:paraId="4A31B999" w14:textId="77777777" w:rsidR="0068336D" w:rsidRDefault="0068336D" w:rsidP="0068336D">
      <w:pPr>
        <w:spacing w:after="240"/>
        <w:jc w:val="center"/>
        <w:rPr>
          <w:rFonts w:eastAsia="Times New Roman"/>
          <w:b/>
          <w:sz w:val="24"/>
          <w:szCs w:val="24"/>
        </w:rPr>
      </w:pPr>
      <w:bookmarkStart w:id="0" w:name="Intro"/>
      <w:bookmarkEnd w:id="0"/>
      <w:r w:rsidRPr="0068336D">
        <w:rPr>
          <w:rFonts w:eastAsia="Times New Roman"/>
          <w:b/>
          <w:sz w:val="24"/>
          <w:szCs w:val="24"/>
        </w:rPr>
        <w:lastRenderedPageBreak/>
        <w:t>Introductory Note</w:t>
      </w:r>
    </w:p>
    <w:p w14:paraId="70AA03E9"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Measure of Damages</w:t>
      </w:r>
    </w:p>
    <w:p w14:paraId="4564FFF9"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1. The instructions in Part A of this chapter are intended for use primarily in negligence cases in which the limitations on damages for “noneconomic loss or injury” set forth in section 13-21-102.5, C.R.S., apply. For other tort claims, special damage instructions have been prepared that also apply to cases where the statutory limitations on noneconomic losses or injuries apply. For these other damage instructions, see the Detailed Table of Contents to this publication.</w:t>
      </w:r>
    </w:p>
    <w:p w14:paraId="4EBCD6E3"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2. Part B of this chapter contains instructions on the proper measure of damages for the loss or destruction of personal property. For the proper measure of damages in cases involving physical damage to real property, see Instruction 18:4. See also the Source and Authority to Instruction 18:4 for the proper measure of damages for (1) the destruction of improvements to real property, (2) damages to crops, (3) damages to trees and timber, and (4) the appropriation of gravel, ore, coal, oil, or other minerals. </w:t>
      </w:r>
    </w:p>
    <w:p w14:paraId="3D8C9DBA"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3. Instructions on the proper measure of damages in actions for breach of contract are set forth in Part E of Chapter 30. Also, for damages for wrongful discharge from employment, see Instructions 31:7 (breach of contract) and 31:15 (tort).</w:t>
      </w:r>
    </w:p>
    <w:p w14:paraId="568BCB8D"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Comparative Negligence and Pro Rata Liability</w:t>
      </w:r>
    </w:p>
    <w:p w14:paraId="4C0CB80A" w14:textId="64CE2960" w:rsidR="0068336D" w:rsidRPr="0068336D" w:rsidRDefault="0068336D" w:rsidP="0068336D">
      <w:pPr>
        <w:spacing w:after="240"/>
        <w:ind w:firstLine="720"/>
        <w:rPr>
          <w:rFonts w:eastAsia="Times New Roman"/>
          <w:sz w:val="24"/>
          <w:szCs w:val="24"/>
        </w:rPr>
      </w:pPr>
      <w:r w:rsidRPr="0068336D">
        <w:rPr>
          <w:rFonts w:eastAsia="Times New Roman"/>
          <w:sz w:val="24"/>
          <w:szCs w:val="24"/>
        </w:rPr>
        <w:t>4. In negligence cases in which either the comparative negligence statute, § 13-21-111, C.R.S., or the pro rata liability statute, § 13-21-111.5, C.R.S., or both, apply, the Instructions and special verdict forms in Part C of Chapter 9 should be used with Instruction 6:1, but not with the special verdict forms in Instructions 6:1A and 6:1B in Part A of this Chapter. In negligence cases in which neither the comparative negligence statute, § 13-21-111, nor the pro rata liability statute, § 13-21-111.5, applies, the Instructions in Chapter 9 should be used with Instructions 6:1, 6:1A, and 6:1B.</w:t>
      </w:r>
    </w:p>
    <w:p w14:paraId="1EFD2CFA" w14:textId="70435936" w:rsidR="0068336D" w:rsidRPr="0068336D" w:rsidRDefault="0068336D" w:rsidP="0068336D">
      <w:pPr>
        <w:spacing w:after="240"/>
        <w:ind w:firstLine="720"/>
        <w:rPr>
          <w:rFonts w:eastAsia="Times New Roman"/>
          <w:sz w:val="24"/>
          <w:szCs w:val="24"/>
        </w:rPr>
      </w:pPr>
      <w:r w:rsidRPr="0068336D">
        <w:rPr>
          <w:rFonts w:eastAsia="Times New Roman"/>
          <w:sz w:val="24"/>
          <w:szCs w:val="24"/>
        </w:rPr>
        <w:t>5. As an alternative in such cases, Instruction 4:20, the model unified verdict form, may be used with Instruction 6:1, 6:1A, and 6:1B instead of the special verdict forms in Part C of Chapter 9. Instructions 6:1, 6:1A, and 6:1B should also be used with product liability claims in which neither the comparative negligence statute, § 13-21-111, nor the pro rata liability statute, § 13-21-111.5, applies.</w:t>
      </w:r>
    </w:p>
    <w:p w14:paraId="71B34863"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Comparative Fault and Pro Rata Liability</w:t>
      </w:r>
    </w:p>
    <w:p w14:paraId="05ECE871" w14:textId="54408F37"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6. In product liability cases in which either the comparative fault statute, § 13-21-406, C.R.S., or the pro rata liability statute, § 13-21-111.5, or both, apply, the instructions and special verdict forms in Part E of Chapter 14 should be used with Instructions 6:1, 6:1A, and 6:1B in Part A of this chapter. </w:t>
      </w:r>
    </w:p>
    <w:p w14:paraId="6C9DEEDF"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7. Again, as an alternative, Instruction 4:20, the model unified verdict form, may be used instead of the special verdict forms in Part E of Chapter 14. </w:t>
      </w:r>
    </w:p>
    <w:p w14:paraId="01E1C738"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lastRenderedPageBreak/>
        <w:t>Pro Rata Liability in Other Tort Actions</w:t>
      </w:r>
    </w:p>
    <w:p w14:paraId="4DA45987" w14:textId="4BC314A2" w:rsidR="0068336D" w:rsidRPr="0068336D" w:rsidRDefault="0068336D" w:rsidP="0068336D">
      <w:pPr>
        <w:spacing w:after="240"/>
        <w:ind w:firstLine="720"/>
        <w:rPr>
          <w:rFonts w:eastAsia="Times New Roman"/>
          <w:sz w:val="24"/>
          <w:szCs w:val="24"/>
        </w:rPr>
      </w:pPr>
      <w:r w:rsidRPr="0068336D">
        <w:rPr>
          <w:rFonts w:eastAsia="Times New Roman"/>
          <w:sz w:val="24"/>
          <w:szCs w:val="24"/>
        </w:rPr>
        <w:t>8. In other tort actions resulting in death or injury to persons or property in which the pro rata liability statute applies, Instruction 4:20, the model unified verdict form, should be used with the applicable special damage instruction for the specific kind of tortious conduct on which the claim is based rather than Instructions 6:1, 6:1A, and 6:1B.</w:t>
      </w:r>
    </w:p>
    <w:p w14:paraId="350B7400"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Tort Actions Against Health Professionals</w:t>
      </w:r>
    </w:p>
    <w:p w14:paraId="136DFA52"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9. In tort actions against health care professionals or institutions subject to the limitations on damages provided by sections 13-21-102.5, 13-64-203 to -205, and 13-64-302, C.R.S., the instructions in subpart D of Part I of Chapter 15 should be used rather than Instructions 6:1, 6:1A, and 6:1B.</w:t>
      </w:r>
    </w:p>
    <w:p w14:paraId="7D28D8DA"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Wrongful Death</w:t>
      </w:r>
    </w:p>
    <w:p w14:paraId="231424D3"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10. In actions for wrongful death, Instructions 10:3 and 10:4 should be used rather than Instructions 6:1, 6:1A, and 6:1 B.</w:t>
      </w:r>
    </w:p>
    <w:p w14:paraId="56D56F6B"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Economic Loss Rule</w:t>
      </w:r>
    </w:p>
    <w:p w14:paraId="5520419F" w14:textId="77777777" w:rsidR="0068336D" w:rsidRDefault="0068336D" w:rsidP="0068336D">
      <w:pPr>
        <w:spacing w:after="240"/>
        <w:ind w:firstLine="720"/>
        <w:rPr>
          <w:rFonts w:eastAsia="Times New Roman"/>
          <w:sz w:val="24"/>
          <w:szCs w:val="24"/>
        </w:rPr>
      </w:pPr>
      <w:r w:rsidRPr="0068336D">
        <w:rPr>
          <w:rFonts w:eastAsia="Times New Roman"/>
          <w:sz w:val="24"/>
          <w:szCs w:val="24"/>
        </w:rPr>
        <w:t>11. For a discussion of the economic loss rule, see the Introductory Note to Chapter 9.</w:t>
      </w:r>
    </w:p>
    <w:p w14:paraId="5182643A" w14:textId="77777777" w:rsidR="0068336D" w:rsidRDefault="0068336D" w:rsidP="0068336D">
      <w:pPr>
        <w:rPr>
          <w:rFonts w:eastAsia="Times New Roman"/>
          <w:sz w:val="24"/>
          <w:szCs w:val="24"/>
        </w:rPr>
      </w:pPr>
      <w:r>
        <w:rPr>
          <w:rFonts w:eastAsia="Times New Roman"/>
          <w:sz w:val="24"/>
          <w:szCs w:val="24"/>
        </w:rPr>
        <w:br w:type="page"/>
      </w:r>
    </w:p>
    <w:p w14:paraId="124BDB64"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5E712D">
        <w:rPr>
          <w:rFonts w:eastAsia="Times New Roman"/>
          <w:b/>
          <w:sz w:val="24"/>
          <w:szCs w:val="24"/>
        </w:rPr>
        <w:t>PERSONAL INJURIES</w:t>
      </w:r>
    </w:p>
    <w:p w14:paraId="032C4866" w14:textId="77777777" w:rsidR="009E3DA4" w:rsidRPr="009E3DA4" w:rsidRDefault="005E712D" w:rsidP="00CC0502">
      <w:pPr>
        <w:spacing w:after="240"/>
        <w:ind w:left="720" w:hanging="720"/>
        <w:rPr>
          <w:rFonts w:eastAsia="Times New Roman"/>
          <w:b/>
          <w:sz w:val="24"/>
          <w:szCs w:val="24"/>
        </w:rPr>
      </w:pPr>
      <w:bookmarkStart w:id="1" w:name="a6_1"/>
      <w:bookmarkEnd w:id="1"/>
      <w:r w:rsidRPr="005E712D">
        <w:rPr>
          <w:rFonts w:eastAsia="Times New Roman"/>
          <w:b/>
          <w:sz w:val="24"/>
          <w:szCs w:val="24"/>
        </w:rPr>
        <w:t xml:space="preserve">6:1 </w:t>
      </w:r>
      <w:r w:rsidRPr="005E712D">
        <w:rPr>
          <w:rFonts w:eastAsia="Times New Roman"/>
          <w:b/>
          <w:sz w:val="24"/>
          <w:szCs w:val="24"/>
        </w:rPr>
        <w:tab/>
        <w:t>PERSONAL INJURIES — ADULTS</w:t>
      </w:r>
    </w:p>
    <w:p w14:paraId="54E225F4" w14:textId="3898ABD6"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 xml:space="preserve">Plaintiff, </w:t>
      </w:r>
      <w:r w:rsidRPr="005E712D">
        <w:rPr>
          <w:rFonts w:eastAsia="Times New Roman"/>
          <w:i/>
          <w:sz w:val="24"/>
          <w:szCs w:val="24"/>
        </w:rPr>
        <w:t>(name)</w:t>
      </w:r>
      <w:r w:rsidRPr="005E712D">
        <w:rPr>
          <w:rFonts w:eastAsia="Times New Roman"/>
          <w:b/>
          <w:sz w:val="24"/>
          <w:szCs w:val="24"/>
        </w:rPr>
        <w:t xml:space="preserve">, has the burden of proving, by a preponderance of the evidence, the nature and extent of </w:t>
      </w:r>
      <w:r w:rsidR="00505E5C" w:rsidRPr="00AA267B">
        <w:rPr>
          <w:rFonts w:eastAsia="Times New Roman"/>
          <w:bCs/>
          <w:i/>
          <w:iCs/>
          <w:sz w:val="24"/>
          <w:szCs w:val="24"/>
        </w:rPr>
        <w:t>(</w:t>
      </w:r>
      <w:r w:rsidR="00505E5C">
        <w:rPr>
          <w:rFonts w:eastAsia="Times New Roman"/>
          <w:i/>
          <w:sz w:val="24"/>
          <w:szCs w:val="24"/>
        </w:rPr>
        <w:t>insert applicable pronoun)</w:t>
      </w:r>
      <w:r w:rsidRPr="005E712D">
        <w:rPr>
          <w:rFonts w:eastAsia="Times New Roman"/>
          <w:b/>
          <w:sz w:val="24"/>
          <w:szCs w:val="24"/>
        </w:rPr>
        <w:t xml:space="preserve"> damages. If you find in favor of the plaintiff, you must determine the total dollar amount of plaintiff’s damages, if any, that were caused by the </w:t>
      </w:r>
      <w:r w:rsidRPr="005E712D">
        <w:rPr>
          <w:rFonts w:eastAsia="Times New Roman"/>
          <w:i/>
          <w:sz w:val="24"/>
          <w:szCs w:val="24"/>
        </w:rPr>
        <w:t>(insert appropriate description, e.g., “negligence”)</w:t>
      </w:r>
      <w:r w:rsidRPr="005E712D">
        <w:rPr>
          <w:rFonts w:eastAsia="Times New Roman"/>
          <w:b/>
          <w:sz w:val="24"/>
          <w:szCs w:val="24"/>
        </w:rPr>
        <w:t xml:space="preserve"> of the defendant(s), </w:t>
      </w:r>
      <w:r w:rsidRPr="005E712D">
        <w:rPr>
          <w:rFonts w:eastAsia="Times New Roman"/>
          <w:i/>
          <w:sz w:val="24"/>
          <w:szCs w:val="24"/>
        </w:rPr>
        <w:t>(name[s])</w:t>
      </w:r>
      <w:r w:rsidRPr="005E712D">
        <w:rPr>
          <w:rFonts w:eastAsia="Times New Roman"/>
          <w:b/>
          <w:sz w:val="24"/>
          <w:szCs w:val="24"/>
        </w:rPr>
        <w:t xml:space="preserve">, (and) (,) (the </w:t>
      </w:r>
      <w:r w:rsidRPr="005E712D">
        <w:rPr>
          <w:rFonts w:eastAsia="Times New Roman"/>
          <w:i/>
          <w:sz w:val="24"/>
          <w:szCs w:val="24"/>
        </w:rPr>
        <w:t>[insert appropriate description, e.g., “negligence”]</w:t>
      </w:r>
      <w:r w:rsidRPr="005E712D">
        <w:rPr>
          <w:rFonts w:eastAsia="Times New Roman"/>
          <w:b/>
          <w:sz w:val="24"/>
          <w:szCs w:val="24"/>
        </w:rPr>
        <w:t xml:space="preserve">, if any, of the plaintiff[s], </w:t>
      </w:r>
      <w:r w:rsidRPr="005E712D">
        <w:rPr>
          <w:rFonts w:eastAsia="Times New Roman"/>
          <w:i/>
          <w:sz w:val="24"/>
          <w:szCs w:val="24"/>
        </w:rPr>
        <w:t>[name(s)]</w:t>
      </w:r>
      <w:r w:rsidRPr="005E712D">
        <w:rPr>
          <w:rFonts w:eastAsia="Times New Roman"/>
          <w:b/>
          <w:i/>
          <w:sz w:val="24"/>
          <w:szCs w:val="24"/>
        </w:rPr>
        <w:t>)</w:t>
      </w:r>
      <w:r w:rsidRPr="005E712D">
        <w:rPr>
          <w:rFonts w:eastAsia="Times New Roman"/>
          <w:b/>
          <w:sz w:val="24"/>
          <w:szCs w:val="24"/>
        </w:rPr>
        <w:t xml:space="preserve">, (and) (the </w:t>
      </w:r>
      <w:r w:rsidRPr="005E712D">
        <w:rPr>
          <w:rFonts w:eastAsia="Times New Roman"/>
          <w:i/>
          <w:sz w:val="24"/>
          <w:szCs w:val="24"/>
        </w:rPr>
        <w:t>[insert appropriate description, e.g., “negligence”]</w:t>
      </w:r>
      <w:r w:rsidRPr="005E712D">
        <w:rPr>
          <w:rFonts w:eastAsia="Times New Roman"/>
          <w:b/>
          <w:sz w:val="24"/>
          <w:szCs w:val="24"/>
        </w:rPr>
        <w:t>, if any, of any designated nonparties).</w:t>
      </w:r>
    </w:p>
    <w:p w14:paraId="02D6E4A1"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In determining such damages, you shall consider the following:</w:t>
      </w:r>
    </w:p>
    <w:p w14:paraId="090D9696" w14:textId="75CD94EF"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 xml:space="preserve">1. Any noneconomic losses or injuries which plaintiff has had to the present time or probably </w:t>
      </w:r>
      <w:r w:rsidR="006602BD">
        <w:rPr>
          <w:rFonts w:eastAsia="Times New Roman"/>
          <w:b/>
          <w:sz w:val="24"/>
          <w:szCs w:val="24"/>
        </w:rPr>
        <w:t xml:space="preserve">will </w:t>
      </w:r>
      <w:r w:rsidRPr="005E712D">
        <w:rPr>
          <w:rFonts w:eastAsia="Times New Roman"/>
          <w:b/>
          <w:sz w:val="24"/>
          <w:szCs w:val="24"/>
        </w:rPr>
        <w:t xml:space="preserve">have in the future, including: physical and mental pain and suffering, inconvenience, emotional stress, impairment of the quality of life, and </w:t>
      </w:r>
      <w:r w:rsidRPr="005E712D">
        <w:rPr>
          <w:rFonts w:eastAsia="Times New Roman"/>
          <w:i/>
          <w:sz w:val="24"/>
          <w:szCs w:val="24"/>
        </w:rPr>
        <w:t>(insert any other recoverable nonecomonic losses for which there is sufficient evidence)</w:t>
      </w:r>
      <w:r w:rsidRPr="005E712D">
        <w:rPr>
          <w:rFonts w:eastAsia="Times New Roman"/>
          <w:b/>
          <w:sz w:val="24"/>
          <w:szCs w:val="24"/>
        </w:rPr>
        <w:t>. (In considering damages in this category, you shall not include actual damages for [physical impairment] [or] [disfigurement], because these damages, if any, are to be included in a separate category.)</w:t>
      </w:r>
    </w:p>
    <w:p w14:paraId="69569E68" w14:textId="799EAEB2"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 xml:space="preserve">2. Any economic losses or injuries which plaintiff has had to the present time or probably </w:t>
      </w:r>
      <w:r w:rsidR="006602BD">
        <w:rPr>
          <w:rFonts w:eastAsia="Times New Roman"/>
          <w:b/>
          <w:sz w:val="24"/>
          <w:szCs w:val="24"/>
        </w:rPr>
        <w:t xml:space="preserve">will </w:t>
      </w:r>
      <w:r w:rsidRPr="005E712D">
        <w:rPr>
          <w:rFonts w:eastAsia="Times New Roman"/>
          <w:b/>
          <w:sz w:val="24"/>
          <w:szCs w:val="24"/>
        </w:rPr>
        <w:t xml:space="preserve">have in the future, including: loss of earnings or damage to </w:t>
      </w:r>
      <w:r w:rsidR="00505E5C" w:rsidRPr="00AA267B">
        <w:rPr>
          <w:rFonts w:eastAsia="Times New Roman"/>
          <w:bCs/>
          <w:i/>
          <w:iCs/>
          <w:sz w:val="24"/>
          <w:szCs w:val="24"/>
        </w:rPr>
        <w:t>(</w:t>
      </w:r>
      <w:r w:rsidR="00505E5C">
        <w:rPr>
          <w:rFonts w:eastAsia="Times New Roman"/>
          <w:i/>
          <w:sz w:val="24"/>
          <w:szCs w:val="24"/>
        </w:rPr>
        <w:t>insert applicable pronoun)</w:t>
      </w:r>
      <w:r w:rsidRPr="005E712D">
        <w:rPr>
          <w:rFonts w:eastAsia="Times New Roman"/>
          <w:b/>
          <w:sz w:val="24"/>
          <w:szCs w:val="24"/>
        </w:rPr>
        <w:t xml:space="preserve"> ability to earn money in the future, (reasonable and necessary) medical, hospital, and other expenses, and </w:t>
      </w:r>
      <w:r w:rsidRPr="005E712D">
        <w:rPr>
          <w:rFonts w:eastAsia="Times New Roman"/>
          <w:i/>
          <w:sz w:val="24"/>
          <w:szCs w:val="24"/>
        </w:rPr>
        <w:t>(insert any other recoverable economic losses of which there is sufficient evidence).</w:t>
      </w:r>
      <w:r w:rsidRPr="005E712D">
        <w:rPr>
          <w:rFonts w:eastAsia="Times New Roman"/>
          <w:b/>
          <w:sz w:val="24"/>
          <w:szCs w:val="24"/>
        </w:rPr>
        <w:t xml:space="preserve"> (In considering damages in this category, you shall not include actual damages for [physical impairment] [or] [disfigurement], since these damages, if any, are to be included in a separate category.)</w:t>
      </w:r>
    </w:p>
    <w:p w14:paraId="3B07E92B"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(3. Any [physical impairment] [or] [disfigurement]. In considering damages in this category, you shall not include damages again for losses or injuries already determined under either numbered paragraph 1 or 2 above.)</w:t>
      </w:r>
    </w:p>
    <w:p w14:paraId="3988E8AB" w14:textId="77777777" w:rsidR="00832DB4" w:rsidRDefault="00832DB4" w:rsidP="0054263B">
      <w:pPr>
        <w:jc w:val="center"/>
        <w:rPr>
          <w:rFonts w:eastAsia="Times New Roman"/>
          <w:sz w:val="24"/>
          <w:szCs w:val="24"/>
        </w:rPr>
      </w:pPr>
    </w:p>
    <w:p w14:paraId="5452BDFD"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54F72E6" w14:textId="4CCA850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 See </w:t>
      </w:r>
      <w:r w:rsidR="00BC0B87">
        <w:rPr>
          <w:rFonts w:eastAsia="Times New Roman"/>
          <w:sz w:val="24"/>
          <w:szCs w:val="24"/>
        </w:rPr>
        <w:t xml:space="preserve">the </w:t>
      </w:r>
      <w:r w:rsidRPr="005E712D">
        <w:rPr>
          <w:rFonts w:eastAsia="Times New Roman"/>
          <w:sz w:val="24"/>
          <w:szCs w:val="24"/>
        </w:rPr>
        <w:t>Introductory Note to this Chapter.</w:t>
      </w:r>
    </w:p>
    <w:p w14:paraId="53F788D1"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2. Use only those numbered paragraphs or parenthesized portions of the instruction that apply to the evidence in the case.</w:t>
      </w:r>
    </w:p>
    <w:p w14:paraId="5A489AA8"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3. This instruction, together with Instructions 6:1A and 6:1B, where applicable, can also be used in lieu of other, more specific, instructions on damages by deleting or adding such elements of damage as are appropriate in light of the evidence in the case.</w:t>
      </w:r>
    </w:p>
    <w:p w14:paraId="2E620BFA" w14:textId="59B9D7DF"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4. The amount of damages prayed for should not be stated in this instruction or in the statement of the case. </w:t>
      </w:r>
      <w:r w:rsidRPr="005E712D">
        <w:rPr>
          <w:rFonts w:eastAsia="Times New Roman"/>
          <w:b/>
          <w:sz w:val="24"/>
          <w:szCs w:val="24"/>
        </w:rPr>
        <w:t>Rodrigue v. Hausman</w:t>
      </w:r>
      <w:r w:rsidRPr="005E712D">
        <w:rPr>
          <w:rFonts w:eastAsia="Times New Roman"/>
          <w:sz w:val="24"/>
          <w:szCs w:val="24"/>
        </w:rPr>
        <w:t xml:space="preserve">, 33 Colo. App. 305, 519 P.2d 1216 (1974); </w:t>
      </w:r>
      <w:r w:rsidRPr="005E712D">
        <w:rPr>
          <w:rFonts w:eastAsia="Times New Roman"/>
          <w:i/>
          <w:sz w:val="24"/>
          <w:szCs w:val="24"/>
        </w:rPr>
        <w:t>see</w:t>
      </w:r>
      <w:r w:rsidRPr="005E712D">
        <w:rPr>
          <w:rFonts w:eastAsia="Times New Roman"/>
          <w:sz w:val="24"/>
          <w:szCs w:val="24"/>
        </w:rPr>
        <w:t xml:space="preserve"> </w:t>
      </w:r>
      <w:r w:rsidRPr="005E712D">
        <w:rPr>
          <w:rFonts w:eastAsia="Times New Roman"/>
          <w:sz w:val="24"/>
          <w:szCs w:val="24"/>
        </w:rPr>
        <w:lastRenderedPageBreak/>
        <w:t xml:space="preserve">Note 2 of </w:t>
      </w:r>
      <w:r w:rsidR="00B53DA7">
        <w:rPr>
          <w:rFonts w:eastAsia="Times New Roman"/>
          <w:sz w:val="24"/>
          <w:szCs w:val="24"/>
        </w:rPr>
        <w:t xml:space="preserve">the </w:t>
      </w:r>
      <w:r w:rsidRPr="005E712D">
        <w:rPr>
          <w:rFonts w:eastAsia="Times New Roman"/>
          <w:sz w:val="24"/>
          <w:szCs w:val="24"/>
        </w:rPr>
        <w:t>Notes on Use to Instruction 2:1;</w:t>
      </w:r>
      <w:r w:rsidRPr="005E712D">
        <w:rPr>
          <w:rFonts w:eastAsia="Times New Roman"/>
          <w:i/>
          <w:sz w:val="24"/>
          <w:szCs w:val="24"/>
        </w:rPr>
        <w:t xml:space="preserve"> see also</w:t>
      </w:r>
      <w:r w:rsidRPr="005E712D">
        <w:rPr>
          <w:rFonts w:eastAsia="Times New Roman"/>
          <w:sz w:val="24"/>
          <w:szCs w:val="24"/>
        </w:rPr>
        <w:t xml:space="preserve"> C.R.C.P. 8(a) (no dollar amount shall be stated in the demand or prayer for relief).</w:t>
      </w:r>
    </w:p>
    <w:p w14:paraId="027253B6"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5. If the jury has found in favor of the plaintiff, then they have found that the defendant was negligent. Therefore, the phrase “if any” in the first paragraph is not necessary after “the negligence of the defendant(s)” but is necessary after the reference to the possible negligence of plaintiff and any nonparty.</w:t>
      </w:r>
    </w:p>
    <w:p w14:paraId="77021114"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6. Because the nature of the tortious conduct of the parties or designated nonparties need not be the same, the final clause of the first paragraph of this instruction must be tailored by including a description of the culpable conduct alleged against each party and designated nonparty. </w:t>
      </w:r>
      <w:r w:rsidRPr="005E712D">
        <w:rPr>
          <w:rFonts w:eastAsia="Times New Roman"/>
          <w:i/>
          <w:sz w:val="24"/>
          <w:szCs w:val="24"/>
        </w:rPr>
        <w:t>See, e.g.</w:t>
      </w:r>
      <w:r w:rsidRPr="005E712D">
        <w:rPr>
          <w:rFonts w:eastAsia="Times New Roman"/>
          <w:sz w:val="24"/>
          <w:szCs w:val="24"/>
        </w:rPr>
        <w:t xml:space="preserve">, </w:t>
      </w:r>
      <w:r w:rsidRPr="005E712D">
        <w:rPr>
          <w:rFonts w:eastAsia="Times New Roman"/>
          <w:b/>
          <w:sz w:val="24"/>
          <w:szCs w:val="24"/>
        </w:rPr>
        <w:t>Moody v. A.G. Edwards &amp; Sons, Inc.</w:t>
      </w:r>
      <w:r w:rsidRPr="005E712D">
        <w:rPr>
          <w:rFonts w:eastAsia="Times New Roman"/>
          <w:sz w:val="24"/>
          <w:szCs w:val="24"/>
        </w:rPr>
        <w:t>, 847 P.2d 215 (Colo. App. 1992). Additionally, where there are multiple defendants, and different types of tortious conduct have been alleged against different defendants (for example, negligence as against Defendant A and strict liability or “fault” as against Defendant B), the final clause of the first paragraph of this instruction must be altered to describe separately the nature of the tortious conduct alleged as to each defendant.</w:t>
      </w:r>
    </w:p>
    <w:p w14:paraId="255633AA" w14:textId="63E89A20"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7. For civil actions other than </w:t>
      </w:r>
      <w:r w:rsidR="00B861A4">
        <w:rPr>
          <w:rFonts w:eastAsia="Times New Roman"/>
          <w:sz w:val="24"/>
          <w:szCs w:val="24"/>
        </w:rPr>
        <w:t xml:space="preserve">any civil action or binding arbitration </w:t>
      </w:r>
      <w:r w:rsidR="008B4F02">
        <w:rPr>
          <w:rFonts w:eastAsia="Times New Roman"/>
          <w:sz w:val="24"/>
          <w:szCs w:val="24"/>
        </w:rPr>
        <w:t>seeking tort damages against</w:t>
      </w:r>
      <w:r w:rsidR="00B861A4">
        <w:rPr>
          <w:rFonts w:eastAsia="Times New Roman"/>
          <w:sz w:val="24"/>
          <w:szCs w:val="24"/>
        </w:rPr>
        <w:t xml:space="preserve"> a health-care professional, as defined in section 13-64-202(3), </w:t>
      </w:r>
      <w:r w:rsidRPr="005E712D">
        <w:rPr>
          <w:rFonts w:eastAsia="Times New Roman"/>
          <w:sz w:val="24"/>
          <w:szCs w:val="24"/>
        </w:rPr>
        <w:t xml:space="preserve">the maximum amount of noneconomic and derivative noneconomic damages that may be awarded is set by section 13-21-102.5(3)(a) and (b), C.R.S., as adjusted periodically for inflation by the Colorado secretary of state. § 13-21-102.5(3)(c). As of the most recent certification of </w:t>
      </w:r>
      <w:r w:rsidR="00E67D7F">
        <w:rPr>
          <w:rFonts w:eastAsia="Times New Roman"/>
          <w:sz w:val="24"/>
          <w:szCs w:val="24"/>
        </w:rPr>
        <w:t>February 1</w:t>
      </w:r>
      <w:r w:rsidR="00084767">
        <w:rPr>
          <w:rFonts w:eastAsia="Times New Roman"/>
          <w:sz w:val="24"/>
          <w:szCs w:val="24"/>
        </w:rPr>
        <w:t>2</w:t>
      </w:r>
      <w:r w:rsidR="00E67D7F">
        <w:rPr>
          <w:rFonts w:eastAsia="Times New Roman"/>
          <w:sz w:val="24"/>
          <w:szCs w:val="24"/>
        </w:rPr>
        <w:t>, 202</w:t>
      </w:r>
      <w:r w:rsidR="0095456A">
        <w:rPr>
          <w:rFonts w:eastAsia="Times New Roman"/>
          <w:sz w:val="24"/>
          <w:szCs w:val="24"/>
        </w:rPr>
        <w:t>4</w:t>
      </w:r>
      <w:r w:rsidRPr="005E712D">
        <w:rPr>
          <w:rFonts w:eastAsia="Times New Roman"/>
          <w:sz w:val="24"/>
          <w:szCs w:val="24"/>
        </w:rPr>
        <w:t>, the secretary of state has certified the following adjusted limitations for these damages:</w:t>
      </w:r>
    </w:p>
    <w:p w14:paraId="7708D3DA" w14:textId="77777777" w:rsidR="005E712D" w:rsidRPr="005E712D" w:rsidRDefault="005E712D" w:rsidP="005E712D">
      <w:pPr>
        <w:spacing w:after="240"/>
        <w:ind w:left="720"/>
        <w:rPr>
          <w:rFonts w:eastAsia="Times New Roman"/>
          <w:sz w:val="24"/>
          <w:szCs w:val="24"/>
        </w:rPr>
      </w:pPr>
      <w:r w:rsidRPr="005E712D">
        <w:rPr>
          <w:rFonts w:eastAsia="Times New Roman"/>
          <w:sz w:val="24"/>
          <w:szCs w:val="24"/>
        </w:rPr>
        <w:t>For claims that accrue on or after January 1, 1998, and before January 1, 2008, $366,250, which may be increased by the court upon clear and convincing evidence of justification to a maximum of $732,500.</w:t>
      </w:r>
    </w:p>
    <w:p w14:paraId="28B43CE5" w14:textId="5456B874" w:rsidR="005E712D" w:rsidRDefault="005E712D" w:rsidP="005E712D">
      <w:pPr>
        <w:spacing w:after="240"/>
        <w:ind w:left="720"/>
        <w:rPr>
          <w:rFonts w:eastAsia="Times New Roman"/>
          <w:sz w:val="24"/>
          <w:szCs w:val="24"/>
        </w:rPr>
      </w:pPr>
      <w:r w:rsidRPr="005E712D">
        <w:rPr>
          <w:rFonts w:eastAsia="Times New Roman"/>
          <w:sz w:val="24"/>
          <w:szCs w:val="24"/>
        </w:rPr>
        <w:t xml:space="preserve">For claims that accrue on and after January 1, 2008, </w:t>
      </w:r>
      <w:r w:rsidR="006A2527">
        <w:rPr>
          <w:rFonts w:eastAsia="Times New Roman"/>
          <w:sz w:val="24"/>
          <w:szCs w:val="24"/>
        </w:rPr>
        <w:t xml:space="preserve">and before January 1, 2020, </w:t>
      </w:r>
      <w:r w:rsidRPr="005E712D">
        <w:rPr>
          <w:rFonts w:eastAsia="Times New Roman"/>
          <w:sz w:val="24"/>
          <w:szCs w:val="24"/>
        </w:rPr>
        <w:t>$468,010, which may be increased by the court upon clear and convincing evidence of justification to a maximum of $936,030.</w:t>
      </w:r>
    </w:p>
    <w:p w14:paraId="5A7912E4" w14:textId="5811E302" w:rsidR="006A2527" w:rsidRDefault="006A2527" w:rsidP="0003475C">
      <w:pPr>
        <w:spacing w:after="240"/>
        <w:ind w:left="720"/>
        <w:rPr>
          <w:rFonts w:eastAsia="Times New Roman"/>
          <w:sz w:val="24"/>
          <w:szCs w:val="24"/>
        </w:rPr>
      </w:pPr>
      <w:r>
        <w:rPr>
          <w:rFonts w:eastAsia="Times New Roman"/>
          <w:sz w:val="24"/>
          <w:szCs w:val="24"/>
        </w:rPr>
        <w:t xml:space="preserve">For claims that accrue on and after January 1, 2020, </w:t>
      </w:r>
      <w:r w:rsidR="00084767">
        <w:rPr>
          <w:rFonts w:eastAsia="Times New Roman"/>
          <w:sz w:val="24"/>
          <w:szCs w:val="24"/>
        </w:rPr>
        <w:t xml:space="preserve">and before January 1, 2022, </w:t>
      </w:r>
      <w:r>
        <w:rPr>
          <w:rFonts w:eastAsia="Times New Roman"/>
          <w:sz w:val="24"/>
          <w:szCs w:val="24"/>
        </w:rPr>
        <w:t>$613,760, which may be increased by the court upon clear and convincing evidence to a maximum of $1,227,530.</w:t>
      </w:r>
    </w:p>
    <w:p w14:paraId="0CAFB808" w14:textId="2E56B32B" w:rsidR="00562F43" w:rsidRDefault="00562F43" w:rsidP="0003475C">
      <w:pPr>
        <w:autoSpaceDE w:val="0"/>
        <w:autoSpaceDN w:val="0"/>
        <w:adjustRightInd w:val="0"/>
        <w:spacing w:after="240"/>
        <w:ind w:left="720"/>
        <w:rPr>
          <w:color w:val="151515"/>
          <w:sz w:val="24"/>
          <w:szCs w:val="24"/>
        </w:rPr>
      </w:pPr>
      <w:r w:rsidRPr="00E67D7F">
        <w:rPr>
          <w:color w:val="151515"/>
          <w:sz w:val="24"/>
          <w:szCs w:val="24"/>
        </w:rPr>
        <w:t>For claims that accrue on and after January 1, 2022</w:t>
      </w:r>
      <w:r>
        <w:rPr>
          <w:color w:val="151515"/>
          <w:sz w:val="24"/>
          <w:szCs w:val="24"/>
        </w:rPr>
        <w:t>,</w:t>
      </w:r>
      <w:r w:rsidRPr="00E67D7F">
        <w:rPr>
          <w:color w:val="151515"/>
          <w:sz w:val="24"/>
          <w:szCs w:val="24"/>
        </w:rPr>
        <w:t xml:space="preserve"> and before January 1, 2024</w:t>
      </w:r>
      <w:r>
        <w:rPr>
          <w:color w:val="151515"/>
          <w:sz w:val="24"/>
          <w:szCs w:val="24"/>
        </w:rPr>
        <w:t xml:space="preserve">, </w:t>
      </w:r>
      <w:r w:rsidRPr="00E67D7F">
        <w:rPr>
          <w:color w:val="151515"/>
          <w:sz w:val="24"/>
          <w:szCs w:val="24"/>
        </w:rPr>
        <w:t>$642,180</w:t>
      </w:r>
      <w:r w:rsidR="00E67D7F">
        <w:rPr>
          <w:color w:val="151515"/>
          <w:sz w:val="24"/>
          <w:szCs w:val="24"/>
        </w:rPr>
        <w:t>,</w:t>
      </w:r>
      <w:r w:rsidRPr="0003475C">
        <w:rPr>
          <w:rFonts w:eastAsia="Times New Roman"/>
          <w:sz w:val="24"/>
          <w:szCs w:val="24"/>
        </w:rPr>
        <w:t xml:space="preserve"> </w:t>
      </w:r>
      <w:r>
        <w:rPr>
          <w:rFonts w:eastAsia="Times New Roman"/>
          <w:sz w:val="24"/>
          <w:szCs w:val="24"/>
        </w:rPr>
        <w:t>which may be increased by the court upon clear and convincing evidence to a maximum of</w:t>
      </w:r>
      <w:r>
        <w:rPr>
          <w:b/>
          <w:bCs/>
          <w:color w:val="151515"/>
          <w:sz w:val="24"/>
          <w:szCs w:val="24"/>
        </w:rPr>
        <w:t xml:space="preserve"> </w:t>
      </w:r>
      <w:r w:rsidRPr="00E67D7F">
        <w:rPr>
          <w:color w:val="151515"/>
          <w:sz w:val="24"/>
          <w:szCs w:val="24"/>
        </w:rPr>
        <w:t>$1,284,370</w:t>
      </w:r>
      <w:r w:rsidR="00E67D7F">
        <w:rPr>
          <w:color w:val="151515"/>
          <w:sz w:val="24"/>
          <w:szCs w:val="24"/>
        </w:rPr>
        <w:t>.</w:t>
      </w:r>
    </w:p>
    <w:p w14:paraId="63253714" w14:textId="01BAE9BE" w:rsidR="00B861A4" w:rsidRPr="005E712D" w:rsidRDefault="00B861A4" w:rsidP="0003475C">
      <w:pPr>
        <w:autoSpaceDE w:val="0"/>
        <w:autoSpaceDN w:val="0"/>
        <w:adjustRightInd w:val="0"/>
        <w:spacing w:after="240"/>
        <w:ind w:left="720"/>
        <w:rPr>
          <w:rFonts w:eastAsia="Times New Roman"/>
          <w:sz w:val="24"/>
          <w:szCs w:val="24"/>
        </w:rPr>
      </w:pPr>
      <w:r>
        <w:rPr>
          <w:color w:val="151515"/>
          <w:sz w:val="24"/>
          <w:szCs w:val="24"/>
        </w:rPr>
        <w:t>For claims filed on or after January 1, 202</w:t>
      </w:r>
      <w:r w:rsidR="0095456A">
        <w:rPr>
          <w:color w:val="151515"/>
          <w:sz w:val="24"/>
          <w:szCs w:val="24"/>
        </w:rPr>
        <w:t>4</w:t>
      </w:r>
      <w:r>
        <w:rPr>
          <w:color w:val="151515"/>
          <w:sz w:val="24"/>
          <w:szCs w:val="24"/>
        </w:rPr>
        <w:t xml:space="preserve">, and before January 1, 2026, or any claim for relief that </w:t>
      </w:r>
      <w:r w:rsidR="00CF3B54">
        <w:rPr>
          <w:color w:val="151515"/>
          <w:sz w:val="24"/>
          <w:szCs w:val="24"/>
        </w:rPr>
        <w:t>accrues</w:t>
      </w:r>
      <w:r>
        <w:rPr>
          <w:color w:val="151515"/>
          <w:sz w:val="24"/>
          <w:szCs w:val="24"/>
        </w:rPr>
        <w:t xml:space="preserve"> on or after January 1, 202</w:t>
      </w:r>
      <w:r w:rsidR="0095456A">
        <w:rPr>
          <w:color w:val="151515"/>
          <w:sz w:val="24"/>
          <w:szCs w:val="24"/>
        </w:rPr>
        <w:t>4</w:t>
      </w:r>
      <w:r>
        <w:rPr>
          <w:color w:val="151515"/>
          <w:sz w:val="24"/>
          <w:szCs w:val="24"/>
        </w:rPr>
        <w:t xml:space="preserve">, other than </w:t>
      </w:r>
      <w:r>
        <w:rPr>
          <w:rFonts w:eastAsia="Times New Roman"/>
          <w:sz w:val="24"/>
          <w:szCs w:val="24"/>
        </w:rPr>
        <w:t xml:space="preserve">civil action or binding arbitration </w:t>
      </w:r>
      <w:r w:rsidR="008B4F02">
        <w:rPr>
          <w:rFonts w:eastAsia="Times New Roman"/>
          <w:sz w:val="24"/>
          <w:szCs w:val="24"/>
        </w:rPr>
        <w:t>seeking tort damages against</w:t>
      </w:r>
      <w:r>
        <w:rPr>
          <w:rFonts w:eastAsia="Times New Roman"/>
          <w:sz w:val="24"/>
          <w:szCs w:val="24"/>
        </w:rPr>
        <w:t xml:space="preserve"> a health-care professional, as defined in section 13-64-202(4)</w:t>
      </w:r>
      <w:r w:rsidR="008C24DC">
        <w:rPr>
          <w:rFonts w:eastAsia="Times New Roman"/>
          <w:sz w:val="24"/>
          <w:szCs w:val="24"/>
        </w:rPr>
        <w:t>,</w:t>
      </w:r>
      <w:r>
        <w:rPr>
          <w:rFonts w:eastAsia="Times New Roman"/>
          <w:sz w:val="24"/>
          <w:szCs w:val="24"/>
        </w:rPr>
        <w:t xml:space="preserve"> or a health-care institution, as defined in section 13-64-202(3), or wrongful death action, in which damages for deriva</w:t>
      </w:r>
      <w:r w:rsidR="0095456A">
        <w:rPr>
          <w:rFonts w:eastAsia="Times New Roman"/>
          <w:sz w:val="24"/>
          <w:szCs w:val="24"/>
        </w:rPr>
        <w:t>tiv</w:t>
      </w:r>
      <w:r>
        <w:rPr>
          <w:rFonts w:eastAsia="Times New Roman"/>
          <w:sz w:val="24"/>
          <w:szCs w:val="24"/>
        </w:rPr>
        <w:t xml:space="preserve">e or direct noneconomic loss </w:t>
      </w:r>
      <w:r w:rsidR="00CF3B54">
        <w:rPr>
          <w:rFonts w:eastAsia="Times New Roman"/>
          <w:sz w:val="24"/>
          <w:szCs w:val="24"/>
        </w:rPr>
        <w:t>or</w:t>
      </w:r>
      <w:r>
        <w:rPr>
          <w:rFonts w:eastAsia="Times New Roman"/>
          <w:sz w:val="24"/>
          <w:szCs w:val="24"/>
        </w:rPr>
        <w:t xml:space="preserve"> injury may </w:t>
      </w:r>
      <w:r>
        <w:rPr>
          <w:rFonts w:eastAsia="Times New Roman"/>
          <w:sz w:val="24"/>
          <w:szCs w:val="24"/>
        </w:rPr>
        <w:lastRenderedPageBreak/>
        <w:t xml:space="preserve">be awarded, the total amount of such damages that may be awarded must not exceed the sum of one million five hundred thousand dollars. </w:t>
      </w:r>
    </w:p>
    <w:p w14:paraId="2590E9D8" w14:textId="77777777" w:rsidR="005E712D" w:rsidRPr="005E712D" w:rsidRDefault="005E712D" w:rsidP="005E712D">
      <w:pPr>
        <w:spacing w:after="240"/>
        <w:rPr>
          <w:rFonts w:eastAsia="Times New Roman"/>
          <w:b/>
          <w:sz w:val="24"/>
          <w:szCs w:val="24"/>
          <w:u w:val="single"/>
        </w:rPr>
      </w:pPr>
      <w:r w:rsidRPr="005E712D">
        <w:rPr>
          <w:rFonts w:eastAsia="Times New Roman"/>
          <w:sz w:val="24"/>
          <w:szCs w:val="24"/>
        </w:rPr>
        <w:t>For the most current information on these caps, see the secretary of state’s website, www.sos.state.co.us.</w:t>
      </w:r>
    </w:p>
    <w:p w14:paraId="4367D65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8. “Noneconomic loss or injury” is defined as nonpecuniary harm including pain and suffering, inconvenience, emotional stress, and impairment of the quality of life. § 13-21-102.5(2)(b). “Derivative noneconomic loss or injury” is defined as “harm or emotional stress to persons other than the person suffering the direct or primary loss or injury.” § 13-21-102.5(2)(a). However, nothing in section 13-21-102.5 is to be construed “to limit the recovery of compensatory damages for physical impairment or disfigurement. . . .” § 13-21-102.5(5).</w:t>
      </w:r>
    </w:p>
    <w:p w14:paraId="01969D6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9. The terms “physical impairment” and “disfigurement” are not expressly defined in section 13-21-102.5 or in any appellate decision. </w:t>
      </w:r>
      <w:r w:rsidRPr="005E712D">
        <w:rPr>
          <w:rFonts w:eastAsia="Times New Roman"/>
          <w:i/>
          <w:sz w:val="24"/>
          <w:szCs w:val="24"/>
        </w:rPr>
        <w:t>But see</w:t>
      </w:r>
      <w:r w:rsidRPr="005E712D">
        <w:rPr>
          <w:rFonts w:eastAsia="Times New Roman"/>
          <w:b/>
          <w:sz w:val="24"/>
          <w:szCs w:val="24"/>
        </w:rPr>
        <w:t xml:space="preserve"> Pringle v. Valdez</w:t>
      </w:r>
      <w:r w:rsidRPr="005E712D">
        <w:rPr>
          <w:rFonts w:eastAsia="Times New Roman"/>
          <w:sz w:val="24"/>
          <w:szCs w:val="24"/>
        </w:rPr>
        <w:t xml:space="preserve">, 171 P.3d 624, 631 (Colo. 2007) (“‘If someone tortiously inflicts a permanent injury on another he or she has taken away something valuable which is independent and different from other recognized elements of damages such as pain and suffering and loss of earning capacity.’” (quoting 2 Marilyn Minzer et al., </w:t>
      </w:r>
      <w:r w:rsidRPr="005E712D">
        <w:rPr>
          <w:rFonts w:eastAsia="Times New Roman"/>
          <w:i/>
          <w:sz w:val="24"/>
          <w:szCs w:val="24"/>
        </w:rPr>
        <w:t>Damages in Tort Actions</w:t>
      </w:r>
      <w:r w:rsidRPr="005E712D">
        <w:rPr>
          <w:rFonts w:eastAsia="Times New Roman"/>
          <w:sz w:val="24"/>
          <w:szCs w:val="24"/>
        </w:rPr>
        <w:t xml:space="preserve"> § 12.02 (1992))); </w:t>
      </w:r>
      <w:r w:rsidRPr="005E712D">
        <w:rPr>
          <w:rFonts w:eastAsia="Times New Roman"/>
          <w:b/>
          <w:sz w:val="24"/>
          <w:szCs w:val="24"/>
        </w:rPr>
        <w:t>Preston v. Dupont</w:t>
      </w:r>
      <w:r w:rsidRPr="005E712D">
        <w:rPr>
          <w:rFonts w:eastAsia="Times New Roman"/>
          <w:sz w:val="24"/>
          <w:szCs w:val="24"/>
        </w:rPr>
        <w:t>, 35 P.3d 433, 441 (Colo. 2001) (“Recovery for [physical impairment] at common law thus flowed from the general principle that whoever unlawfully injures another shall make her whole.”).</w:t>
      </w:r>
    </w:p>
    <w:p w14:paraId="0A212B13"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10. The limitations of section 13-21-102.5 are not to be disclosed to the jury, but are to be imposed by the court before judgment. § 13-21-102.5(4). To enable the court to do so, however, requires that the jury be instructed separately as to “economic” and “noneconomic” loss or injury as well as “physical impairment” or “disfigurement.” </w:t>
      </w:r>
      <w:r w:rsidRPr="005E712D">
        <w:rPr>
          <w:rFonts w:eastAsia="Times New Roman"/>
          <w:i/>
          <w:sz w:val="24"/>
          <w:szCs w:val="24"/>
        </w:rPr>
        <w:t>See, e.g.</w:t>
      </w:r>
      <w:r w:rsidRPr="005E712D">
        <w:rPr>
          <w:rFonts w:eastAsia="Times New Roman"/>
          <w:sz w:val="24"/>
          <w:szCs w:val="24"/>
        </w:rPr>
        <w:t xml:space="preserve">, </w:t>
      </w:r>
      <w:r w:rsidRPr="005E712D">
        <w:rPr>
          <w:rFonts w:eastAsia="Times New Roman"/>
          <w:b/>
          <w:sz w:val="24"/>
          <w:szCs w:val="24"/>
        </w:rPr>
        <w:t>Cooley v. Paraho Dev. Corp.</w:t>
      </w:r>
      <w:r w:rsidRPr="005E712D">
        <w:rPr>
          <w:rFonts w:eastAsia="Times New Roman"/>
          <w:sz w:val="24"/>
          <w:szCs w:val="24"/>
        </w:rPr>
        <w:t xml:space="preserve">, 851 P.2d 207 (Colo. App. 1992), </w:t>
      </w:r>
      <w:r w:rsidRPr="005E712D">
        <w:rPr>
          <w:rFonts w:eastAsia="Times New Roman"/>
          <w:i/>
          <w:sz w:val="24"/>
          <w:szCs w:val="24"/>
        </w:rPr>
        <w:t>aff’d on other grounds sub nom.</w:t>
      </w:r>
      <w:r w:rsidRPr="005E712D">
        <w:rPr>
          <w:rFonts w:eastAsia="Times New Roman"/>
          <w:b/>
          <w:sz w:val="24"/>
          <w:szCs w:val="24"/>
        </w:rPr>
        <w:t xml:space="preserve"> Gen. Elec. Co. v. Niemet</w:t>
      </w:r>
      <w:r w:rsidRPr="005E712D">
        <w:rPr>
          <w:rFonts w:eastAsia="Times New Roman"/>
          <w:sz w:val="24"/>
          <w:szCs w:val="24"/>
        </w:rPr>
        <w:t xml:space="preserve">, 866 P.2d 1361 (Colo. 1994); </w:t>
      </w:r>
      <w:r w:rsidRPr="005E712D">
        <w:rPr>
          <w:rFonts w:eastAsia="Times New Roman"/>
          <w:b/>
          <w:sz w:val="24"/>
          <w:szCs w:val="24"/>
        </w:rPr>
        <w:t>Herrera v. Gene’s Towing</w:t>
      </w:r>
      <w:r w:rsidRPr="005E712D">
        <w:rPr>
          <w:rFonts w:eastAsia="Times New Roman"/>
          <w:sz w:val="24"/>
          <w:szCs w:val="24"/>
        </w:rPr>
        <w:t xml:space="preserve">, 827 P.2d 619 (Colo. App. 1992); </w:t>
      </w:r>
      <w:r w:rsidRPr="005E712D">
        <w:rPr>
          <w:rFonts w:eastAsia="Times New Roman"/>
          <w:b/>
          <w:sz w:val="24"/>
          <w:szCs w:val="24"/>
        </w:rPr>
        <w:t>Hoffman v. Schafer</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815 P.2d 971 (Colo. App. 1991), </w:t>
      </w:r>
      <w:r w:rsidRPr="005E712D">
        <w:rPr>
          <w:rFonts w:eastAsia="Times New Roman"/>
          <w:i/>
          <w:sz w:val="24"/>
          <w:szCs w:val="24"/>
        </w:rPr>
        <w:t>aff’d on other grounds</w:t>
      </w:r>
      <w:r w:rsidRPr="005E712D">
        <w:rPr>
          <w:rFonts w:eastAsia="Times New Roman"/>
          <w:sz w:val="24"/>
          <w:szCs w:val="24"/>
        </w:rPr>
        <w:t>,</w:t>
      </w:r>
      <w:r w:rsidRPr="005E712D">
        <w:rPr>
          <w:rFonts w:eastAsia="Times New Roman"/>
          <w:i/>
          <w:sz w:val="24"/>
          <w:szCs w:val="24"/>
        </w:rPr>
        <w:t xml:space="preserve"> </w:t>
      </w:r>
      <w:r w:rsidRPr="005E712D">
        <w:rPr>
          <w:rFonts w:eastAsia="Times New Roman"/>
          <w:sz w:val="24"/>
          <w:szCs w:val="24"/>
        </w:rPr>
        <w:t>831 P.2d 897 (Colo. 1992).</w:t>
      </w:r>
    </w:p>
    <w:p w14:paraId="3A514B0A" w14:textId="70E808FA" w:rsidR="003C576A" w:rsidRPr="003C576A" w:rsidRDefault="005E712D" w:rsidP="005E712D">
      <w:pPr>
        <w:spacing w:after="240"/>
        <w:ind w:firstLine="720"/>
        <w:rPr>
          <w:rFonts w:eastAsia="Times New Roman"/>
          <w:sz w:val="24"/>
          <w:szCs w:val="24"/>
        </w:rPr>
      </w:pPr>
      <w:r w:rsidRPr="005E712D">
        <w:rPr>
          <w:rFonts w:eastAsia="Times New Roman"/>
          <w:sz w:val="24"/>
          <w:szCs w:val="24"/>
        </w:rPr>
        <w:t xml:space="preserve">11. Before applying the limitations on damages set forth in section 13-21-102.5(3)(a) to an award of damages for noneconomic losses, the court first must apportion liability based upon the relative degree of negligence among the joint tortfeasors pursuant to section 13-21-111.5, C.R.S. </w:t>
      </w:r>
      <w:r w:rsidRPr="005E712D">
        <w:rPr>
          <w:rFonts w:eastAsia="Times New Roman"/>
          <w:i/>
          <w:sz w:val="24"/>
          <w:szCs w:val="24"/>
        </w:rPr>
        <w:t xml:space="preserve">See </w:t>
      </w:r>
      <w:r w:rsidRPr="005E712D">
        <w:rPr>
          <w:rFonts w:eastAsia="Times New Roman"/>
          <w:b/>
          <w:sz w:val="24"/>
          <w:szCs w:val="24"/>
        </w:rPr>
        <w:t>General Elec. Co.</w:t>
      </w:r>
      <w:r w:rsidRPr="005E712D">
        <w:rPr>
          <w:rFonts w:eastAsia="Times New Roman"/>
          <w:sz w:val="24"/>
          <w:szCs w:val="24"/>
        </w:rPr>
        <w:t xml:space="preserve">, 866 P.2d at 1367-68;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Alhilo v. Kliem</w:t>
      </w:r>
      <w:r w:rsidRPr="005E712D">
        <w:rPr>
          <w:rFonts w:eastAsia="Times New Roman"/>
          <w:sz w:val="24"/>
          <w:szCs w:val="24"/>
        </w:rPr>
        <w:t>, 2016 COA 142, ¶ 66</w:t>
      </w:r>
      <w:r w:rsidR="009A5ACD">
        <w:rPr>
          <w:rFonts w:eastAsia="Times New Roman"/>
          <w:sz w:val="24"/>
          <w:szCs w:val="24"/>
        </w:rPr>
        <w:t>, 412 P.3d 902</w:t>
      </w:r>
      <w:r w:rsidRPr="005E712D">
        <w:rPr>
          <w:rFonts w:eastAsia="Times New Roman"/>
          <w:sz w:val="24"/>
          <w:szCs w:val="24"/>
        </w:rPr>
        <w:t xml:space="preserve"> (under the Wrongful Death Act, §§ 13-21-201 to -204, C.R.S., court apportions fault before applying the damage cap to the amount awarded). The limitation amount applies to each party that recovers damages individually and not to all the recovering parties in the aggregate. </w:t>
      </w:r>
      <w:r w:rsidRPr="005E712D">
        <w:rPr>
          <w:rFonts w:eastAsia="Times New Roman"/>
          <w:b/>
          <w:sz w:val="24"/>
          <w:szCs w:val="24"/>
        </w:rPr>
        <w:t>Palmer v. Diaz</w:t>
      </w:r>
      <w:r w:rsidRPr="005E712D">
        <w:rPr>
          <w:rFonts w:eastAsia="Times New Roman"/>
          <w:sz w:val="24"/>
          <w:szCs w:val="24"/>
        </w:rPr>
        <w:t xml:space="preserve">, 214 P.3d 546 (Colo. App. 2009). </w:t>
      </w:r>
    </w:p>
    <w:p w14:paraId="431C9361"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12. Also, in cases involving more than one defendant, the $250,000 cap on noneconomic damages in section 13-21-102.5(3)(a) applies to the amount of noneconomic damages that a plaintiff can recover from each defendant, rather than to the total amount of noneconomic damages awarded. </w:t>
      </w:r>
      <w:r w:rsidRPr="005E712D">
        <w:rPr>
          <w:rFonts w:eastAsia="Times New Roman"/>
          <w:b/>
          <w:sz w:val="24"/>
          <w:szCs w:val="24"/>
        </w:rPr>
        <w:t>General Elec. Co.</w:t>
      </w:r>
      <w:r w:rsidRPr="005E712D">
        <w:rPr>
          <w:rFonts w:eastAsia="Times New Roman"/>
          <w:sz w:val="24"/>
          <w:szCs w:val="24"/>
        </w:rPr>
        <w:t xml:space="preserve">, 866 P.2d at 1366;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Colo. Permanente Med. Grp., P.C. v. Evans</w:t>
      </w:r>
      <w:r w:rsidRPr="005E712D">
        <w:rPr>
          <w:rFonts w:eastAsia="Times New Roman"/>
          <w:sz w:val="24"/>
          <w:szCs w:val="24"/>
        </w:rPr>
        <w:t>, 926 P.2d 1218 (Colo. 1996) (distinguishing the $250,000 cap on noneconomic damages set forth in the medical malpractice damages statute, § 13-64-302, C.R.S., from the damage cap on noneconomic damages set forth in section 13-21-102.5(3)(a)).</w:t>
      </w:r>
    </w:p>
    <w:p w14:paraId="3A4EC8F4" w14:textId="0F88BDDC" w:rsidR="005E712D" w:rsidRDefault="005E712D" w:rsidP="005E712D">
      <w:pPr>
        <w:spacing w:after="240"/>
        <w:ind w:firstLine="720"/>
        <w:rPr>
          <w:rFonts w:eastAsia="Times New Roman"/>
          <w:sz w:val="24"/>
          <w:szCs w:val="24"/>
        </w:rPr>
      </w:pPr>
      <w:r w:rsidRPr="005E712D">
        <w:rPr>
          <w:rFonts w:eastAsia="Times New Roman"/>
          <w:sz w:val="24"/>
          <w:szCs w:val="24"/>
        </w:rPr>
        <w:lastRenderedPageBreak/>
        <w:t xml:space="preserve">13. Under section 13-21-111.5, the damages awarded against the nonsettling defendants should be reduced only by an amount equivalent to the percentage of liability attributed to the settling nonparties irrespective of the settlement amounts actually paid to the plaintiff. </w:t>
      </w:r>
      <w:r w:rsidRPr="005E712D">
        <w:rPr>
          <w:rFonts w:eastAsia="Times New Roman"/>
          <w:b/>
          <w:sz w:val="24"/>
          <w:szCs w:val="24"/>
        </w:rPr>
        <w:t>Smith v. Zufelt</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880 P.2d 1178 (Colo. 1994); </w:t>
      </w:r>
      <w:r w:rsidRPr="005E712D">
        <w:rPr>
          <w:rFonts w:eastAsia="Times New Roman"/>
          <w:i/>
          <w:sz w:val="24"/>
          <w:szCs w:val="24"/>
        </w:rPr>
        <w:t xml:space="preserve">accord </w:t>
      </w:r>
      <w:r w:rsidRPr="005E712D">
        <w:rPr>
          <w:rFonts w:eastAsia="Times New Roman"/>
          <w:b/>
          <w:sz w:val="24"/>
          <w:szCs w:val="24"/>
        </w:rPr>
        <w:t>Sprung v. Adcock</w:t>
      </w:r>
      <w:r w:rsidRPr="005E712D">
        <w:rPr>
          <w:rFonts w:eastAsia="Times New Roman"/>
          <w:sz w:val="24"/>
          <w:szCs w:val="24"/>
        </w:rPr>
        <w:t>, 903 P.2d 1224 (Colo. App. 1995).</w:t>
      </w:r>
      <w:r w:rsidR="000627A2" w:rsidRPr="000627A2">
        <w:rPr>
          <w:rFonts w:eastAsia="Times New Roman"/>
          <w:i/>
          <w:iCs/>
          <w:sz w:val="24"/>
          <w:szCs w:val="24"/>
        </w:rPr>
        <w:t xml:space="preserve"> </w:t>
      </w:r>
      <w:r w:rsidR="000627A2">
        <w:rPr>
          <w:rFonts w:eastAsia="Times New Roman"/>
          <w:i/>
          <w:iCs/>
          <w:sz w:val="24"/>
          <w:szCs w:val="24"/>
        </w:rPr>
        <w:t>But see</w:t>
      </w:r>
      <w:r w:rsidR="000627A2">
        <w:rPr>
          <w:rFonts w:eastAsia="Times New Roman"/>
          <w:sz w:val="24"/>
          <w:szCs w:val="24"/>
        </w:rPr>
        <w:t xml:space="preserve"> </w:t>
      </w:r>
      <w:r w:rsidR="000627A2" w:rsidRPr="000627A2">
        <w:rPr>
          <w:rFonts w:eastAsia="Times New Roman"/>
          <w:b/>
          <w:bCs/>
          <w:sz w:val="24"/>
          <w:szCs w:val="24"/>
        </w:rPr>
        <w:t>Smith v. Vincent</w:t>
      </w:r>
      <w:r w:rsidR="000627A2" w:rsidRPr="0003475C">
        <w:rPr>
          <w:rFonts w:eastAsia="Times New Roman"/>
          <w:sz w:val="24"/>
          <w:szCs w:val="24"/>
        </w:rPr>
        <w:t xml:space="preserve">, </w:t>
      </w:r>
      <w:r w:rsidR="000627A2">
        <w:rPr>
          <w:rFonts w:eastAsia="Times New Roman"/>
          <w:sz w:val="24"/>
          <w:szCs w:val="24"/>
        </w:rPr>
        <w:t>77 P.3d 927 (Colo. App. 2003) (</w:t>
      </w:r>
      <w:r w:rsidR="000627A2">
        <w:rPr>
          <w:color w:val="191919"/>
          <w:sz w:val="24"/>
          <w:szCs w:val="24"/>
        </w:rPr>
        <w:t>solatium award was not subject to reduction).</w:t>
      </w:r>
    </w:p>
    <w:p w14:paraId="0ABE6BF0" w14:textId="4E7E5F8D" w:rsidR="00C64E7E" w:rsidRPr="003C576A" w:rsidRDefault="00C64E7E" w:rsidP="00C64E7E">
      <w:pPr>
        <w:spacing w:after="240"/>
        <w:ind w:firstLine="720"/>
        <w:rPr>
          <w:rFonts w:eastAsia="Times New Roman"/>
          <w:sz w:val="24"/>
          <w:szCs w:val="24"/>
        </w:rPr>
      </w:pPr>
      <w:r>
        <w:rPr>
          <w:rFonts w:eastAsia="Times New Roman"/>
          <w:sz w:val="24"/>
          <w:szCs w:val="24"/>
        </w:rPr>
        <w:t xml:space="preserve">14. In cases where the jury returns a verdict against a defendant based solely on a principle of vicarious liability for the conduct of another party, such as respondeat superior, a monetary settlement with the party whose conduct led to the defendant’s vicarious liability must be set off against the </w:t>
      </w:r>
      <w:r w:rsidR="00F14548">
        <w:rPr>
          <w:rFonts w:eastAsia="Times New Roman"/>
          <w:sz w:val="24"/>
          <w:szCs w:val="24"/>
        </w:rPr>
        <w:t xml:space="preserve">sum of the </w:t>
      </w:r>
      <w:r>
        <w:rPr>
          <w:rFonts w:eastAsia="Times New Roman"/>
          <w:sz w:val="24"/>
          <w:szCs w:val="24"/>
        </w:rPr>
        <w:t>verdict</w:t>
      </w:r>
      <w:r w:rsidR="00F14548">
        <w:rPr>
          <w:rFonts w:eastAsia="Times New Roman"/>
          <w:sz w:val="24"/>
          <w:szCs w:val="24"/>
        </w:rPr>
        <w:t xml:space="preserve"> plus</w:t>
      </w:r>
      <w:r w:rsidR="00F14548" w:rsidRPr="00F14548">
        <w:rPr>
          <w:rFonts w:eastAsia="Times New Roman"/>
          <w:sz w:val="24"/>
          <w:szCs w:val="24"/>
        </w:rPr>
        <w:t xml:space="preserve"> statutory prejudgment interest a</w:t>
      </w:r>
      <w:r w:rsidR="00F14548">
        <w:rPr>
          <w:rFonts w:eastAsia="Times New Roman"/>
          <w:sz w:val="24"/>
          <w:szCs w:val="24"/>
        </w:rPr>
        <w:t>s of the time of the settlement</w:t>
      </w:r>
      <w:r>
        <w:rPr>
          <w:rFonts w:eastAsia="Times New Roman"/>
          <w:sz w:val="24"/>
          <w:szCs w:val="24"/>
        </w:rPr>
        <w:t xml:space="preserve">. </w:t>
      </w:r>
      <w:r>
        <w:rPr>
          <w:rFonts w:eastAsia="Times New Roman"/>
          <w:b/>
          <w:bCs/>
          <w:sz w:val="24"/>
          <w:szCs w:val="24"/>
        </w:rPr>
        <w:t>Marso v. Homeowners Realty, Inc.</w:t>
      </w:r>
      <w:r w:rsidRPr="001B593C">
        <w:rPr>
          <w:rFonts w:eastAsia="Times New Roman"/>
          <w:bCs/>
          <w:sz w:val="24"/>
          <w:szCs w:val="24"/>
        </w:rPr>
        <w:t>,</w:t>
      </w:r>
      <w:r w:rsidR="00F14548">
        <w:rPr>
          <w:rFonts w:eastAsia="Times New Roman"/>
          <w:sz w:val="24"/>
          <w:szCs w:val="24"/>
        </w:rPr>
        <w:t xml:space="preserve"> 2018 COA 15M, ¶¶ 1-2, 14-45</w:t>
      </w:r>
      <w:r w:rsidR="005F6120">
        <w:rPr>
          <w:rFonts w:eastAsia="Times New Roman"/>
          <w:sz w:val="24"/>
          <w:szCs w:val="24"/>
        </w:rPr>
        <w:t>, 418 P.3d 542</w:t>
      </w:r>
      <w:r>
        <w:rPr>
          <w:rFonts w:eastAsia="Times New Roman"/>
          <w:sz w:val="24"/>
          <w:szCs w:val="24"/>
        </w:rPr>
        <w:t xml:space="preserve">. </w:t>
      </w:r>
    </w:p>
    <w:p w14:paraId="7B8014E0" w14:textId="60ACC149" w:rsidR="005E712D" w:rsidRPr="005E712D" w:rsidRDefault="009D7371" w:rsidP="005E712D">
      <w:pPr>
        <w:spacing w:after="240"/>
        <w:ind w:firstLine="720"/>
        <w:rPr>
          <w:rFonts w:eastAsia="Times New Roman"/>
          <w:sz w:val="24"/>
          <w:szCs w:val="24"/>
        </w:rPr>
      </w:pPr>
      <w:r>
        <w:rPr>
          <w:rFonts w:eastAsia="Times New Roman"/>
          <w:sz w:val="24"/>
          <w:szCs w:val="24"/>
        </w:rPr>
        <w:t xml:space="preserve"> </w:t>
      </w:r>
      <w:r w:rsidR="005E712D" w:rsidRPr="005E712D">
        <w:rPr>
          <w:rFonts w:eastAsia="Times New Roman"/>
          <w:sz w:val="24"/>
          <w:szCs w:val="24"/>
        </w:rPr>
        <w:t>1</w:t>
      </w:r>
      <w:r w:rsidR="00B74215">
        <w:rPr>
          <w:rFonts w:eastAsia="Times New Roman"/>
          <w:sz w:val="24"/>
          <w:szCs w:val="24"/>
        </w:rPr>
        <w:t>5</w:t>
      </w:r>
      <w:r w:rsidR="005E712D" w:rsidRPr="005E712D">
        <w:rPr>
          <w:rFonts w:eastAsia="Times New Roman"/>
          <w:sz w:val="24"/>
          <w:szCs w:val="24"/>
        </w:rPr>
        <w:t xml:space="preserve">. Other damages limitations include section 13-64-302, for tort actions against health care professionals or institutions, </w:t>
      </w:r>
      <w:r w:rsidR="005E712D" w:rsidRPr="005E712D">
        <w:rPr>
          <w:rFonts w:eastAsia="Times New Roman"/>
          <w:i/>
          <w:sz w:val="24"/>
          <w:szCs w:val="24"/>
        </w:rPr>
        <w:t>see</w:t>
      </w:r>
      <w:r w:rsidR="005E712D" w:rsidRPr="005E712D">
        <w:rPr>
          <w:rFonts w:eastAsia="Times New Roman"/>
          <w:sz w:val="24"/>
          <w:szCs w:val="24"/>
        </w:rPr>
        <w:t xml:space="preserve"> Instruction 15:14 and the related instructions in Part I, subpart D of Chapter 15, and sections 13-21-203 and 203.5, C.R.S., for wrongful death actions, </w:t>
      </w:r>
      <w:r w:rsidR="005E712D" w:rsidRPr="005E712D">
        <w:rPr>
          <w:rFonts w:eastAsia="Times New Roman"/>
          <w:i/>
          <w:sz w:val="24"/>
          <w:szCs w:val="24"/>
        </w:rPr>
        <w:t>see</w:t>
      </w:r>
      <w:r w:rsidR="005E712D" w:rsidRPr="005E712D">
        <w:rPr>
          <w:rFonts w:eastAsia="Times New Roman"/>
          <w:sz w:val="24"/>
          <w:szCs w:val="24"/>
        </w:rPr>
        <w:t xml:space="preserve"> Instruction 10:3.</w:t>
      </w:r>
    </w:p>
    <w:p w14:paraId="7BADC637" w14:textId="5E7FFEF6"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B74215">
        <w:rPr>
          <w:rFonts w:eastAsia="Times New Roman"/>
          <w:sz w:val="24"/>
          <w:szCs w:val="24"/>
        </w:rPr>
        <w:t>6</w:t>
      </w:r>
      <w:r w:rsidRPr="005E712D">
        <w:rPr>
          <w:rFonts w:eastAsia="Times New Roman"/>
          <w:sz w:val="24"/>
          <w:szCs w:val="24"/>
        </w:rPr>
        <w:t xml:space="preserve">. In addition to the general limitations on recoverable damages set out in section 13-21-102.5, other statutes impose limitations on recoverable damages in certain specific cases. When any such statute may apply, other instructions should be used or appropriate modifications must be made in this instruction. </w:t>
      </w:r>
      <w:r w:rsidRPr="005E712D">
        <w:rPr>
          <w:rFonts w:eastAsia="Times New Roman"/>
          <w:i/>
          <w:sz w:val="24"/>
          <w:szCs w:val="24"/>
        </w:rPr>
        <w:t>See, e.g.</w:t>
      </w:r>
      <w:r w:rsidRPr="005E712D">
        <w:rPr>
          <w:rFonts w:eastAsia="Times New Roman"/>
          <w:sz w:val="24"/>
          <w:szCs w:val="24"/>
        </w:rPr>
        <w:t xml:space="preserve">, § 13-64-302 (actions against health care professionals and institutions); §§ 24-10-114 &amp; 118(1)(d), C.R.S. (public entities and public employees in actions brought under the Colorado Governmental Immunity Act); § 33-41-103(2)(a), C.R.S. (liability of landowner who makes land available to public entity for recreational purposes); § 33-44-113, C.R.S. (liability of ski area operators to various users);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Pyles-Knutzen v. Bd. of Cty. Comm’rs</w:t>
      </w:r>
      <w:r w:rsidRPr="005E712D">
        <w:rPr>
          <w:rFonts w:eastAsia="Times New Roman"/>
          <w:sz w:val="24"/>
          <w:szCs w:val="24"/>
        </w:rPr>
        <w:t xml:space="preserve">, 781 P.2d 164 (Colo. App. 1989) (claim under Colorado Governmental Immunity Act is limited by section 24-10-114(1), but not by amount “requested” by plaintiff in notice of claim submitted under section 24-10-109(2)(e), C.R.S.). </w:t>
      </w:r>
    </w:p>
    <w:p w14:paraId="549A1B19" w14:textId="6F64FD5A"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B74215">
        <w:rPr>
          <w:rFonts w:eastAsia="Times New Roman"/>
          <w:sz w:val="24"/>
          <w:szCs w:val="24"/>
        </w:rPr>
        <w:t>7</w:t>
      </w:r>
      <w:r w:rsidRPr="005E712D">
        <w:rPr>
          <w:rFonts w:eastAsia="Times New Roman"/>
          <w:sz w:val="24"/>
          <w:szCs w:val="24"/>
        </w:rPr>
        <w:t>. The potentially competing claims of an injured party and a subrogated insurance carrier are subject to the provisions of section 10-1-135, C.R.S.</w:t>
      </w:r>
    </w:p>
    <w:p w14:paraId="370E764F" w14:textId="10586BAC"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B74215">
        <w:rPr>
          <w:rFonts w:eastAsia="Times New Roman"/>
          <w:sz w:val="24"/>
          <w:szCs w:val="24"/>
        </w:rPr>
        <w:t>8</w:t>
      </w:r>
      <w:r w:rsidRPr="005E712D">
        <w:rPr>
          <w:rFonts w:eastAsia="Times New Roman"/>
          <w:sz w:val="24"/>
          <w:szCs w:val="24"/>
        </w:rPr>
        <w:t xml:space="preserve">. Omit any element of damage for which there is insufficient evidence. </w:t>
      </w:r>
      <w:r w:rsidRPr="005E712D">
        <w:rPr>
          <w:rFonts w:eastAsia="Times New Roman"/>
          <w:b/>
          <w:sz w:val="24"/>
          <w:szCs w:val="24"/>
        </w:rPr>
        <w:t>Barter Mach. &amp; Supply Co. v. Muchow</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169 Colo. 100, 453 P.2d 804 (1969); </w:t>
      </w:r>
      <w:r w:rsidRPr="005E712D">
        <w:rPr>
          <w:rFonts w:eastAsia="Times New Roman"/>
          <w:b/>
          <w:sz w:val="24"/>
          <w:szCs w:val="24"/>
        </w:rPr>
        <w:t>Stahl v. Cooper</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117 Colo. 468, 190 P.2d 891 (1948). For example, “[a]n instruction on permanent injuries or future pain and suffering should not be given unless there is evidence from which it can be inferred with reasonable probability that such permanent injuries have been sustained or that such future pain and suffering will occur.” </w:t>
      </w:r>
      <w:r w:rsidRPr="005E712D">
        <w:rPr>
          <w:rFonts w:eastAsia="Times New Roman"/>
          <w:b/>
          <w:sz w:val="24"/>
          <w:szCs w:val="24"/>
        </w:rPr>
        <w:t>Sours v. Goodrich</w:t>
      </w:r>
      <w:r w:rsidRPr="005E712D">
        <w:rPr>
          <w:rFonts w:eastAsia="Times New Roman"/>
          <w:sz w:val="24"/>
          <w:szCs w:val="24"/>
        </w:rPr>
        <w:t xml:space="preserve">, 674 P.2d 995, 996 (Colo. App. 1983). On the other hand, “if there is evidence of permanent disability, a court may instruct the jury on impairment of future earning capacity.” </w:t>
      </w:r>
      <w:r w:rsidRPr="005E712D">
        <w:rPr>
          <w:rFonts w:eastAsia="Times New Roman"/>
          <w:b/>
          <w:sz w:val="24"/>
          <w:szCs w:val="24"/>
        </w:rPr>
        <w:t>Phillips v. Monarch Recreation Corp.</w:t>
      </w:r>
      <w:r w:rsidRPr="005E712D">
        <w:rPr>
          <w:rFonts w:eastAsia="Times New Roman"/>
          <w:sz w:val="24"/>
          <w:szCs w:val="24"/>
        </w:rPr>
        <w:t xml:space="preserve">, 668 P.2d 982, 987 (Colo. App. 1983). And the jury must compensate an injured party for proven damages. </w:t>
      </w:r>
      <w:r w:rsidRPr="005E712D">
        <w:rPr>
          <w:rFonts w:eastAsia="Times New Roman"/>
          <w:b/>
          <w:sz w:val="24"/>
          <w:szCs w:val="24"/>
        </w:rPr>
        <w:t>Villandry v. Gregerson</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824 P.2d 829 (Colo. App. 1991), </w:t>
      </w:r>
      <w:r w:rsidRPr="005E712D">
        <w:rPr>
          <w:rFonts w:eastAsia="Times New Roman"/>
          <w:i/>
          <w:sz w:val="24"/>
          <w:szCs w:val="24"/>
        </w:rPr>
        <w:t>overruled on other grounds by</w:t>
      </w:r>
      <w:r w:rsidRPr="005E712D">
        <w:rPr>
          <w:rFonts w:eastAsia="Times New Roman"/>
          <w:sz w:val="24"/>
          <w:szCs w:val="24"/>
        </w:rPr>
        <w:t xml:space="preserve"> </w:t>
      </w:r>
      <w:r w:rsidRPr="005E712D">
        <w:rPr>
          <w:rFonts w:eastAsia="Times New Roman"/>
          <w:b/>
          <w:sz w:val="24"/>
          <w:szCs w:val="24"/>
        </w:rPr>
        <w:t>Lee’s Mobile Wash v. Campbell</w:t>
      </w:r>
      <w:r w:rsidRPr="005E712D">
        <w:rPr>
          <w:rFonts w:eastAsia="Times New Roman"/>
          <w:sz w:val="24"/>
          <w:szCs w:val="24"/>
        </w:rPr>
        <w:t xml:space="preserve">, 853 P.2d 1140 (Colo. 1993);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Peterson v. Tadolini</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97 P.3d 359 (Colo. App. 2004) (noneconomic damages award of zero was inconsistent with undisputed evidence of plaintiff’s pain and loss of enjoyment of life, necessitating new trial on issue of damages). </w:t>
      </w:r>
    </w:p>
    <w:p w14:paraId="40DD8193"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lastRenderedPageBreak/>
        <w:t>Source and Authority</w:t>
      </w:r>
    </w:p>
    <w:p w14:paraId="0CC0CC2E"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 The first paragraph of this instruction is supported by </w:t>
      </w:r>
      <w:r w:rsidRPr="005E712D">
        <w:rPr>
          <w:rFonts w:eastAsia="Times New Roman"/>
          <w:b/>
          <w:sz w:val="24"/>
          <w:szCs w:val="24"/>
        </w:rPr>
        <w:t>Pullman Palace Car Co. v. Barker</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4 Colo. 344 (1878). The remaining numbered paragraphs are based on section 13-21-102.5.</w:t>
      </w:r>
    </w:p>
    <w:p w14:paraId="5B65CA24" w14:textId="77777777" w:rsidR="005E712D" w:rsidRPr="005E712D" w:rsidRDefault="005E712D" w:rsidP="002F48D6">
      <w:pPr>
        <w:keepNext/>
        <w:rPr>
          <w:rFonts w:eastAsia="Times New Roman"/>
          <w:sz w:val="24"/>
          <w:szCs w:val="24"/>
        </w:rPr>
      </w:pPr>
      <w:r w:rsidRPr="005E712D">
        <w:rPr>
          <w:rFonts w:eastAsia="Times New Roman"/>
          <w:b/>
          <w:sz w:val="24"/>
          <w:szCs w:val="24"/>
          <w:u w:val="single"/>
        </w:rPr>
        <w:t>Constitutionality of cap on noneconomic damages</w:t>
      </w:r>
    </w:p>
    <w:p w14:paraId="6B08A13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2. The constitutionality of the damages cap on noneconomic damages, </w:t>
      </w:r>
      <w:r w:rsidRPr="005E712D">
        <w:rPr>
          <w:rFonts w:eastAsia="Times New Roman"/>
          <w:i/>
          <w:sz w:val="24"/>
          <w:szCs w:val="24"/>
        </w:rPr>
        <w:t>see</w:t>
      </w:r>
      <w:r w:rsidRPr="005E712D">
        <w:rPr>
          <w:rFonts w:eastAsia="Times New Roman"/>
          <w:sz w:val="24"/>
          <w:szCs w:val="24"/>
        </w:rPr>
        <w:t xml:space="preserve"> § 13-21-102.5(3), was upheld in </w:t>
      </w:r>
      <w:r w:rsidRPr="005E712D">
        <w:rPr>
          <w:rFonts w:eastAsia="Times New Roman"/>
          <w:b/>
          <w:sz w:val="24"/>
          <w:szCs w:val="24"/>
        </w:rPr>
        <w:t>Scharrel v. Wal-Mart Stores, Inc.</w:t>
      </w:r>
      <w:r w:rsidRPr="005E712D">
        <w:rPr>
          <w:rFonts w:eastAsia="Times New Roman"/>
          <w:sz w:val="24"/>
          <w:szCs w:val="24"/>
        </w:rPr>
        <w:t xml:space="preserve">, 949 P.2d 89 (Colo. App. 1997). </w:t>
      </w:r>
      <w:r w:rsidRPr="005E712D">
        <w:rPr>
          <w:rFonts w:eastAsia="Times New Roman"/>
          <w:i/>
          <w:sz w:val="24"/>
          <w:szCs w:val="24"/>
        </w:rPr>
        <w:t xml:space="preserve">Accord </w:t>
      </w:r>
      <w:r w:rsidRPr="005E712D">
        <w:rPr>
          <w:rFonts w:eastAsia="Times New Roman"/>
          <w:b/>
          <w:sz w:val="24"/>
          <w:szCs w:val="24"/>
        </w:rPr>
        <w:t>Stewart v. Rice</w:t>
      </w:r>
      <w:r w:rsidRPr="005E712D">
        <w:rPr>
          <w:rFonts w:eastAsia="Times New Roman"/>
          <w:sz w:val="24"/>
          <w:szCs w:val="24"/>
        </w:rPr>
        <w:t xml:space="preserve">, 25 P.3d 1233 (Colo. App. 2000), </w:t>
      </w:r>
      <w:r w:rsidRPr="005E712D">
        <w:rPr>
          <w:rFonts w:eastAsia="Times New Roman"/>
          <w:i/>
          <w:sz w:val="24"/>
          <w:szCs w:val="24"/>
        </w:rPr>
        <w:t>rev’d on other grounds</w:t>
      </w:r>
      <w:r w:rsidRPr="005E712D">
        <w:rPr>
          <w:rFonts w:eastAsia="Times New Roman"/>
          <w:sz w:val="24"/>
          <w:szCs w:val="24"/>
        </w:rPr>
        <w:t>, 47 P.3d 316 (Colo. 2002).</w:t>
      </w:r>
    </w:p>
    <w:p w14:paraId="451DA887"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Recoverable Damages</w:t>
      </w:r>
    </w:p>
    <w:p w14:paraId="1DD70C1A"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3. Generally, as to the various elements of damages that may be recoverable, see</w:t>
      </w:r>
      <w:r w:rsidRPr="005E712D">
        <w:rPr>
          <w:rFonts w:eastAsia="Times New Roman"/>
          <w:i/>
          <w:sz w:val="24"/>
          <w:szCs w:val="24"/>
        </w:rPr>
        <w:t xml:space="preserve"> </w:t>
      </w:r>
      <w:r w:rsidRPr="005E712D">
        <w:rPr>
          <w:rFonts w:eastAsia="Times New Roman"/>
          <w:b/>
          <w:sz w:val="24"/>
          <w:szCs w:val="24"/>
        </w:rPr>
        <w:t>Thompson v. Tartler</w:t>
      </w:r>
      <w:r w:rsidRPr="005E712D">
        <w:rPr>
          <w:rFonts w:eastAsia="Times New Roman"/>
          <w:sz w:val="24"/>
          <w:szCs w:val="24"/>
        </w:rPr>
        <w:t xml:space="preserve">, 166 Colo. 247, 443 P.2d 365 (1968) (loss of future earnings); </w:t>
      </w:r>
      <w:r w:rsidRPr="005E712D">
        <w:rPr>
          <w:rFonts w:eastAsia="Times New Roman"/>
          <w:b/>
          <w:sz w:val="24"/>
          <w:szCs w:val="24"/>
        </w:rPr>
        <w:t>Van Schaack &amp; Co. v. Perkins</w:t>
      </w:r>
      <w:r w:rsidRPr="005E712D">
        <w:rPr>
          <w:rFonts w:eastAsia="Times New Roman"/>
          <w:sz w:val="24"/>
          <w:szCs w:val="24"/>
        </w:rPr>
        <w:t xml:space="preserve">, 129 Colo. 567, 272 P.2d 269 (1954); </w:t>
      </w:r>
      <w:r w:rsidRPr="005E712D">
        <w:rPr>
          <w:rFonts w:eastAsia="Times New Roman"/>
          <w:b/>
          <w:sz w:val="24"/>
          <w:szCs w:val="24"/>
        </w:rPr>
        <w:t>Gerick v. Brock</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120 Colo. 394, 210 P.2d 214 (1949); </w:t>
      </w:r>
      <w:r w:rsidRPr="005E712D">
        <w:rPr>
          <w:rFonts w:eastAsia="Times New Roman"/>
          <w:b/>
          <w:sz w:val="24"/>
          <w:szCs w:val="24"/>
        </w:rPr>
        <w:t>Colo. Utils. Corp. v. Casady</w:t>
      </w:r>
      <w:r w:rsidRPr="005E712D">
        <w:rPr>
          <w:rFonts w:eastAsia="Times New Roman"/>
          <w:sz w:val="24"/>
          <w:szCs w:val="24"/>
        </w:rPr>
        <w:t xml:space="preserve">, 89 Colo. 156, 300 P. 601 (1931); </w:t>
      </w:r>
      <w:r w:rsidRPr="005E712D">
        <w:rPr>
          <w:rFonts w:eastAsia="Times New Roman"/>
          <w:b/>
          <w:sz w:val="24"/>
          <w:szCs w:val="24"/>
        </w:rPr>
        <w:t>Denver Tramway Corp. v. Gentry</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82 Colo. 51, 256 P. 1088 (1927); </w:t>
      </w:r>
      <w:r w:rsidRPr="005E712D">
        <w:rPr>
          <w:rFonts w:eastAsia="Times New Roman"/>
          <w:b/>
          <w:sz w:val="24"/>
          <w:szCs w:val="24"/>
        </w:rPr>
        <w:t>Russo v. Birrenkott</w:t>
      </w:r>
      <w:r w:rsidRPr="005E712D">
        <w:rPr>
          <w:rFonts w:eastAsia="Times New Roman"/>
          <w:sz w:val="24"/>
          <w:szCs w:val="24"/>
        </w:rPr>
        <w:t xml:space="preserve">, 770 P.2d 1335 (Colo. App. 1988); </w:t>
      </w:r>
      <w:r w:rsidRPr="005E712D">
        <w:rPr>
          <w:rFonts w:eastAsia="Times New Roman"/>
          <w:b/>
          <w:sz w:val="24"/>
          <w:szCs w:val="24"/>
        </w:rPr>
        <w:t>Short v. Downs</w:t>
      </w:r>
      <w:r w:rsidRPr="005E712D">
        <w:rPr>
          <w:rFonts w:eastAsia="Times New Roman"/>
          <w:sz w:val="24"/>
          <w:szCs w:val="24"/>
        </w:rPr>
        <w:t xml:space="preserve">, 36 Colo. App. 109, 537 P.2d 754 (1975) (permanent injuries); and </w:t>
      </w:r>
      <w:r w:rsidRPr="005E712D">
        <w:rPr>
          <w:rFonts w:eastAsia="Times New Roman"/>
          <w:b/>
          <w:sz w:val="24"/>
          <w:szCs w:val="24"/>
        </w:rPr>
        <w:t>Brncic v. Metz</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28 Colo. App. 204, 471 P.2d 618 (1970). </w:t>
      </w:r>
      <w:r w:rsidRPr="005E712D">
        <w:rPr>
          <w:rFonts w:eastAsia="Times New Roman"/>
          <w:i/>
          <w:sz w:val="24"/>
          <w:szCs w:val="24"/>
        </w:rPr>
        <w:t>See also</w:t>
      </w:r>
      <w:r w:rsidRPr="005E712D">
        <w:rPr>
          <w:rFonts w:eastAsia="Times New Roman"/>
          <w:sz w:val="24"/>
          <w:szCs w:val="24"/>
        </w:rPr>
        <w:t xml:space="preserve"> Colorado’s Construction Defect Action Reform Act, §§ 13-20-801 to -808, C.R.S. (describing recoverable damages in construction defect claims).</w:t>
      </w:r>
    </w:p>
    <w:p w14:paraId="5DF7F8BE"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4. Damages for “loss of future earning capacity” are compensable even though they may be “uncertain in respect to the amount.” </w:t>
      </w:r>
      <w:r w:rsidRPr="005E712D">
        <w:rPr>
          <w:rFonts w:eastAsia="Times New Roman"/>
          <w:b/>
          <w:sz w:val="24"/>
          <w:szCs w:val="24"/>
        </w:rPr>
        <w:t>Brittis v. Freemon</w:t>
      </w:r>
      <w:r w:rsidRPr="005E712D">
        <w:rPr>
          <w:rFonts w:eastAsia="Times New Roman"/>
          <w:sz w:val="24"/>
          <w:szCs w:val="24"/>
        </w:rPr>
        <w:t xml:space="preserve">, 34 Colo. App. 348, 354, 527 P.2d 1175, 1179 (1974);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Martinez v. Shapland</w:t>
      </w:r>
      <w:r w:rsidRPr="005E712D">
        <w:rPr>
          <w:rFonts w:eastAsia="Times New Roman"/>
          <w:sz w:val="24"/>
          <w:szCs w:val="24"/>
        </w:rPr>
        <w:t xml:space="preserve">, 833 P.2d 837 (Colo. App. 1992); </w:t>
      </w:r>
      <w:r w:rsidRPr="005E712D">
        <w:rPr>
          <w:rFonts w:eastAsia="Times New Roman"/>
          <w:b/>
          <w:sz w:val="24"/>
          <w:szCs w:val="24"/>
        </w:rPr>
        <w:t>Kitto v. Gilbert</w:t>
      </w:r>
      <w:r w:rsidRPr="005E712D">
        <w:rPr>
          <w:rFonts w:eastAsia="Times New Roman"/>
          <w:sz w:val="24"/>
          <w:szCs w:val="24"/>
        </w:rPr>
        <w:t xml:space="preserve">, 39 Colo. App. 374, 570 P.2d 544 (1977). A plaintiff’s immigration status may be relevant to a determination of future wage loss in some circumstances. </w:t>
      </w:r>
      <w:r w:rsidRPr="005E712D">
        <w:rPr>
          <w:rFonts w:eastAsia="Times New Roman"/>
          <w:b/>
          <w:sz w:val="24"/>
          <w:szCs w:val="24"/>
        </w:rPr>
        <w:t>Silva v. Wilcox</w:t>
      </w:r>
      <w:r w:rsidRPr="005E712D">
        <w:rPr>
          <w:rFonts w:eastAsia="Times New Roman"/>
          <w:sz w:val="24"/>
          <w:szCs w:val="24"/>
        </w:rPr>
        <w:t xml:space="preserve">, 223 P.3d 127 (Colo. App. 2009). Also, if there is evidence of permanent injury, to be awarded damages for loss of future earnings, a plaintiff need not show that but for the injury he or she could have earned more money. </w:t>
      </w:r>
      <w:r w:rsidRPr="005E712D">
        <w:rPr>
          <w:rFonts w:eastAsia="Times New Roman"/>
          <w:b/>
          <w:sz w:val="24"/>
          <w:szCs w:val="24"/>
        </w:rPr>
        <w:t>Jones v. Cruzan</w:t>
      </w:r>
      <w:r w:rsidRPr="005E712D">
        <w:rPr>
          <w:rFonts w:eastAsia="Times New Roman"/>
          <w:sz w:val="24"/>
          <w:szCs w:val="24"/>
        </w:rPr>
        <w:t>, 33 P.3d 1262 (Colo. App. 2001) (evidence that plaintiff was earning more money after the injury did not preclude an award of damages for diminished earning capacity where there was evidence of permanent injury).</w:t>
      </w:r>
    </w:p>
    <w:p w14:paraId="0D0E6CD0" w14:textId="676BB27D"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5. Medical expenses are compensable to the extent they are reasonable in amount as well as necessary. </w:t>
      </w:r>
      <w:r w:rsidRPr="005E712D">
        <w:rPr>
          <w:rFonts w:eastAsia="Times New Roman"/>
          <w:b/>
          <w:sz w:val="24"/>
          <w:szCs w:val="24"/>
        </w:rPr>
        <w:t>Kendall v. Hargrave</w:t>
      </w:r>
      <w:r w:rsidRPr="005E712D">
        <w:rPr>
          <w:rFonts w:eastAsia="Times New Roman"/>
          <w:sz w:val="24"/>
          <w:szCs w:val="24"/>
        </w:rPr>
        <w:t xml:space="preserve">, 142 Colo. 120, 349 P.2d 993 (1960); </w:t>
      </w:r>
      <w:r w:rsidRPr="005E712D">
        <w:rPr>
          <w:rFonts w:eastAsia="Times New Roman"/>
          <w:b/>
          <w:sz w:val="24"/>
          <w:szCs w:val="24"/>
        </w:rPr>
        <w:t>Oliver v. Weaver</w:t>
      </w:r>
      <w:r w:rsidRPr="005E712D">
        <w:rPr>
          <w:rFonts w:eastAsia="Times New Roman"/>
          <w:sz w:val="24"/>
          <w:szCs w:val="24"/>
        </w:rPr>
        <w:t xml:space="preserve">, 72 Colo. 540, 212 P. 978 (1923); </w:t>
      </w:r>
      <w:r w:rsidRPr="005E712D">
        <w:rPr>
          <w:rFonts w:eastAsia="Times New Roman"/>
          <w:b/>
          <w:sz w:val="24"/>
          <w:szCs w:val="24"/>
        </w:rPr>
        <w:t>Denver City Tramway Co. v. Hills</w:t>
      </w:r>
      <w:r w:rsidRPr="005E712D">
        <w:rPr>
          <w:rFonts w:eastAsia="Times New Roman"/>
          <w:sz w:val="24"/>
          <w:szCs w:val="24"/>
        </w:rPr>
        <w:t xml:space="preserve">, 50 Colo. 328, 116 P. 125 (1911). </w:t>
      </w:r>
      <w:r w:rsidRPr="005E712D">
        <w:rPr>
          <w:rFonts w:eastAsia="Times New Roman"/>
          <w:i/>
          <w:sz w:val="24"/>
          <w:szCs w:val="24"/>
        </w:rPr>
        <w:t xml:space="preserve">But see </w:t>
      </w:r>
      <w:r w:rsidRPr="005E712D">
        <w:rPr>
          <w:rFonts w:eastAsia="Times New Roman"/>
          <w:b/>
          <w:sz w:val="24"/>
          <w:szCs w:val="24"/>
        </w:rPr>
        <w:t>Wal-Mart Stores, Inc. v. Crossgrove</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2012 CO 31, ¶ 18, 276 P.3d 562 (</w:t>
      </w:r>
      <w:r w:rsidR="00580EA6">
        <w:rPr>
          <w:rFonts w:eastAsia="Times New Roman"/>
          <w:sz w:val="24"/>
          <w:szCs w:val="24"/>
        </w:rPr>
        <w:t xml:space="preserve">pre-verdict component </w:t>
      </w:r>
      <w:r w:rsidRPr="005E712D">
        <w:rPr>
          <w:rFonts w:eastAsia="Times New Roman"/>
          <w:sz w:val="24"/>
          <w:szCs w:val="24"/>
        </w:rPr>
        <w:t xml:space="preserve">of the collateral source rule required exclusion of evidence of amount paid by medical insurer, even when offered solely to prove reasonable value of medical services). As to when gratuitously rendered medical services or medical expenses paid by others are “incurred,” and hence compensable, see </w:t>
      </w:r>
      <w:r w:rsidRPr="005E712D">
        <w:rPr>
          <w:rFonts w:eastAsia="Times New Roman"/>
          <w:b/>
          <w:sz w:val="24"/>
          <w:szCs w:val="24"/>
        </w:rPr>
        <w:t>City of Englewood v. Bryant</w:t>
      </w:r>
      <w:r w:rsidRPr="005E712D">
        <w:rPr>
          <w:rFonts w:eastAsia="Times New Roman"/>
          <w:sz w:val="24"/>
          <w:szCs w:val="24"/>
        </w:rPr>
        <w:t xml:space="preserve">, 100 Colo. 552, 68 P.2d 913 (1937); and </w:t>
      </w:r>
      <w:r w:rsidRPr="005E712D">
        <w:rPr>
          <w:rFonts w:eastAsia="Times New Roman"/>
          <w:b/>
          <w:sz w:val="24"/>
          <w:szCs w:val="24"/>
        </w:rPr>
        <w:t>Gomez v. Black</w:t>
      </w:r>
      <w:r w:rsidRPr="005E712D">
        <w:rPr>
          <w:rFonts w:eastAsia="Times New Roman"/>
          <w:sz w:val="24"/>
          <w:szCs w:val="24"/>
        </w:rPr>
        <w:t xml:space="preserve">, 32 Colo. App. 332, 511 P.2d 531 (1973). </w:t>
      </w:r>
      <w:r w:rsidRPr="005E712D">
        <w:rPr>
          <w:rFonts w:eastAsia="Times New Roman"/>
          <w:i/>
          <w:sz w:val="24"/>
          <w:szCs w:val="24"/>
        </w:rPr>
        <w:t xml:space="preserve">But see </w:t>
      </w:r>
      <w:r w:rsidRPr="005E712D">
        <w:rPr>
          <w:rFonts w:eastAsia="Times New Roman"/>
          <w:b/>
          <w:sz w:val="24"/>
          <w:szCs w:val="24"/>
        </w:rPr>
        <w:t>Smith v. Kinningham</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2013 COA 103, ¶ 19, 328 P.3d 258 (“gratuitous government benefits” exception to collateral source rule set forth in </w:t>
      </w:r>
      <w:r w:rsidRPr="005E712D">
        <w:rPr>
          <w:rFonts w:eastAsia="Times New Roman"/>
          <w:b/>
          <w:sz w:val="24"/>
          <w:szCs w:val="24"/>
        </w:rPr>
        <w:t xml:space="preserve">City of Englewood </w:t>
      </w:r>
      <w:r w:rsidRPr="005E712D">
        <w:rPr>
          <w:rFonts w:eastAsia="Times New Roman"/>
          <w:sz w:val="24"/>
          <w:szCs w:val="24"/>
        </w:rPr>
        <w:t xml:space="preserve">and </w:t>
      </w:r>
      <w:r w:rsidRPr="005E712D">
        <w:rPr>
          <w:rFonts w:eastAsia="Times New Roman"/>
          <w:b/>
          <w:sz w:val="24"/>
          <w:szCs w:val="24"/>
        </w:rPr>
        <w:t xml:space="preserve">Gomez </w:t>
      </w:r>
      <w:r w:rsidRPr="005E712D">
        <w:rPr>
          <w:rFonts w:eastAsia="Times New Roman"/>
          <w:sz w:val="24"/>
          <w:szCs w:val="24"/>
        </w:rPr>
        <w:t>was abrogated by section 10-1-135(10)(a)).</w:t>
      </w:r>
    </w:p>
    <w:p w14:paraId="7D712E9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lastRenderedPageBreak/>
        <w:t xml:space="preserve">6. While lost wages or income prior to trial, “loss of enjoyment of life,” etc., have been recognized as compensable, </w:t>
      </w:r>
      <w:r w:rsidRPr="005E712D">
        <w:rPr>
          <w:rFonts w:eastAsia="Times New Roman"/>
          <w:b/>
          <w:sz w:val="24"/>
          <w:szCs w:val="24"/>
        </w:rPr>
        <w:t>Hildyard v. Western Fasteners, Inc.</w:t>
      </w:r>
      <w:r w:rsidRPr="005E712D">
        <w:rPr>
          <w:rFonts w:eastAsia="Times New Roman"/>
          <w:sz w:val="24"/>
          <w:szCs w:val="24"/>
        </w:rPr>
        <w:t xml:space="preserve">, 33 Colo. App. 396, 522 P.2d 596 (1974), “loss of business profits” as a separate element of damages has not. </w:t>
      </w:r>
      <w:r w:rsidRPr="005E712D">
        <w:rPr>
          <w:rFonts w:eastAsia="Times New Roman"/>
          <w:b/>
          <w:sz w:val="24"/>
          <w:szCs w:val="24"/>
        </w:rPr>
        <w:t>Ford Motor Co. v. Conrardy</w:t>
      </w:r>
      <w:r w:rsidRPr="005E712D">
        <w:rPr>
          <w:rFonts w:eastAsia="Times New Roman"/>
          <w:sz w:val="24"/>
          <w:szCs w:val="24"/>
        </w:rPr>
        <w:t>, 29 Colo. App. 577, 488 P.2d 219 (1971).</w:t>
      </w:r>
    </w:p>
    <w:p w14:paraId="7A155E8C"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7. In medical malpractice cases, damages for emotional distress based on a reasonable fear of an increased risk of cancer are recoverable where plaintiff demonstrates that his or her condition physically worsened as a result of the alleged malpractice. </w:t>
      </w:r>
      <w:r w:rsidRPr="005E712D">
        <w:rPr>
          <w:rFonts w:eastAsia="Times New Roman"/>
          <w:b/>
          <w:sz w:val="24"/>
          <w:szCs w:val="24"/>
        </w:rPr>
        <w:t>Boryla v. Pash</w:t>
      </w:r>
      <w:r w:rsidRPr="005E712D">
        <w:rPr>
          <w:rFonts w:eastAsia="Times New Roman"/>
          <w:sz w:val="24"/>
          <w:szCs w:val="24"/>
        </w:rPr>
        <w:t xml:space="preserve">, 960 P.2d 123 (Colo. 1998);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Salazar v. Am. Sterilizer Co.</w:t>
      </w:r>
      <w:r w:rsidRPr="005E712D">
        <w:rPr>
          <w:rFonts w:eastAsia="Times New Roman"/>
          <w:sz w:val="24"/>
          <w:szCs w:val="24"/>
        </w:rPr>
        <w:t>, 5 P.3d 357 (Colo. App. 2000).</w:t>
      </w:r>
    </w:p>
    <w:p w14:paraId="20D91F44" w14:textId="77777777" w:rsidR="00E91DC9" w:rsidRPr="00D438F0" w:rsidRDefault="005E712D" w:rsidP="00E91DC9">
      <w:pPr>
        <w:ind w:firstLine="720"/>
      </w:pPr>
      <w:r w:rsidRPr="005E712D">
        <w:rPr>
          <w:rFonts w:eastAsia="Times New Roman"/>
          <w:sz w:val="24"/>
          <w:szCs w:val="24"/>
        </w:rPr>
        <w:t xml:space="preserve">8. Under Colorado’s survival statute, </w:t>
      </w:r>
      <w:r w:rsidR="00E91DC9">
        <w:rPr>
          <w:rFonts w:eastAsia="Times New Roman"/>
          <w:sz w:val="24"/>
          <w:szCs w:val="24"/>
        </w:rPr>
        <w:t>§ 13-20-101(1), C.R.S., neither punitive damages nor other penalties can be awarded against a defendant who has died.</w:t>
      </w:r>
      <w:r w:rsidR="00016142">
        <w:rPr>
          <w:rFonts w:eastAsia="Times New Roman"/>
          <w:b/>
          <w:sz w:val="24"/>
          <w:szCs w:val="24"/>
        </w:rPr>
        <w:t xml:space="preserve"> </w:t>
      </w:r>
      <w:r w:rsidRPr="005E712D">
        <w:rPr>
          <w:rFonts w:eastAsia="Times New Roman"/>
          <w:b/>
          <w:sz w:val="24"/>
          <w:szCs w:val="24"/>
        </w:rPr>
        <w:t>Guar. Tr. Life Ins. Co.</w:t>
      </w:r>
      <w:r w:rsidR="00E91DC9">
        <w:rPr>
          <w:rFonts w:eastAsia="Times New Roman"/>
          <w:b/>
          <w:sz w:val="24"/>
          <w:szCs w:val="24"/>
        </w:rPr>
        <w:t xml:space="preserve"> v. Casper</w:t>
      </w:r>
      <w:r w:rsidRPr="005E712D">
        <w:rPr>
          <w:rFonts w:eastAsia="Times New Roman"/>
          <w:sz w:val="24"/>
          <w:szCs w:val="24"/>
        </w:rPr>
        <w:t>, 201</w:t>
      </w:r>
      <w:r w:rsidR="00E91DC9">
        <w:rPr>
          <w:rFonts w:eastAsia="Times New Roman"/>
          <w:sz w:val="24"/>
          <w:szCs w:val="24"/>
        </w:rPr>
        <w:t>8</w:t>
      </w:r>
      <w:r w:rsidRPr="005E712D">
        <w:rPr>
          <w:rFonts w:eastAsia="Times New Roman"/>
          <w:sz w:val="24"/>
          <w:szCs w:val="24"/>
        </w:rPr>
        <w:t xml:space="preserve"> CO </w:t>
      </w:r>
      <w:r w:rsidR="00E91DC9">
        <w:rPr>
          <w:rFonts w:eastAsia="Times New Roman"/>
          <w:sz w:val="24"/>
          <w:szCs w:val="24"/>
        </w:rPr>
        <w:t>43</w:t>
      </w:r>
      <w:r w:rsidRPr="005E712D">
        <w:rPr>
          <w:rFonts w:eastAsia="Times New Roman"/>
          <w:sz w:val="24"/>
          <w:szCs w:val="24"/>
        </w:rPr>
        <w:t>, ¶</w:t>
      </w:r>
      <w:r w:rsidR="00E91DC9">
        <w:rPr>
          <w:rFonts w:eastAsia="Times New Roman"/>
          <w:sz w:val="24"/>
          <w:szCs w:val="24"/>
        </w:rPr>
        <w:t>¶ 9-10</w:t>
      </w:r>
      <w:r w:rsidR="00BA4966">
        <w:rPr>
          <w:rFonts w:eastAsia="Times New Roman"/>
          <w:sz w:val="24"/>
          <w:szCs w:val="24"/>
        </w:rPr>
        <w:t>, 418 P.3d 1163</w:t>
      </w:r>
      <w:r w:rsidRPr="005E712D">
        <w:rPr>
          <w:rFonts w:eastAsia="Times New Roman"/>
          <w:sz w:val="24"/>
          <w:szCs w:val="24"/>
        </w:rPr>
        <w:t>.</w:t>
      </w:r>
      <w:r w:rsidR="00EF7890">
        <w:rPr>
          <w:rFonts w:eastAsia="Times New Roman"/>
          <w:sz w:val="24"/>
          <w:szCs w:val="24"/>
        </w:rPr>
        <w:t xml:space="preserve"> </w:t>
      </w:r>
      <w:r w:rsidR="00E91DC9">
        <w:rPr>
          <w:rFonts w:eastAsia="Times New Roman"/>
          <w:sz w:val="24"/>
          <w:szCs w:val="24"/>
        </w:rPr>
        <w:t xml:space="preserve">Where a deceased plaintiff’s claim is based upon personal injury, any damages awarded are limited to loss of earnings and expenses before death and cannot include pain, suffering, disfigurement, or prospective profits or earnings after death. § 13-20-101(1). For purposes of the survival statute, a claim for violation of section 10-3-1116 (unreasonable delay or denial of first-party insurance benefits) is not a “tort action based upon personal injury.” </w:t>
      </w:r>
      <w:r w:rsidR="00E91DC9">
        <w:rPr>
          <w:rFonts w:eastAsia="Times New Roman"/>
          <w:b/>
          <w:sz w:val="24"/>
          <w:szCs w:val="24"/>
        </w:rPr>
        <w:t>Casper</w:t>
      </w:r>
      <w:r w:rsidR="00E91DC9">
        <w:rPr>
          <w:rFonts w:eastAsia="Times New Roman"/>
          <w:sz w:val="24"/>
          <w:szCs w:val="24"/>
        </w:rPr>
        <w:t xml:space="preserve">, ¶¶ 14-17. For instructions on claims for breach of sections 10-3-1115 and </w:t>
      </w:r>
      <w:r w:rsidR="009B70E6">
        <w:rPr>
          <w:rFonts w:eastAsia="Times New Roman"/>
          <w:sz w:val="24"/>
          <w:szCs w:val="24"/>
        </w:rPr>
        <w:t>-</w:t>
      </w:r>
      <w:r w:rsidR="00E91DC9">
        <w:rPr>
          <w:rFonts w:eastAsia="Times New Roman"/>
          <w:sz w:val="24"/>
          <w:szCs w:val="24"/>
        </w:rPr>
        <w:t>1116, see Instructions 25:4 through 25:6.</w:t>
      </w:r>
    </w:p>
    <w:p w14:paraId="449137AA" w14:textId="77777777" w:rsidR="005E712D" w:rsidRPr="00334049" w:rsidRDefault="005E712D" w:rsidP="00E91DC9">
      <w:pPr>
        <w:ind w:firstLine="720"/>
        <w:rPr>
          <w:rFonts w:eastAsia="Times New Roman"/>
          <w:sz w:val="24"/>
          <w:szCs w:val="24"/>
        </w:rPr>
      </w:pPr>
    </w:p>
    <w:p w14:paraId="121144EF" w14:textId="46DFB10D" w:rsidR="005E712D" w:rsidRPr="005E712D" w:rsidRDefault="005E712D" w:rsidP="005E712D">
      <w:pPr>
        <w:spacing w:after="240"/>
        <w:ind w:firstLine="720"/>
        <w:rPr>
          <w:rFonts w:eastAsia="Times New Roman"/>
          <w:sz w:val="24"/>
          <w:szCs w:val="24"/>
        </w:rPr>
      </w:pPr>
      <w:r w:rsidRPr="005E712D">
        <w:rPr>
          <w:rFonts w:eastAsia="Times New Roman"/>
          <w:sz w:val="24"/>
          <w:szCs w:val="24"/>
        </w:rPr>
        <w:t>9. For the damages one may recover against a defendant who made illegal drugs available to an illegal user and the use of such drugs caused damages to others, see Drug Dealer Liability Act, §§ 13-21-801 to -13, C.R.S. Such damages may include punitive damages, reasonable attorney fees, and costs of suit. As to the persons who may recover such damages, see section 13-21-804(1), and as to the persons who may be held liable for such damages, see section 13-21-804(2)(a) and (b).</w:t>
      </w:r>
    </w:p>
    <w:p w14:paraId="3B8E45F0"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10. For a discussion of the admissibility of expert testimony based on the “willingness-to-pay” approach to determining damages for loss of enjoyment of life, sometimes referred to as hedonic damages, see </w:t>
      </w:r>
      <w:r w:rsidRPr="005E712D">
        <w:rPr>
          <w:rFonts w:eastAsia="Times New Roman"/>
          <w:b/>
          <w:sz w:val="24"/>
          <w:szCs w:val="24"/>
        </w:rPr>
        <w:t>Scharrel</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949 P.2d at 92.</w:t>
      </w:r>
    </w:p>
    <w:p w14:paraId="5C1DDC1B"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Whether Expert Testimony Is Required</w:t>
      </w:r>
    </w:p>
    <w:p w14:paraId="0091E270"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11. Expert medical testimony is not necessarily required to establish that a plaintiff suffered a permanent injury. </w:t>
      </w:r>
      <w:r w:rsidRPr="005E712D">
        <w:rPr>
          <w:rFonts w:eastAsia="Times New Roman"/>
          <w:b/>
          <w:sz w:val="24"/>
          <w:szCs w:val="24"/>
        </w:rPr>
        <w:t>Lawson v. Safeway, Inc.</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878 P.2d 127 (Colo. App. 1994).</w:t>
      </w:r>
    </w:p>
    <w:p w14:paraId="77A88201"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Interest</w:t>
      </w:r>
    </w:p>
    <w:p w14:paraId="16905DB9" w14:textId="29AB4253"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12. Under section 13-21-101(1), C.R.S., in a personal injury action based on tort, a plaintiff may recover interest on his or her personal injury damages from the date the action accrued, rather than from the date of filing suit. </w:t>
      </w:r>
      <w:r w:rsidRPr="005E712D">
        <w:rPr>
          <w:rFonts w:eastAsia="Times New Roman"/>
          <w:b/>
          <w:sz w:val="24"/>
          <w:szCs w:val="24"/>
        </w:rPr>
        <w:t>Briggs v. Cornwell</w:t>
      </w:r>
      <w:r w:rsidRPr="005E712D">
        <w:rPr>
          <w:rFonts w:eastAsia="Times New Roman"/>
          <w:sz w:val="24"/>
          <w:szCs w:val="24"/>
        </w:rPr>
        <w:t xml:space="preserve">, 676 P.2d 1252 (Colo. App. 1983). In a property damage case where damages are measured by repair and/or replacement costs, prejudgment interest accrues from the date the costs were incurred, not the date of the original damage. </w:t>
      </w:r>
      <w:r w:rsidRPr="005E712D">
        <w:rPr>
          <w:rFonts w:eastAsia="Times New Roman"/>
          <w:b/>
          <w:sz w:val="24"/>
          <w:szCs w:val="24"/>
        </w:rPr>
        <w:t>Goodyear Tire &amp; Rubber Co. v. Holmes</w:t>
      </w:r>
      <w:r w:rsidRPr="005E712D">
        <w:rPr>
          <w:rFonts w:eastAsia="Times New Roman"/>
          <w:sz w:val="24"/>
          <w:szCs w:val="24"/>
        </w:rPr>
        <w:t xml:space="preserve">, 193 P.3d 821 (Colo. 2008). Prejudgment interest, as an element of damage, is to be determined by the court. § 13-21-101(1). The trial court is to calculate interest on the amount of the reduced award, after application of any statutory damages caps, regardless of the amount awarded by the jury. </w:t>
      </w:r>
      <w:r w:rsidRPr="005E712D">
        <w:rPr>
          <w:rFonts w:eastAsia="Times New Roman"/>
          <w:b/>
          <w:sz w:val="24"/>
          <w:szCs w:val="24"/>
        </w:rPr>
        <w:t>Morris v. Goodwin</w:t>
      </w:r>
      <w:r w:rsidRPr="005E712D">
        <w:rPr>
          <w:rFonts w:eastAsia="Times New Roman"/>
          <w:sz w:val="24"/>
          <w:szCs w:val="24"/>
        </w:rPr>
        <w:t>, 185 P.3d 777 (Colo. 2008) (analyzing interest and damages cap of section 13-64-302).</w:t>
      </w:r>
      <w:r w:rsidR="00B74215">
        <w:rPr>
          <w:rFonts w:eastAsia="Times New Roman"/>
          <w:sz w:val="24"/>
          <w:szCs w:val="24"/>
        </w:rPr>
        <w:t xml:space="preserve"> Where a settlement with an agent is to be set off against a verdict against the principal based on </w:t>
      </w:r>
      <w:r w:rsidR="00B74215">
        <w:rPr>
          <w:rFonts w:eastAsia="Times New Roman"/>
          <w:sz w:val="24"/>
          <w:szCs w:val="24"/>
        </w:rPr>
        <w:lastRenderedPageBreak/>
        <w:t xml:space="preserve">respondeat superior, however, prejudgment interest is to be calculated on the verdict first, before applying the setoff. </w:t>
      </w:r>
      <w:r w:rsidR="00B74215">
        <w:rPr>
          <w:rFonts w:eastAsia="Times New Roman"/>
          <w:b/>
          <w:bCs/>
          <w:sz w:val="24"/>
          <w:szCs w:val="24"/>
        </w:rPr>
        <w:t>Marso</w:t>
      </w:r>
      <w:r w:rsidR="00B74215" w:rsidRPr="00627CE7">
        <w:rPr>
          <w:rFonts w:eastAsia="Times New Roman"/>
          <w:bCs/>
          <w:sz w:val="24"/>
          <w:szCs w:val="24"/>
        </w:rPr>
        <w:t>,</w:t>
      </w:r>
      <w:r w:rsidR="00B74215">
        <w:rPr>
          <w:rFonts w:eastAsia="Times New Roman"/>
          <w:sz w:val="24"/>
          <w:szCs w:val="24"/>
        </w:rPr>
        <w:t xml:space="preserve"> ¶¶ 2, 35-45</w:t>
      </w:r>
      <w:r w:rsidR="00631FE7">
        <w:rPr>
          <w:rFonts w:eastAsia="Times New Roman"/>
          <w:sz w:val="24"/>
          <w:szCs w:val="24"/>
        </w:rPr>
        <w:t>, 418 P.3d at 544, 548-49</w:t>
      </w:r>
      <w:r w:rsidR="009D7371">
        <w:rPr>
          <w:rFonts w:eastAsia="Times New Roman"/>
          <w:sz w:val="24"/>
          <w:szCs w:val="24"/>
        </w:rPr>
        <w:t>.</w:t>
      </w:r>
    </w:p>
    <w:p w14:paraId="3B683CE0"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Collateral Source Rule</w:t>
      </w:r>
    </w:p>
    <w:p w14:paraId="3E596DC4" w14:textId="5D4A9BEC" w:rsidR="00580EA6" w:rsidRDefault="005E712D" w:rsidP="00580EA6">
      <w:pPr>
        <w:spacing w:after="240"/>
        <w:ind w:firstLine="720"/>
        <w:rPr>
          <w:rFonts w:eastAsia="Times New Roman"/>
          <w:sz w:val="24"/>
          <w:szCs w:val="24"/>
        </w:rPr>
      </w:pPr>
      <w:r w:rsidRPr="005E712D">
        <w:rPr>
          <w:rFonts w:eastAsia="Times New Roman"/>
          <w:sz w:val="24"/>
          <w:szCs w:val="24"/>
        </w:rPr>
        <w:t xml:space="preserve">13. </w:t>
      </w:r>
      <w:r w:rsidR="00580EA6">
        <w:rPr>
          <w:rFonts w:eastAsia="Times New Roman"/>
          <w:sz w:val="24"/>
          <w:szCs w:val="24"/>
        </w:rPr>
        <w:t xml:space="preserve">A collateral source payment is an amount by which an injured plaintiff is wholly or partially compensated by a person or entity other than the defendant. </w:t>
      </w:r>
      <w:r w:rsidR="00A36F14">
        <w:rPr>
          <w:rFonts w:eastAsia="Times New Roman"/>
          <w:sz w:val="24"/>
          <w:szCs w:val="24"/>
        </w:rPr>
        <w:t>§</w:t>
      </w:r>
      <w:r w:rsidR="00580EA6">
        <w:rPr>
          <w:rFonts w:eastAsia="Times New Roman"/>
          <w:sz w:val="24"/>
          <w:szCs w:val="24"/>
        </w:rPr>
        <w:t xml:space="preserve"> 13-21-111.6, C.R.S. The “collateral source rule” </w:t>
      </w:r>
      <w:r w:rsidR="00094989">
        <w:rPr>
          <w:rFonts w:eastAsia="Times New Roman"/>
          <w:sz w:val="24"/>
          <w:szCs w:val="24"/>
        </w:rPr>
        <w:t>comprises</w:t>
      </w:r>
      <w:r w:rsidR="00580EA6">
        <w:rPr>
          <w:rFonts w:eastAsia="Times New Roman"/>
          <w:sz w:val="24"/>
          <w:szCs w:val="24"/>
        </w:rPr>
        <w:t xml:space="preserve"> a pre-verdict component and a post-verdict component. The pre-verdict component provides that the “fact or amount of any collateral source payment or benefits shall not be admitted as evidence in any action against an alleged third-party tortfeasor” or in an action to recover benefits for an injury caused by an uninsured motorist. </w:t>
      </w:r>
      <w:r w:rsidR="00A36F14">
        <w:rPr>
          <w:rFonts w:eastAsia="Times New Roman"/>
          <w:sz w:val="24"/>
          <w:szCs w:val="24"/>
        </w:rPr>
        <w:t>§</w:t>
      </w:r>
      <w:r w:rsidR="00580EA6">
        <w:rPr>
          <w:rFonts w:eastAsia="Times New Roman"/>
          <w:sz w:val="24"/>
          <w:szCs w:val="24"/>
        </w:rPr>
        <w:t xml:space="preserve"> </w:t>
      </w:r>
      <w:r w:rsidR="00596A4C">
        <w:rPr>
          <w:rFonts w:eastAsia="Times New Roman"/>
          <w:sz w:val="24"/>
          <w:szCs w:val="24"/>
        </w:rPr>
        <w:t>1</w:t>
      </w:r>
      <w:r w:rsidR="00580EA6">
        <w:rPr>
          <w:rFonts w:eastAsia="Times New Roman"/>
          <w:sz w:val="24"/>
          <w:szCs w:val="24"/>
        </w:rPr>
        <w:t>0-</w:t>
      </w:r>
      <w:r w:rsidR="00596A4C">
        <w:rPr>
          <w:rFonts w:eastAsia="Times New Roman"/>
          <w:sz w:val="24"/>
          <w:szCs w:val="24"/>
        </w:rPr>
        <w:t>1-</w:t>
      </w:r>
      <w:r w:rsidR="00580EA6">
        <w:rPr>
          <w:rFonts w:eastAsia="Times New Roman"/>
          <w:sz w:val="24"/>
          <w:szCs w:val="24"/>
        </w:rPr>
        <w:t>135(10)</w:t>
      </w:r>
      <w:r w:rsidR="00596A4C">
        <w:rPr>
          <w:rFonts w:eastAsia="Times New Roman"/>
          <w:sz w:val="24"/>
          <w:szCs w:val="24"/>
        </w:rPr>
        <w:t>(a</w:t>
      </w:r>
      <w:r w:rsidR="00596A4C" w:rsidRPr="004F1648">
        <w:rPr>
          <w:rFonts w:eastAsia="Times New Roman"/>
          <w:sz w:val="24"/>
          <w:szCs w:val="24"/>
        </w:rPr>
        <w:t>)</w:t>
      </w:r>
      <w:r w:rsidR="00580EA6" w:rsidRPr="004F1648">
        <w:rPr>
          <w:rFonts w:eastAsia="Times New Roman"/>
          <w:sz w:val="24"/>
          <w:szCs w:val="24"/>
        </w:rPr>
        <w:t xml:space="preserve">. </w:t>
      </w:r>
      <w:r w:rsidR="004F1648" w:rsidRPr="004F1648">
        <w:rPr>
          <w:rFonts w:eastAsia="Times New Roman"/>
          <w:sz w:val="24"/>
          <w:szCs w:val="24"/>
        </w:rPr>
        <w:t xml:space="preserve">For cases applying the pre-verdict component of the rule, see </w:t>
      </w:r>
      <w:r w:rsidR="004F1648" w:rsidRPr="004F1648">
        <w:rPr>
          <w:rFonts w:eastAsia="Times New Roman"/>
          <w:b/>
          <w:bCs/>
          <w:sz w:val="24"/>
          <w:szCs w:val="24"/>
        </w:rPr>
        <w:t>Ronquillo v. EcoClean Home Servs.</w:t>
      </w:r>
      <w:r w:rsidR="004F1648" w:rsidRPr="004F1648">
        <w:rPr>
          <w:rFonts w:eastAsia="Times New Roman"/>
          <w:sz w:val="24"/>
          <w:szCs w:val="24"/>
        </w:rPr>
        <w:t>, 2021 CO 82, ¶¶ 20-30</w:t>
      </w:r>
      <w:r w:rsidR="00E67D7F">
        <w:rPr>
          <w:rFonts w:eastAsia="Times New Roman"/>
          <w:sz w:val="24"/>
          <w:szCs w:val="24"/>
        </w:rPr>
        <w:t>, 500 P.3d 1130</w:t>
      </w:r>
      <w:r w:rsidR="004F1648" w:rsidRPr="004F1648">
        <w:rPr>
          <w:rFonts w:eastAsia="Times New Roman"/>
          <w:sz w:val="24"/>
          <w:szCs w:val="24"/>
        </w:rPr>
        <w:t xml:space="preserve"> (Discounted amounts paid to medical providers by medical finance company to enable plaintiff to obtain prompt medical treatment are not collateral source payments where plaintiff remained liable to pay full amounts billed by providers, so the pre-verdict component of the collateral source rule does not exclude evidence of payments by finance company. This result may be different under </w:t>
      </w:r>
      <w:r w:rsidR="002A0F72">
        <w:rPr>
          <w:rFonts w:eastAsia="Times New Roman"/>
          <w:sz w:val="24"/>
          <w:szCs w:val="24"/>
        </w:rPr>
        <w:t>sections</w:t>
      </w:r>
      <w:r w:rsidR="004F1648" w:rsidRPr="004F1648">
        <w:rPr>
          <w:rFonts w:eastAsia="Times New Roman"/>
          <w:sz w:val="24"/>
          <w:szCs w:val="24"/>
        </w:rPr>
        <w:t xml:space="preserve"> 38-27.5-103 and 104, C.R.S., which had not taken effect at the time of the events in </w:t>
      </w:r>
      <w:r w:rsidR="004F1648" w:rsidRPr="004F1648">
        <w:rPr>
          <w:rFonts w:eastAsia="Times New Roman"/>
          <w:b/>
          <w:bCs/>
          <w:sz w:val="24"/>
          <w:szCs w:val="24"/>
        </w:rPr>
        <w:t>Ronquillo</w:t>
      </w:r>
      <w:r w:rsidR="004F1648" w:rsidRPr="004F1648">
        <w:rPr>
          <w:rFonts w:eastAsia="Times New Roman"/>
          <w:sz w:val="24"/>
          <w:szCs w:val="24"/>
        </w:rPr>
        <w:t>.</w:t>
      </w:r>
      <w:r w:rsidR="002A0F72">
        <w:rPr>
          <w:rFonts w:eastAsia="Times New Roman"/>
          <w:sz w:val="24"/>
          <w:szCs w:val="24"/>
        </w:rPr>
        <w:t>)</w:t>
      </w:r>
      <w:r w:rsidR="00580EA6" w:rsidRPr="004F1648">
        <w:rPr>
          <w:rFonts w:eastAsia="Times New Roman"/>
          <w:sz w:val="24"/>
          <w:szCs w:val="24"/>
        </w:rPr>
        <w:t>;</w:t>
      </w:r>
      <w:r w:rsidR="00580EA6" w:rsidRPr="004F1648">
        <w:rPr>
          <w:rFonts w:eastAsia="Times New Roman"/>
          <w:b/>
          <w:sz w:val="24"/>
          <w:szCs w:val="24"/>
        </w:rPr>
        <w:t xml:space="preserve"> </w:t>
      </w:r>
      <w:r w:rsidR="00580EA6" w:rsidRPr="005E712D">
        <w:rPr>
          <w:rFonts w:eastAsia="Times New Roman"/>
          <w:b/>
          <w:sz w:val="24"/>
          <w:szCs w:val="24"/>
        </w:rPr>
        <w:t>Smith</w:t>
      </w:r>
      <w:r w:rsidR="00580EA6" w:rsidRPr="005E712D">
        <w:rPr>
          <w:rFonts w:eastAsia="Times New Roman"/>
          <w:sz w:val="24"/>
          <w:szCs w:val="24"/>
        </w:rPr>
        <w:t>, ¶ 19</w:t>
      </w:r>
      <w:r w:rsidR="00596A4C">
        <w:rPr>
          <w:rFonts w:eastAsia="Times New Roman"/>
          <w:sz w:val="24"/>
          <w:szCs w:val="24"/>
        </w:rPr>
        <w:t xml:space="preserve">, 328 P.3d at </w:t>
      </w:r>
      <w:r w:rsidR="00A8400E">
        <w:rPr>
          <w:rFonts w:eastAsia="Times New Roman"/>
          <w:sz w:val="24"/>
          <w:szCs w:val="24"/>
        </w:rPr>
        <w:t>262</w:t>
      </w:r>
      <w:r w:rsidR="00580EA6" w:rsidRPr="005E712D">
        <w:rPr>
          <w:rFonts w:eastAsia="Times New Roman"/>
          <w:sz w:val="24"/>
          <w:szCs w:val="24"/>
        </w:rPr>
        <w:t xml:space="preserve"> (Medicaid payments are inadmissible collateral source benefits</w:t>
      </w:r>
      <w:r w:rsidR="00580EA6">
        <w:rPr>
          <w:rFonts w:eastAsia="Times New Roman"/>
          <w:sz w:val="24"/>
          <w:szCs w:val="24"/>
        </w:rPr>
        <w:t>,</w:t>
      </w:r>
      <w:r w:rsidR="00580EA6" w:rsidRPr="005E712D">
        <w:rPr>
          <w:rFonts w:eastAsia="Times New Roman"/>
          <w:sz w:val="24"/>
          <w:szCs w:val="24"/>
        </w:rPr>
        <w:t xml:space="preserve"> and the “gratuitous government benefits” exception set forth in </w:t>
      </w:r>
      <w:r w:rsidR="00580EA6" w:rsidRPr="005E712D">
        <w:rPr>
          <w:rFonts w:eastAsia="Times New Roman"/>
          <w:b/>
          <w:sz w:val="24"/>
          <w:szCs w:val="24"/>
        </w:rPr>
        <w:t>City of Englewood</w:t>
      </w:r>
      <w:r w:rsidR="00580EA6" w:rsidRPr="005E712D">
        <w:rPr>
          <w:rFonts w:eastAsia="Times New Roman"/>
          <w:sz w:val="24"/>
          <w:szCs w:val="24"/>
        </w:rPr>
        <w:t xml:space="preserve">, 100 Colo. at 554, 68 P.2d at 915, and </w:t>
      </w:r>
      <w:r w:rsidR="00580EA6" w:rsidRPr="005E712D">
        <w:rPr>
          <w:rFonts w:eastAsia="Times New Roman"/>
          <w:b/>
          <w:sz w:val="24"/>
          <w:szCs w:val="24"/>
        </w:rPr>
        <w:t>Gomez</w:t>
      </w:r>
      <w:r w:rsidR="00580EA6" w:rsidRPr="005E712D">
        <w:rPr>
          <w:rFonts w:eastAsia="Times New Roman"/>
          <w:sz w:val="24"/>
          <w:szCs w:val="24"/>
        </w:rPr>
        <w:t>, 32 Colo. App. at 336, 511 P.2d at 533, was overruled by section 10-1-135(10)(a))</w:t>
      </w:r>
      <w:r w:rsidR="00580EA6">
        <w:rPr>
          <w:rFonts w:eastAsia="Times New Roman"/>
          <w:sz w:val="24"/>
          <w:szCs w:val="24"/>
        </w:rPr>
        <w:t xml:space="preserve">; </w:t>
      </w:r>
      <w:r w:rsidR="00580EA6" w:rsidRPr="005E712D">
        <w:rPr>
          <w:rFonts w:eastAsia="Times New Roman"/>
          <w:b/>
          <w:sz w:val="24"/>
          <w:szCs w:val="24"/>
        </w:rPr>
        <w:t>Crossgrove</w:t>
      </w:r>
      <w:r w:rsidR="00580EA6" w:rsidRPr="005E712D">
        <w:rPr>
          <w:rFonts w:eastAsia="Times New Roman"/>
          <w:sz w:val="24"/>
          <w:szCs w:val="24"/>
        </w:rPr>
        <w:t>, ¶ 18</w:t>
      </w:r>
      <w:r w:rsidR="00A8400E">
        <w:rPr>
          <w:rFonts w:eastAsia="Times New Roman"/>
          <w:sz w:val="24"/>
          <w:szCs w:val="24"/>
        </w:rPr>
        <w:t>, 276 P.3d at 566</w:t>
      </w:r>
      <w:r w:rsidR="00580EA6" w:rsidRPr="005E712D">
        <w:rPr>
          <w:rFonts w:eastAsia="Times New Roman"/>
          <w:sz w:val="24"/>
          <w:szCs w:val="24"/>
        </w:rPr>
        <w:t xml:space="preserve"> (</w:t>
      </w:r>
      <w:r w:rsidR="00580EA6">
        <w:rPr>
          <w:rFonts w:eastAsia="Times New Roman"/>
          <w:sz w:val="24"/>
          <w:szCs w:val="24"/>
        </w:rPr>
        <w:t xml:space="preserve">pre-verdict component </w:t>
      </w:r>
      <w:r w:rsidR="00580EA6" w:rsidRPr="005E712D">
        <w:rPr>
          <w:rFonts w:eastAsia="Times New Roman"/>
          <w:sz w:val="24"/>
          <w:szCs w:val="24"/>
        </w:rPr>
        <w:t>of the collateral source rule</w:t>
      </w:r>
      <w:r w:rsidR="00580EA6">
        <w:rPr>
          <w:rFonts w:eastAsia="Times New Roman"/>
          <w:sz w:val="24"/>
          <w:szCs w:val="24"/>
        </w:rPr>
        <w:t xml:space="preserve"> </w:t>
      </w:r>
      <w:r w:rsidR="00580EA6" w:rsidRPr="005E712D">
        <w:rPr>
          <w:rFonts w:eastAsia="Times New Roman"/>
          <w:sz w:val="24"/>
          <w:szCs w:val="24"/>
        </w:rPr>
        <w:t xml:space="preserve">required exclusion of evidence of amount paid by medical insurer for plaintiff’s medical expenses, even where offered solely to prove reasonable value of medical services); </w:t>
      </w:r>
      <w:r w:rsidR="00580EA6" w:rsidRPr="005E712D">
        <w:rPr>
          <w:rFonts w:eastAsia="Times New Roman"/>
          <w:b/>
          <w:sz w:val="24"/>
          <w:szCs w:val="24"/>
        </w:rPr>
        <w:t>Smith v. Jeppsen</w:t>
      </w:r>
      <w:r w:rsidR="00580EA6" w:rsidRPr="005E712D">
        <w:rPr>
          <w:rFonts w:eastAsia="Times New Roman"/>
          <w:sz w:val="24"/>
          <w:szCs w:val="24"/>
        </w:rPr>
        <w:t xml:space="preserve">, 2012 CO 32, ¶¶ 20-22, 277 P.3d 224 (companion case to </w:t>
      </w:r>
      <w:r w:rsidR="00580EA6" w:rsidRPr="005E712D">
        <w:rPr>
          <w:rFonts w:eastAsia="Times New Roman"/>
          <w:b/>
          <w:sz w:val="24"/>
          <w:szCs w:val="24"/>
        </w:rPr>
        <w:t>Crossgrove</w:t>
      </w:r>
      <w:r w:rsidR="00580EA6" w:rsidRPr="005E712D">
        <w:rPr>
          <w:rFonts w:eastAsia="Times New Roman"/>
          <w:sz w:val="24"/>
          <w:szCs w:val="24"/>
        </w:rPr>
        <w:t xml:space="preserve">); </w:t>
      </w:r>
      <w:r w:rsidR="00580EA6" w:rsidRPr="005E712D">
        <w:rPr>
          <w:rFonts w:eastAsia="Times New Roman"/>
          <w:b/>
          <w:sz w:val="24"/>
          <w:szCs w:val="24"/>
        </w:rPr>
        <w:t>Sunahara v. State Farm Mut. Auto. Ins. Co.</w:t>
      </w:r>
      <w:r w:rsidR="00580EA6" w:rsidRPr="005E712D">
        <w:rPr>
          <w:rFonts w:eastAsia="Times New Roman"/>
          <w:sz w:val="24"/>
          <w:szCs w:val="24"/>
        </w:rPr>
        <w:t xml:space="preserve">, 2012 CO 30M, ¶¶ 13-19, 280 P.3d 649 (companion case to </w:t>
      </w:r>
      <w:r w:rsidR="00580EA6" w:rsidRPr="005E712D">
        <w:rPr>
          <w:rFonts w:eastAsia="Times New Roman"/>
          <w:b/>
          <w:sz w:val="24"/>
          <w:szCs w:val="24"/>
        </w:rPr>
        <w:t>Crossgrove</w:t>
      </w:r>
      <w:r w:rsidR="00580EA6" w:rsidRPr="005E712D">
        <w:rPr>
          <w:rFonts w:eastAsia="Times New Roman"/>
          <w:sz w:val="24"/>
          <w:szCs w:val="24"/>
        </w:rPr>
        <w:t>)</w:t>
      </w:r>
      <w:r w:rsidR="008C1AE1">
        <w:rPr>
          <w:rFonts w:eastAsia="Times New Roman"/>
          <w:sz w:val="24"/>
          <w:szCs w:val="24"/>
        </w:rPr>
        <w:t>.</w:t>
      </w:r>
      <w:r w:rsidR="00580EA6">
        <w:rPr>
          <w:rFonts w:eastAsia="Times New Roman"/>
          <w:sz w:val="24"/>
          <w:szCs w:val="24"/>
        </w:rPr>
        <w:t xml:space="preserve"> </w:t>
      </w:r>
    </w:p>
    <w:p w14:paraId="3CFBBE06" w14:textId="1D5A5652" w:rsidR="0075398E" w:rsidRDefault="00580EA6" w:rsidP="00580EA6">
      <w:pPr>
        <w:spacing w:after="240"/>
        <w:ind w:firstLine="720"/>
        <w:rPr>
          <w:rFonts w:eastAsia="Times New Roman"/>
          <w:sz w:val="24"/>
          <w:szCs w:val="24"/>
        </w:rPr>
      </w:pPr>
      <w:r>
        <w:rPr>
          <w:rFonts w:eastAsia="Times New Roman"/>
          <w:sz w:val="24"/>
          <w:szCs w:val="24"/>
        </w:rPr>
        <w:t xml:space="preserve">14. The post-verdict component of the collateral source rule, codified by </w:t>
      </w:r>
      <w:r w:rsidR="00A8400E">
        <w:rPr>
          <w:rFonts w:eastAsia="Times New Roman"/>
          <w:sz w:val="24"/>
          <w:szCs w:val="24"/>
        </w:rPr>
        <w:t>s</w:t>
      </w:r>
      <w:r w:rsidR="005E712D" w:rsidRPr="005E712D">
        <w:rPr>
          <w:rFonts w:eastAsia="Times New Roman"/>
          <w:sz w:val="24"/>
          <w:szCs w:val="24"/>
        </w:rPr>
        <w:t xml:space="preserve">ection 13-21-111.6, directs the court, in any action “for a tort resulting in death or injury to person or property,” to reduce the amount of damages awarded, before entering judgment, by the amount of certain collateral benefits received by the plaintiff, but not including collateral benefits paid “as a result of a contract entered into and paid for by or on behalf of such [injured] person.” </w:t>
      </w:r>
      <w:r w:rsidR="005E712D" w:rsidRPr="005E712D">
        <w:rPr>
          <w:rFonts w:eastAsia="Times New Roman"/>
          <w:i/>
          <w:sz w:val="24"/>
          <w:szCs w:val="24"/>
        </w:rPr>
        <w:t>See, e.g</w:t>
      </w:r>
      <w:r w:rsidR="005E712D" w:rsidRPr="005E712D">
        <w:rPr>
          <w:rFonts w:eastAsia="Times New Roman"/>
          <w:sz w:val="24"/>
          <w:szCs w:val="24"/>
        </w:rPr>
        <w:t xml:space="preserve">., </w:t>
      </w:r>
      <w:r w:rsidR="005E712D" w:rsidRPr="005E712D">
        <w:rPr>
          <w:rFonts w:eastAsia="Times New Roman"/>
          <w:b/>
          <w:sz w:val="24"/>
          <w:szCs w:val="24"/>
        </w:rPr>
        <w:t>Keelan v. Van Waters &amp; Rogers, Inc.</w:t>
      </w:r>
      <w:r w:rsidR="005E712D" w:rsidRPr="005E712D">
        <w:rPr>
          <w:rFonts w:eastAsia="Times New Roman"/>
          <w:sz w:val="24"/>
          <w:szCs w:val="24"/>
        </w:rPr>
        <w:t>,</w:t>
      </w:r>
      <w:r w:rsidR="005E712D" w:rsidRPr="005E712D">
        <w:rPr>
          <w:rFonts w:eastAsia="Times New Roman"/>
          <w:b/>
          <w:sz w:val="24"/>
          <w:szCs w:val="24"/>
        </w:rPr>
        <w:t xml:space="preserve"> </w:t>
      </w:r>
      <w:r w:rsidR="005E712D" w:rsidRPr="005E712D">
        <w:rPr>
          <w:rFonts w:eastAsia="Times New Roman"/>
          <w:sz w:val="24"/>
          <w:szCs w:val="24"/>
        </w:rPr>
        <w:t xml:space="preserve">820 P.2d 1145 (Colo. App. 1991) (personal injury award obtained by Denver firefighter could not be reduced by amount of disability benefits received by firefighter through statewide fund created pursuant to statute because disability benefits were paid as a result of firefighter’s employment contract with the City of Denver), </w:t>
      </w:r>
      <w:r w:rsidR="005E712D" w:rsidRPr="005E712D">
        <w:rPr>
          <w:rFonts w:eastAsia="Times New Roman"/>
          <w:i/>
          <w:sz w:val="24"/>
          <w:szCs w:val="24"/>
        </w:rPr>
        <w:t>aff’d</w:t>
      </w:r>
      <w:r w:rsidR="005E712D" w:rsidRPr="005E712D">
        <w:rPr>
          <w:rFonts w:eastAsia="Times New Roman"/>
          <w:sz w:val="24"/>
          <w:szCs w:val="24"/>
        </w:rPr>
        <w:t xml:space="preserve">, 840 P.2d 1070 (Colo. 1992); </w:t>
      </w:r>
      <w:r w:rsidR="005E712D" w:rsidRPr="005E712D">
        <w:rPr>
          <w:rFonts w:eastAsia="Times New Roman"/>
          <w:i/>
          <w:sz w:val="24"/>
          <w:szCs w:val="24"/>
        </w:rPr>
        <w:t>see also</w:t>
      </w:r>
      <w:r w:rsidR="005E712D" w:rsidRPr="005E712D">
        <w:rPr>
          <w:rFonts w:eastAsia="Times New Roman"/>
          <w:sz w:val="24"/>
          <w:szCs w:val="24"/>
        </w:rPr>
        <w:t xml:space="preserve"> </w:t>
      </w:r>
      <w:r w:rsidR="005E712D" w:rsidRPr="005E712D">
        <w:rPr>
          <w:rFonts w:eastAsia="Times New Roman"/>
          <w:b/>
          <w:sz w:val="24"/>
          <w:szCs w:val="24"/>
        </w:rPr>
        <w:t>Volunteers of Am. Colo. Branch v. Gardenswartz</w:t>
      </w:r>
      <w:r w:rsidR="005E712D" w:rsidRPr="005E712D">
        <w:rPr>
          <w:rFonts w:eastAsia="Times New Roman"/>
          <w:sz w:val="24"/>
          <w:szCs w:val="24"/>
        </w:rPr>
        <w:t xml:space="preserve">, 242 P.3d 1080 (Colo. 2010) (contract clause of statutory collateral source rule, § 13-21-111.6, applies where plaintiff’s medical insurer paid discounted amounts to medical providers, and, under the common-law collateral source rule, plaintiff’s damages are not reduced by the amount of the discount); </w:t>
      </w:r>
      <w:r w:rsidR="005E712D" w:rsidRPr="005E712D">
        <w:rPr>
          <w:rFonts w:eastAsia="Times New Roman"/>
          <w:b/>
          <w:sz w:val="24"/>
          <w:szCs w:val="24"/>
        </w:rPr>
        <w:t>Colo. Permanente Med. Grp.</w:t>
      </w:r>
      <w:r w:rsidR="005E712D" w:rsidRPr="005E712D">
        <w:rPr>
          <w:rFonts w:eastAsia="Times New Roman"/>
          <w:sz w:val="24"/>
          <w:szCs w:val="24"/>
        </w:rPr>
        <w:t>,</w:t>
      </w:r>
      <w:r w:rsidR="005E712D" w:rsidRPr="005E712D">
        <w:rPr>
          <w:rFonts w:eastAsia="Times New Roman"/>
          <w:b/>
          <w:sz w:val="24"/>
          <w:szCs w:val="24"/>
        </w:rPr>
        <w:t xml:space="preserve"> </w:t>
      </w:r>
      <w:r w:rsidR="005E712D" w:rsidRPr="005E712D">
        <w:rPr>
          <w:rFonts w:eastAsia="Times New Roman"/>
          <w:sz w:val="24"/>
          <w:szCs w:val="24"/>
        </w:rPr>
        <w:t>926 P.2d at 1230;</w:t>
      </w:r>
      <w:r w:rsidR="00E91DC9">
        <w:rPr>
          <w:rFonts w:eastAsia="Times New Roman"/>
          <w:sz w:val="24"/>
          <w:szCs w:val="24"/>
        </w:rPr>
        <w:t xml:space="preserve"> </w:t>
      </w:r>
      <w:r w:rsidR="00E91DC9">
        <w:rPr>
          <w:rFonts w:eastAsia="Times New Roman"/>
          <w:b/>
          <w:sz w:val="24"/>
          <w:szCs w:val="24"/>
        </w:rPr>
        <w:t xml:space="preserve">Forfar v. Wal-Mart Stores, Inc., </w:t>
      </w:r>
      <w:r w:rsidR="00E91DC9" w:rsidRPr="00BA4966">
        <w:rPr>
          <w:rFonts w:eastAsia="Times New Roman"/>
          <w:sz w:val="24"/>
          <w:szCs w:val="24"/>
        </w:rPr>
        <w:t>2018 COA 125, ¶ 31</w:t>
      </w:r>
      <w:r w:rsidR="00FD488F">
        <w:rPr>
          <w:rFonts w:eastAsia="Times New Roman"/>
          <w:sz w:val="24"/>
          <w:szCs w:val="24"/>
        </w:rPr>
        <w:t xml:space="preserve">, 436 P.3d </w:t>
      </w:r>
      <w:r w:rsidR="00E045FA">
        <w:rPr>
          <w:rFonts w:eastAsia="Times New Roman"/>
          <w:sz w:val="24"/>
          <w:szCs w:val="24"/>
        </w:rPr>
        <w:t>580</w:t>
      </w:r>
      <w:r w:rsidR="00E91DC9" w:rsidRPr="00BA4966">
        <w:rPr>
          <w:rFonts w:eastAsia="Times New Roman"/>
          <w:sz w:val="24"/>
          <w:szCs w:val="24"/>
        </w:rPr>
        <w:t xml:space="preserve"> (</w:t>
      </w:r>
      <w:r w:rsidR="00E91DC9">
        <w:rPr>
          <w:rFonts w:eastAsia="Times New Roman"/>
          <w:sz w:val="24"/>
          <w:szCs w:val="24"/>
        </w:rPr>
        <w:t>p</w:t>
      </w:r>
      <w:r w:rsidR="00E91DC9" w:rsidRPr="00BA4966">
        <w:rPr>
          <w:rFonts w:eastAsia="Times New Roman"/>
          <w:sz w:val="24"/>
          <w:szCs w:val="24"/>
        </w:rPr>
        <w:t xml:space="preserve">laintiff’s damages are not reduced in post-verdict proceedings by the amount of Medicare benefits received because such benefits fall </w:t>
      </w:r>
      <w:r w:rsidR="00E91DC9">
        <w:rPr>
          <w:rFonts w:eastAsia="Times New Roman"/>
          <w:sz w:val="24"/>
          <w:szCs w:val="24"/>
        </w:rPr>
        <w:t>within the contract exception in</w:t>
      </w:r>
      <w:r w:rsidR="00E91DC9" w:rsidRPr="00BA4966">
        <w:rPr>
          <w:rFonts w:eastAsia="Times New Roman"/>
          <w:sz w:val="24"/>
          <w:szCs w:val="24"/>
        </w:rPr>
        <w:t xml:space="preserve"> </w:t>
      </w:r>
      <w:r w:rsidR="00E91DC9">
        <w:rPr>
          <w:rFonts w:eastAsia="Times New Roman"/>
          <w:sz w:val="24"/>
          <w:szCs w:val="24"/>
        </w:rPr>
        <w:t>section</w:t>
      </w:r>
      <w:r w:rsidR="00E91DC9" w:rsidRPr="00BA4966">
        <w:rPr>
          <w:rFonts w:eastAsia="Times New Roman"/>
          <w:sz w:val="24"/>
          <w:szCs w:val="24"/>
        </w:rPr>
        <w:t xml:space="preserve"> 13-21-111.6);</w:t>
      </w:r>
      <w:r w:rsidR="005E712D" w:rsidRPr="005E712D">
        <w:rPr>
          <w:rFonts w:eastAsia="Times New Roman"/>
          <w:sz w:val="24"/>
          <w:szCs w:val="24"/>
        </w:rPr>
        <w:t xml:space="preserve"> </w:t>
      </w:r>
      <w:bookmarkStart w:id="2" w:name="_Hlk117769689"/>
      <w:r w:rsidR="005E712D" w:rsidRPr="005E712D">
        <w:rPr>
          <w:rFonts w:eastAsia="Times New Roman"/>
          <w:b/>
          <w:sz w:val="24"/>
          <w:szCs w:val="24"/>
        </w:rPr>
        <w:t>Pressey v. Children’s Hosp. Colo.</w:t>
      </w:r>
      <w:r w:rsidR="005E712D" w:rsidRPr="005E712D">
        <w:rPr>
          <w:rFonts w:eastAsia="Times New Roman"/>
          <w:sz w:val="24"/>
          <w:szCs w:val="24"/>
        </w:rPr>
        <w:t>, 2017 COA 28, ¶ 14 (</w:t>
      </w:r>
      <w:r w:rsidR="00E91DC9">
        <w:rPr>
          <w:rFonts w:eastAsia="Times New Roman"/>
          <w:sz w:val="24"/>
          <w:szCs w:val="24"/>
        </w:rPr>
        <w:t xml:space="preserve">plaintiff’s damages are not reduced in post-verdict proceedings by the amount of </w:t>
      </w:r>
      <w:r w:rsidR="005E712D" w:rsidRPr="005E712D">
        <w:rPr>
          <w:rFonts w:eastAsia="Times New Roman"/>
          <w:sz w:val="24"/>
          <w:szCs w:val="24"/>
        </w:rPr>
        <w:t xml:space="preserve">Medicaid benefits </w:t>
      </w:r>
      <w:r w:rsidR="00E91DC9">
        <w:rPr>
          <w:rFonts w:eastAsia="Times New Roman"/>
          <w:sz w:val="24"/>
          <w:szCs w:val="24"/>
        </w:rPr>
        <w:t xml:space="preserve">received because such benefits fall within </w:t>
      </w:r>
      <w:r w:rsidR="005E712D" w:rsidRPr="005E712D">
        <w:rPr>
          <w:rFonts w:eastAsia="Times New Roman"/>
          <w:sz w:val="24"/>
          <w:szCs w:val="24"/>
        </w:rPr>
        <w:t xml:space="preserve">the contract exception </w:t>
      </w:r>
      <w:r w:rsidR="00E91DC9">
        <w:rPr>
          <w:rFonts w:eastAsia="Times New Roman"/>
          <w:sz w:val="24"/>
          <w:szCs w:val="24"/>
        </w:rPr>
        <w:t>in</w:t>
      </w:r>
      <w:r w:rsidR="00E91DC9" w:rsidRPr="005E712D">
        <w:rPr>
          <w:rFonts w:eastAsia="Times New Roman"/>
          <w:sz w:val="24"/>
          <w:szCs w:val="24"/>
        </w:rPr>
        <w:t xml:space="preserve"> </w:t>
      </w:r>
      <w:r w:rsidR="00E91DC9">
        <w:rPr>
          <w:rFonts w:eastAsia="Times New Roman"/>
          <w:sz w:val="24"/>
          <w:szCs w:val="24"/>
        </w:rPr>
        <w:t>section 13-21-111.6)</w:t>
      </w:r>
      <w:r w:rsidR="00683AEF">
        <w:rPr>
          <w:rFonts w:eastAsia="Times New Roman"/>
          <w:sz w:val="24"/>
          <w:szCs w:val="24"/>
        </w:rPr>
        <w:t xml:space="preserve">, </w:t>
      </w:r>
      <w:r w:rsidR="00683AEF" w:rsidRPr="00683AEF">
        <w:rPr>
          <w:rFonts w:eastAsia="Times New Roman"/>
          <w:i/>
          <w:iCs/>
          <w:sz w:val="24"/>
          <w:szCs w:val="24"/>
        </w:rPr>
        <w:t>overruled on other grounds by</w:t>
      </w:r>
      <w:r w:rsidR="00683AEF">
        <w:rPr>
          <w:rFonts w:eastAsia="Times New Roman"/>
          <w:sz w:val="24"/>
          <w:szCs w:val="24"/>
        </w:rPr>
        <w:t xml:space="preserve"> </w:t>
      </w:r>
      <w:r w:rsidR="00683AEF" w:rsidRPr="00B559AD">
        <w:rPr>
          <w:rFonts w:eastAsia="Times New Roman"/>
          <w:b/>
          <w:bCs/>
          <w:sz w:val="24"/>
          <w:szCs w:val="24"/>
        </w:rPr>
        <w:t>Rudnicki v. Bianco</w:t>
      </w:r>
      <w:r w:rsidR="00683AEF">
        <w:rPr>
          <w:rFonts w:eastAsia="Times New Roman"/>
          <w:sz w:val="24"/>
          <w:szCs w:val="24"/>
        </w:rPr>
        <w:t>, 2021 CO 80, 501 P.3d 776</w:t>
      </w:r>
      <w:r w:rsidR="005E712D" w:rsidRPr="005E712D">
        <w:rPr>
          <w:rFonts w:eastAsia="Times New Roman"/>
          <w:sz w:val="24"/>
          <w:szCs w:val="24"/>
        </w:rPr>
        <w:t xml:space="preserve">; </w:t>
      </w:r>
      <w:bookmarkEnd w:id="2"/>
      <w:r w:rsidR="005E712D" w:rsidRPr="005E712D">
        <w:rPr>
          <w:rFonts w:eastAsia="Times New Roman"/>
          <w:b/>
          <w:sz w:val="24"/>
          <w:szCs w:val="24"/>
        </w:rPr>
        <w:t xml:space="preserve">Dep’t of </w:t>
      </w:r>
      <w:r w:rsidR="005E712D" w:rsidRPr="005E712D">
        <w:rPr>
          <w:rFonts w:eastAsia="Times New Roman"/>
          <w:b/>
          <w:sz w:val="24"/>
          <w:szCs w:val="24"/>
        </w:rPr>
        <w:lastRenderedPageBreak/>
        <w:t>Human Servs. v. State Personnel Bd.</w:t>
      </w:r>
      <w:r w:rsidR="005E712D" w:rsidRPr="005E712D">
        <w:rPr>
          <w:rFonts w:eastAsia="Times New Roman"/>
          <w:sz w:val="24"/>
          <w:szCs w:val="24"/>
        </w:rPr>
        <w:t xml:space="preserve">, 2016 COA 37, ¶¶ 31-42, 371 P.3d 748 (PERA disability benefits constitute a collateral source and are not to be offset against a damage award.); </w:t>
      </w:r>
      <w:r w:rsidR="005E712D" w:rsidRPr="005E712D">
        <w:rPr>
          <w:rFonts w:eastAsia="Times New Roman"/>
          <w:b/>
          <w:sz w:val="24"/>
          <w:szCs w:val="24"/>
        </w:rPr>
        <w:t>Calderon v. Am. Family Mut. Ins. Co.</w:t>
      </w:r>
      <w:r w:rsidR="005E712D" w:rsidRPr="005E712D">
        <w:rPr>
          <w:rFonts w:eastAsia="Times New Roman"/>
          <w:sz w:val="24"/>
          <w:szCs w:val="24"/>
        </w:rPr>
        <w:t>, 2014 COA 70, ¶¶ 28-32</w:t>
      </w:r>
      <w:r w:rsidR="009A5ACD">
        <w:rPr>
          <w:rFonts w:eastAsia="Times New Roman"/>
          <w:sz w:val="24"/>
          <w:szCs w:val="24"/>
        </w:rPr>
        <w:t>, 409 P.3d 393</w:t>
      </w:r>
      <w:r w:rsidR="005E712D" w:rsidRPr="005E712D">
        <w:rPr>
          <w:rFonts w:eastAsia="Times New Roman"/>
          <w:sz w:val="24"/>
          <w:szCs w:val="24"/>
        </w:rPr>
        <w:t xml:space="preserve"> (post-verdict setoff rule codified in section 13-21-111.6</w:t>
      </w:r>
      <w:r w:rsidR="005E712D" w:rsidRPr="005E712D">
        <w:rPr>
          <w:rFonts w:eastAsia="Times New Roman"/>
          <w:b/>
          <w:sz w:val="24"/>
          <w:szCs w:val="24"/>
        </w:rPr>
        <w:t xml:space="preserve"> </w:t>
      </w:r>
      <w:r w:rsidR="005E712D" w:rsidRPr="005E712D">
        <w:rPr>
          <w:rFonts w:eastAsia="Times New Roman"/>
          <w:sz w:val="24"/>
          <w:szCs w:val="24"/>
        </w:rPr>
        <w:t>does not bar insurer from setting off Medpay benefit against judgment against insurer for UM/UIM benefits because the defendant is the collateral source),</w:t>
      </w:r>
      <w:r w:rsidR="005E712D" w:rsidRPr="005E712D">
        <w:rPr>
          <w:rFonts w:eastAsia="Times New Roman"/>
          <w:i/>
          <w:sz w:val="24"/>
          <w:szCs w:val="24"/>
        </w:rPr>
        <w:t xml:space="preserve"> rev’d on other grounds</w:t>
      </w:r>
      <w:r w:rsidR="005E712D" w:rsidRPr="005E712D">
        <w:rPr>
          <w:rFonts w:eastAsia="Times New Roman"/>
          <w:sz w:val="24"/>
          <w:szCs w:val="24"/>
        </w:rPr>
        <w:t xml:space="preserve">, 2016 CO 72, 383 P.3d 676; </w:t>
      </w:r>
      <w:r w:rsidR="005E712D" w:rsidRPr="005E712D">
        <w:rPr>
          <w:rFonts w:eastAsia="Times New Roman"/>
          <w:b/>
          <w:sz w:val="24"/>
          <w:szCs w:val="24"/>
        </w:rPr>
        <w:t>Stresscon Corp. v.</w:t>
      </w:r>
      <w:r w:rsidR="005E712D" w:rsidRPr="005E712D">
        <w:rPr>
          <w:rFonts w:eastAsia="Times New Roman"/>
          <w:sz w:val="24"/>
          <w:szCs w:val="24"/>
        </w:rPr>
        <w:t xml:space="preserve"> </w:t>
      </w:r>
      <w:r w:rsidR="005E712D" w:rsidRPr="005E712D">
        <w:rPr>
          <w:rFonts w:eastAsia="Times New Roman"/>
          <w:b/>
          <w:sz w:val="24"/>
          <w:szCs w:val="24"/>
        </w:rPr>
        <w:t>Travelers Prop. Cas. Co. of Am.</w:t>
      </w:r>
      <w:r w:rsidR="005E712D" w:rsidRPr="005E712D">
        <w:rPr>
          <w:rFonts w:eastAsia="Times New Roman"/>
          <w:sz w:val="24"/>
          <w:szCs w:val="24"/>
        </w:rPr>
        <w:t>, 2013 COA 131, ¶¶ 80-86</w:t>
      </w:r>
      <w:r w:rsidR="009A5ACD">
        <w:rPr>
          <w:rFonts w:eastAsia="Times New Roman"/>
          <w:sz w:val="24"/>
          <w:szCs w:val="24"/>
        </w:rPr>
        <w:t>, 373 P.3d 615</w:t>
      </w:r>
      <w:r w:rsidR="005E712D" w:rsidRPr="005E712D">
        <w:rPr>
          <w:rFonts w:eastAsia="Times New Roman"/>
          <w:sz w:val="24"/>
          <w:szCs w:val="24"/>
        </w:rPr>
        <w:t xml:space="preserve"> (contract clause of statutory collateral source rule normally would apply</w:t>
      </w:r>
      <w:r w:rsidR="005E712D" w:rsidRPr="005E712D">
        <w:rPr>
          <w:rFonts w:eastAsia="Times New Roman"/>
          <w:b/>
          <w:sz w:val="24"/>
          <w:szCs w:val="24"/>
        </w:rPr>
        <w:t xml:space="preserve"> </w:t>
      </w:r>
      <w:r w:rsidR="005E712D" w:rsidRPr="005E712D">
        <w:rPr>
          <w:rFonts w:eastAsia="Times New Roman"/>
          <w:sz w:val="24"/>
          <w:szCs w:val="24"/>
        </w:rPr>
        <w:t xml:space="preserve">to plaintiff’s receipt of insurance proceeds paid by sub-contractor’s insurer, but plaintiff contracted this right away by means of the “other insurance” clause in applicable insurance policies), </w:t>
      </w:r>
      <w:r w:rsidR="005E712D" w:rsidRPr="005E712D">
        <w:rPr>
          <w:rFonts w:eastAsia="Times New Roman"/>
          <w:i/>
          <w:sz w:val="24"/>
          <w:szCs w:val="24"/>
        </w:rPr>
        <w:t>rev’d on other grounds</w:t>
      </w:r>
      <w:r w:rsidR="005E712D" w:rsidRPr="005E712D">
        <w:rPr>
          <w:rFonts w:eastAsia="Times New Roman"/>
          <w:sz w:val="24"/>
          <w:szCs w:val="24"/>
        </w:rPr>
        <w:t xml:space="preserve">, 2016 CO 22M, 370 P.3d 140; </w:t>
      </w:r>
      <w:r w:rsidR="005E712D" w:rsidRPr="005E712D">
        <w:rPr>
          <w:rFonts w:eastAsia="Times New Roman"/>
          <w:b/>
          <w:sz w:val="24"/>
          <w:szCs w:val="24"/>
        </w:rPr>
        <w:t>Miller v. Brannon</w:t>
      </w:r>
      <w:r w:rsidR="005E712D" w:rsidRPr="005E712D">
        <w:rPr>
          <w:rFonts w:eastAsia="Times New Roman"/>
          <w:sz w:val="24"/>
          <w:szCs w:val="24"/>
        </w:rPr>
        <w:t xml:space="preserve">, 207 P.3d 923 (Colo. App. 2009) (PIP benefits received by plaintiff within contract exception to collateral source rule); </w:t>
      </w:r>
      <w:r w:rsidR="005E712D" w:rsidRPr="005E712D">
        <w:rPr>
          <w:rFonts w:eastAsia="Times New Roman"/>
          <w:b/>
          <w:sz w:val="24"/>
          <w:szCs w:val="24"/>
        </w:rPr>
        <w:t>Combined Commc’ns Corp. v. Pub. Serv. Co.</w:t>
      </w:r>
      <w:r w:rsidR="005E712D" w:rsidRPr="005E712D">
        <w:rPr>
          <w:rFonts w:eastAsia="Times New Roman"/>
          <w:sz w:val="24"/>
          <w:szCs w:val="24"/>
        </w:rPr>
        <w:t>,</w:t>
      </w:r>
      <w:r w:rsidR="005E712D" w:rsidRPr="005E712D">
        <w:rPr>
          <w:rFonts w:eastAsia="Times New Roman"/>
          <w:b/>
          <w:sz w:val="24"/>
          <w:szCs w:val="24"/>
        </w:rPr>
        <w:t xml:space="preserve"> </w:t>
      </w:r>
      <w:r w:rsidR="005E712D" w:rsidRPr="005E712D">
        <w:rPr>
          <w:rFonts w:eastAsia="Times New Roman"/>
          <w:sz w:val="24"/>
          <w:szCs w:val="24"/>
        </w:rPr>
        <w:t>865 P.2d 893 (Colo. App. 1993).</w:t>
      </w:r>
    </w:p>
    <w:p w14:paraId="28F43FD5" w14:textId="5683E7A4" w:rsidR="005E712D" w:rsidRDefault="0075398E" w:rsidP="00580EA6">
      <w:pPr>
        <w:spacing w:after="240"/>
        <w:ind w:firstLine="720"/>
        <w:rPr>
          <w:rFonts w:eastAsia="Times New Roman"/>
          <w:sz w:val="24"/>
          <w:szCs w:val="24"/>
        </w:rPr>
      </w:pPr>
      <w:r>
        <w:rPr>
          <w:rFonts w:eastAsia="Times New Roman"/>
          <w:sz w:val="24"/>
          <w:szCs w:val="24"/>
        </w:rPr>
        <w:t xml:space="preserve">15. </w:t>
      </w:r>
      <w:r w:rsidR="005E712D" w:rsidRPr="005E712D">
        <w:rPr>
          <w:rFonts w:eastAsia="Times New Roman"/>
          <w:sz w:val="24"/>
          <w:szCs w:val="24"/>
        </w:rPr>
        <w:t xml:space="preserve">Where an insured obtains a judgment against an insurer for first-party benefits, however, the contract clause of section 13-21-111.6 does not preclude the insurer from exercising a contractual right to reduce the judgment by the amount the insurer previously paid for the insured’s medical expenses. </w:t>
      </w:r>
      <w:r w:rsidR="005E712D" w:rsidRPr="005E712D">
        <w:rPr>
          <w:rFonts w:eastAsia="Times New Roman"/>
          <w:b/>
          <w:sz w:val="24"/>
          <w:szCs w:val="24"/>
        </w:rPr>
        <w:t>Levy v. Am. Family Mut. Ins. Co.</w:t>
      </w:r>
      <w:r w:rsidR="005E712D" w:rsidRPr="005E712D">
        <w:rPr>
          <w:rFonts w:eastAsia="Times New Roman"/>
          <w:sz w:val="24"/>
          <w:szCs w:val="24"/>
        </w:rPr>
        <w:t>, 293 P.3d 40 (Colo. App. 2011).</w:t>
      </w:r>
    </w:p>
    <w:p w14:paraId="1D0A8BEB" w14:textId="368545B5" w:rsidR="000D0AB6" w:rsidRPr="00876699" w:rsidRDefault="000D0AB6" w:rsidP="00597A3B">
      <w:pPr>
        <w:ind w:firstLine="720"/>
        <w:rPr>
          <w:sz w:val="24"/>
          <w:szCs w:val="24"/>
        </w:rPr>
      </w:pPr>
      <w:r w:rsidRPr="00876699">
        <w:rPr>
          <w:sz w:val="24"/>
          <w:szCs w:val="24"/>
        </w:rPr>
        <w:t>1</w:t>
      </w:r>
      <w:r w:rsidR="0075398E">
        <w:rPr>
          <w:sz w:val="24"/>
          <w:szCs w:val="24"/>
        </w:rPr>
        <w:t>6</w:t>
      </w:r>
      <w:r w:rsidRPr="00876699">
        <w:rPr>
          <w:sz w:val="24"/>
          <w:szCs w:val="24"/>
        </w:rPr>
        <w:t>.</w:t>
      </w:r>
      <w:r>
        <w:rPr>
          <w:sz w:val="24"/>
          <w:szCs w:val="24"/>
        </w:rPr>
        <w:t xml:space="preserve"> </w:t>
      </w:r>
      <w:r w:rsidRPr="00876699">
        <w:rPr>
          <w:sz w:val="24"/>
          <w:szCs w:val="24"/>
        </w:rPr>
        <w:t xml:space="preserve">The collateral source rule does not apply to an employee’s claim for past medical expenses where the employer’s workers’ compensation insurer has settled its subrogation claim for reimbursement of those expenses, because such a settlement completely extinguishes the employee’s claim for such expenses. </w:t>
      </w:r>
      <w:r w:rsidRPr="00876699">
        <w:rPr>
          <w:b/>
          <w:bCs/>
          <w:sz w:val="24"/>
          <w:szCs w:val="24"/>
        </w:rPr>
        <w:t>Delta Airlines v. Scholle</w:t>
      </w:r>
      <w:r w:rsidRPr="002E0384">
        <w:rPr>
          <w:bCs/>
          <w:sz w:val="24"/>
          <w:szCs w:val="24"/>
        </w:rPr>
        <w:t xml:space="preserve">, </w:t>
      </w:r>
      <w:r w:rsidRPr="00876699">
        <w:rPr>
          <w:sz w:val="24"/>
          <w:szCs w:val="24"/>
        </w:rPr>
        <w:t>2021 CO 20, ¶¶ 1, 21-22, 484 P.3d 695.</w:t>
      </w:r>
      <w:r w:rsidR="00597A3B">
        <w:rPr>
          <w:rFonts w:eastAsia="Times New Roman"/>
          <w:sz w:val="24"/>
          <w:szCs w:val="24"/>
        </w:rPr>
        <w:t xml:space="preserve"> </w:t>
      </w:r>
      <w:r w:rsidR="00DE17D1" w:rsidRPr="00DE17D1">
        <w:rPr>
          <w:rFonts w:eastAsia="Times New Roman"/>
          <w:i/>
          <w:iCs/>
          <w:sz w:val="24"/>
          <w:szCs w:val="24"/>
        </w:rPr>
        <w:t>But see</w:t>
      </w:r>
      <w:r w:rsidR="00DE17D1">
        <w:rPr>
          <w:rFonts w:eastAsia="Times New Roman"/>
          <w:sz w:val="24"/>
          <w:szCs w:val="24"/>
        </w:rPr>
        <w:t xml:space="preserve"> </w:t>
      </w:r>
      <w:r w:rsidR="006C6103" w:rsidRPr="00616E80">
        <w:rPr>
          <w:b/>
          <w:bCs/>
          <w:sz w:val="24"/>
          <w:szCs w:val="24"/>
        </w:rPr>
        <w:t>Scholle v. Ehrichs,</w:t>
      </w:r>
      <w:r w:rsidR="006C6103" w:rsidRPr="00616E80">
        <w:rPr>
          <w:sz w:val="24"/>
          <w:szCs w:val="24"/>
        </w:rPr>
        <w:t xml:space="preserve"> 2024 CO 22, </w:t>
      </w:r>
      <w:r w:rsidR="00597A3B">
        <w:rPr>
          <w:sz w:val="24"/>
          <w:szCs w:val="24"/>
        </w:rPr>
        <w:t xml:space="preserve">¶ 59, </w:t>
      </w:r>
      <w:r w:rsidR="006C6103" w:rsidRPr="00616E80">
        <w:rPr>
          <w:sz w:val="24"/>
          <w:szCs w:val="24"/>
        </w:rPr>
        <w:t xml:space="preserve">546 P.3d 1170 </w:t>
      </w:r>
      <w:r w:rsidR="00597A3B">
        <w:rPr>
          <w:sz w:val="24"/>
          <w:szCs w:val="24"/>
        </w:rPr>
        <w:t>(</w:t>
      </w:r>
      <w:r w:rsidR="006C6103">
        <w:rPr>
          <w:sz w:val="24"/>
          <w:szCs w:val="24"/>
        </w:rPr>
        <w:t>holding</w:t>
      </w:r>
      <w:r w:rsidR="006C6103" w:rsidRPr="00616E80">
        <w:rPr>
          <w:sz w:val="24"/>
          <w:szCs w:val="24"/>
        </w:rPr>
        <w:t xml:space="preserve"> trial court was prohibited from</w:t>
      </w:r>
      <w:r w:rsidR="006C6103">
        <w:rPr>
          <w:sz w:val="24"/>
          <w:szCs w:val="24"/>
        </w:rPr>
        <w:t xml:space="preserve"> </w:t>
      </w:r>
      <w:r w:rsidR="006C6103" w:rsidRPr="00616E80">
        <w:rPr>
          <w:sz w:val="24"/>
          <w:szCs w:val="24"/>
        </w:rPr>
        <w:t xml:space="preserve">considering </w:t>
      </w:r>
      <w:r w:rsidR="006C6103">
        <w:rPr>
          <w:sz w:val="24"/>
          <w:szCs w:val="24"/>
        </w:rPr>
        <w:t xml:space="preserve">insurance contract liabilities </w:t>
      </w:r>
      <w:r w:rsidR="006C6103" w:rsidRPr="00616E80">
        <w:rPr>
          <w:sz w:val="24"/>
          <w:szCs w:val="24"/>
        </w:rPr>
        <w:t>in good cause analysis for exceeding damages cap</w:t>
      </w:r>
      <w:r w:rsidR="006C6103">
        <w:rPr>
          <w:sz w:val="24"/>
          <w:szCs w:val="24"/>
        </w:rPr>
        <w:t xml:space="preserve"> under the</w:t>
      </w:r>
      <w:r w:rsidR="006C6103" w:rsidRPr="00616E80">
        <w:rPr>
          <w:sz w:val="24"/>
          <w:szCs w:val="24"/>
        </w:rPr>
        <w:t xml:space="preserve"> Health Care Availability Act</w:t>
      </w:r>
      <w:r w:rsidR="00597A3B">
        <w:rPr>
          <w:sz w:val="24"/>
          <w:szCs w:val="24"/>
        </w:rPr>
        <w:t>)</w:t>
      </w:r>
      <w:r w:rsidR="00891344">
        <w:rPr>
          <w:sz w:val="24"/>
          <w:szCs w:val="24"/>
        </w:rPr>
        <w:t>.</w:t>
      </w:r>
    </w:p>
    <w:p w14:paraId="146CB76F" w14:textId="77777777" w:rsidR="00597A3B" w:rsidRDefault="00597A3B" w:rsidP="00597A3B">
      <w:pPr>
        <w:ind w:firstLine="720"/>
        <w:rPr>
          <w:rFonts w:eastAsia="Times New Roman"/>
          <w:sz w:val="24"/>
          <w:szCs w:val="24"/>
        </w:rPr>
      </w:pPr>
    </w:p>
    <w:p w14:paraId="3D419BC8" w14:textId="5B27797E"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75398E">
        <w:rPr>
          <w:rFonts w:eastAsia="Times New Roman"/>
          <w:sz w:val="24"/>
          <w:szCs w:val="24"/>
        </w:rPr>
        <w:t>7</w:t>
      </w:r>
      <w:r w:rsidRPr="005E712D">
        <w:rPr>
          <w:rFonts w:eastAsia="Times New Roman"/>
          <w:sz w:val="24"/>
          <w:szCs w:val="24"/>
        </w:rPr>
        <w:t xml:space="preserve">. For a discussion of the relationship between the collateral source rule set forth in section 13-21-111.6, and the Uniform Contribution Among Tortfeasors Act, §§ 13-50.5-101 to -106, C.R.S., see </w:t>
      </w:r>
      <w:r w:rsidRPr="005E712D">
        <w:rPr>
          <w:rFonts w:eastAsia="Times New Roman"/>
          <w:b/>
          <w:sz w:val="24"/>
          <w:szCs w:val="24"/>
        </w:rPr>
        <w:t>Smith</w:t>
      </w:r>
      <w:r w:rsidRPr="005E712D">
        <w:rPr>
          <w:rFonts w:eastAsia="Times New Roman"/>
          <w:sz w:val="24"/>
          <w:szCs w:val="24"/>
        </w:rPr>
        <w:t>, 880 P.2d at 1188 (section 13-50.5-105 applies to settlement agreements entered into to avoid liability at trial, rather than the damage reduction provisions of the “collateral source rule” set forth in section 13-21-111.6).</w:t>
      </w:r>
    </w:p>
    <w:p w14:paraId="1902137D"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Federal Law</w:t>
      </w:r>
    </w:p>
    <w:p w14:paraId="7FB24EFD" w14:textId="05DCC804"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75398E">
        <w:rPr>
          <w:rFonts w:eastAsia="Times New Roman"/>
          <w:sz w:val="24"/>
          <w:szCs w:val="24"/>
        </w:rPr>
        <w:t>8</w:t>
      </w:r>
      <w:r w:rsidRPr="005E712D">
        <w:rPr>
          <w:rFonts w:eastAsia="Times New Roman"/>
          <w:sz w:val="24"/>
          <w:szCs w:val="24"/>
        </w:rPr>
        <w:t xml:space="preserve">. In FELA actions tried in state courts, the proper measure of damages is to be determined as a matter of federal law. </w:t>
      </w:r>
      <w:r w:rsidRPr="005E712D">
        <w:rPr>
          <w:rFonts w:eastAsia="Times New Roman"/>
          <w:b/>
          <w:sz w:val="24"/>
          <w:szCs w:val="24"/>
        </w:rPr>
        <w:t>Monessen Sw. Ry. v. Morgan</w:t>
      </w:r>
      <w:r w:rsidRPr="005E712D">
        <w:rPr>
          <w:rFonts w:eastAsia="Times New Roman"/>
          <w:sz w:val="24"/>
          <w:szCs w:val="24"/>
        </w:rPr>
        <w:t xml:space="preserve">, 486 U.S. 330 (1988) (as matter of federal law, plaintiff was not entitled to prejudgment interest, and damages for lost future earnings must be discounted to present value). For a discussion of various formulas for calculating a discount to present value, see </w:t>
      </w:r>
      <w:r w:rsidRPr="005E712D">
        <w:rPr>
          <w:rFonts w:eastAsia="Times New Roman"/>
          <w:b/>
          <w:sz w:val="24"/>
          <w:szCs w:val="24"/>
        </w:rPr>
        <w:t>Brady v. Burlington Northern Railroad</w:t>
      </w:r>
      <w:r w:rsidRPr="005E712D">
        <w:rPr>
          <w:rFonts w:eastAsia="Times New Roman"/>
          <w:sz w:val="24"/>
          <w:szCs w:val="24"/>
        </w:rPr>
        <w:t xml:space="preserve">, 752 P.2d 592 (Colo. App. 1988).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Failing v. Burlington N. R.R.</w:t>
      </w:r>
      <w:r w:rsidRPr="005E712D">
        <w:rPr>
          <w:rFonts w:eastAsia="Times New Roman"/>
          <w:sz w:val="24"/>
          <w:szCs w:val="24"/>
        </w:rPr>
        <w:t>, 815 P.2d 974 (Colo. App. 1991).</w:t>
      </w:r>
    </w:p>
    <w:p w14:paraId="768D4308" w14:textId="01F1FCBA" w:rsidR="0068336D" w:rsidRDefault="005E712D" w:rsidP="007A3A0E">
      <w:pPr>
        <w:spacing w:after="240"/>
        <w:ind w:firstLine="720"/>
        <w:rPr>
          <w:rFonts w:eastAsia="Times New Roman"/>
          <w:sz w:val="24"/>
          <w:szCs w:val="24"/>
        </w:rPr>
      </w:pPr>
      <w:r w:rsidRPr="005E712D">
        <w:rPr>
          <w:rFonts w:eastAsia="Times New Roman"/>
          <w:sz w:val="24"/>
          <w:szCs w:val="24"/>
        </w:rPr>
        <w:t>1</w:t>
      </w:r>
      <w:r w:rsidR="0075398E">
        <w:rPr>
          <w:rFonts w:eastAsia="Times New Roman"/>
          <w:sz w:val="24"/>
          <w:szCs w:val="24"/>
        </w:rPr>
        <w:t>9</w:t>
      </w:r>
      <w:r w:rsidRPr="005E712D">
        <w:rPr>
          <w:rFonts w:eastAsia="Times New Roman"/>
          <w:sz w:val="24"/>
          <w:szCs w:val="24"/>
        </w:rPr>
        <w:t>. Other limitations on the recovery of damages may apply when recovery is sought against a volunteer of a nonprofit organization or governmental entity “for harm caused by an act or omission of the volunteer on behalf of the organization or entity.” 42 U.S.C. § 14503(a) (201</w:t>
      </w:r>
      <w:r w:rsidR="009C72B0">
        <w:rPr>
          <w:rFonts w:eastAsia="Times New Roman"/>
          <w:sz w:val="24"/>
          <w:szCs w:val="24"/>
        </w:rPr>
        <w:t>8</w:t>
      </w:r>
      <w:r w:rsidRPr="005E712D">
        <w:rPr>
          <w:rFonts w:eastAsia="Times New Roman"/>
          <w:sz w:val="24"/>
          <w:szCs w:val="24"/>
        </w:rPr>
        <w:t xml:space="preserve">). For the applicable limitations, see Volunteer Protection Act of 1997, 42 U.S.C. §§ 14503 </w:t>
      </w:r>
      <w:r w:rsidRPr="005E712D">
        <w:rPr>
          <w:rFonts w:eastAsia="Times New Roman"/>
          <w:sz w:val="24"/>
          <w:szCs w:val="24"/>
        </w:rPr>
        <w:lastRenderedPageBreak/>
        <w:t xml:space="preserve">and 14504. When applicable, this and related instructions on damages must be modified as appropriate. </w:t>
      </w:r>
      <w:r w:rsidR="0047356A">
        <w:rPr>
          <w:rFonts w:eastAsia="Times New Roman"/>
          <w:sz w:val="24"/>
          <w:szCs w:val="24"/>
        </w:rPr>
        <w:t>42</w:t>
      </w:r>
      <w:r w:rsidR="0047356A" w:rsidRPr="005E712D">
        <w:rPr>
          <w:rFonts w:eastAsia="Times New Roman"/>
          <w:sz w:val="24"/>
          <w:szCs w:val="24"/>
        </w:rPr>
        <w:t xml:space="preserve"> </w:t>
      </w:r>
      <w:r w:rsidRPr="005E712D">
        <w:rPr>
          <w:rFonts w:eastAsia="Times New Roman"/>
          <w:sz w:val="24"/>
          <w:szCs w:val="24"/>
        </w:rPr>
        <w:t>U.S.C. §§ 14501-05.</w:t>
      </w:r>
    </w:p>
    <w:p w14:paraId="24518551" w14:textId="77777777" w:rsidR="00434371" w:rsidRDefault="00434371">
      <w:pPr>
        <w:rPr>
          <w:rFonts w:eastAsia="Times New Roman"/>
          <w:sz w:val="24"/>
          <w:szCs w:val="24"/>
        </w:rPr>
      </w:pPr>
      <w:r>
        <w:rPr>
          <w:rFonts w:eastAsia="Times New Roman"/>
          <w:sz w:val="24"/>
          <w:szCs w:val="24"/>
        </w:rPr>
        <w:br w:type="page"/>
      </w:r>
    </w:p>
    <w:p w14:paraId="66742E32" w14:textId="77777777" w:rsidR="00434371" w:rsidRPr="009E3DA4" w:rsidRDefault="00434371" w:rsidP="00434371">
      <w:pPr>
        <w:spacing w:after="240"/>
        <w:ind w:left="720" w:hanging="720"/>
        <w:rPr>
          <w:rFonts w:eastAsia="Times New Roman"/>
          <w:b/>
          <w:sz w:val="24"/>
          <w:szCs w:val="24"/>
        </w:rPr>
      </w:pPr>
      <w:bookmarkStart w:id="3" w:name="a6_1A"/>
      <w:bookmarkEnd w:id="3"/>
      <w:r w:rsidRPr="00434371">
        <w:rPr>
          <w:rFonts w:eastAsia="Times New Roman"/>
          <w:b/>
          <w:sz w:val="24"/>
          <w:szCs w:val="24"/>
        </w:rPr>
        <w:lastRenderedPageBreak/>
        <w:t xml:space="preserve">6:1A </w:t>
      </w:r>
      <w:r w:rsidRPr="00434371">
        <w:rPr>
          <w:rFonts w:eastAsia="Times New Roman"/>
          <w:b/>
          <w:sz w:val="24"/>
          <w:szCs w:val="24"/>
        </w:rPr>
        <w:tab/>
        <w:t>SPECIAL INTERROGATORIES TO THE JURY TO DETERMINE THE AMOUNT OF DAMAGES AWARDED FOR ECONOMIC AND NONECONOMIC LOSSES OR INJURIES AND FOR PHYSICAL IMPAIRMENT OR DISFIGUREMENT ― MECHANICS FOR SUBMITTING</w:t>
      </w:r>
    </w:p>
    <w:p w14:paraId="121D0FBB"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The following questions relate to the amount of damages, if any, which you may determine the plaintiff is entitled to recover from (the defendant) (one or more of the defendants) on plaintiff’s claim of </w:t>
      </w:r>
      <w:r w:rsidRPr="00434371">
        <w:rPr>
          <w:rFonts w:eastAsia="Times New Roman"/>
          <w:i/>
          <w:sz w:val="24"/>
          <w:szCs w:val="24"/>
        </w:rPr>
        <w:t>(insert appropriate description of claim, e.g., “negligence,” “battery,” etc.)</w:t>
      </w:r>
      <w:r w:rsidRPr="00434371">
        <w:rPr>
          <w:rFonts w:eastAsia="Times New Roman"/>
          <w:b/>
          <w:sz w:val="24"/>
          <w:szCs w:val="24"/>
        </w:rPr>
        <w:t>.</w:t>
      </w:r>
    </w:p>
    <w:p w14:paraId="7FF12B0F"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If you find that the plaintiff is not entitled to recover any (actual) damages from (the defendant) (one or more of the defendants), then you should not answer any of the following questions and you should not fill in any part of the accompanying form titled “Answers to Questions Regarding Damages.”</w:t>
      </w:r>
    </w:p>
    <w:p w14:paraId="620DCC24"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On the other hand, if you find that the plaintiff is entitled to recover damages from (the defendant) (one or more of the defendants), then you must answer all of the following questions and your foreperson must put your answers on the form titled “Answers to Questions Regarding Damages.”</w:t>
      </w:r>
    </w:p>
    <w:p w14:paraId="465D7E49"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In answering these questions you should include all of the plaintiff’s damages which you find were caused, in whole or in part, by the </w:t>
      </w:r>
      <w:r w:rsidRPr="00434371">
        <w:rPr>
          <w:rFonts w:eastAsia="Times New Roman"/>
          <w:i/>
          <w:sz w:val="24"/>
          <w:szCs w:val="24"/>
        </w:rPr>
        <w:t>(insert appropriate description, e.g., negligence, fault, conduct, etc.)</w:t>
      </w:r>
      <w:r w:rsidRPr="00434371">
        <w:rPr>
          <w:rFonts w:eastAsia="Times New Roman"/>
          <w:b/>
          <w:sz w:val="24"/>
          <w:szCs w:val="24"/>
        </w:rPr>
        <w:t xml:space="preserve"> of (the defendant) (one or more of the defendants).</w:t>
      </w:r>
    </w:p>
    <w:p w14:paraId="0BC27E01"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You must all agree on your answers to each of the questions. After your foreperson has put your answers to all of the questions on the accompanying answer form, you must all sign the completed form on the signature lines provided at the end of the form.</w:t>
      </w:r>
    </w:p>
    <w:p w14:paraId="3F68AAC7"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1. What is the total amount of plaintiff’s damages, if any, for noneconomic losses or injuries, (excluding any damages for [physical impairment] [or] [disfigurement])? Noneconomic losses or injuries are those losses or injuries described in numbered paragraph 1 of Instruction </w:t>
      </w:r>
      <w:r w:rsidRPr="00434371">
        <w:rPr>
          <w:rFonts w:eastAsia="Times New Roman"/>
          <w:i/>
          <w:sz w:val="24"/>
          <w:szCs w:val="24"/>
        </w:rPr>
        <w:t>(insert number of the applicable instruction on damages)</w:t>
      </w:r>
      <w:r w:rsidRPr="00434371">
        <w:rPr>
          <w:rFonts w:eastAsia="Times New Roman"/>
          <w:b/>
          <w:sz w:val="24"/>
          <w:szCs w:val="24"/>
        </w:rPr>
        <w:t>. You should answer “0” if you determine there were none.</w:t>
      </w:r>
    </w:p>
    <w:p w14:paraId="2D6C79E6"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2. What is the total amount of plaintiff’s damages, if any, for economic losses, (excluding any damages for [physical impairment] [or] [disfigurement])? Economic losses are those losses described in numbered paragraph 2 of Instruction </w:t>
      </w:r>
      <w:r w:rsidRPr="00434371">
        <w:rPr>
          <w:rFonts w:eastAsia="Times New Roman"/>
          <w:i/>
          <w:sz w:val="24"/>
          <w:szCs w:val="24"/>
        </w:rPr>
        <w:t>(insert number of applicable instruction on damages)</w:t>
      </w:r>
      <w:r w:rsidRPr="00434371">
        <w:rPr>
          <w:rFonts w:eastAsia="Times New Roman"/>
          <w:b/>
          <w:sz w:val="24"/>
          <w:szCs w:val="24"/>
        </w:rPr>
        <w:t>. You should answer “0” if you determine there were none.</w:t>
      </w:r>
    </w:p>
    <w:p w14:paraId="358D2BB8"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(3. What is the total amount of plaintiff’s damages for [physical impairment] [or] [disfigurement]? You should answer “0” if you determine there were none.)</w:t>
      </w:r>
    </w:p>
    <w:p w14:paraId="03D31068" w14:textId="77777777" w:rsidR="00434371" w:rsidRDefault="00434371" w:rsidP="00434371">
      <w:pPr>
        <w:jc w:val="center"/>
        <w:rPr>
          <w:rFonts w:eastAsia="Times New Roman"/>
          <w:sz w:val="24"/>
          <w:szCs w:val="24"/>
        </w:rPr>
      </w:pPr>
    </w:p>
    <w:p w14:paraId="53292219" w14:textId="77777777" w:rsidR="00434371" w:rsidRPr="0054263B" w:rsidRDefault="00434371" w:rsidP="00434371">
      <w:pPr>
        <w:keepNext/>
        <w:spacing w:after="240"/>
        <w:jc w:val="center"/>
        <w:rPr>
          <w:rFonts w:eastAsia="Times New Roman"/>
          <w:b/>
          <w:sz w:val="24"/>
          <w:szCs w:val="24"/>
        </w:rPr>
      </w:pPr>
      <w:r w:rsidRPr="0054263B">
        <w:rPr>
          <w:rFonts w:eastAsia="Times New Roman"/>
          <w:b/>
          <w:sz w:val="24"/>
          <w:szCs w:val="24"/>
        </w:rPr>
        <w:t>Notes on Use</w:t>
      </w:r>
    </w:p>
    <w:p w14:paraId="6C0DFB63"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1. This instruction should be used in actions in which the limitations on damages for “noneconomic loss or injury” set forth in section 13-21-102.5, C.R.S., may apply.</w:t>
      </w:r>
    </w:p>
    <w:p w14:paraId="6F71EACA"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lastRenderedPageBreak/>
        <w:t>2. Instruction 6:1B should be given whenever this instruction is given.</w:t>
      </w:r>
    </w:p>
    <w:p w14:paraId="004941E5"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3. The Notes on Use to Instruction 6:1 also apply to this instruction.</w:t>
      </w:r>
    </w:p>
    <w:p w14:paraId="1571A112"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4. The parenthesized language in the first sentences of numbered paragraphs 1 and 2 and the parenthesized numbered paragraph 3 of this instruction should be given only if there is sufficient evidence to support a finding that physical impairment or disfigurement has been sustained.</w:t>
      </w:r>
    </w:p>
    <w:p w14:paraId="433CEFD4"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5. In cases involving (1) comparative negligence (see Instructions 9:22 through 9:27D), (2) the negligence or fault of a nonparty (see Instructions 9:28 through 9:29B), or (3) comparative fault (see Instructions 14:30 through 14:33B), this instruction and Instruction 6:1B should not be used.</w:t>
      </w:r>
    </w:p>
    <w:p w14:paraId="13C97A61"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6. In cases involving multiple claims for both economic and noneconomic damages, if the damages for each such claim are identical, then this instruction should be appropriately modified so that only one set of the special interrogatories set forth in this instruction is submitted to the jury for all such claims. In such cases, Instruction 6:14 must be given with this instruction. On the other hand, if the economic and noneconomic damages for such claims are not identical, then a separate set of the special interrogatories set forth in this instruction must be submitted for each such claim.</w:t>
      </w:r>
    </w:p>
    <w:p w14:paraId="3368A98A"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7. When this instruction is given with instructions on damages other than Instruction 6:1 (such as 6:2 and 6:3), such other instructions on damages may need to be modified to differentiate the noneconomic damages and the economic damages. When making any such modifications, Instruction 6:1 may be used as a model.</w:t>
      </w:r>
    </w:p>
    <w:p w14:paraId="513CE5DA" w14:textId="77777777" w:rsidR="00434371" w:rsidRPr="0054263B" w:rsidRDefault="00434371" w:rsidP="00434371">
      <w:pPr>
        <w:keepNext/>
        <w:spacing w:after="240"/>
        <w:jc w:val="center"/>
        <w:rPr>
          <w:rFonts w:eastAsia="Times New Roman"/>
          <w:b/>
          <w:sz w:val="24"/>
          <w:szCs w:val="24"/>
        </w:rPr>
      </w:pPr>
      <w:r>
        <w:rPr>
          <w:rFonts w:eastAsia="Times New Roman"/>
          <w:b/>
          <w:sz w:val="24"/>
          <w:szCs w:val="24"/>
        </w:rPr>
        <w:t>Source and Authority</w:t>
      </w:r>
    </w:p>
    <w:p w14:paraId="284ACA6B" w14:textId="77777777" w:rsidR="00434371" w:rsidRDefault="00434371" w:rsidP="00434371">
      <w:pPr>
        <w:spacing w:after="240"/>
        <w:ind w:firstLine="720"/>
        <w:rPr>
          <w:rFonts w:eastAsia="Times New Roman"/>
          <w:sz w:val="24"/>
          <w:szCs w:val="24"/>
        </w:rPr>
      </w:pPr>
      <w:r w:rsidRPr="00434371">
        <w:rPr>
          <w:rFonts w:eastAsia="Times New Roman"/>
          <w:sz w:val="24"/>
          <w:szCs w:val="24"/>
        </w:rPr>
        <w:t>See the Source and Authority to Instruction 6:1.</w:t>
      </w:r>
    </w:p>
    <w:p w14:paraId="584425C3" w14:textId="77777777" w:rsidR="008557E1" w:rsidRDefault="008557E1">
      <w:pPr>
        <w:rPr>
          <w:rFonts w:eastAsia="Times New Roman"/>
          <w:sz w:val="24"/>
          <w:szCs w:val="24"/>
        </w:rPr>
      </w:pPr>
      <w:r>
        <w:rPr>
          <w:rFonts w:eastAsia="Times New Roman"/>
          <w:sz w:val="24"/>
          <w:szCs w:val="24"/>
        </w:rPr>
        <w:br w:type="page"/>
      </w:r>
    </w:p>
    <w:p w14:paraId="4969A133" w14:textId="77777777" w:rsidR="008557E1" w:rsidRDefault="008557E1" w:rsidP="008557E1">
      <w:pPr>
        <w:spacing w:after="240"/>
        <w:ind w:left="720" w:hanging="720"/>
        <w:rPr>
          <w:rFonts w:eastAsia="Times New Roman"/>
          <w:b/>
          <w:sz w:val="24"/>
          <w:szCs w:val="24"/>
        </w:rPr>
      </w:pPr>
      <w:bookmarkStart w:id="4" w:name="a6_1B"/>
      <w:bookmarkEnd w:id="4"/>
      <w:r w:rsidRPr="008557E1">
        <w:rPr>
          <w:rFonts w:eastAsia="Times New Roman"/>
          <w:b/>
          <w:sz w:val="24"/>
          <w:szCs w:val="24"/>
        </w:rPr>
        <w:lastRenderedPageBreak/>
        <w:t xml:space="preserve">6:1B </w:t>
      </w:r>
      <w:r w:rsidRPr="008557E1">
        <w:rPr>
          <w:rFonts w:eastAsia="Times New Roman"/>
          <w:b/>
          <w:sz w:val="24"/>
          <w:szCs w:val="24"/>
        </w:rPr>
        <w:tab/>
        <w:t>ANSWERS TO SPECIAL INTERROGATORIES TO THE JURY SET FORTH IN INSTRUCTION 6:1A</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02467" w:rsidRPr="00B97C9F" w14:paraId="5596DC2C" w14:textId="77777777" w:rsidTr="00D8019D">
        <w:trPr>
          <w:trHeight w:val="4580"/>
        </w:trPr>
        <w:tc>
          <w:tcPr>
            <w:tcW w:w="6460" w:type="dxa"/>
          </w:tcPr>
          <w:p w14:paraId="062DF31C" w14:textId="77777777" w:rsidR="00F02467" w:rsidRPr="00B97C9F" w:rsidRDefault="00F02467" w:rsidP="00D8019D">
            <w:pPr>
              <w:jc w:val="both"/>
              <w:rPr>
                <w:sz w:val="24"/>
                <w:szCs w:val="24"/>
              </w:rPr>
            </w:pPr>
            <w:r w:rsidRPr="00B97C9F">
              <w:rPr>
                <w:noProof/>
                <w:sz w:val="24"/>
                <w:szCs w:val="24"/>
              </w:rPr>
              <mc:AlternateContent>
                <mc:Choice Requires="wpg">
                  <w:drawing>
                    <wp:anchor distT="0" distB="0" distL="114300" distR="114300" simplePos="0" relativeHeight="251659264" behindDoc="0" locked="0" layoutInCell="0" allowOverlap="1" wp14:anchorId="20F67427" wp14:editId="29D2C23A">
                      <wp:simplePos x="0" y="0"/>
                      <wp:positionH relativeFrom="column">
                        <wp:posOffset>4297680</wp:posOffset>
                      </wp:positionH>
                      <wp:positionV relativeFrom="paragraph">
                        <wp:posOffset>1645920</wp:posOffset>
                      </wp:positionV>
                      <wp:extent cx="1737360" cy="9144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4AEFDE" id="Group 57" o:spid="_x0000_s1026" style="position:absolute;margin-left:338.4pt;margin-top:129.6pt;width:136.8pt;height:7.2pt;z-index:25165926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0288" behindDoc="0" locked="0" layoutInCell="0" allowOverlap="1" wp14:anchorId="1571FE8B" wp14:editId="513EDB4F">
                      <wp:simplePos x="0" y="0"/>
                      <wp:positionH relativeFrom="column">
                        <wp:posOffset>4114800</wp:posOffset>
                      </wp:positionH>
                      <wp:positionV relativeFrom="paragraph">
                        <wp:posOffset>1828800</wp:posOffset>
                      </wp:positionV>
                      <wp:extent cx="228600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17822"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2BD423E2" w14:textId="77777777" w:rsidR="00F02467" w:rsidRPr="00B97C9F" w:rsidRDefault="00F02467" w:rsidP="00D8019D">
            <w:pPr>
              <w:jc w:val="both"/>
              <w:rPr>
                <w:sz w:val="24"/>
                <w:szCs w:val="24"/>
              </w:rPr>
            </w:pPr>
          </w:p>
          <w:p w14:paraId="04715D1D" w14:textId="77777777" w:rsidR="00F02467" w:rsidRPr="00B97C9F" w:rsidRDefault="00F02467"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0C0DC401" w14:textId="77777777" w:rsidR="00F02467" w:rsidRPr="00B97C9F" w:rsidRDefault="00F02467"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725231F" w14:textId="77777777" w:rsidR="00F02467" w:rsidRPr="00B97C9F" w:rsidRDefault="00F02467"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6C11E0D" w14:textId="77777777" w:rsidR="00F02467" w:rsidRPr="00B97C9F" w:rsidRDefault="00F02467"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9AA9EA2" w14:textId="77777777" w:rsidR="00F02467" w:rsidRPr="00B97C9F" w:rsidRDefault="00F02467"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11947263" w14:textId="77777777" w:rsidR="00F02467" w:rsidRPr="00B97C9F" w:rsidRDefault="00F02467" w:rsidP="00D8019D">
            <w:pPr>
              <w:jc w:val="both"/>
              <w:rPr>
                <w:b/>
                <w:sz w:val="24"/>
                <w:szCs w:val="24"/>
              </w:rPr>
            </w:pPr>
          </w:p>
          <w:p w14:paraId="06F50906" w14:textId="77777777" w:rsidR="00F02467" w:rsidRPr="00B97C9F" w:rsidRDefault="00F02467" w:rsidP="00D8019D">
            <w:pPr>
              <w:jc w:val="both"/>
              <w:rPr>
                <w:b/>
                <w:sz w:val="24"/>
                <w:szCs w:val="24"/>
              </w:rPr>
            </w:pPr>
          </w:p>
          <w:p w14:paraId="0167E27B" w14:textId="77777777" w:rsidR="00F02467" w:rsidRPr="00B97C9F" w:rsidRDefault="00F02467" w:rsidP="00D8019D">
            <w:pPr>
              <w:jc w:val="both"/>
              <w:rPr>
                <w:b/>
                <w:sz w:val="24"/>
                <w:szCs w:val="24"/>
              </w:rPr>
            </w:pPr>
          </w:p>
          <w:p w14:paraId="09683E1C" w14:textId="77777777" w:rsidR="00F02467" w:rsidRPr="00B97C9F" w:rsidRDefault="00F02467" w:rsidP="00D8019D">
            <w:pPr>
              <w:jc w:val="both"/>
              <w:rPr>
                <w:b/>
                <w:sz w:val="24"/>
                <w:szCs w:val="24"/>
              </w:rPr>
            </w:pPr>
          </w:p>
          <w:p w14:paraId="7F237F34" w14:textId="77777777" w:rsidR="00F02467" w:rsidRPr="00B97C9F" w:rsidRDefault="00F02467" w:rsidP="00D8019D">
            <w:pPr>
              <w:jc w:val="both"/>
              <w:rPr>
                <w:b/>
                <w:sz w:val="24"/>
                <w:szCs w:val="24"/>
              </w:rPr>
            </w:pPr>
          </w:p>
          <w:p w14:paraId="0FD3DABA" w14:textId="77777777" w:rsidR="00F02467" w:rsidRPr="00B97C9F" w:rsidRDefault="00F02467" w:rsidP="00D8019D">
            <w:pPr>
              <w:jc w:val="both"/>
              <w:rPr>
                <w:b/>
                <w:sz w:val="24"/>
                <w:szCs w:val="24"/>
              </w:rPr>
            </w:pPr>
          </w:p>
        </w:tc>
        <w:tc>
          <w:tcPr>
            <w:tcW w:w="3757" w:type="dxa"/>
            <w:tcBorders>
              <w:top w:val="single" w:sz="4" w:space="0" w:color="auto"/>
            </w:tcBorders>
          </w:tcPr>
          <w:p w14:paraId="4D7AD1EF" w14:textId="77777777" w:rsidR="00F02467" w:rsidRPr="00B97C9F" w:rsidRDefault="00F02467" w:rsidP="00D8019D">
            <w:pPr>
              <w:jc w:val="center"/>
              <w:rPr>
                <w:sz w:val="24"/>
                <w:szCs w:val="24"/>
              </w:rPr>
            </w:pPr>
          </w:p>
          <w:p w14:paraId="7BD498C9" w14:textId="77777777" w:rsidR="00F02467" w:rsidRPr="00B97C9F" w:rsidRDefault="00F02467" w:rsidP="00D8019D">
            <w:pPr>
              <w:jc w:val="center"/>
              <w:rPr>
                <w:sz w:val="24"/>
                <w:szCs w:val="24"/>
              </w:rPr>
            </w:pPr>
          </w:p>
          <w:p w14:paraId="25F6447E" w14:textId="77777777" w:rsidR="00F02467" w:rsidRPr="00B97C9F" w:rsidRDefault="00F02467" w:rsidP="00D8019D">
            <w:pPr>
              <w:jc w:val="center"/>
              <w:rPr>
                <w:sz w:val="24"/>
                <w:szCs w:val="24"/>
              </w:rPr>
            </w:pPr>
          </w:p>
          <w:p w14:paraId="73AE57C8" w14:textId="77777777" w:rsidR="00F02467" w:rsidRPr="00B97C9F" w:rsidRDefault="00F02467" w:rsidP="00D8019D">
            <w:pPr>
              <w:jc w:val="center"/>
              <w:rPr>
                <w:sz w:val="24"/>
                <w:szCs w:val="24"/>
              </w:rPr>
            </w:pPr>
          </w:p>
          <w:p w14:paraId="026A94D6" w14:textId="77777777" w:rsidR="00F02467" w:rsidRPr="00B97C9F" w:rsidRDefault="00F02467" w:rsidP="00D8019D">
            <w:pPr>
              <w:jc w:val="center"/>
              <w:rPr>
                <w:sz w:val="24"/>
                <w:szCs w:val="24"/>
              </w:rPr>
            </w:pPr>
          </w:p>
          <w:p w14:paraId="4DDC8EE9" w14:textId="77777777" w:rsidR="00F02467" w:rsidRPr="00B97C9F" w:rsidRDefault="00F02467" w:rsidP="00D8019D">
            <w:pPr>
              <w:jc w:val="center"/>
              <w:rPr>
                <w:sz w:val="24"/>
                <w:szCs w:val="24"/>
              </w:rPr>
            </w:pPr>
          </w:p>
          <w:p w14:paraId="21637131" w14:textId="77777777" w:rsidR="00F02467" w:rsidRPr="00B97C9F" w:rsidRDefault="00F02467"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7EFA2888" w14:textId="77777777" w:rsidR="00F02467" w:rsidRPr="00B97C9F" w:rsidRDefault="00F02467" w:rsidP="00D8019D">
            <w:pPr>
              <w:pStyle w:val="Heading2"/>
              <w:rPr>
                <w:rFonts w:ascii="Times New Roman" w:hAnsi="Times New Roman" w:cs="Times New Roman"/>
                <w:sz w:val="24"/>
                <w:szCs w:val="24"/>
              </w:rPr>
            </w:pPr>
          </w:p>
          <w:p w14:paraId="5DF1F166" w14:textId="77777777" w:rsidR="00F02467" w:rsidRPr="00B97C9F" w:rsidRDefault="00F02467" w:rsidP="00D8019D">
            <w:pPr>
              <w:pStyle w:val="Heading2"/>
              <w:rPr>
                <w:rFonts w:ascii="Times New Roman" w:hAnsi="Times New Roman" w:cs="Times New Roman"/>
                <w:sz w:val="24"/>
                <w:szCs w:val="24"/>
              </w:rPr>
            </w:pPr>
          </w:p>
          <w:p w14:paraId="25C6C9F8" w14:textId="77777777" w:rsidR="00F02467" w:rsidRPr="00886487" w:rsidRDefault="00F02467"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563F08DB" w14:textId="77777777" w:rsidR="00F02467" w:rsidRPr="00886487" w:rsidRDefault="00F02467" w:rsidP="00D8019D">
            <w:pPr>
              <w:pStyle w:val="Heading2"/>
              <w:rPr>
                <w:rFonts w:ascii="Times New Roman" w:hAnsi="Times New Roman" w:cs="Times New Roman"/>
                <w:color w:val="000000" w:themeColor="text1"/>
                <w:sz w:val="24"/>
                <w:szCs w:val="24"/>
              </w:rPr>
            </w:pPr>
          </w:p>
          <w:p w14:paraId="4B43AAA0" w14:textId="77777777" w:rsidR="00F02467" w:rsidRPr="00B97C9F" w:rsidRDefault="00F02467" w:rsidP="00D8019D">
            <w:pPr>
              <w:pStyle w:val="Heading2"/>
              <w:rPr>
                <w:rFonts w:ascii="Times New Roman" w:hAnsi="Times New Roman" w:cs="Times New Roman"/>
                <w:sz w:val="24"/>
                <w:szCs w:val="24"/>
              </w:rPr>
            </w:pPr>
          </w:p>
          <w:p w14:paraId="7DF599A2" w14:textId="77777777" w:rsidR="00F02467" w:rsidRPr="00B97C9F" w:rsidRDefault="00F02467" w:rsidP="00D8019D">
            <w:pPr>
              <w:rPr>
                <w:sz w:val="24"/>
                <w:szCs w:val="24"/>
              </w:rPr>
            </w:pPr>
          </w:p>
          <w:p w14:paraId="5213D011" w14:textId="77777777" w:rsidR="00F02467" w:rsidRPr="00B97C9F" w:rsidRDefault="00F02467" w:rsidP="00D8019D">
            <w:pPr>
              <w:rPr>
                <w:sz w:val="24"/>
                <w:szCs w:val="24"/>
              </w:rPr>
            </w:pPr>
            <w:r w:rsidRPr="00B97C9F">
              <w:rPr>
                <w:sz w:val="24"/>
                <w:szCs w:val="24"/>
              </w:rPr>
              <w:t>Case Number:</w:t>
            </w:r>
          </w:p>
          <w:p w14:paraId="5D21EB86" w14:textId="77777777" w:rsidR="00F02467" w:rsidRPr="00B97C9F" w:rsidRDefault="00F02467"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9555B3A" w14:textId="77777777" w:rsidR="00F02467" w:rsidRPr="00B97C9F" w:rsidRDefault="00F02467" w:rsidP="00D8019D">
            <w:pPr>
              <w:rPr>
                <w:sz w:val="24"/>
                <w:szCs w:val="24"/>
              </w:rPr>
            </w:pPr>
          </w:p>
          <w:p w14:paraId="5A99C152" w14:textId="77777777" w:rsidR="00F02467" w:rsidRPr="00B97C9F" w:rsidRDefault="00F02467" w:rsidP="00D8019D">
            <w:pPr>
              <w:rPr>
                <w:sz w:val="24"/>
                <w:szCs w:val="24"/>
              </w:rPr>
            </w:pPr>
          </w:p>
          <w:p w14:paraId="579A4D5D" w14:textId="77777777" w:rsidR="00F02467" w:rsidRPr="00B97C9F" w:rsidRDefault="00F02467"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02467" w:rsidRPr="00B97C9F" w14:paraId="18B2DDDF" w14:textId="77777777" w:rsidTr="00D8019D">
        <w:trPr>
          <w:trHeight w:val="287"/>
        </w:trPr>
        <w:tc>
          <w:tcPr>
            <w:tcW w:w="10217" w:type="dxa"/>
            <w:gridSpan w:val="2"/>
            <w:vAlign w:val="center"/>
          </w:tcPr>
          <w:p w14:paraId="178979B3" w14:textId="77777777" w:rsidR="00F02467" w:rsidRDefault="00F02467" w:rsidP="00D8019D">
            <w:pPr>
              <w:pStyle w:val="Heading1"/>
              <w:spacing w:after="0"/>
            </w:pPr>
          </w:p>
          <w:p w14:paraId="100E8938" w14:textId="119195E2" w:rsidR="00F02467" w:rsidRPr="00B97C9F" w:rsidRDefault="00F02467" w:rsidP="00D8019D">
            <w:pPr>
              <w:pStyle w:val="Heading1"/>
            </w:pPr>
            <w:r>
              <w:t>ANSWERS TO QUESTIONS REGARDING DAMAGES</w:t>
            </w:r>
            <w:r w:rsidRPr="00B97C9F">
              <w:t xml:space="preserve"> </w:t>
            </w:r>
          </w:p>
        </w:tc>
      </w:tr>
    </w:tbl>
    <w:p w14:paraId="10F93A74" w14:textId="77777777" w:rsidR="00F02467" w:rsidRPr="009E3DA4" w:rsidRDefault="00F02467" w:rsidP="008557E1">
      <w:pPr>
        <w:spacing w:after="240"/>
        <w:ind w:left="720" w:hanging="720"/>
        <w:rPr>
          <w:rFonts w:eastAsia="Times New Roman"/>
          <w:b/>
          <w:sz w:val="24"/>
          <w:szCs w:val="24"/>
        </w:rPr>
      </w:pPr>
    </w:p>
    <w:p w14:paraId="0271E384" w14:textId="77777777" w:rsidR="008557E1" w:rsidRPr="008557E1" w:rsidRDefault="008557E1" w:rsidP="008557E1">
      <w:pPr>
        <w:rPr>
          <w:rFonts w:eastAsia="Times New Roman"/>
          <w:b/>
          <w:sz w:val="24"/>
          <w:szCs w:val="24"/>
        </w:rPr>
      </w:pPr>
    </w:p>
    <w:p w14:paraId="6631EDA2" w14:textId="77777777" w:rsidR="008557E1" w:rsidRPr="008557E1" w:rsidRDefault="008557E1" w:rsidP="008557E1">
      <w:pPr>
        <w:rPr>
          <w:rFonts w:eastAsia="Times New Roman"/>
          <w:b/>
          <w:sz w:val="24"/>
          <w:szCs w:val="24"/>
        </w:rPr>
      </w:pPr>
    </w:p>
    <w:p w14:paraId="24763FEA" w14:textId="77777777" w:rsidR="008557E1" w:rsidRPr="008557E1" w:rsidRDefault="008557E1" w:rsidP="008557E1">
      <w:pPr>
        <w:ind w:firstLine="720"/>
        <w:rPr>
          <w:rFonts w:eastAsia="Times New Roman"/>
          <w:b/>
          <w:sz w:val="24"/>
          <w:szCs w:val="24"/>
        </w:rPr>
      </w:pPr>
      <w:r w:rsidRPr="008557E1">
        <w:rPr>
          <w:rFonts w:eastAsia="Times New Roman"/>
          <w:b/>
          <w:sz w:val="24"/>
          <w:szCs w:val="24"/>
        </w:rPr>
        <w:t>DO NOT ANSWER ANY OF THESE QUESTIONS IF YOU HAVE RETURNED A VERDICT IN FAVOR OF (THE DEFENDANT) (ALL OF THE DEFENDANTS) AND AGAINST THE PLAINTIFF</w:t>
      </w:r>
    </w:p>
    <w:p w14:paraId="677EB93D" w14:textId="77777777" w:rsidR="008557E1" w:rsidRPr="008557E1" w:rsidRDefault="008557E1" w:rsidP="008557E1">
      <w:pPr>
        <w:rPr>
          <w:rFonts w:eastAsia="Times New Roman"/>
          <w:b/>
          <w:sz w:val="24"/>
          <w:szCs w:val="24"/>
        </w:rPr>
      </w:pPr>
    </w:p>
    <w:p w14:paraId="03955313" w14:textId="77777777" w:rsidR="008557E1" w:rsidRPr="008557E1" w:rsidRDefault="008557E1" w:rsidP="008557E1">
      <w:pPr>
        <w:ind w:firstLine="720"/>
        <w:rPr>
          <w:rFonts w:eastAsia="Times New Roman"/>
          <w:b/>
          <w:sz w:val="24"/>
          <w:szCs w:val="24"/>
        </w:rPr>
      </w:pPr>
      <w:r w:rsidRPr="008557E1">
        <w:rPr>
          <w:rFonts w:eastAsia="Times New Roman"/>
          <w:b/>
          <w:sz w:val="24"/>
          <w:szCs w:val="24"/>
        </w:rPr>
        <w:t>We, the jury, present our Answers to the Questions submitted by the Court, to which we have all agreed:</w:t>
      </w:r>
    </w:p>
    <w:p w14:paraId="12A0A153" w14:textId="77777777" w:rsidR="008557E1" w:rsidRPr="008557E1" w:rsidRDefault="008557E1" w:rsidP="008557E1">
      <w:pPr>
        <w:rPr>
          <w:rFonts w:eastAsia="Times New Roman"/>
          <w:b/>
          <w:sz w:val="24"/>
          <w:szCs w:val="24"/>
        </w:rPr>
      </w:pPr>
    </w:p>
    <w:p w14:paraId="3759A114" w14:textId="77777777" w:rsidR="008557E1" w:rsidRPr="008557E1" w:rsidRDefault="008557E1" w:rsidP="008557E1">
      <w:pPr>
        <w:tabs>
          <w:tab w:val="left" w:pos="1080"/>
        </w:tabs>
        <w:ind w:left="1080" w:hanging="360"/>
        <w:rPr>
          <w:rFonts w:eastAsia="Times New Roman"/>
          <w:b/>
          <w:sz w:val="24"/>
          <w:szCs w:val="24"/>
        </w:rPr>
      </w:pPr>
      <w:r w:rsidRPr="008557E1">
        <w:rPr>
          <w:rFonts w:eastAsia="Times New Roman"/>
          <w:b/>
          <w:sz w:val="24"/>
          <w:szCs w:val="24"/>
        </w:rPr>
        <w:t xml:space="preserve">1. </w:t>
      </w:r>
      <w:r w:rsidRPr="008557E1">
        <w:rPr>
          <w:rFonts w:eastAsia="Times New Roman"/>
          <w:b/>
          <w:sz w:val="24"/>
          <w:szCs w:val="24"/>
        </w:rPr>
        <w:tab/>
        <w:t xml:space="preserve">What is the total amount of plaintiff’s damages for noneconomic losses or injuries (, excluding any damages for [physical impairment] [or] [disfigurement])? Noneconomic losses or injuries are those losses or injuries described in numbered paragraph 1 of Instruction </w:t>
      </w:r>
      <w:r w:rsidRPr="008557E1">
        <w:rPr>
          <w:rFonts w:eastAsia="Times New Roman"/>
          <w:i/>
          <w:sz w:val="24"/>
          <w:szCs w:val="24"/>
        </w:rPr>
        <w:t>(insert number of the applicable instruction on damages)</w:t>
      </w:r>
      <w:r w:rsidRPr="008557E1">
        <w:rPr>
          <w:rFonts w:eastAsia="Times New Roman"/>
          <w:b/>
          <w:sz w:val="24"/>
          <w:szCs w:val="24"/>
        </w:rPr>
        <w:t>. You should answer “0” if you determine there were none.</w:t>
      </w:r>
    </w:p>
    <w:p w14:paraId="04855163" w14:textId="77777777" w:rsidR="008557E1" w:rsidRPr="008557E1" w:rsidRDefault="008557E1" w:rsidP="008557E1">
      <w:pPr>
        <w:ind w:left="1665"/>
        <w:rPr>
          <w:rFonts w:eastAsia="Times New Roman"/>
          <w:b/>
          <w:sz w:val="24"/>
          <w:szCs w:val="24"/>
        </w:rPr>
      </w:pPr>
    </w:p>
    <w:p w14:paraId="099003A2" w14:textId="77777777" w:rsidR="008557E1" w:rsidRPr="008557E1" w:rsidRDefault="008557E1" w:rsidP="008557E1">
      <w:pPr>
        <w:ind w:firstLine="1080"/>
        <w:rPr>
          <w:rFonts w:eastAsia="Times New Roman"/>
          <w:b/>
          <w:sz w:val="24"/>
          <w:szCs w:val="24"/>
        </w:rPr>
      </w:pPr>
      <w:r w:rsidRPr="008557E1">
        <w:rPr>
          <w:rFonts w:eastAsia="Times New Roman"/>
          <w:b/>
          <w:sz w:val="24"/>
          <w:szCs w:val="24"/>
        </w:rPr>
        <w:t>ANSWER: $_______</w:t>
      </w:r>
    </w:p>
    <w:p w14:paraId="74E807F5" w14:textId="77777777" w:rsidR="008557E1" w:rsidRPr="008557E1" w:rsidRDefault="008557E1" w:rsidP="008557E1">
      <w:pPr>
        <w:rPr>
          <w:rFonts w:eastAsia="Times New Roman"/>
          <w:b/>
          <w:sz w:val="24"/>
          <w:szCs w:val="24"/>
        </w:rPr>
      </w:pPr>
    </w:p>
    <w:p w14:paraId="0486455B" w14:textId="77777777" w:rsidR="008557E1" w:rsidRPr="008557E1" w:rsidRDefault="008557E1" w:rsidP="008557E1">
      <w:pPr>
        <w:tabs>
          <w:tab w:val="left" w:pos="1080"/>
        </w:tabs>
        <w:ind w:left="1080" w:hanging="360"/>
        <w:rPr>
          <w:rFonts w:eastAsia="Times New Roman"/>
          <w:b/>
          <w:sz w:val="24"/>
          <w:szCs w:val="24"/>
        </w:rPr>
      </w:pPr>
      <w:r w:rsidRPr="008557E1">
        <w:rPr>
          <w:rFonts w:eastAsia="Times New Roman"/>
          <w:b/>
          <w:sz w:val="24"/>
          <w:szCs w:val="24"/>
        </w:rPr>
        <w:t>2.</w:t>
      </w:r>
      <w:r w:rsidRPr="008557E1">
        <w:rPr>
          <w:rFonts w:eastAsia="Times New Roman"/>
          <w:b/>
          <w:sz w:val="24"/>
          <w:szCs w:val="24"/>
        </w:rPr>
        <w:tab/>
        <w:t xml:space="preserve">What is the total amount of plaintiff’s damages for economic losses (, excluding any damages for [physical impairment] [or] [disfigurement])? Economic losses </w:t>
      </w:r>
      <w:r w:rsidRPr="008557E1">
        <w:rPr>
          <w:rFonts w:eastAsia="Times New Roman"/>
          <w:b/>
          <w:sz w:val="24"/>
          <w:szCs w:val="24"/>
        </w:rPr>
        <w:lastRenderedPageBreak/>
        <w:t xml:space="preserve">are those losses described in numbered paragraph 2 of Instruction </w:t>
      </w:r>
      <w:r w:rsidRPr="008557E1">
        <w:rPr>
          <w:rFonts w:eastAsia="Times New Roman"/>
          <w:i/>
          <w:sz w:val="24"/>
          <w:szCs w:val="24"/>
        </w:rPr>
        <w:t>(insert number of the applicable instruction on damages)</w:t>
      </w:r>
      <w:r w:rsidRPr="008557E1">
        <w:rPr>
          <w:rFonts w:eastAsia="Times New Roman"/>
          <w:b/>
          <w:sz w:val="24"/>
          <w:szCs w:val="24"/>
        </w:rPr>
        <w:t>. You should answer “0” if you determine there were none.</w:t>
      </w:r>
    </w:p>
    <w:p w14:paraId="2E1F7792" w14:textId="77777777" w:rsidR="008557E1" w:rsidRPr="008557E1" w:rsidRDefault="008557E1" w:rsidP="008557E1">
      <w:pPr>
        <w:ind w:left="1665"/>
        <w:rPr>
          <w:rFonts w:eastAsia="Times New Roman"/>
          <w:b/>
          <w:sz w:val="24"/>
          <w:szCs w:val="24"/>
        </w:rPr>
      </w:pPr>
    </w:p>
    <w:p w14:paraId="083AE8C5" w14:textId="77777777" w:rsidR="008557E1" w:rsidRPr="008557E1" w:rsidRDefault="008557E1" w:rsidP="008557E1">
      <w:pPr>
        <w:ind w:firstLine="1080"/>
        <w:rPr>
          <w:rFonts w:eastAsia="Times New Roman"/>
          <w:b/>
          <w:sz w:val="24"/>
          <w:szCs w:val="24"/>
        </w:rPr>
      </w:pPr>
      <w:r w:rsidRPr="008557E1">
        <w:rPr>
          <w:rFonts w:eastAsia="Times New Roman"/>
          <w:b/>
          <w:sz w:val="24"/>
          <w:szCs w:val="24"/>
        </w:rPr>
        <w:t>ANSWER: $______</w:t>
      </w:r>
    </w:p>
    <w:p w14:paraId="5700810B" w14:textId="77777777" w:rsidR="008557E1" w:rsidRPr="008557E1" w:rsidRDefault="008557E1" w:rsidP="008557E1">
      <w:pPr>
        <w:rPr>
          <w:rFonts w:eastAsia="Times New Roman"/>
          <w:b/>
          <w:sz w:val="24"/>
          <w:szCs w:val="24"/>
        </w:rPr>
      </w:pPr>
    </w:p>
    <w:p w14:paraId="496354AB" w14:textId="77777777" w:rsidR="008557E1" w:rsidRPr="008557E1" w:rsidRDefault="008557E1" w:rsidP="008557E1">
      <w:pPr>
        <w:tabs>
          <w:tab w:val="left" w:pos="1080"/>
        </w:tabs>
        <w:ind w:left="720"/>
        <w:rPr>
          <w:rFonts w:eastAsia="Times New Roman"/>
          <w:b/>
          <w:sz w:val="24"/>
          <w:szCs w:val="24"/>
        </w:rPr>
      </w:pPr>
      <w:r w:rsidRPr="008557E1">
        <w:rPr>
          <w:rFonts w:eastAsia="Times New Roman"/>
          <w:b/>
          <w:sz w:val="24"/>
          <w:szCs w:val="24"/>
        </w:rPr>
        <w:t>3.</w:t>
      </w:r>
      <w:r w:rsidRPr="008557E1">
        <w:rPr>
          <w:rFonts w:eastAsia="Times New Roman"/>
          <w:b/>
          <w:sz w:val="24"/>
          <w:szCs w:val="24"/>
        </w:rPr>
        <w:tab/>
        <w:t xml:space="preserve">What is the total amount of plaintiff’s damages for [physical </w:t>
      </w:r>
    </w:p>
    <w:p w14:paraId="02B3FD84" w14:textId="77777777" w:rsidR="008557E1" w:rsidRPr="008557E1" w:rsidRDefault="008557E1" w:rsidP="008557E1">
      <w:pPr>
        <w:ind w:left="1080"/>
        <w:rPr>
          <w:rFonts w:eastAsia="Times New Roman"/>
          <w:b/>
          <w:sz w:val="24"/>
          <w:szCs w:val="24"/>
        </w:rPr>
      </w:pPr>
      <w:r w:rsidRPr="008557E1">
        <w:rPr>
          <w:rFonts w:eastAsia="Times New Roman"/>
          <w:b/>
          <w:sz w:val="24"/>
          <w:szCs w:val="24"/>
        </w:rPr>
        <w:t>impairment] [or] [disfigurement]? You should answer “0” if you determine there were none.</w:t>
      </w:r>
    </w:p>
    <w:p w14:paraId="4E1158D0" w14:textId="77777777" w:rsidR="008557E1" w:rsidRPr="008557E1" w:rsidRDefault="008557E1" w:rsidP="008557E1">
      <w:pPr>
        <w:ind w:left="1080"/>
        <w:rPr>
          <w:rFonts w:eastAsia="Times New Roman"/>
          <w:b/>
          <w:sz w:val="24"/>
          <w:szCs w:val="24"/>
        </w:rPr>
      </w:pPr>
    </w:p>
    <w:p w14:paraId="0A8915AF" w14:textId="77777777" w:rsidR="008557E1" w:rsidRPr="008557E1" w:rsidRDefault="008557E1" w:rsidP="008557E1">
      <w:pPr>
        <w:ind w:left="1080"/>
        <w:rPr>
          <w:rFonts w:eastAsia="Times New Roman"/>
          <w:b/>
          <w:sz w:val="24"/>
          <w:szCs w:val="24"/>
        </w:rPr>
      </w:pPr>
      <w:r w:rsidRPr="008557E1">
        <w:rPr>
          <w:rFonts w:eastAsia="Times New Roman"/>
          <w:b/>
          <w:sz w:val="24"/>
          <w:szCs w:val="24"/>
        </w:rPr>
        <w:t>ANSWER: $_______)</w:t>
      </w:r>
    </w:p>
    <w:p w14:paraId="48119731" w14:textId="77777777" w:rsidR="008557E1" w:rsidRPr="008557E1" w:rsidRDefault="008557E1" w:rsidP="008557E1">
      <w:pPr>
        <w:rPr>
          <w:rFonts w:eastAsia="Times New Roman"/>
          <w:b/>
          <w:sz w:val="24"/>
          <w:szCs w:val="24"/>
        </w:rPr>
      </w:pPr>
    </w:p>
    <w:p w14:paraId="65E20A9D"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  ______________________________</w:t>
      </w:r>
    </w:p>
    <w:p w14:paraId="2BBE24BE" w14:textId="77777777" w:rsidR="008557E1" w:rsidRPr="008557E1" w:rsidRDefault="008557E1" w:rsidP="008557E1">
      <w:pPr>
        <w:rPr>
          <w:rFonts w:eastAsia="Times New Roman"/>
          <w:b/>
          <w:sz w:val="24"/>
          <w:szCs w:val="24"/>
        </w:rPr>
      </w:pPr>
      <w:r w:rsidRPr="008557E1">
        <w:rPr>
          <w:rFonts w:eastAsia="Times New Roman"/>
          <w:b/>
          <w:sz w:val="24"/>
          <w:szCs w:val="24"/>
        </w:rPr>
        <w:t xml:space="preserve">                                              </w:t>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t xml:space="preserve"> Foreperson</w:t>
      </w:r>
    </w:p>
    <w:p w14:paraId="38946298"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  ______________________________</w:t>
      </w:r>
    </w:p>
    <w:p w14:paraId="2F972554" w14:textId="77777777" w:rsidR="008557E1" w:rsidRPr="008557E1" w:rsidRDefault="008557E1" w:rsidP="008557E1">
      <w:pPr>
        <w:rPr>
          <w:rFonts w:eastAsia="Times New Roman"/>
          <w:b/>
          <w:sz w:val="24"/>
          <w:szCs w:val="24"/>
        </w:rPr>
      </w:pPr>
    </w:p>
    <w:p w14:paraId="547FE5A0"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  ______________________________</w:t>
      </w:r>
    </w:p>
    <w:p w14:paraId="49990A5C" w14:textId="77777777" w:rsidR="008557E1" w:rsidRPr="008557E1" w:rsidRDefault="008557E1" w:rsidP="008557E1">
      <w:pPr>
        <w:rPr>
          <w:rFonts w:eastAsia="Times New Roman"/>
          <w:b/>
          <w:sz w:val="24"/>
          <w:szCs w:val="24"/>
        </w:rPr>
      </w:pPr>
    </w:p>
    <w:p w14:paraId="0F2F4018" w14:textId="77777777" w:rsidR="008557E1" w:rsidRDefault="008557E1" w:rsidP="008557E1">
      <w:pPr>
        <w:jc w:val="center"/>
        <w:rPr>
          <w:rFonts w:eastAsia="Times New Roman"/>
          <w:sz w:val="24"/>
          <w:szCs w:val="24"/>
        </w:rPr>
      </w:pPr>
    </w:p>
    <w:p w14:paraId="22BA95F0" w14:textId="77777777" w:rsidR="008557E1" w:rsidRPr="0054263B" w:rsidRDefault="008557E1" w:rsidP="008557E1">
      <w:pPr>
        <w:keepNext/>
        <w:spacing w:after="240"/>
        <w:jc w:val="center"/>
        <w:rPr>
          <w:rFonts w:eastAsia="Times New Roman"/>
          <w:b/>
          <w:sz w:val="24"/>
          <w:szCs w:val="24"/>
        </w:rPr>
      </w:pPr>
      <w:r w:rsidRPr="0054263B">
        <w:rPr>
          <w:rFonts w:eastAsia="Times New Roman"/>
          <w:b/>
          <w:sz w:val="24"/>
          <w:szCs w:val="24"/>
        </w:rPr>
        <w:t>Notes on Use</w:t>
      </w:r>
    </w:p>
    <w:p w14:paraId="6B16DB05" w14:textId="77777777" w:rsidR="008557E1" w:rsidRDefault="008557E1" w:rsidP="008557E1">
      <w:pPr>
        <w:spacing w:after="240"/>
        <w:ind w:firstLine="720"/>
        <w:rPr>
          <w:rFonts w:eastAsia="Times New Roman"/>
          <w:sz w:val="24"/>
          <w:szCs w:val="24"/>
        </w:rPr>
      </w:pPr>
      <w:r w:rsidRPr="008557E1">
        <w:rPr>
          <w:rFonts w:eastAsia="Times New Roman"/>
          <w:sz w:val="24"/>
          <w:szCs w:val="24"/>
        </w:rPr>
        <w:t>See Notes on Use to Instructions 6:1 and 6:1A.</w:t>
      </w:r>
    </w:p>
    <w:p w14:paraId="66DD4FEA" w14:textId="77777777" w:rsidR="008557E1" w:rsidRPr="0054263B" w:rsidRDefault="008557E1" w:rsidP="008557E1">
      <w:pPr>
        <w:keepNext/>
        <w:spacing w:after="240"/>
        <w:jc w:val="center"/>
        <w:rPr>
          <w:rFonts w:eastAsia="Times New Roman"/>
          <w:b/>
          <w:sz w:val="24"/>
          <w:szCs w:val="24"/>
        </w:rPr>
      </w:pPr>
      <w:r>
        <w:rPr>
          <w:rFonts w:eastAsia="Times New Roman"/>
          <w:b/>
          <w:sz w:val="24"/>
          <w:szCs w:val="24"/>
        </w:rPr>
        <w:t>Source and Authority</w:t>
      </w:r>
    </w:p>
    <w:p w14:paraId="534FC303" w14:textId="77777777" w:rsidR="008557E1" w:rsidRDefault="008557E1" w:rsidP="008557E1">
      <w:pPr>
        <w:spacing w:after="240"/>
        <w:ind w:firstLine="720"/>
        <w:rPr>
          <w:rFonts w:eastAsia="Times New Roman"/>
          <w:sz w:val="24"/>
          <w:szCs w:val="24"/>
        </w:rPr>
      </w:pPr>
      <w:r w:rsidRPr="008557E1">
        <w:rPr>
          <w:rFonts w:eastAsia="Times New Roman"/>
          <w:sz w:val="24"/>
          <w:szCs w:val="24"/>
        </w:rPr>
        <w:t>See Source and Authority to Instruction 6:1.</w:t>
      </w:r>
    </w:p>
    <w:p w14:paraId="35F91F5C" w14:textId="77777777" w:rsidR="008A637B" w:rsidRDefault="008A637B">
      <w:pPr>
        <w:rPr>
          <w:rFonts w:eastAsia="Times New Roman"/>
          <w:sz w:val="24"/>
          <w:szCs w:val="24"/>
        </w:rPr>
      </w:pPr>
      <w:r>
        <w:rPr>
          <w:rFonts w:eastAsia="Times New Roman"/>
          <w:sz w:val="24"/>
          <w:szCs w:val="24"/>
        </w:rPr>
        <w:br w:type="page"/>
      </w:r>
    </w:p>
    <w:p w14:paraId="3134DB06" w14:textId="77777777" w:rsidR="008A637B" w:rsidRPr="009E3DA4" w:rsidRDefault="008A637B" w:rsidP="008A637B">
      <w:pPr>
        <w:spacing w:after="240"/>
        <w:ind w:left="720" w:hanging="720"/>
        <w:rPr>
          <w:rFonts w:eastAsia="Times New Roman"/>
          <w:b/>
          <w:sz w:val="24"/>
          <w:szCs w:val="24"/>
        </w:rPr>
      </w:pPr>
      <w:bookmarkStart w:id="5" w:name="a6_2"/>
      <w:bookmarkEnd w:id="5"/>
      <w:r w:rsidRPr="008A637B">
        <w:rPr>
          <w:rFonts w:eastAsia="Times New Roman"/>
          <w:b/>
          <w:sz w:val="24"/>
          <w:szCs w:val="24"/>
        </w:rPr>
        <w:lastRenderedPageBreak/>
        <w:t xml:space="preserve">6:2 </w:t>
      </w:r>
      <w:r w:rsidRPr="008A637B">
        <w:rPr>
          <w:rFonts w:eastAsia="Times New Roman"/>
          <w:b/>
          <w:sz w:val="24"/>
          <w:szCs w:val="24"/>
        </w:rPr>
        <w:tab/>
        <w:t>PERSONAL INJURIES — MINOR CHILD</w:t>
      </w:r>
    </w:p>
    <w:p w14:paraId="53C33D69" w14:textId="4DA3AFF2"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Plaintiff, </w:t>
      </w:r>
      <w:r w:rsidRPr="00683FA1">
        <w:rPr>
          <w:rFonts w:eastAsia="Times New Roman"/>
          <w:i/>
          <w:sz w:val="24"/>
          <w:szCs w:val="24"/>
        </w:rPr>
        <w:t>(name)</w:t>
      </w:r>
      <w:r w:rsidRPr="00683FA1">
        <w:rPr>
          <w:rFonts w:eastAsia="Times New Roman"/>
          <w:b/>
          <w:sz w:val="24"/>
          <w:szCs w:val="24"/>
        </w:rPr>
        <w:t xml:space="preserve">, has the burden of proving, by a preponderance of the evidence, the nature and extent of </w:t>
      </w:r>
      <w:r w:rsidR="00505E5C" w:rsidRPr="00AA267B">
        <w:rPr>
          <w:rFonts w:eastAsia="Times New Roman"/>
          <w:bCs/>
          <w:i/>
          <w:iCs/>
          <w:sz w:val="24"/>
          <w:szCs w:val="24"/>
        </w:rPr>
        <w:t>(</w:t>
      </w:r>
      <w:r w:rsidR="00505E5C">
        <w:rPr>
          <w:rFonts w:eastAsia="Times New Roman"/>
          <w:i/>
          <w:sz w:val="24"/>
          <w:szCs w:val="24"/>
        </w:rPr>
        <w:t>insert applicable pronoun)</w:t>
      </w:r>
      <w:r w:rsidRPr="00683FA1">
        <w:rPr>
          <w:rFonts w:eastAsia="Times New Roman"/>
          <w:b/>
          <w:sz w:val="24"/>
          <w:szCs w:val="24"/>
        </w:rPr>
        <w:t xml:space="preserve"> damages. If you find in favor of the plaintiff, you must determine the total dollar amount of plaintiff’s damages, if any, that were caused by the </w:t>
      </w:r>
      <w:r w:rsidRPr="00683FA1">
        <w:rPr>
          <w:rFonts w:eastAsia="Times New Roman"/>
          <w:i/>
          <w:sz w:val="24"/>
          <w:szCs w:val="24"/>
        </w:rPr>
        <w:t>(insert appropriate description, e.g., “negligence”)</w:t>
      </w:r>
      <w:r w:rsidRPr="00683FA1">
        <w:rPr>
          <w:rFonts w:eastAsia="Times New Roman"/>
          <w:b/>
          <w:sz w:val="24"/>
          <w:szCs w:val="24"/>
        </w:rPr>
        <w:t xml:space="preserve"> of the defendant(s), </w:t>
      </w:r>
      <w:r w:rsidRPr="00683FA1">
        <w:rPr>
          <w:rFonts w:eastAsia="Times New Roman"/>
          <w:i/>
          <w:sz w:val="24"/>
          <w:szCs w:val="24"/>
        </w:rPr>
        <w:t>(name[s])</w:t>
      </w:r>
      <w:r w:rsidRPr="00683FA1">
        <w:rPr>
          <w:rFonts w:eastAsia="Times New Roman"/>
          <w:b/>
          <w:sz w:val="24"/>
          <w:szCs w:val="24"/>
        </w:rPr>
        <w:t xml:space="preserve">, (and) (,) (the </w:t>
      </w:r>
      <w:r w:rsidRPr="00683FA1">
        <w:rPr>
          <w:rFonts w:eastAsia="Times New Roman"/>
          <w:i/>
          <w:sz w:val="24"/>
          <w:szCs w:val="24"/>
        </w:rPr>
        <w:t>[insert appropriate description, e.g., “negligence”]</w:t>
      </w:r>
      <w:r w:rsidRPr="00683FA1">
        <w:rPr>
          <w:rFonts w:eastAsia="Times New Roman"/>
          <w:b/>
          <w:sz w:val="24"/>
          <w:szCs w:val="24"/>
        </w:rPr>
        <w:t xml:space="preserve">, if any, of the plaintiff(s), </w:t>
      </w:r>
      <w:r w:rsidRPr="00683FA1">
        <w:rPr>
          <w:rFonts w:eastAsia="Times New Roman"/>
          <w:i/>
          <w:sz w:val="24"/>
          <w:szCs w:val="24"/>
        </w:rPr>
        <w:t>[name(s)]</w:t>
      </w:r>
      <w:r w:rsidRPr="00683FA1">
        <w:rPr>
          <w:rFonts w:eastAsia="Times New Roman"/>
          <w:b/>
          <w:sz w:val="24"/>
          <w:szCs w:val="24"/>
        </w:rPr>
        <w:t xml:space="preserve">), (and) (the </w:t>
      </w:r>
      <w:r w:rsidRPr="00683FA1">
        <w:rPr>
          <w:rFonts w:eastAsia="Times New Roman"/>
          <w:i/>
          <w:sz w:val="24"/>
          <w:szCs w:val="24"/>
        </w:rPr>
        <w:t>[insert appropriate description, e.g., “negligence”]</w:t>
      </w:r>
      <w:r w:rsidRPr="00683FA1">
        <w:rPr>
          <w:rFonts w:eastAsia="Times New Roman"/>
          <w:b/>
          <w:sz w:val="24"/>
          <w:szCs w:val="24"/>
        </w:rPr>
        <w:t>, if any, of any designated nonparties).</w:t>
      </w:r>
    </w:p>
    <w:p w14:paraId="0417C2E2"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In determining such damages, you shall consider the following:</w:t>
      </w:r>
    </w:p>
    <w:p w14:paraId="1E9C147F" w14:textId="51AC98E2" w:rsidR="00683FA1" w:rsidRDefault="00683FA1" w:rsidP="00683FA1">
      <w:pPr>
        <w:spacing w:after="240"/>
        <w:ind w:firstLine="720"/>
        <w:rPr>
          <w:rFonts w:eastAsia="Times New Roman"/>
          <w:b/>
          <w:sz w:val="24"/>
          <w:szCs w:val="24"/>
        </w:rPr>
      </w:pPr>
      <w:r w:rsidRPr="00683FA1">
        <w:rPr>
          <w:rFonts w:eastAsia="Times New Roman"/>
          <w:b/>
          <w:sz w:val="24"/>
          <w:szCs w:val="24"/>
        </w:rPr>
        <w:t xml:space="preserve">1. Any noneconomic losses or injuries which plaintiff has had to the present time or probably </w:t>
      </w:r>
      <w:r w:rsidR="00EB724A">
        <w:rPr>
          <w:rFonts w:eastAsia="Times New Roman"/>
          <w:b/>
          <w:sz w:val="24"/>
          <w:szCs w:val="24"/>
        </w:rPr>
        <w:t xml:space="preserve">will </w:t>
      </w:r>
      <w:r w:rsidRPr="00683FA1">
        <w:rPr>
          <w:rFonts w:eastAsia="Times New Roman"/>
          <w:b/>
          <w:sz w:val="24"/>
          <w:szCs w:val="24"/>
        </w:rPr>
        <w:t xml:space="preserve">have in the future, including: physical and mental pain and suffering, inconvenience, emotional stress, impairment of the quality of life, and </w:t>
      </w:r>
      <w:r w:rsidRPr="00683FA1">
        <w:rPr>
          <w:rFonts w:eastAsia="Times New Roman"/>
          <w:i/>
          <w:sz w:val="24"/>
          <w:szCs w:val="24"/>
        </w:rPr>
        <w:t>(insert any other recoverable noneconomic losses for which there is sufficient evidence)</w:t>
      </w:r>
      <w:r w:rsidRPr="00683FA1">
        <w:rPr>
          <w:rFonts w:eastAsia="Times New Roman"/>
          <w:b/>
          <w:sz w:val="24"/>
          <w:szCs w:val="24"/>
        </w:rPr>
        <w:t>. (In considering damages in this category, you shall not include actual damages for [physical impairment] [or] [disfigurement], because these damages, if any, are to be included in a separate category.)</w:t>
      </w:r>
    </w:p>
    <w:p w14:paraId="116D706E" w14:textId="77777777" w:rsidR="00EB724A" w:rsidRPr="00683FA1" w:rsidRDefault="00EB724A" w:rsidP="00EB724A">
      <w:pPr>
        <w:spacing w:after="240"/>
        <w:ind w:firstLine="720"/>
        <w:rPr>
          <w:rFonts w:eastAsia="Times New Roman"/>
          <w:b/>
          <w:sz w:val="24"/>
          <w:szCs w:val="24"/>
        </w:rPr>
      </w:pPr>
      <w:r>
        <w:rPr>
          <w:rFonts w:eastAsia="Times New Roman"/>
          <w:b/>
          <w:sz w:val="24"/>
          <w:szCs w:val="24"/>
        </w:rPr>
        <w:t>2. Any (reasonable and necessary) medical, hospital, and similar expenses which plaintiff has had or probably will have in the future;</w:t>
      </w:r>
    </w:p>
    <w:p w14:paraId="64CB0F0C" w14:textId="624D0703" w:rsidR="00683FA1" w:rsidRPr="00683FA1" w:rsidRDefault="00EB724A" w:rsidP="00683FA1">
      <w:pPr>
        <w:spacing w:after="240"/>
        <w:ind w:firstLine="720"/>
        <w:rPr>
          <w:rFonts w:eastAsia="Times New Roman"/>
          <w:b/>
          <w:sz w:val="24"/>
          <w:szCs w:val="24"/>
        </w:rPr>
      </w:pPr>
      <w:r>
        <w:rPr>
          <w:rFonts w:eastAsia="Times New Roman"/>
          <w:b/>
          <w:sz w:val="24"/>
          <w:szCs w:val="24"/>
        </w:rPr>
        <w:t>3</w:t>
      </w:r>
      <w:r w:rsidR="00683FA1" w:rsidRPr="00683FA1">
        <w:rPr>
          <w:rFonts w:eastAsia="Times New Roman"/>
          <w:b/>
          <w:sz w:val="24"/>
          <w:szCs w:val="24"/>
        </w:rPr>
        <w:t xml:space="preserve">. Any </w:t>
      </w:r>
      <w:r>
        <w:rPr>
          <w:rFonts w:eastAsia="Times New Roman"/>
          <w:b/>
          <w:sz w:val="24"/>
          <w:szCs w:val="24"/>
        </w:rPr>
        <w:t xml:space="preserve">other </w:t>
      </w:r>
      <w:r w:rsidR="00683FA1" w:rsidRPr="00683FA1">
        <w:rPr>
          <w:rFonts w:eastAsia="Times New Roman"/>
          <w:b/>
          <w:sz w:val="24"/>
          <w:szCs w:val="24"/>
        </w:rPr>
        <w:t xml:space="preserve">economic losses or injuries which plaintiff will probably have in the future after </w:t>
      </w:r>
      <w:r w:rsidR="00505E5C" w:rsidRPr="00AA267B">
        <w:rPr>
          <w:rFonts w:eastAsia="Times New Roman"/>
          <w:bCs/>
          <w:i/>
          <w:iCs/>
          <w:sz w:val="24"/>
          <w:szCs w:val="24"/>
        </w:rPr>
        <w:t>(</w:t>
      </w:r>
      <w:r w:rsidR="00505E5C">
        <w:rPr>
          <w:rFonts w:eastAsia="Times New Roman"/>
          <w:i/>
          <w:sz w:val="24"/>
          <w:szCs w:val="24"/>
        </w:rPr>
        <w:t>insert applicable pronoun)</w:t>
      </w:r>
      <w:r w:rsidR="00683FA1" w:rsidRPr="00683FA1">
        <w:rPr>
          <w:rFonts w:eastAsia="Times New Roman"/>
          <w:b/>
          <w:sz w:val="24"/>
          <w:szCs w:val="24"/>
        </w:rPr>
        <w:t xml:space="preserve"> reaches the age of 18 (or is otherwise emancipated), including: loss or damage to </w:t>
      </w:r>
      <w:r w:rsidR="00505E5C" w:rsidRPr="00AA267B">
        <w:rPr>
          <w:rFonts w:eastAsia="Times New Roman"/>
          <w:bCs/>
          <w:i/>
          <w:iCs/>
          <w:sz w:val="24"/>
          <w:szCs w:val="24"/>
        </w:rPr>
        <w:t>(</w:t>
      </w:r>
      <w:r w:rsidR="00505E5C">
        <w:rPr>
          <w:rFonts w:eastAsia="Times New Roman"/>
          <w:i/>
          <w:sz w:val="24"/>
          <w:szCs w:val="24"/>
        </w:rPr>
        <w:t>insert applicable pronoun)</w:t>
      </w:r>
      <w:r w:rsidR="00683FA1" w:rsidRPr="00683FA1">
        <w:rPr>
          <w:rFonts w:eastAsia="Times New Roman"/>
          <w:b/>
          <w:sz w:val="24"/>
          <w:szCs w:val="24"/>
        </w:rPr>
        <w:t xml:space="preserve"> ability to earn money in the future, and </w:t>
      </w:r>
      <w:r w:rsidR="00683FA1" w:rsidRPr="00683FA1">
        <w:rPr>
          <w:rFonts w:eastAsia="Times New Roman"/>
          <w:i/>
          <w:sz w:val="24"/>
          <w:szCs w:val="24"/>
        </w:rPr>
        <w:t>(insert any other recoverable economic losses of which there is sufficient evidence)</w:t>
      </w:r>
      <w:r w:rsidR="00683FA1" w:rsidRPr="00683FA1">
        <w:rPr>
          <w:rFonts w:eastAsia="Times New Roman"/>
          <w:b/>
          <w:sz w:val="24"/>
          <w:szCs w:val="24"/>
        </w:rPr>
        <w:t>. (In considering damages in this category, you shall not include actual damages for [physical impairment] [or] [disfigurement], since these damages, if any, are to be included in a separate category.)</w:t>
      </w:r>
    </w:p>
    <w:p w14:paraId="5D0D2110" w14:textId="01E3F53E"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w:t>
      </w:r>
      <w:r w:rsidR="00EB724A">
        <w:rPr>
          <w:rFonts w:eastAsia="Times New Roman"/>
          <w:b/>
          <w:sz w:val="24"/>
          <w:szCs w:val="24"/>
        </w:rPr>
        <w:t>4</w:t>
      </w:r>
      <w:r w:rsidRPr="00683FA1">
        <w:rPr>
          <w:rFonts w:eastAsia="Times New Roman"/>
          <w:b/>
          <w:sz w:val="24"/>
          <w:szCs w:val="24"/>
        </w:rPr>
        <w:t>. Any [physical impairment] [or] [disfigurement]. In considering damages in this category, you shall not include damages again for losses or injuries already determined under numbered paragraph</w:t>
      </w:r>
      <w:r w:rsidR="00EB724A">
        <w:rPr>
          <w:rFonts w:eastAsia="Times New Roman"/>
          <w:b/>
          <w:sz w:val="24"/>
          <w:szCs w:val="24"/>
        </w:rPr>
        <w:t>s</w:t>
      </w:r>
      <w:r w:rsidRPr="00683FA1">
        <w:rPr>
          <w:rFonts w:eastAsia="Times New Roman"/>
          <w:b/>
          <w:sz w:val="24"/>
          <w:szCs w:val="24"/>
        </w:rPr>
        <w:t xml:space="preserve"> 1</w:t>
      </w:r>
      <w:r w:rsidR="00EB724A">
        <w:rPr>
          <w:rFonts w:eastAsia="Times New Roman"/>
          <w:b/>
          <w:sz w:val="24"/>
          <w:szCs w:val="24"/>
        </w:rPr>
        <w:t>,</w:t>
      </w:r>
      <w:r w:rsidRPr="00683FA1">
        <w:rPr>
          <w:rFonts w:eastAsia="Times New Roman"/>
          <w:b/>
          <w:sz w:val="24"/>
          <w:szCs w:val="24"/>
        </w:rPr>
        <w:t xml:space="preserve"> 2</w:t>
      </w:r>
      <w:r w:rsidR="00EB724A">
        <w:rPr>
          <w:rFonts w:eastAsia="Times New Roman"/>
          <w:b/>
          <w:sz w:val="24"/>
          <w:szCs w:val="24"/>
        </w:rPr>
        <w:t>, or 3</w:t>
      </w:r>
      <w:r w:rsidRPr="00683FA1">
        <w:rPr>
          <w:rFonts w:eastAsia="Times New Roman"/>
          <w:b/>
          <w:sz w:val="24"/>
          <w:szCs w:val="24"/>
        </w:rPr>
        <w:t xml:space="preserve"> above.)</w:t>
      </w:r>
    </w:p>
    <w:p w14:paraId="5BBA5D9E" w14:textId="0BBEC312"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(In determining the plaintiff’s, </w:t>
      </w:r>
      <w:r w:rsidRPr="00683FA1">
        <w:rPr>
          <w:rFonts w:eastAsia="Times New Roman"/>
          <w:i/>
          <w:sz w:val="24"/>
          <w:szCs w:val="24"/>
        </w:rPr>
        <w:t>(name of minor child)</w:t>
      </w:r>
      <w:r w:rsidRPr="00683FA1">
        <w:rPr>
          <w:rFonts w:eastAsia="Times New Roman"/>
          <w:b/>
          <w:sz w:val="24"/>
          <w:szCs w:val="24"/>
        </w:rPr>
        <w:t xml:space="preserve">, damages you should not include [any future expenses for </w:t>
      </w:r>
      <w:r w:rsidRPr="00683FA1">
        <w:rPr>
          <w:rFonts w:eastAsia="Times New Roman"/>
          <w:i/>
          <w:sz w:val="24"/>
          <w:szCs w:val="24"/>
        </w:rPr>
        <w:t>(insert appropriate description</w:t>
      </w:r>
      <w:r w:rsidR="00EB724A">
        <w:rPr>
          <w:rFonts w:eastAsia="Times New Roman"/>
          <w:i/>
          <w:sz w:val="24"/>
          <w:szCs w:val="24"/>
        </w:rPr>
        <w:t xml:space="preserve"> of non-medical expenses</w:t>
      </w:r>
      <w:r w:rsidRPr="00683FA1">
        <w:rPr>
          <w:rFonts w:eastAsia="Times New Roman"/>
          <w:i/>
          <w:sz w:val="24"/>
          <w:szCs w:val="24"/>
        </w:rPr>
        <w:t>)</w:t>
      </w:r>
      <w:r w:rsidRPr="00683FA1">
        <w:rPr>
          <w:rFonts w:eastAsia="Times New Roman"/>
          <w:b/>
          <w:sz w:val="24"/>
          <w:szCs w:val="24"/>
        </w:rPr>
        <w:t xml:space="preserve">] [or] [any future (loss of earnings) (impairment of earning capacity)] which plaintiff </w:t>
      </w:r>
      <w:r w:rsidRPr="00683FA1">
        <w:rPr>
          <w:rFonts w:eastAsia="Times New Roman"/>
          <w:i/>
          <w:sz w:val="24"/>
          <w:szCs w:val="24"/>
        </w:rPr>
        <w:t>(name of minor child)</w:t>
      </w:r>
      <w:r w:rsidRPr="00683FA1">
        <w:rPr>
          <w:rFonts w:eastAsia="Times New Roman"/>
          <w:b/>
          <w:sz w:val="24"/>
          <w:szCs w:val="24"/>
        </w:rPr>
        <w:t xml:space="preserve"> may have between now and the time when </w:t>
      </w:r>
      <w:r w:rsidR="00505E5C" w:rsidRPr="00AA267B">
        <w:rPr>
          <w:rFonts w:eastAsia="Times New Roman"/>
          <w:bCs/>
          <w:i/>
          <w:iCs/>
          <w:sz w:val="24"/>
          <w:szCs w:val="24"/>
        </w:rPr>
        <w:t>(</w:t>
      </w:r>
      <w:r w:rsidR="00505E5C">
        <w:rPr>
          <w:rFonts w:eastAsia="Times New Roman"/>
          <w:i/>
          <w:sz w:val="24"/>
          <w:szCs w:val="24"/>
        </w:rPr>
        <w:t>insert applicable pronoun)</w:t>
      </w:r>
      <w:r w:rsidRPr="00683FA1">
        <w:rPr>
          <w:rFonts w:eastAsia="Times New Roman"/>
          <w:b/>
          <w:sz w:val="24"/>
          <w:szCs w:val="24"/>
        </w:rPr>
        <w:t xml:space="preserve"> reaches the age of 18 [or is emancipated] because these damages, if any, are recoverable by the plaintiff’s parents.) (For the same reason, you should not include in plaintiff’s, </w:t>
      </w:r>
      <w:r w:rsidRPr="00683FA1">
        <w:rPr>
          <w:rFonts w:eastAsia="Times New Roman"/>
          <w:i/>
          <w:sz w:val="24"/>
          <w:szCs w:val="24"/>
        </w:rPr>
        <w:t>(name of minor child)</w:t>
      </w:r>
      <w:r w:rsidRPr="00683FA1">
        <w:rPr>
          <w:rFonts w:eastAsia="Times New Roman"/>
          <w:b/>
          <w:sz w:val="24"/>
          <w:szCs w:val="24"/>
        </w:rPr>
        <w:t>, damages any damages for any loss of past earnings.)</w:t>
      </w:r>
    </w:p>
    <w:p w14:paraId="17A66B70" w14:textId="77777777" w:rsidR="008A637B" w:rsidRDefault="008A637B" w:rsidP="008A637B">
      <w:pPr>
        <w:jc w:val="center"/>
        <w:rPr>
          <w:rFonts w:eastAsia="Times New Roman"/>
          <w:sz w:val="24"/>
          <w:szCs w:val="24"/>
        </w:rPr>
      </w:pPr>
    </w:p>
    <w:p w14:paraId="667476E2" w14:textId="77777777" w:rsidR="008A637B" w:rsidRPr="0054263B" w:rsidRDefault="008A637B" w:rsidP="008A637B">
      <w:pPr>
        <w:keepNext/>
        <w:spacing w:after="240"/>
        <w:jc w:val="center"/>
        <w:rPr>
          <w:rFonts w:eastAsia="Times New Roman"/>
          <w:b/>
          <w:sz w:val="24"/>
          <w:szCs w:val="24"/>
        </w:rPr>
      </w:pPr>
      <w:r w:rsidRPr="0054263B">
        <w:rPr>
          <w:rFonts w:eastAsia="Times New Roman"/>
          <w:b/>
          <w:sz w:val="24"/>
          <w:szCs w:val="24"/>
        </w:rPr>
        <w:t>Notes on Use</w:t>
      </w:r>
    </w:p>
    <w:p w14:paraId="1D01BC1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1. The Notes on Use to Instruction 6:1 also apply to this instruction.</w:t>
      </w:r>
    </w:p>
    <w:p w14:paraId="66992E65" w14:textId="3182B8D2" w:rsidR="008A637B" w:rsidRPr="008A637B" w:rsidRDefault="008A637B" w:rsidP="008A637B">
      <w:pPr>
        <w:spacing w:after="240"/>
        <w:ind w:firstLine="720"/>
        <w:rPr>
          <w:rFonts w:eastAsia="Times New Roman"/>
          <w:sz w:val="24"/>
          <w:szCs w:val="24"/>
        </w:rPr>
      </w:pPr>
      <w:r w:rsidRPr="008A637B">
        <w:rPr>
          <w:rFonts w:eastAsia="Times New Roman"/>
          <w:sz w:val="24"/>
          <w:szCs w:val="24"/>
        </w:rPr>
        <w:lastRenderedPageBreak/>
        <w:t xml:space="preserve">2. Omit any parenthesized or bracketed words or phrases which are inappropriate to the particular case. The last paragraph in particular should be omitted if there is no claim for damages relating to earnings or to </w:t>
      </w:r>
      <w:r w:rsidR="00EB724A">
        <w:rPr>
          <w:rFonts w:eastAsia="Times New Roman"/>
          <w:sz w:val="24"/>
          <w:szCs w:val="24"/>
        </w:rPr>
        <w:t xml:space="preserve">non-medical </w:t>
      </w:r>
      <w:r w:rsidRPr="008A637B">
        <w:rPr>
          <w:rFonts w:eastAsia="Times New Roman"/>
          <w:sz w:val="24"/>
          <w:szCs w:val="24"/>
        </w:rPr>
        <w:t>expenses. If either or both of these matters are involved, such portions of this paragraph should be used as are appropriate.</w:t>
      </w:r>
    </w:p>
    <w:p w14:paraId="1D95BE72"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3. If one or both parents have joined with the minor as plaintiffs to recover their damages, Instruction 6:3 also should be given with this instruction.</w:t>
      </w:r>
    </w:p>
    <w:p w14:paraId="14B7E88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4. When necessary, Instruction 7:1, defining “minor child,” and Instruction 7:2, defining “emancipation,” should be given with this instruction.</w:t>
      </w:r>
    </w:p>
    <w:p w14:paraId="6E5FE64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 xml:space="preserve">5. For a discussion of the propriety of submitting to the jury the issue of post-majority lost future earning capacity or lost wages under a general damage instruction without any evidence as to the amount or measure of these damages, see </w:t>
      </w:r>
      <w:r w:rsidRPr="008A637B">
        <w:rPr>
          <w:rFonts w:eastAsia="Times New Roman"/>
          <w:b/>
          <w:sz w:val="24"/>
          <w:szCs w:val="24"/>
        </w:rPr>
        <w:t>Stewart v. Rice</w:t>
      </w:r>
      <w:r w:rsidRPr="008A637B">
        <w:rPr>
          <w:rFonts w:eastAsia="Times New Roman"/>
          <w:sz w:val="24"/>
          <w:szCs w:val="24"/>
        </w:rPr>
        <w:t xml:space="preserve">, 25 P.3d 1233 (Colo. App. 2000), </w:t>
      </w:r>
      <w:r w:rsidRPr="008A637B">
        <w:rPr>
          <w:rFonts w:eastAsia="Times New Roman"/>
          <w:i/>
          <w:sz w:val="24"/>
          <w:szCs w:val="24"/>
        </w:rPr>
        <w:t>rev’d on other grounds</w:t>
      </w:r>
      <w:r w:rsidRPr="008A637B">
        <w:rPr>
          <w:rFonts w:eastAsia="Times New Roman"/>
          <w:sz w:val="24"/>
          <w:szCs w:val="24"/>
        </w:rPr>
        <w:t>, 47 P.3d 316 (Colo. 2002).</w:t>
      </w:r>
    </w:p>
    <w:p w14:paraId="7011C87E" w14:textId="77777777" w:rsidR="008A637B" w:rsidRPr="0054263B" w:rsidRDefault="008A637B" w:rsidP="008A637B">
      <w:pPr>
        <w:keepNext/>
        <w:spacing w:after="240"/>
        <w:jc w:val="center"/>
        <w:rPr>
          <w:rFonts w:eastAsia="Times New Roman"/>
          <w:b/>
          <w:sz w:val="24"/>
          <w:szCs w:val="24"/>
        </w:rPr>
      </w:pPr>
      <w:r>
        <w:rPr>
          <w:rFonts w:eastAsia="Times New Roman"/>
          <w:b/>
          <w:sz w:val="24"/>
          <w:szCs w:val="24"/>
        </w:rPr>
        <w:t>Source and Authority</w:t>
      </w:r>
    </w:p>
    <w:p w14:paraId="75458B79"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1. This instruction is supported by section 13-21-102.5, C.R.S.</w:t>
      </w:r>
    </w:p>
    <w:p w14:paraId="08048AFC" w14:textId="77777777" w:rsidR="008A637B" w:rsidRDefault="008A637B" w:rsidP="008A637B">
      <w:pPr>
        <w:spacing w:after="240"/>
        <w:ind w:firstLine="720"/>
        <w:rPr>
          <w:rFonts w:eastAsia="Times New Roman"/>
          <w:sz w:val="24"/>
          <w:szCs w:val="24"/>
        </w:rPr>
      </w:pPr>
      <w:r w:rsidRPr="008A637B">
        <w:rPr>
          <w:rFonts w:eastAsia="Times New Roman"/>
          <w:sz w:val="24"/>
          <w:szCs w:val="24"/>
        </w:rPr>
        <w:t>2. As to the age at which a child ceases to be a minor, see sections 2-4-401(6) and 13-22-101, C.R.S.</w:t>
      </w:r>
    </w:p>
    <w:p w14:paraId="6CC0887A" w14:textId="5457328F" w:rsidR="00EB724A" w:rsidRPr="008A637B" w:rsidRDefault="00EB724A" w:rsidP="00EB724A">
      <w:pPr>
        <w:spacing w:after="240"/>
        <w:ind w:firstLine="720"/>
        <w:rPr>
          <w:rFonts w:eastAsia="Times New Roman"/>
          <w:sz w:val="24"/>
          <w:szCs w:val="24"/>
        </w:rPr>
      </w:pPr>
      <w:r>
        <w:rPr>
          <w:rFonts w:eastAsia="Times New Roman"/>
          <w:sz w:val="24"/>
          <w:szCs w:val="24"/>
        </w:rPr>
        <w:t xml:space="preserve">3. In </w:t>
      </w:r>
      <w:r w:rsidRPr="00563A63">
        <w:rPr>
          <w:rFonts w:eastAsia="Times New Roman"/>
          <w:b/>
          <w:bCs/>
          <w:sz w:val="24"/>
          <w:szCs w:val="24"/>
        </w:rPr>
        <w:t>Rudnicki v. Bianco</w:t>
      </w:r>
      <w:r>
        <w:rPr>
          <w:rFonts w:eastAsia="Times New Roman"/>
          <w:sz w:val="24"/>
          <w:szCs w:val="24"/>
        </w:rPr>
        <w:t xml:space="preserve">, 2021 CO 80, ¶¶ 44-45, </w:t>
      </w:r>
      <w:r w:rsidR="004B7F05">
        <w:rPr>
          <w:rFonts w:eastAsia="Times New Roman"/>
          <w:sz w:val="24"/>
          <w:szCs w:val="24"/>
        </w:rPr>
        <w:t xml:space="preserve">501 P.3d 776, </w:t>
      </w:r>
      <w:r>
        <w:rPr>
          <w:rFonts w:eastAsia="Times New Roman"/>
          <w:sz w:val="24"/>
          <w:szCs w:val="24"/>
        </w:rPr>
        <w:t>the Colorado Supreme Court overruled prior precedent and held that an unemancipated minor child could recover damages for pre-majority medical expenses. Parents of the child also may recover such expenses, provided that no double recovery is permitted.</w:t>
      </w:r>
    </w:p>
    <w:p w14:paraId="315499EC" w14:textId="500D91CD" w:rsidR="008A637B" w:rsidRPr="008A637B" w:rsidRDefault="00EB724A" w:rsidP="008A637B">
      <w:pPr>
        <w:spacing w:after="240"/>
        <w:ind w:firstLine="720"/>
        <w:rPr>
          <w:rFonts w:eastAsia="Times New Roman"/>
          <w:sz w:val="24"/>
          <w:szCs w:val="24"/>
        </w:rPr>
      </w:pPr>
      <w:r>
        <w:rPr>
          <w:rFonts w:eastAsia="Times New Roman"/>
          <w:sz w:val="24"/>
          <w:szCs w:val="24"/>
        </w:rPr>
        <w:t>4</w:t>
      </w:r>
      <w:r w:rsidR="008A637B" w:rsidRPr="008A637B">
        <w:rPr>
          <w:rFonts w:eastAsia="Times New Roman"/>
          <w:sz w:val="24"/>
          <w:szCs w:val="24"/>
        </w:rPr>
        <w:t xml:space="preserve">. “An injury to a minor creates separate causes of action: (1) the parents generally may recover for the child’s damages suffered and expenses of the child during minority; (2) the minor may recover expenses the minor actually incurs during minority and for pain and suffering and post-majority impairment of future earning capacity; and (3) an emancipated minor has the right to sue for all damages and expenses.” </w:t>
      </w:r>
      <w:r w:rsidR="008A637B" w:rsidRPr="008A637B">
        <w:rPr>
          <w:rFonts w:eastAsia="Times New Roman"/>
          <w:b/>
          <w:sz w:val="24"/>
          <w:szCs w:val="24"/>
        </w:rPr>
        <w:t>Pressey v. Children’s Hosp. Colo.</w:t>
      </w:r>
      <w:r w:rsidR="008A637B" w:rsidRPr="008A637B">
        <w:rPr>
          <w:rFonts w:eastAsia="Times New Roman"/>
          <w:sz w:val="24"/>
          <w:szCs w:val="24"/>
        </w:rPr>
        <w:t>, 2017 COA 28, ¶ 26</w:t>
      </w:r>
      <w:r w:rsidR="00631FE7">
        <w:rPr>
          <w:rFonts w:eastAsia="Times New Roman"/>
          <w:sz w:val="24"/>
          <w:szCs w:val="24"/>
        </w:rPr>
        <w:t>, 488 P.3d 151, 159</w:t>
      </w:r>
      <w:r>
        <w:rPr>
          <w:rFonts w:eastAsia="Times New Roman"/>
          <w:sz w:val="24"/>
          <w:szCs w:val="24"/>
        </w:rPr>
        <w:t xml:space="preserve"> (overruled as to pre-majority medical expenses by </w:t>
      </w:r>
      <w:r w:rsidRPr="00563A63">
        <w:rPr>
          <w:rFonts w:eastAsia="Times New Roman"/>
          <w:b/>
          <w:bCs/>
          <w:sz w:val="24"/>
          <w:szCs w:val="24"/>
        </w:rPr>
        <w:t>Rudnicki</w:t>
      </w:r>
      <w:r w:rsidRPr="00EB724A">
        <w:rPr>
          <w:rFonts w:eastAsia="Times New Roman"/>
          <w:iCs/>
          <w:sz w:val="24"/>
          <w:szCs w:val="24"/>
        </w:rPr>
        <w:t>,</w:t>
      </w:r>
      <w:r w:rsidRPr="00563A63">
        <w:rPr>
          <w:rFonts w:eastAsia="Times New Roman"/>
          <w:sz w:val="24"/>
          <w:szCs w:val="24"/>
        </w:rPr>
        <w:t xml:space="preserve"> </w:t>
      </w:r>
      <w:r w:rsidR="00146EDF">
        <w:rPr>
          <w:rFonts w:eastAsia="Times New Roman"/>
          <w:sz w:val="24"/>
          <w:szCs w:val="24"/>
        </w:rPr>
        <w:t>¶ 44, 501 P.3d at 785-86</w:t>
      </w:r>
      <w:r>
        <w:rPr>
          <w:rFonts w:eastAsia="Times New Roman"/>
          <w:sz w:val="24"/>
          <w:szCs w:val="24"/>
        </w:rPr>
        <w:t>)</w:t>
      </w:r>
      <w:r w:rsidR="008A637B" w:rsidRPr="008A637B">
        <w:rPr>
          <w:rFonts w:eastAsia="Times New Roman"/>
          <w:sz w:val="24"/>
          <w:szCs w:val="24"/>
        </w:rPr>
        <w:t xml:space="preserve">; </w:t>
      </w:r>
      <w:r w:rsidR="008A637B" w:rsidRPr="008A637B">
        <w:rPr>
          <w:rFonts w:eastAsia="Times New Roman"/>
          <w:i/>
          <w:sz w:val="24"/>
          <w:szCs w:val="24"/>
        </w:rPr>
        <w:t>see also</w:t>
      </w:r>
      <w:r w:rsidR="008A637B" w:rsidRPr="008A637B">
        <w:rPr>
          <w:rFonts w:eastAsia="Times New Roman"/>
          <w:sz w:val="24"/>
          <w:szCs w:val="24"/>
        </w:rPr>
        <w:t xml:space="preserve"> </w:t>
      </w:r>
      <w:r w:rsidR="008A637B" w:rsidRPr="008A637B">
        <w:rPr>
          <w:rFonts w:eastAsia="Times New Roman"/>
          <w:b/>
          <w:sz w:val="24"/>
          <w:szCs w:val="24"/>
        </w:rPr>
        <w:t>Nat’l Fuel Co. v. Green</w:t>
      </w:r>
      <w:r w:rsidR="008A637B" w:rsidRPr="008A637B">
        <w:rPr>
          <w:rFonts w:eastAsia="Times New Roman"/>
          <w:sz w:val="24"/>
          <w:szCs w:val="24"/>
        </w:rPr>
        <w:t>, 50 Colo. 307, 115 P. 709 (1911).</w:t>
      </w:r>
    </w:p>
    <w:p w14:paraId="15A1CB4D" w14:textId="47138643" w:rsidR="008A637B" w:rsidRPr="008A637B" w:rsidRDefault="00EB724A" w:rsidP="008A637B">
      <w:pPr>
        <w:spacing w:after="240"/>
        <w:ind w:firstLine="720"/>
        <w:rPr>
          <w:rFonts w:eastAsia="Times New Roman"/>
          <w:sz w:val="24"/>
          <w:szCs w:val="24"/>
        </w:rPr>
      </w:pPr>
      <w:r>
        <w:rPr>
          <w:rFonts w:eastAsia="Times New Roman"/>
          <w:sz w:val="24"/>
          <w:szCs w:val="24"/>
        </w:rPr>
        <w:t>5</w:t>
      </w:r>
      <w:r w:rsidR="008A637B" w:rsidRPr="008A637B">
        <w:rPr>
          <w:rFonts w:eastAsia="Times New Roman"/>
          <w:sz w:val="24"/>
          <w:szCs w:val="24"/>
        </w:rPr>
        <w:t xml:space="preserve">. As to the minor’s right to recover for pain and suffering, see </w:t>
      </w:r>
      <w:r w:rsidR="008A637B" w:rsidRPr="008A637B">
        <w:rPr>
          <w:rFonts w:eastAsia="Times New Roman"/>
          <w:b/>
          <w:sz w:val="24"/>
          <w:szCs w:val="24"/>
        </w:rPr>
        <w:t>Colorado Utilities Corp. v. Casady</w:t>
      </w:r>
      <w:r w:rsidR="008A637B" w:rsidRPr="008A637B">
        <w:rPr>
          <w:rFonts w:eastAsia="Times New Roman"/>
          <w:sz w:val="24"/>
          <w:szCs w:val="24"/>
        </w:rPr>
        <w:t>, 89 Colo. 156, 300 P. 601 (1931).</w:t>
      </w:r>
    </w:p>
    <w:p w14:paraId="7B011745" w14:textId="531299BF" w:rsidR="008A637B" w:rsidRPr="008A637B" w:rsidRDefault="00EB724A" w:rsidP="008A637B">
      <w:pPr>
        <w:spacing w:after="240"/>
        <w:ind w:firstLine="720"/>
        <w:rPr>
          <w:rFonts w:eastAsia="Times New Roman"/>
          <w:sz w:val="24"/>
          <w:szCs w:val="24"/>
        </w:rPr>
      </w:pPr>
      <w:r>
        <w:rPr>
          <w:rFonts w:eastAsia="Times New Roman"/>
          <w:sz w:val="24"/>
          <w:szCs w:val="24"/>
        </w:rPr>
        <w:t>6</w:t>
      </w:r>
      <w:r w:rsidR="008A637B" w:rsidRPr="008A637B">
        <w:rPr>
          <w:rFonts w:eastAsia="Times New Roman"/>
          <w:sz w:val="24"/>
          <w:szCs w:val="24"/>
        </w:rPr>
        <w:t xml:space="preserve">. The parent is entitled to recover for loss of the minor’s earnings during the child’s minority unless the child has been emancipated, </w:t>
      </w:r>
      <w:r w:rsidR="008A637B" w:rsidRPr="008A637B">
        <w:rPr>
          <w:rFonts w:eastAsia="Times New Roman"/>
          <w:b/>
          <w:sz w:val="24"/>
          <w:szCs w:val="24"/>
        </w:rPr>
        <w:t>Pawnee Farmers’ Elevator Co. v. Powell</w:t>
      </w:r>
      <w:r w:rsidR="008A637B" w:rsidRPr="008A637B">
        <w:rPr>
          <w:rFonts w:eastAsia="Times New Roman"/>
          <w:sz w:val="24"/>
          <w:szCs w:val="24"/>
        </w:rPr>
        <w:t xml:space="preserve">, 76 Colo. 1, 227 P. 836 (1924), or, unless the parent has allowed the child to retain the child’s own earnings. </w:t>
      </w:r>
      <w:r w:rsidR="008A637B" w:rsidRPr="008A637B">
        <w:rPr>
          <w:rFonts w:eastAsia="Times New Roman"/>
          <w:i/>
          <w:sz w:val="24"/>
          <w:szCs w:val="24"/>
        </w:rPr>
        <w:t>See</w:t>
      </w:r>
      <w:r w:rsidR="008A637B" w:rsidRPr="008A637B">
        <w:rPr>
          <w:rFonts w:eastAsia="Times New Roman"/>
          <w:sz w:val="24"/>
          <w:szCs w:val="24"/>
        </w:rPr>
        <w:t xml:space="preserve"> </w:t>
      </w:r>
      <w:r w:rsidR="008A637B" w:rsidRPr="008A637B">
        <w:rPr>
          <w:rFonts w:eastAsia="Times New Roman"/>
          <w:b/>
          <w:sz w:val="24"/>
          <w:szCs w:val="24"/>
        </w:rPr>
        <w:t>Harman v. Chase</w:t>
      </w:r>
      <w:r w:rsidR="008A637B" w:rsidRPr="008A637B">
        <w:rPr>
          <w:rFonts w:eastAsia="Times New Roman"/>
          <w:sz w:val="24"/>
          <w:szCs w:val="24"/>
        </w:rPr>
        <w:t xml:space="preserve">, 160 Colo. 449, 417 P.2d 784 (1966) (by implication). The minor, however, is entitled to damages for any loss or impairment of future earning capacity if such loss is supported by sufficient evidence. </w:t>
      </w:r>
      <w:r w:rsidR="008A637B" w:rsidRPr="008A637B">
        <w:rPr>
          <w:rFonts w:eastAsia="Times New Roman"/>
          <w:b/>
          <w:sz w:val="24"/>
          <w:szCs w:val="24"/>
        </w:rPr>
        <w:t>Pawnee Farmers Elevator Co.</w:t>
      </w:r>
      <w:r w:rsidR="008A637B" w:rsidRPr="008A637B">
        <w:rPr>
          <w:rFonts w:eastAsia="Times New Roman"/>
          <w:sz w:val="24"/>
          <w:szCs w:val="24"/>
        </w:rPr>
        <w:t xml:space="preserve">, 76 Colo. at 7, 227 P. at 839; </w:t>
      </w:r>
      <w:r w:rsidR="008A637B" w:rsidRPr="008A637B">
        <w:rPr>
          <w:rFonts w:eastAsia="Times New Roman"/>
          <w:i/>
          <w:sz w:val="24"/>
          <w:szCs w:val="24"/>
        </w:rPr>
        <w:t>see also</w:t>
      </w:r>
      <w:r w:rsidR="008A637B" w:rsidRPr="008A637B">
        <w:rPr>
          <w:rFonts w:eastAsia="Times New Roman"/>
          <w:sz w:val="24"/>
          <w:szCs w:val="24"/>
        </w:rPr>
        <w:t xml:space="preserve"> </w:t>
      </w:r>
      <w:r w:rsidR="008A637B" w:rsidRPr="008A637B">
        <w:rPr>
          <w:rFonts w:eastAsia="Times New Roman"/>
          <w:b/>
          <w:sz w:val="24"/>
          <w:szCs w:val="24"/>
        </w:rPr>
        <w:t>Thompson v. Tartler</w:t>
      </w:r>
      <w:r w:rsidR="008A637B" w:rsidRPr="008A637B">
        <w:rPr>
          <w:rFonts w:eastAsia="Times New Roman"/>
          <w:sz w:val="24"/>
          <w:szCs w:val="24"/>
        </w:rPr>
        <w:t xml:space="preserve">, 166 Colo. 247, 443 P.2d 365 (1968); </w:t>
      </w:r>
      <w:r w:rsidR="008A637B" w:rsidRPr="008A637B">
        <w:rPr>
          <w:rFonts w:eastAsia="Times New Roman"/>
          <w:b/>
          <w:sz w:val="24"/>
          <w:szCs w:val="24"/>
        </w:rPr>
        <w:t>Odell v. Pub. Serv. Co</w:t>
      </w:r>
      <w:r w:rsidR="008A637B" w:rsidRPr="008A637B">
        <w:rPr>
          <w:rFonts w:eastAsia="Times New Roman"/>
          <w:sz w:val="24"/>
          <w:szCs w:val="24"/>
        </w:rPr>
        <w:t>., 158 Colo. 404, 407 P.2d 330 (1965).</w:t>
      </w:r>
    </w:p>
    <w:p w14:paraId="73E6AB26" w14:textId="4B6882F0" w:rsidR="008A637B" w:rsidRPr="008A637B" w:rsidRDefault="00EB724A" w:rsidP="008A637B">
      <w:pPr>
        <w:spacing w:after="240"/>
        <w:ind w:firstLine="720"/>
        <w:rPr>
          <w:rFonts w:eastAsia="Times New Roman"/>
          <w:sz w:val="24"/>
          <w:szCs w:val="24"/>
        </w:rPr>
      </w:pPr>
      <w:r>
        <w:rPr>
          <w:rFonts w:eastAsia="Times New Roman"/>
          <w:sz w:val="24"/>
          <w:szCs w:val="24"/>
        </w:rPr>
        <w:lastRenderedPageBreak/>
        <w:t>7</w:t>
      </w:r>
      <w:r w:rsidR="008A637B" w:rsidRPr="008A637B">
        <w:rPr>
          <w:rFonts w:eastAsia="Times New Roman"/>
          <w:sz w:val="24"/>
          <w:szCs w:val="24"/>
        </w:rPr>
        <w:t xml:space="preserve">. A parent may relinquish the right to pre-majority expenses. </w:t>
      </w:r>
      <w:r w:rsidR="008A637B" w:rsidRPr="008A637B">
        <w:rPr>
          <w:rFonts w:eastAsia="Times New Roman"/>
          <w:b/>
          <w:sz w:val="24"/>
          <w:szCs w:val="24"/>
        </w:rPr>
        <w:t>Pressey</w:t>
      </w:r>
      <w:r w:rsidR="008A637B" w:rsidRPr="008A637B">
        <w:rPr>
          <w:rFonts w:eastAsia="Times New Roman"/>
          <w:sz w:val="24"/>
          <w:szCs w:val="24"/>
        </w:rPr>
        <w:t>, ¶ 27</w:t>
      </w:r>
      <w:r w:rsidR="00631FE7">
        <w:rPr>
          <w:rFonts w:eastAsia="Times New Roman"/>
          <w:sz w:val="24"/>
          <w:szCs w:val="24"/>
        </w:rPr>
        <w:t>, 488 P.3d at 159</w:t>
      </w:r>
      <w:r w:rsidR="008A637B" w:rsidRPr="008A637B">
        <w:rPr>
          <w:rFonts w:eastAsia="Times New Roman"/>
          <w:sz w:val="24"/>
          <w:szCs w:val="24"/>
        </w:rPr>
        <w:t>.</w:t>
      </w:r>
    </w:p>
    <w:p w14:paraId="7340BF05" w14:textId="77777777" w:rsidR="00683FA1" w:rsidRDefault="00683FA1">
      <w:pPr>
        <w:rPr>
          <w:rFonts w:eastAsia="Times New Roman"/>
          <w:sz w:val="24"/>
          <w:szCs w:val="24"/>
        </w:rPr>
      </w:pPr>
      <w:r>
        <w:rPr>
          <w:rFonts w:eastAsia="Times New Roman"/>
          <w:sz w:val="24"/>
          <w:szCs w:val="24"/>
        </w:rPr>
        <w:br w:type="page"/>
      </w:r>
    </w:p>
    <w:p w14:paraId="15ED2A84" w14:textId="77777777" w:rsidR="00683FA1" w:rsidRPr="009E3DA4" w:rsidRDefault="00683FA1" w:rsidP="00683FA1">
      <w:pPr>
        <w:spacing w:after="240"/>
        <w:ind w:left="720" w:hanging="720"/>
        <w:rPr>
          <w:rFonts w:eastAsia="Times New Roman"/>
          <w:b/>
          <w:sz w:val="24"/>
          <w:szCs w:val="24"/>
        </w:rPr>
      </w:pPr>
      <w:bookmarkStart w:id="6" w:name="a6_3"/>
      <w:bookmarkEnd w:id="6"/>
      <w:r w:rsidRPr="00683FA1">
        <w:rPr>
          <w:rFonts w:eastAsia="Times New Roman"/>
          <w:b/>
          <w:sz w:val="24"/>
          <w:szCs w:val="24"/>
        </w:rPr>
        <w:lastRenderedPageBreak/>
        <w:t xml:space="preserve">6:3 </w:t>
      </w:r>
      <w:r w:rsidRPr="00683FA1">
        <w:rPr>
          <w:rFonts w:eastAsia="Times New Roman"/>
          <w:b/>
          <w:sz w:val="24"/>
          <w:szCs w:val="24"/>
        </w:rPr>
        <w:tab/>
        <w:t>PERSONAL INJURIES — MINOR CHILD — MEASURE OF PARENTS’ DAMAGES</w:t>
      </w:r>
    </w:p>
    <w:p w14:paraId="4684BBA1" w14:textId="1440BDF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Plaintiff(s), </w:t>
      </w:r>
      <w:r w:rsidRPr="00683FA1">
        <w:rPr>
          <w:rFonts w:eastAsia="Times New Roman"/>
          <w:i/>
          <w:sz w:val="24"/>
          <w:szCs w:val="24"/>
        </w:rPr>
        <w:t>(name[s])</w:t>
      </w:r>
      <w:r w:rsidRPr="00683FA1">
        <w:rPr>
          <w:rFonts w:eastAsia="Times New Roman"/>
          <w:b/>
          <w:sz w:val="24"/>
          <w:szCs w:val="24"/>
        </w:rPr>
        <w:t xml:space="preserve">, (has) (have) the burden of proving, by a preponderance of the evidence, the nature and extent of </w:t>
      </w:r>
      <w:r w:rsidR="00505E5C" w:rsidRPr="00AA267B">
        <w:rPr>
          <w:rFonts w:eastAsia="Times New Roman"/>
          <w:bCs/>
          <w:i/>
          <w:iCs/>
          <w:sz w:val="24"/>
          <w:szCs w:val="24"/>
        </w:rPr>
        <w:t>(</w:t>
      </w:r>
      <w:r w:rsidR="00505E5C">
        <w:rPr>
          <w:rFonts w:eastAsia="Times New Roman"/>
          <w:i/>
          <w:sz w:val="24"/>
          <w:szCs w:val="24"/>
        </w:rPr>
        <w:t>insert applicable pronoun)</w:t>
      </w:r>
      <w:r w:rsidRPr="00683FA1">
        <w:rPr>
          <w:rFonts w:eastAsia="Times New Roman"/>
          <w:b/>
          <w:sz w:val="24"/>
          <w:szCs w:val="24"/>
        </w:rPr>
        <w:t xml:space="preserve"> damages. If you find in favor of the plaintiff(s), </w:t>
      </w:r>
      <w:r w:rsidRPr="00683FA1">
        <w:rPr>
          <w:rFonts w:eastAsia="Times New Roman"/>
          <w:i/>
          <w:sz w:val="24"/>
          <w:szCs w:val="24"/>
        </w:rPr>
        <w:t>(name of parent[s])</w:t>
      </w:r>
      <w:r w:rsidRPr="00683FA1">
        <w:rPr>
          <w:rFonts w:eastAsia="Times New Roman"/>
          <w:b/>
          <w:sz w:val="24"/>
          <w:szCs w:val="24"/>
        </w:rPr>
        <w:t xml:space="preserve">, on </w:t>
      </w:r>
      <w:r w:rsidR="00505E5C" w:rsidRPr="00AA267B">
        <w:rPr>
          <w:rFonts w:eastAsia="Times New Roman"/>
          <w:bCs/>
          <w:i/>
          <w:iCs/>
          <w:sz w:val="24"/>
          <w:szCs w:val="24"/>
        </w:rPr>
        <w:t>(</w:t>
      </w:r>
      <w:r w:rsidR="00505E5C">
        <w:rPr>
          <w:rFonts w:eastAsia="Times New Roman"/>
          <w:i/>
          <w:sz w:val="24"/>
          <w:szCs w:val="24"/>
        </w:rPr>
        <w:t>insert applicable pronoun)</w:t>
      </w:r>
      <w:r w:rsidRPr="00683FA1">
        <w:rPr>
          <w:rFonts w:eastAsia="Times New Roman"/>
          <w:b/>
          <w:sz w:val="24"/>
          <w:szCs w:val="24"/>
        </w:rPr>
        <w:t xml:space="preserve"> claim of damages for injuries caused to </w:t>
      </w:r>
      <w:r w:rsidR="00505E5C" w:rsidRPr="00AA267B">
        <w:rPr>
          <w:rFonts w:eastAsia="Times New Roman"/>
          <w:bCs/>
          <w:i/>
          <w:iCs/>
          <w:sz w:val="24"/>
          <w:szCs w:val="24"/>
        </w:rPr>
        <w:t>(</w:t>
      </w:r>
      <w:r w:rsidR="00505E5C">
        <w:rPr>
          <w:rFonts w:eastAsia="Times New Roman"/>
          <w:i/>
          <w:sz w:val="24"/>
          <w:szCs w:val="24"/>
        </w:rPr>
        <w:t>insert applicable pronoun)</w:t>
      </w:r>
      <w:r w:rsidRPr="00683FA1">
        <w:rPr>
          <w:rFonts w:eastAsia="Times New Roman"/>
          <w:b/>
          <w:sz w:val="24"/>
          <w:szCs w:val="24"/>
        </w:rPr>
        <w:t xml:space="preserve"> minor child, </w:t>
      </w:r>
      <w:r w:rsidRPr="00683FA1">
        <w:rPr>
          <w:rFonts w:eastAsia="Times New Roman"/>
          <w:i/>
          <w:sz w:val="24"/>
          <w:szCs w:val="24"/>
        </w:rPr>
        <w:t>(name of minor child)</w:t>
      </w:r>
      <w:r w:rsidRPr="00683FA1">
        <w:rPr>
          <w:rFonts w:eastAsia="Times New Roman"/>
          <w:b/>
          <w:sz w:val="24"/>
          <w:szCs w:val="24"/>
        </w:rPr>
        <w:t xml:space="preserve">, by the defendant(s), </w:t>
      </w:r>
      <w:r w:rsidRPr="00683FA1">
        <w:rPr>
          <w:rFonts w:eastAsia="Times New Roman"/>
          <w:i/>
          <w:sz w:val="24"/>
          <w:szCs w:val="24"/>
        </w:rPr>
        <w:t>(name[s] of defendant[s])</w:t>
      </w:r>
      <w:r w:rsidRPr="00683FA1">
        <w:rPr>
          <w:rFonts w:eastAsia="Times New Roman"/>
          <w:b/>
          <w:sz w:val="24"/>
          <w:szCs w:val="24"/>
        </w:rPr>
        <w:t xml:space="preserve">, you must determine the total dollar amount of plaintiff(’s)(s’), </w:t>
      </w:r>
      <w:r w:rsidRPr="00683FA1">
        <w:rPr>
          <w:rFonts w:eastAsia="Times New Roman"/>
          <w:i/>
          <w:sz w:val="24"/>
          <w:szCs w:val="24"/>
        </w:rPr>
        <w:t>(name[s] of parent[s])</w:t>
      </w:r>
      <w:r w:rsidRPr="00683FA1">
        <w:rPr>
          <w:rFonts w:eastAsia="Times New Roman"/>
          <w:b/>
          <w:sz w:val="24"/>
          <w:szCs w:val="24"/>
        </w:rPr>
        <w:t xml:space="preserve">, damages, if any, that were caused by the </w:t>
      </w:r>
      <w:r w:rsidRPr="00683FA1">
        <w:rPr>
          <w:rFonts w:eastAsia="Times New Roman"/>
          <w:i/>
          <w:sz w:val="24"/>
          <w:szCs w:val="24"/>
        </w:rPr>
        <w:t xml:space="preserve">(insert appropriate description, e.g., “negligence”) </w:t>
      </w:r>
      <w:r w:rsidRPr="00683FA1">
        <w:rPr>
          <w:rFonts w:eastAsia="Times New Roman"/>
          <w:b/>
          <w:sz w:val="24"/>
          <w:szCs w:val="24"/>
        </w:rPr>
        <w:t xml:space="preserve">of the defendant(s), </w:t>
      </w:r>
      <w:r w:rsidRPr="00683FA1">
        <w:rPr>
          <w:rFonts w:eastAsia="Times New Roman"/>
          <w:i/>
          <w:sz w:val="24"/>
          <w:szCs w:val="24"/>
        </w:rPr>
        <w:t>(name[s])</w:t>
      </w:r>
      <w:r w:rsidRPr="00683FA1">
        <w:rPr>
          <w:rFonts w:eastAsia="Times New Roman"/>
          <w:b/>
          <w:sz w:val="24"/>
          <w:szCs w:val="24"/>
        </w:rPr>
        <w:t xml:space="preserve">, (and) (,) (the </w:t>
      </w:r>
      <w:r w:rsidRPr="00683FA1">
        <w:rPr>
          <w:rFonts w:eastAsia="Times New Roman"/>
          <w:i/>
          <w:sz w:val="24"/>
          <w:szCs w:val="24"/>
        </w:rPr>
        <w:t>[insert appropriate description, e.g., “negligence”]</w:t>
      </w:r>
      <w:r w:rsidRPr="00683FA1">
        <w:rPr>
          <w:rFonts w:eastAsia="Times New Roman"/>
          <w:b/>
          <w:sz w:val="24"/>
          <w:szCs w:val="24"/>
        </w:rPr>
        <w:t xml:space="preserve">, if any, of the plaintiff(s), </w:t>
      </w:r>
      <w:r w:rsidRPr="00683FA1">
        <w:rPr>
          <w:rFonts w:eastAsia="Times New Roman"/>
          <w:i/>
          <w:sz w:val="24"/>
          <w:szCs w:val="24"/>
        </w:rPr>
        <w:t>(name[s])</w:t>
      </w:r>
      <w:r w:rsidRPr="00683FA1">
        <w:rPr>
          <w:rFonts w:eastAsia="Times New Roman"/>
          <w:b/>
          <w:sz w:val="24"/>
          <w:szCs w:val="24"/>
        </w:rPr>
        <w:t xml:space="preserve">, (and) (the </w:t>
      </w:r>
      <w:r w:rsidRPr="00683FA1">
        <w:rPr>
          <w:rFonts w:eastAsia="Times New Roman"/>
          <w:i/>
          <w:sz w:val="24"/>
          <w:szCs w:val="24"/>
        </w:rPr>
        <w:t>[insert appropriate description, e.g., “negligence”]</w:t>
      </w:r>
      <w:r w:rsidRPr="00683FA1">
        <w:rPr>
          <w:rFonts w:eastAsia="Times New Roman"/>
          <w:b/>
          <w:sz w:val="24"/>
          <w:szCs w:val="24"/>
        </w:rPr>
        <w:t>, if any, of any designated nonparties).</w:t>
      </w:r>
    </w:p>
    <w:p w14:paraId="6D1EF9BC"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In determining such damages, you shall consider the following:</w:t>
      </w:r>
    </w:p>
    <w:p w14:paraId="585F90DD" w14:textId="3D6F0FF3"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1. Any (reasonable and necessary) expenses the plaintiff(s) (has) (have) had on </w:t>
      </w:r>
      <w:r w:rsidRPr="00683FA1">
        <w:rPr>
          <w:rFonts w:eastAsia="Times New Roman"/>
          <w:i/>
          <w:sz w:val="24"/>
          <w:szCs w:val="24"/>
        </w:rPr>
        <w:t>(name of minor child)</w:t>
      </w:r>
      <w:r w:rsidRPr="00683FA1">
        <w:rPr>
          <w:rFonts w:eastAsia="Times New Roman"/>
          <w:b/>
          <w:sz w:val="24"/>
          <w:szCs w:val="24"/>
        </w:rPr>
        <w:t xml:space="preserve">’s behalf to the present time and any expenses the plaintiff(s), </w:t>
      </w:r>
      <w:r w:rsidRPr="00683FA1">
        <w:rPr>
          <w:rFonts w:eastAsia="Times New Roman"/>
          <w:i/>
          <w:sz w:val="24"/>
          <w:szCs w:val="24"/>
        </w:rPr>
        <w:t>(name[s] of parent[s])</w:t>
      </w:r>
      <w:r w:rsidRPr="00683FA1">
        <w:rPr>
          <w:rFonts w:eastAsia="Times New Roman"/>
          <w:b/>
          <w:sz w:val="24"/>
          <w:szCs w:val="24"/>
        </w:rPr>
        <w:t xml:space="preserve">, will have in the future between now and the time </w:t>
      </w:r>
      <w:r w:rsidRPr="00683FA1">
        <w:rPr>
          <w:rFonts w:eastAsia="Times New Roman"/>
          <w:i/>
          <w:sz w:val="24"/>
          <w:szCs w:val="24"/>
        </w:rPr>
        <w:t>(name of minor child)</w:t>
      </w:r>
      <w:r w:rsidRPr="00683FA1">
        <w:rPr>
          <w:rFonts w:eastAsia="Times New Roman"/>
          <w:b/>
          <w:sz w:val="24"/>
          <w:szCs w:val="24"/>
        </w:rPr>
        <w:t xml:space="preserve"> reaches the age of 18 (or is emancipated) for </w:t>
      </w:r>
      <w:r w:rsidRPr="00683FA1">
        <w:rPr>
          <w:rFonts w:eastAsia="Times New Roman"/>
          <w:i/>
          <w:sz w:val="24"/>
          <w:szCs w:val="24"/>
        </w:rPr>
        <w:t>(insert appropriate description, using separately lettered subparagraphs for various categories, if necessary)</w:t>
      </w:r>
      <w:r w:rsidRPr="00683FA1">
        <w:rPr>
          <w:rFonts w:eastAsia="Times New Roman"/>
          <w:b/>
          <w:sz w:val="24"/>
          <w:szCs w:val="24"/>
        </w:rPr>
        <w:t>;</w:t>
      </w:r>
    </w:p>
    <w:p w14:paraId="654559F5"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2. Any loss of past earnings </w:t>
      </w:r>
      <w:r w:rsidRPr="00683FA1">
        <w:rPr>
          <w:rFonts w:eastAsia="Times New Roman"/>
          <w:i/>
          <w:sz w:val="24"/>
          <w:szCs w:val="24"/>
        </w:rPr>
        <w:t>(name of minor child)</w:t>
      </w:r>
      <w:r w:rsidRPr="00683FA1">
        <w:rPr>
          <w:rFonts w:eastAsia="Times New Roman"/>
          <w:b/>
          <w:sz w:val="24"/>
          <w:szCs w:val="24"/>
        </w:rPr>
        <w:t xml:space="preserve"> may have had to the present time;</w:t>
      </w:r>
    </w:p>
    <w:p w14:paraId="3098E685" w14:textId="68C3AAFA"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3. Any future (loss of earnings) (damage to </w:t>
      </w:r>
      <w:r w:rsidRPr="00683FA1">
        <w:rPr>
          <w:rFonts w:eastAsia="Times New Roman"/>
          <w:i/>
          <w:sz w:val="24"/>
          <w:szCs w:val="24"/>
        </w:rPr>
        <w:t>[name of minor child’s]</w:t>
      </w:r>
      <w:r w:rsidRPr="00683FA1">
        <w:rPr>
          <w:rFonts w:eastAsia="Times New Roman"/>
          <w:b/>
          <w:sz w:val="24"/>
          <w:szCs w:val="24"/>
        </w:rPr>
        <w:t xml:space="preserve"> ability to earn money in the future) probably </w:t>
      </w:r>
      <w:r w:rsidR="00EB724A">
        <w:rPr>
          <w:rFonts w:eastAsia="Times New Roman"/>
          <w:b/>
          <w:sz w:val="24"/>
          <w:szCs w:val="24"/>
        </w:rPr>
        <w:t xml:space="preserve">will </w:t>
      </w:r>
      <w:r w:rsidRPr="00683FA1">
        <w:rPr>
          <w:rFonts w:eastAsia="Times New Roman"/>
          <w:b/>
          <w:sz w:val="24"/>
          <w:szCs w:val="24"/>
        </w:rPr>
        <w:t xml:space="preserve">have between now and the time when </w:t>
      </w:r>
      <w:r w:rsidRPr="00683FA1">
        <w:rPr>
          <w:rFonts w:eastAsia="Times New Roman"/>
          <w:i/>
          <w:sz w:val="24"/>
          <w:szCs w:val="24"/>
        </w:rPr>
        <w:t>(name of minor child)</w:t>
      </w:r>
      <w:r w:rsidRPr="00683FA1">
        <w:rPr>
          <w:rFonts w:eastAsia="Times New Roman"/>
          <w:b/>
          <w:sz w:val="24"/>
          <w:szCs w:val="24"/>
        </w:rPr>
        <w:t xml:space="preserve"> reaches the age of 18 (or is emancipated);</w:t>
      </w:r>
    </w:p>
    <w:p w14:paraId="74D03FF9"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4. Any loss of past household and similar services or any loss of such services in the future </w:t>
      </w:r>
      <w:r w:rsidRPr="00683FA1">
        <w:rPr>
          <w:rFonts w:eastAsia="Times New Roman"/>
          <w:i/>
          <w:sz w:val="24"/>
          <w:szCs w:val="24"/>
        </w:rPr>
        <w:t>(name of minor child)</w:t>
      </w:r>
      <w:r w:rsidRPr="00683FA1">
        <w:rPr>
          <w:rFonts w:eastAsia="Times New Roman"/>
          <w:b/>
          <w:sz w:val="24"/>
          <w:szCs w:val="24"/>
        </w:rPr>
        <w:t xml:space="preserve"> would have provided to the plaintiff(s), </w:t>
      </w:r>
      <w:r w:rsidRPr="00683FA1">
        <w:rPr>
          <w:rFonts w:eastAsia="Times New Roman"/>
          <w:i/>
          <w:sz w:val="24"/>
          <w:szCs w:val="24"/>
        </w:rPr>
        <w:t>(name[s] of parent[s])</w:t>
      </w:r>
      <w:r w:rsidRPr="00683FA1">
        <w:rPr>
          <w:rFonts w:eastAsia="Times New Roman"/>
          <w:b/>
          <w:sz w:val="24"/>
          <w:szCs w:val="24"/>
        </w:rPr>
        <w:t xml:space="preserve"> until </w:t>
      </w:r>
      <w:r w:rsidRPr="00683FA1">
        <w:rPr>
          <w:rFonts w:eastAsia="Times New Roman"/>
          <w:i/>
          <w:sz w:val="24"/>
          <w:szCs w:val="24"/>
        </w:rPr>
        <w:t>(name of minor child)</w:t>
      </w:r>
      <w:r w:rsidRPr="00683FA1">
        <w:rPr>
          <w:rFonts w:eastAsia="Times New Roman"/>
          <w:b/>
          <w:sz w:val="24"/>
          <w:szCs w:val="24"/>
        </w:rPr>
        <w:t xml:space="preserve"> reaches the age of 18 (or is emancipated);</w:t>
      </w:r>
    </w:p>
    <w:p w14:paraId="7433347B" w14:textId="12C46155"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5. </w:t>
      </w:r>
      <w:r w:rsidRPr="00683FA1">
        <w:rPr>
          <w:rFonts w:eastAsia="Times New Roman"/>
          <w:i/>
          <w:sz w:val="24"/>
          <w:szCs w:val="24"/>
        </w:rPr>
        <w:t xml:space="preserve">(Insert any other appropriate elements of damages, e.g., any unusual services the plaintiff may be required to render the child because of </w:t>
      </w:r>
      <w:r w:rsidR="00AA267B">
        <w:rPr>
          <w:rFonts w:eastAsia="Times New Roman"/>
          <w:i/>
          <w:sz w:val="24"/>
          <w:szCs w:val="24"/>
        </w:rPr>
        <w:t>[insert applicable pronoun]</w:t>
      </w:r>
      <w:r w:rsidRPr="00683FA1">
        <w:rPr>
          <w:rFonts w:eastAsia="Times New Roman"/>
          <w:i/>
          <w:sz w:val="24"/>
          <w:szCs w:val="24"/>
        </w:rPr>
        <w:t xml:space="preserve"> injuries)</w:t>
      </w:r>
      <w:r w:rsidRPr="00683FA1">
        <w:rPr>
          <w:rFonts w:eastAsia="Times New Roman"/>
          <w:b/>
          <w:sz w:val="24"/>
          <w:szCs w:val="24"/>
        </w:rPr>
        <w:t>.</w:t>
      </w:r>
    </w:p>
    <w:p w14:paraId="6B714ACB" w14:textId="77777777" w:rsidR="00683FA1" w:rsidRDefault="00683FA1" w:rsidP="00683FA1">
      <w:pPr>
        <w:jc w:val="center"/>
        <w:rPr>
          <w:rFonts w:eastAsia="Times New Roman"/>
          <w:sz w:val="24"/>
          <w:szCs w:val="24"/>
        </w:rPr>
      </w:pPr>
    </w:p>
    <w:p w14:paraId="744F2E2D" w14:textId="77777777" w:rsidR="00683FA1" w:rsidRPr="0054263B" w:rsidRDefault="00683FA1" w:rsidP="00683FA1">
      <w:pPr>
        <w:keepNext/>
        <w:spacing w:after="240"/>
        <w:jc w:val="center"/>
        <w:rPr>
          <w:rFonts w:eastAsia="Times New Roman"/>
          <w:b/>
          <w:sz w:val="24"/>
          <w:szCs w:val="24"/>
        </w:rPr>
      </w:pPr>
      <w:r w:rsidRPr="0054263B">
        <w:rPr>
          <w:rFonts w:eastAsia="Times New Roman"/>
          <w:b/>
          <w:sz w:val="24"/>
          <w:szCs w:val="24"/>
        </w:rPr>
        <w:t>Notes on Use</w:t>
      </w:r>
    </w:p>
    <w:p w14:paraId="1CAB6BDC"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1. The Notes on Use to Instruction 6:1 also apply to this instruction.</w:t>
      </w:r>
    </w:p>
    <w:p w14:paraId="5BA6AD2A" w14:textId="13AFF60C" w:rsidR="00EB724A" w:rsidRDefault="00EB724A" w:rsidP="00683FA1">
      <w:pPr>
        <w:spacing w:after="240"/>
        <w:ind w:firstLine="720"/>
        <w:rPr>
          <w:rFonts w:eastAsia="Times New Roman"/>
          <w:sz w:val="24"/>
          <w:szCs w:val="24"/>
        </w:rPr>
      </w:pPr>
      <w:r>
        <w:rPr>
          <w:rFonts w:eastAsia="Times New Roman"/>
          <w:sz w:val="24"/>
          <w:szCs w:val="24"/>
        </w:rPr>
        <w:t xml:space="preserve">2. Under the Colorado Supreme Court’s decision in </w:t>
      </w:r>
      <w:r w:rsidRPr="00563A63">
        <w:rPr>
          <w:rFonts w:eastAsia="Times New Roman"/>
          <w:b/>
          <w:bCs/>
          <w:sz w:val="24"/>
          <w:szCs w:val="24"/>
        </w:rPr>
        <w:t>Rudnicki v. Bianco</w:t>
      </w:r>
      <w:r>
        <w:rPr>
          <w:rFonts w:eastAsia="Times New Roman"/>
          <w:sz w:val="24"/>
          <w:szCs w:val="24"/>
        </w:rPr>
        <w:t xml:space="preserve">, 2021 CO 80, ¶¶ 44-45, </w:t>
      </w:r>
      <w:r w:rsidR="00463C54">
        <w:rPr>
          <w:rFonts w:eastAsia="Times New Roman"/>
          <w:sz w:val="24"/>
          <w:szCs w:val="24"/>
        </w:rPr>
        <w:t xml:space="preserve">501 P.3d 776, </w:t>
      </w:r>
      <w:r>
        <w:rPr>
          <w:rFonts w:eastAsia="Times New Roman"/>
          <w:sz w:val="24"/>
          <w:szCs w:val="24"/>
        </w:rPr>
        <w:t>both an unemancipated minor child and the child’s parents may sue to recover damages for the child’s pre-majority medical expenses, provided that no double recovery is permitted.</w:t>
      </w:r>
    </w:p>
    <w:p w14:paraId="7755A5F8" w14:textId="35832086" w:rsidR="00683FA1" w:rsidRPr="00683FA1" w:rsidRDefault="00EB724A" w:rsidP="00683FA1">
      <w:pPr>
        <w:spacing w:after="240"/>
        <w:ind w:firstLine="720"/>
        <w:rPr>
          <w:rFonts w:eastAsia="Times New Roman"/>
          <w:sz w:val="24"/>
          <w:szCs w:val="24"/>
        </w:rPr>
      </w:pPr>
      <w:r>
        <w:rPr>
          <w:rFonts w:eastAsia="Times New Roman"/>
          <w:sz w:val="24"/>
          <w:szCs w:val="24"/>
        </w:rPr>
        <w:t>3</w:t>
      </w:r>
      <w:r w:rsidR="00683FA1" w:rsidRPr="00683FA1">
        <w:rPr>
          <w:rFonts w:eastAsia="Times New Roman"/>
          <w:sz w:val="24"/>
          <w:szCs w:val="24"/>
        </w:rPr>
        <w:t>. When the parent only is suing on his or her own claim, Instruction 6:4 should be given with this instruction.</w:t>
      </w:r>
    </w:p>
    <w:p w14:paraId="2BCD0D23" w14:textId="02837725" w:rsidR="00683FA1" w:rsidRPr="00683FA1" w:rsidRDefault="00EB724A" w:rsidP="00683FA1">
      <w:pPr>
        <w:spacing w:after="240"/>
        <w:ind w:firstLine="720"/>
        <w:rPr>
          <w:rFonts w:eastAsia="Times New Roman"/>
          <w:sz w:val="24"/>
          <w:szCs w:val="24"/>
        </w:rPr>
      </w:pPr>
      <w:r>
        <w:rPr>
          <w:rFonts w:eastAsia="Times New Roman"/>
          <w:sz w:val="24"/>
          <w:szCs w:val="24"/>
        </w:rPr>
        <w:lastRenderedPageBreak/>
        <w:t>4</w:t>
      </w:r>
      <w:r w:rsidR="00683FA1" w:rsidRPr="00683FA1">
        <w:rPr>
          <w:rFonts w:eastAsia="Times New Roman"/>
          <w:sz w:val="24"/>
          <w:szCs w:val="24"/>
        </w:rPr>
        <w:t>. When necessary, Instruction 7:1, defining “minor child,” and Instruction 7:2, defining “emancipation,” should be given with this instruction.</w:t>
      </w:r>
    </w:p>
    <w:p w14:paraId="747DBCDF" w14:textId="77777777" w:rsidR="00683FA1" w:rsidRPr="0054263B" w:rsidRDefault="00683FA1" w:rsidP="00683FA1">
      <w:pPr>
        <w:keepNext/>
        <w:spacing w:after="240"/>
        <w:jc w:val="center"/>
        <w:rPr>
          <w:rFonts w:eastAsia="Times New Roman"/>
          <w:b/>
          <w:sz w:val="24"/>
          <w:szCs w:val="24"/>
        </w:rPr>
      </w:pPr>
      <w:r>
        <w:rPr>
          <w:rFonts w:eastAsia="Times New Roman"/>
          <w:b/>
          <w:sz w:val="24"/>
          <w:szCs w:val="24"/>
        </w:rPr>
        <w:t>Source and Authority</w:t>
      </w:r>
    </w:p>
    <w:p w14:paraId="16C3A9F4"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1. See the Source and Authority to Instruction 6:2.</w:t>
      </w:r>
    </w:p>
    <w:p w14:paraId="6B5BC1B1" w14:textId="6F54A47C"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2. Parents may not recover damages for loss of consortium arising solely from injury to the child. </w:t>
      </w:r>
      <w:r w:rsidRPr="00683FA1">
        <w:rPr>
          <w:rFonts w:eastAsia="Times New Roman"/>
          <w:b/>
          <w:sz w:val="24"/>
          <w:szCs w:val="24"/>
        </w:rPr>
        <w:t>Elgin v. Bartlett</w:t>
      </w:r>
      <w:r w:rsidRPr="00683FA1">
        <w:rPr>
          <w:rFonts w:eastAsia="Times New Roman"/>
          <w:sz w:val="24"/>
          <w:szCs w:val="24"/>
        </w:rPr>
        <w:t>, 994 P.2d 411 (Colo. 1999)</w:t>
      </w:r>
      <w:r w:rsidR="00263D17">
        <w:rPr>
          <w:rFonts w:eastAsia="Times New Roman"/>
          <w:sz w:val="24"/>
          <w:szCs w:val="24"/>
        </w:rPr>
        <w:t>,</w:t>
      </w:r>
      <w:r w:rsidR="009D3B2A" w:rsidRPr="009D3B2A">
        <w:rPr>
          <w:rFonts w:eastAsia="Times New Roman"/>
          <w:i/>
          <w:iCs/>
          <w:sz w:val="24"/>
          <w:szCs w:val="24"/>
        </w:rPr>
        <w:t xml:space="preserve"> </w:t>
      </w:r>
      <w:r w:rsidR="009D3B2A" w:rsidRPr="00683AEF">
        <w:rPr>
          <w:rFonts w:eastAsia="Times New Roman"/>
          <w:i/>
          <w:iCs/>
          <w:sz w:val="24"/>
          <w:szCs w:val="24"/>
        </w:rPr>
        <w:t>overruled on other grounds by</w:t>
      </w:r>
      <w:r w:rsidR="009D3B2A">
        <w:rPr>
          <w:rFonts w:eastAsia="Times New Roman"/>
          <w:sz w:val="24"/>
          <w:szCs w:val="24"/>
        </w:rPr>
        <w:t xml:space="preserve"> </w:t>
      </w:r>
      <w:r w:rsidR="009D3B2A" w:rsidRPr="00B559AD">
        <w:rPr>
          <w:rFonts w:eastAsia="Times New Roman"/>
          <w:b/>
          <w:bCs/>
          <w:sz w:val="24"/>
          <w:szCs w:val="24"/>
        </w:rPr>
        <w:t>Rudnicki v. Bianco</w:t>
      </w:r>
      <w:r w:rsidR="009D3B2A">
        <w:rPr>
          <w:rFonts w:eastAsia="Times New Roman"/>
          <w:sz w:val="24"/>
          <w:szCs w:val="24"/>
        </w:rPr>
        <w:t>, 2021 CO 80, 501 P.3d 776</w:t>
      </w:r>
      <w:r w:rsidRPr="00683FA1">
        <w:rPr>
          <w:rFonts w:eastAsia="Times New Roman"/>
          <w:sz w:val="24"/>
          <w:szCs w:val="24"/>
        </w:rPr>
        <w:t>.</w:t>
      </w:r>
    </w:p>
    <w:p w14:paraId="3A228B27" w14:textId="2E76593F"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3. “An injury to a minor creates separate causes of action: (1) the parents generally may recover for the child’s damages suffered and expenses of the child during minority; (2) the minor may recover expenses the minor actually incurs during minority and for pain and suffering and post-majority impairment of future earning capacity; and (3) an emancipated minor has the right to sue for all damages and expenses.” </w:t>
      </w:r>
      <w:r w:rsidRPr="00683FA1">
        <w:rPr>
          <w:rFonts w:eastAsia="Times New Roman"/>
          <w:b/>
          <w:sz w:val="24"/>
          <w:szCs w:val="24"/>
        </w:rPr>
        <w:t>Pressey v. Children’s Hosp. Colo.</w:t>
      </w:r>
      <w:r w:rsidRPr="00683FA1">
        <w:rPr>
          <w:rFonts w:eastAsia="Times New Roman"/>
          <w:sz w:val="24"/>
          <w:szCs w:val="24"/>
        </w:rPr>
        <w:t>, 2017 COA 28, ¶ 26</w:t>
      </w:r>
      <w:r w:rsidR="00EB724A">
        <w:rPr>
          <w:rFonts w:eastAsia="Times New Roman"/>
          <w:sz w:val="24"/>
          <w:szCs w:val="24"/>
        </w:rPr>
        <w:t xml:space="preserve"> (overruled as to pre-majority medical expenses by </w:t>
      </w:r>
      <w:r w:rsidR="00EB724A">
        <w:rPr>
          <w:rFonts w:eastAsia="Times New Roman"/>
          <w:i/>
          <w:iCs/>
          <w:sz w:val="24"/>
          <w:szCs w:val="24"/>
        </w:rPr>
        <w:t>Rudnicki</w:t>
      </w:r>
      <w:r w:rsidR="00EB724A" w:rsidRPr="00EB724A">
        <w:rPr>
          <w:rFonts w:eastAsia="Times New Roman"/>
          <w:iCs/>
          <w:sz w:val="24"/>
          <w:szCs w:val="24"/>
        </w:rPr>
        <w:t>,</w:t>
      </w:r>
      <w:r w:rsidR="00EB724A">
        <w:rPr>
          <w:rFonts w:eastAsia="Times New Roman"/>
          <w:i/>
          <w:iCs/>
          <w:sz w:val="24"/>
          <w:szCs w:val="24"/>
        </w:rPr>
        <w:t xml:space="preserve"> supra</w:t>
      </w:r>
      <w:r w:rsidR="00EB724A">
        <w:rPr>
          <w:rFonts w:eastAsia="Times New Roman"/>
          <w:sz w:val="24"/>
          <w:szCs w:val="24"/>
        </w:rPr>
        <w:t>)</w:t>
      </w:r>
      <w:r w:rsidRPr="00683FA1">
        <w:rPr>
          <w:rFonts w:eastAsia="Times New Roman"/>
          <w:sz w:val="24"/>
          <w:szCs w:val="24"/>
        </w:rPr>
        <w:t>.</w:t>
      </w:r>
    </w:p>
    <w:p w14:paraId="5A4127B7" w14:textId="6FC99D0F"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4. Several Colorado cases have considered the damages a parent is entitled to recover for injuries to his or her unemancipated minor child. </w:t>
      </w:r>
      <w:r w:rsidRPr="00683FA1">
        <w:rPr>
          <w:rFonts w:eastAsia="Times New Roman"/>
          <w:i/>
          <w:sz w:val="24"/>
          <w:szCs w:val="24"/>
        </w:rPr>
        <w:t>See</w:t>
      </w:r>
      <w:r w:rsidRPr="00683FA1">
        <w:rPr>
          <w:rFonts w:eastAsia="Times New Roman"/>
          <w:sz w:val="24"/>
          <w:szCs w:val="24"/>
        </w:rPr>
        <w:t xml:space="preserve"> </w:t>
      </w:r>
      <w:r w:rsidRPr="00683FA1">
        <w:rPr>
          <w:rFonts w:eastAsia="Times New Roman"/>
          <w:b/>
          <w:sz w:val="24"/>
          <w:szCs w:val="24"/>
        </w:rPr>
        <w:t>Odell v. Pub. Serv. Co.</w:t>
      </w:r>
      <w:r w:rsidRPr="00683FA1">
        <w:rPr>
          <w:rFonts w:eastAsia="Times New Roman"/>
          <w:sz w:val="24"/>
          <w:szCs w:val="24"/>
        </w:rPr>
        <w:t xml:space="preserve">, 158 Colo. 404, 407 P.2d 330 (1965) (hospital, medical, and additional educational expenses); </w:t>
      </w:r>
      <w:r w:rsidRPr="00683FA1">
        <w:rPr>
          <w:rFonts w:eastAsia="Times New Roman"/>
          <w:b/>
          <w:sz w:val="24"/>
          <w:szCs w:val="24"/>
        </w:rPr>
        <w:t>Colo. Utils. Corp. v. Casady</w:t>
      </w:r>
      <w:r w:rsidRPr="00683FA1">
        <w:rPr>
          <w:rFonts w:eastAsia="Times New Roman"/>
          <w:sz w:val="24"/>
          <w:szCs w:val="24"/>
        </w:rPr>
        <w:t xml:space="preserve">, 89 Colo. 168, 300 P. 606 (1931) (future pecuniary expense and loss of services); </w:t>
      </w:r>
      <w:r w:rsidRPr="00683FA1">
        <w:rPr>
          <w:rFonts w:eastAsia="Times New Roman"/>
          <w:b/>
          <w:sz w:val="24"/>
          <w:szCs w:val="24"/>
        </w:rPr>
        <w:t>Pawnee Farmers’ Elevator Co. v. Powell</w:t>
      </w:r>
      <w:r w:rsidRPr="00683FA1">
        <w:rPr>
          <w:rFonts w:eastAsia="Times New Roman"/>
          <w:sz w:val="24"/>
          <w:szCs w:val="24"/>
        </w:rPr>
        <w:t>, 76 Colo. 1, 227 P. 836 (1924) (loss of earnings and diminution of earning capacity).</w:t>
      </w:r>
    </w:p>
    <w:p w14:paraId="109D7B70"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5. When a case involving a child’s death arises under the Ski Safety Act, §§ 33-44-101 to -114, C.R.S., the damages recoverable by a parent are subject to the cap contained in section 33-44-113, C.R.S., not the cap contained in the Wrongful Death Act, § 13-21-203(1)(a), C.R.S. </w:t>
      </w:r>
      <w:r w:rsidRPr="00683FA1">
        <w:rPr>
          <w:rFonts w:eastAsia="Times New Roman"/>
          <w:b/>
          <w:sz w:val="24"/>
          <w:szCs w:val="24"/>
        </w:rPr>
        <w:t>Stamp v. Vail Corp.</w:t>
      </w:r>
      <w:r w:rsidRPr="00683FA1">
        <w:rPr>
          <w:rFonts w:eastAsia="Times New Roman"/>
          <w:sz w:val="24"/>
          <w:szCs w:val="24"/>
        </w:rPr>
        <w:t>, 172 P.3d 437 (Colo. 2007).</w:t>
      </w:r>
    </w:p>
    <w:p w14:paraId="04953702" w14:textId="77777777" w:rsidR="00EF4043" w:rsidRDefault="00EF4043">
      <w:pPr>
        <w:rPr>
          <w:rFonts w:eastAsia="Times New Roman"/>
          <w:sz w:val="24"/>
          <w:szCs w:val="24"/>
        </w:rPr>
      </w:pPr>
      <w:r>
        <w:rPr>
          <w:rFonts w:eastAsia="Times New Roman"/>
          <w:sz w:val="24"/>
          <w:szCs w:val="24"/>
        </w:rPr>
        <w:br w:type="page"/>
      </w:r>
    </w:p>
    <w:p w14:paraId="6B6BE77E" w14:textId="77777777" w:rsidR="00EF4043" w:rsidRPr="009E3DA4" w:rsidRDefault="00EF4043" w:rsidP="00EF4043">
      <w:pPr>
        <w:spacing w:after="240"/>
        <w:ind w:left="720" w:hanging="720"/>
        <w:rPr>
          <w:rFonts w:eastAsia="Times New Roman"/>
          <w:b/>
          <w:sz w:val="24"/>
          <w:szCs w:val="24"/>
        </w:rPr>
      </w:pPr>
      <w:bookmarkStart w:id="7" w:name="a6_4"/>
      <w:bookmarkEnd w:id="7"/>
      <w:r w:rsidRPr="00EF4043">
        <w:rPr>
          <w:rFonts w:eastAsia="Times New Roman"/>
          <w:b/>
          <w:sz w:val="24"/>
          <w:szCs w:val="24"/>
        </w:rPr>
        <w:lastRenderedPageBreak/>
        <w:t xml:space="preserve">6:4 </w:t>
      </w:r>
      <w:r w:rsidRPr="00EF4043">
        <w:rPr>
          <w:rFonts w:eastAsia="Times New Roman"/>
          <w:b/>
          <w:sz w:val="24"/>
          <w:szCs w:val="24"/>
        </w:rPr>
        <w:tab/>
        <w:t>PERSONAL INJURIES — MINOR CHILD — LOSS OF EARNINGS — DISTINCTION BETWEEN PARENTS’ AND CHILD’S CLAIMS</w:t>
      </w:r>
    </w:p>
    <w:p w14:paraId="259CCD94"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Earnings of a minor child before emancipation belong to the parents. Earnings after emancipation or after reaching the age of 18 belong to the child.</w:t>
      </w:r>
    </w:p>
    <w:p w14:paraId="0B876389" w14:textId="77777777" w:rsidR="00EF4043" w:rsidRDefault="00EF4043" w:rsidP="00EF4043">
      <w:pPr>
        <w:jc w:val="center"/>
        <w:rPr>
          <w:rFonts w:eastAsia="Times New Roman"/>
          <w:sz w:val="24"/>
          <w:szCs w:val="24"/>
        </w:rPr>
      </w:pPr>
    </w:p>
    <w:p w14:paraId="64023E28" w14:textId="77777777" w:rsidR="00EF4043" w:rsidRPr="0054263B" w:rsidRDefault="00EF4043" w:rsidP="00EF4043">
      <w:pPr>
        <w:keepNext/>
        <w:spacing w:after="240"/>
        <w:jc w:val="center"/>
        <w:rPr>
          <w:rFonts w:eastAsia="Times New Roman"/>
          <w:b/>
          <w:sz w:val="24"/>
          <w:szCs w:val="24"/>
        </w:rPr>
      </w:pPr>
      <w:r w:rsidRPr="0054263B">
        <w:rPr>
          <w:rFonts w:eastAsia="Times New Roman"/>
          <w:b/>
          <w:sz w:val="24"/>
          <w:szCs w:val="24"/>
        </w:rPr>
        <w:t>Notes on Use</w:t>
      </w:r>
    </w:p>
    <w:p w14:paraId="451777FF"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1. When Instruction 6:2 is given, this instruction normally will not be necessary. When, however, a parent is suing only on his or her own claim, in which case Instruction 6:3 will be given, this instruction also should be given.</w:t>
      </w:r>
    </w:p>
    <w:p w14:paraId="306347F5"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2. See Instruction 7:1, defining “minor,” and Instruction 7:2, defining “emancipation.”</w:t>
      </w:r>
    </w:p>
    <w:p w14:paraId="6BCC3F11" w14:textId="77777777" w:rsidR="00EF4043" w:rsidRPr="0054263B" w:rsidRDefault="00EF4043" w:rsidP="00EF4043">
      <w:pPr>
        <w:keepNext/>
        <w:spacing w:after="240"/>
        <w:jc w:val="center"/>
        <w:rPr>
          <w:rFonts w:eastAsia="Times New Roman"/>
          <w:b/>
          <w:sz w:val="24"/>
          <w:szCs w:val="24"/>
        </w:rPr>
      </w:pPr>
      <w:r>
        <w:rPr>
          <w:rFonts w:eastAsia="Times New Roman"/>
          <w:b/>
          <w:sz w:val="24"/>
          <w:szCs w:val="24"/>
        </w:rPr>
        <w:t>Source and Authority</w:t>
      </w:r>
    </w:p>
    <w:p w14:paraId="159C70CE" w14:textId="77777777" w:rsidR="00A85AAA" w:rsidRDefault="00EF4043" w:rsidP="007A3A0E">
      <w:pPr>
        <w:spacing w:after="240"/>
        <w:ind w:firstLine="720"/>
        <w:rPr>
          <w:rFonts w:eastAsia="Times New Roman"/>
          <w:sz w:val="24"/>
          <w:szCs w:val="24"/>
        </w:rPr>
      </w:pPr>
      <w:r w:rsidRPr="00EF4043">
        <w:rPr>
          <w:rFonts w:eastAsia="Times New Roman"/>
          <w:sz w:val="24"/>
          <w:szCs w:val="24"/>
        </w:rPr>
        <w:t xml:space="preserve">This instruction is supported by section 13-22-101(1), C.R.S. </w:t>
      </w:r>
      <w:r w:rsidRPr="00EF4043">
        <w:rPr>
          <w:rFonts w:eastAsia="Times New Roman"/>
          <w:i/>
          <w:sz w:val="24"/>
          <w:szCs w:val="24"/>
        </w:rPr>
        <w:t>See also</w:t>
      </w:r>
      <w:r w:rsidRPr="00EF4043">
        <w:rPr>
          <w:rFonts w:eastAsia="Times New Roman"/>
          <w:sz w:val="24"/>
          <w:szCs w:val="24"/>
        </w:rPr>
        <w:t xml:space="preserve"> Source and Authority to Instructions 6:2 &amp; 6:3.</w:t>
      </w:r>
    </w:p>
    <w:p w14:paraId="2DA04B9B" w14:textId="77777777" w:rsidR="00EF4043" w:rsidRDefault="00EF4043">
      <w:pPr>
        <w:rPr>
          <w:rFonts w:eastAsia="Times New Roman"/>
          <w:sz w:val="24"/>
          <w:szCs w:val="24"/>
        </w:rPr>
      </w:pPr>
      <w:r>
        <w:rPr>
          <w:rFonts w:eastAsia="Times New Roman"/>
          <w:sz w:val="24"/>
          <w:szCs w:val="24"/>
        </w:rPr>
        <w:br w:type="page"/>
      </w:r>
    </w:p>
    <w:p w14:paraId="798138B2" w14:textId="77777777" w:rsidR="00EF4043" w:rsidRPr="009E3DA4" w:rsidRDefault="00EF4043" w:rsidP="00EF4043">
      <w:pPr>
        <w:spacing w:after="240"/>
        <w:ind w:left="720" w:hanging="720"/>
        <w:rPr>
          <w:rFonts w:eastAsia="Times New Roman"/>
          <w:b/>
          <w:sz w:val="24"/>
          <w:szCs w:val="24"/>
        </w:rPr>
      </w:pPr>
      <w:bookmarkStart w:id="8" w:name="a6_5"/>
      <w:bookmarkEnd w:id="8"/>
      <w:r w:rsidRPr="00EF4043">
        <w:rPr>
          <w:rFonts w:eastAsia="Times New Roman"/>
          <w:b/>
          <w:sz w:val="24"/>
          <w:szCs w:val="24"/>
        </w:rPr>
        <w:lastRenderedPageBreak/>
        <w:t xml:space="preserve">6:5 </w:t>
      </w:r>
      <w:r w:rsidRPr="00EF4043">
        <w:rPr>
          <w:rFonts w:eastAsia="Times New Roman"/>
          <w:b/>
          <w:sz w:val="24"/>
          <w:szCs w:val="24"/>
        </w:rPr>
        <w:tab/>
        <w:t>LOSS OF CONSORTIUM — ELEMENTS OF LIABILITY</w:t>
      </w:r>
    </w:p>
    <w:p w14:paraId="6D68F820" w14:textId="78028203"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For the plaintiff, </w:t>
      </w:r>
      <w:r w:rsidRPr="00EF4043">
        <w:rPr>
          <w:rFonts w:eastAsia="Times New Roman"/>
          <w:i/>
          <w:sz w:val="24"/>
          <w:szCs w:val="24"/>
        </w:rPr>
        <w:t>(name)</w:t>
      </w:r>
      <w:r w:rsidRPr="00EF4043">
        <w:rPr>
          <w:rFonts w:eastAsia="Times New Roman"/>
          <w:b/>
          <w:sz w:val="24"/>
          <w:szCs w:val="24"/>
        </w:rPr>
        <w:t xml:space="preserve">, to recover from the defendant, </w:t>
      </w:r>
      <w:r w:rsidRPr="00EF4043">
        <w:rPr>
          <w:rFonts w:eastAsia="Times New Roman"/>
          <w:i/>
          <w:sz w:val="24"/>
          <w:szCs w:val="24"/>
        </w:rPr>
        <w:t>(name)</w:t>
      </w:r>
      <w:r w:rsidRPr="00EF4043">
        <w:rPr>
          <w:rFonts w:eastAsia="Times New Roman"/>
          <w:b/>
          <w:sz w:val="24"/>
          <w:szCs w:val="24"/>
        </w:rPr>
        <w:t xml:space="preserve">, on </w:t>
      </w:r>
      <w:bookmarkStart w:id="9" w:name="_Hlk146358878"/>
      <w:r w:rsidR="00AA267B" w:rsidRPr="00AA267B">
        <w:rPr>
          <w:rFonts w:eastAsia="Times New Roman"/>
          <w:bCs/>
          <w:i/>
          <w:iCs/>
          <w:sz w:val="24"/>
          <w:szCs w:val="24"/>
        </w:rPr>
        <w:t>(</w:t>
      </w:r>
      <w:r w:rsidR="00AA267B">
        <w:rPr>
          <w:rFonts w:eastAsia="Times New Roman"/>
          <w:i/>
          <w:sz w:val="24"/>
          <w:szCs w:val="24"/>
        </w:rPr>
        <w:t>insert applicable pronoun)</w:t>
      </w:r>
      <w:bookmarkEnd w:id="9"/>
      <w:r w:rsidR="00AA267B" w:rsidRPr="00EF4043" w:rsidDel="00AA267B">
        <w:rPr>
          <w:rFonts w:eastAsia="Times New Roman"/>
          <w:b/>
          <w:sz w:val="24"/>
          <w:szCs w:val="24"/>
        </w:rPr>
        <w:t xml:space="preserve"> </w:t>
      </w:r>
      <w:r w:rsidRPr="00EF4043">
        <w:rPr>
          <w:rFonts w:eastAsia="Times New Roman"/>
          <w:b/>
          <w:sz w:val="24"/>
          <w:szCs w:val="24"/>
        </w:rPr>
        <w:t xml:space="preserve">claim of loss of consortium for injury to the plaintiff’s spouse, </w:t>
      </w:r>
      <w:r w:rsidRPr="00EF4043">
        <w:rPr>
          <w:rFonts w:eastAsia="Times New Roman"/>
          <w:i/>
          <w:sz w:val="24"/>
          <w:szCs w:val="24"/>
        </w:rPr>
        <w:t>(name)</w:t>
      </w:r>
      <w:r w:rsidRPr="00EF4043">
        <w:rPr>
          <w:rFonts w:eastAsia="Times New Roman"/>
          <w:b/>
          <w:sz w:val="24"/>
          <w:szCs w:val="24"/>
        </w:rPr>
        <w:t>, you must find all of the following have been proved by a preponderance of the evidence:</w:t>
      </w:r>
    </w:p>
    <w:p w14:paraId="6F03E061"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1. The defendant was negligent;</w:t>
      </w:r>
    </w:p>
    <w:p w14:paraId="02C3D3B7"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2. </w:t>
      </w:r>
      <w:r w:rsidRPr="00EF4043">
        <w:rPr>
          <w:rFonts w:eastAsia="Times New Roman"/>
          <w:i/>
          <w:sz w:val="24"/>
          <w:szCs w:val="24"/>
        </w:rPr>
        <w:t xml:space="preserve">(Name of spouse) </w:t>
      </w:r>
      <w:r w:rsidRPr="00EF4043">
        <w:rPr>
          <w:rFonts w:eastAsia="Times New Roman"/>
          <w:b/>
          <w:sz w:val="24"/>
          <w:szCs w:val="24"/>
        </w:rPr>
        <w:t>was injured as a result of the defendant’s negligence;</w:t>
      </w:r>
    </w:p>
    <w:p w14:paraId="2D9DCB4E"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3. The plaintiff and </w:t>
      </w:r>
      <w:r w:rsidRPr="00EF4043">
        <w:rPr>
          <w:rFonts w:eastAsia="Times New Roman"/>
          <w:i/>
          <w:sz w:val="24"/>
          <w:szCs w:val="24"/>
        </w:rPr>
        <w:t>(name of spouse)</w:t>
      </w:r>
      <w:r w:rsidRPr="00EF4043">
        <w:rPr>
          <w:rFonts w:eastAsia="Times New Roman"/>
          <w:b/>
          <w:sz w:val="24"/>
          <w:szCs w:val="24"/>
        </w:rPr>
        <w:t xml:space="preserve"> were married at the time </w:t>
      </w:r>
      <w:r w:rsidRPr="00EF4043">
        <w:rPr>
          <w:rFonts w:eastAsia="Times New Roman"/>
          <w:i/>
          <w:sz w:val="24"/>
          <w:szCs w:val="24"/>
        </w:rPr>
        <w:t>(name of spouse)</w:t>
      </w:r>
      <w:r w:rsidRPr="00EF4043">
        <w:rPr>
          <w:rFonts w:eastAsia="Times New Roman"/>
          <w:b/>
          <w:sz w:val="24"/>
          <w:szCs w:val="24"/>
        </w:rPr>
        <w:t xml:space="preserve"> was injured; and</w:t>
      </w:r>
    </w:p>
    <w:p w14:paraId="198D2F2E" w14:textId="27EDC5AF"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4. As a result of such injuries to </w:t>
      </w:r>
      <w:r w:rsidRPr="00EF4043">
        <w:rPr>
          <w:rFonts w:eastAsia="Times New Roman"/>
          <w:i/>
          <w:sz w:val="24"/>
          <w:szCs w:val="24"/>
        </w:rPr>
        <w:t>(name of spouse)</w:t>
      </w:r>
      <w:r w:rsidRPr="00EF4043">
        <w:rPr>
          <w:rFonts w:eastAsia="Times New Roman"/>
          <w:b/>
          <w:sz w:val="24"/>
          <w:szCs w:val="24"/>
        </w:rPr>
        <w:t xml:space="preserve">, the plaintiff also had a loss of </w:t>
      </w:r>
      <w:r w:rsidR="00505E5C" w:rsidRPr="00AA267B">
        <w:rPr>
          <w:rFonts w:eastAsia="Times New Roman"/>
          <w:bCs/>
          <w:i/>
          <w:iCs/>
          <w:sz w:val="24"/>
          <w:szCs w:val="24"/>
        </w:rPr>
        <w:t>(</w:t>
      </w:r>
      <w:r w:rsidR="00505E5C">
        <w:rPr>
          <w:rFonts w:eastAsia="Times New Roman"/>
          <w:i/>
          <w:sz w:val="24"/>
          <w:szCs w:val="24"/>
        </w:rPr>
        <w:t>insert applicable pronoun)</w:t>
      </w:r>
      <w:r w:rsidRPr="00EF4043">
        <w:rPr>
          <w:rFonts w:eastAsia="Times New Roman"/>
          <w:b/>
          <w:sz w:val="24"/>
          <w:szCs w:val="24"/>
        </w:rPr>
        <w:t xml:space="preserve"> rights of consortium.</w:t>
      </w:r>
    </w:p>
    <w:p w14:paraId="5857B8E6"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If you find that any one or more of these </w:t>
      </w:r>
      <w:r w:rsidRPr="00EF4043">
        <w:rPr>
          <w:rFonts w:eastAsia="Times New Roman"/>
          <w:i/>
          <w:sz w:val="24"/>
          <w:szCs w:val="24"/>
        </w:rPr>
        <w:t>(number)</w:t>
      </w:r>
      <w:r w:rsidRPr="00EF4043">
        <w:rPr>
          <w:rFonts w:eastAsia="Times New Roman"/>
          <w:b/>
          <w:sz w:val="24"/>
          <w:szCs w:val="24"/>
        </w:rPr>
        <w:t xml:space="preserve"> statements has not been proved, then your verdict on the plaintiff’s, </w:t>
      </w:r>
      <w:r w:rsidRPr="00EF4043">
        <w:rPr>
          <w:rFonts w:eastAsia="Times New Roman"/>
          <w:i/>
          <w:sz w:val="24"/>
          <w:szCs w:val="24"/>
        </w:rPr>
        <w:t>(name)</w:t>
      </w:r>
      <w:r w:rsidRPr="00EF4043">
        <w:rPr>
          <w:rFonts w:eastAsia="Times New Roman"/>
          <w:b/>
          <w:sz w:val="24"/>
          <w:szCs w:val="24"/>
        </w:rPr>
        <w:t>, claim must be for the defendant.</w:t>
      </w:r>
    </w:p>
    <w:p w14:paraId="385D2A72"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On the other hand, if you find that all of these </w:t>
      </w:r>
      <w:r w:rsidRPr="00EF4043">
        <w:rPr>
          <w:rFonts w:eastAsia="Times New Roman"/>
          <w:i/>
          <w:sz w:val="24"/>
          <w:szCs w:val="24"/>
        </w:rPr>
        <w:t>(number)</w:t>
      </w:r>
      <w:r w:rsidRPr="00EF4043">
        <w:rPr>
          <w:rFonts w:eastAsia="Times New Roman"/>
          <w:b/>
          <w:sz w:val="24"/>
          <w:szCs w:val="24"/>
        </w:rPr>
        <w:t xml:space="preserve"> statements have been proved, (then your verdict must be for the plaintiff) (then you must consider the defendant’s affirmative defense(s) of </w:t>
      </w:r>
      <w:r w:rsidRPr="00EF4043">
        <w:rPr>
          <w:rFonts w:eastAsia="Times New Roman"/>
          <w:i/>
          <w:sz w:val="24"/>
          <w:szCs w:val="24"/>
        </w:rPr>
        <w:t>[insert description of any affirmative defenses]</w:t>
      </w:r>
      <w:r w:rsidRPr="00EF4043">
        <w:rPr>
          <w:rFonts w:eastAsia="Times New Roman"/>
          <w:b/>
          <w:sz w:val="24"/>
          <w:szCs w:val="24"/>
        </w:rPr>
        <w:t>).</w:t>
      </w:r>
    </w:p>
    <w:p w14:paraId="6932178D" w14:textId="6F961602"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If you find that (this affirmative defense</w:t>
      </w:r>
      <w:r w:rsidR="00BC1DC9">
        <w:rPr>
          <w:rFonts w:eastAsia="Times New Roman"/>
          <w:b/>
          <w:sz w:val="24"/>
          <w:szCs w:val="24"/>
        </w:rPr>
        <w:t xml:space="preserve"> has</w:t>
      </w:r>
      <w:r w:rsidRPr="00EF4043">
        <w:rPr>
          <w:rFonts w:eastAsia="Times New Roman"/>
          <w:b/>
          <w:sz w:val="24"/>
          <w:szCs w:val="24"/>
        </w:rPr>
        <w:t>) (any one or more of these affirmative defenses</w:t>
      </w:r>
      <w:r w:rsidR="00BC1DC9">
        <w:rPr>
          <w:rFonts w:eastAsia="Times New Roman"/>
          <w:b/>
          <w:sz w:val="24"/>
          <w:szCs w:val="24"/>
        </w:rPr>
        <w:t xml:space="preserve"> have</w:t>
      </w:r>
      <w:r w:rsidRPr="00EF4043">
        <w:rPr>
          <w:rFonts w:eastAsia="Times New Roman"/>
          <w:b/>
          <w:sz w:val="24"/>
          <w:szCs w:val="24"/>
        </w:rPr>
        <w:t>) been proved by a preponderance of the evidence, then your verdict must be for the defendant.</w:t>
      </w:r>
    </w:p>
    <w:p w14:paraId="41BE68A5" w14:textId="6BD73A5E"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However, if you find that (this affirmative defense</w:t>
      </w:r>
      <w:r w:rsidR="00F34D28">
        <w:rPr>
          <w:rFonts w:eastAsia="Times New Roman"/>
          <w:b/>
          <w:sz w:val="24"/>
          <w:szCs w:val="24"/>
        </w:rPr>
        <w:t xml:space="preserve"> has not</w:t>
      </w:r>
      <w:r w:rsidRPr="00EF4043">
        <w:rPr>
          <w:rFonts w:eastAsia="Times New Roman"/>
          <w:b/>
          <w:sz w:val="24"/>
          <w:szCs w:val="24"/>
        </w:rPr>
        <w:t>) (none of these affirmative defenses</w:t>
      </w:r>
      <w:r w:rsidR="00F34D28">
        <w:rPr>
          <w:rFonts w:eastAsia="Times New Roman"/>
          <w:b/>
          <w:sz w:val="24"/>
          <w:szCs w:val="24"/>
        </w:rPr>
        <w:t xml:space="preserve"> have</w:t>
      </w:r>
      <w:r w:rsidRPr="00EF4043">
        <w:rPr>
          <w:rFonts w:eastAsia="Times New Roman"/>
          <w:b/>
          <w:sz w:val="24"/>
          <w:szCs w:val="24"/>
        </w:rPr>
        <w:t>) been proved, then your verdict must be for the plaintiff.</w:t>
      </w:r>
    </w:p>
    <w:p w14:paraId="40C15569" w14:textId="77777777" w:rsidR="00EF4043" w:rsidRDefault="00EF4043" w:rsidP="00EF4043">
      <w:pPr>
        <w:jc w:val="center"/>
        <w:rPr>
          <w:rFonts w:eastAsia="Times New Roman"/>
          <w:sz w:val="24"/>
          <w:szCs w:val="24"/>
        </w:rPr>
      </w:pPr>
    </w:p>
    <w:p w14:paraId="53F68452" w14:textId="77777777" w:rsidR="00EF4043" w:rsidRPr="0054263B" w:rsidRDefault="00EF4043" w:rsidP="00EF4043">
      <w:pPr>
        <w:keepNext/>
        <w:spacing w:after="240"/>
        <w:jc w:val="center"/>
        <w:rPr>
          <w:rFonts w:eastAsia="Times New Roman"/>
          <w:b/>
          <w:sz w:val="24"/>
          <w:szCs w:val="24"/>
        </w:rPr>
      </w:pPr>
      <w:r w:rsidRPr="0054263B">
        <w:rPr>
          <w:rFonts w:eastAsia="Times New Roman"/>
          <w:b/>
          <w:sz w:val="24"/>
          <w:szCs w:val="24"/>
        </w:rPr>
        <w:t>Notes on Use</w:t>
      </w:r>
    </w:p>
    <w:p w14:paraId="333F1C33"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1. Omit any numbered paragraph as to which the facts are not in dispute.</w:t>
      </w:r>
    </w:p>
    <w:p w14:paraId="1729A546"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2. Instruction 6:6 should be used with this instruction for the definition of consortium and the damages that are recoverable for its loss.</w:t>
      </w:r>
    </w:p>
    <w:p w14:paraId="33B6329E"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3. Damages for loss of consortium also can be recovered when caused by other forms of tortious conduct against the spouse, for example, battery. In such cases this instruction should be appropriately modified.</w:t>
      </w:r>
    </w:p>
    <w:p w14:paraId="6FC0961C"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4. Whenever this instruction is given, the appropriate instructions relating to causation also must be given. </w:t>
      </w:r>
      <w:r w:rsidRPr="00EF4043">
        <w:rPr>
          <w:rFonts w:eastAsia="Times New Roman"/>
          <w:i/>
          <w:sz w:val="24"/>
          <w:szCs w:val="24"/>
        </w:rPr>
        <w:t>See</w:t>
      </w:r>
      <w:r w:rsidRPr="00EF4043">
        <w:rPr>
          <w:rFonts w:eastAsia="Times New Roman"/>
          <w:sz w:val="24"/>
          <w:szCs w:val="24"/>
        </w:rPr>
        <w:t xml:space="preserve"> Instructions 9:18-9:21.</w:t>
      </w:r>
    </w:p>
    <w:p w14:paraId="4A4BB1A6" w14:textId="1F6B6723"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5. Loss of consortium is a derivative claim and is subject to the same defenses available to the underlying personal injury claim. </w:t>
      </w:r>
      <w:r w:rsidRPr="00EF4043">
        <w:rPr>
          <w:rFonts w:eastAsia="Times New Roman"/>
          <w:b/>
          <w:sz w:val="24"/>
          <w:szCs w:val="24"/>
        </w:rPr>
        <w:t>Colo. Comp. Ins. Auth. v. Jorgensen</w:t>
      </w:r>
      <w:r w:rsidRPr="00EF4043">
        <w:rPr>
          <w:rFonts w:eastAsia="Times New Roman"/>
          <w:sz w:val="24"/>
          <w:szCs w:val="24"/>
        </w:rPr>
        <w:t xml:space="preserve">, 992 P.2d 1156 (Colo. 2000); </w:t>
      </w:r>
      <w:r w:rsidRPr="00EF4043">
        <w:rPr>
          <w:rFonts w:eastAsia="Times New Roman"/>
          <w:b/>
          <w:sz w:val="24"/>
          <w:szCs w:val="24"/>
        </w:rPr>
        <w:t>Lee v. Colo. Dep’t of Health</w:t>
      </w:r>
      <w:r w:rsidRPr="00EF4043">
        <w:rPr>
          <w:rFonts w:eastAsia="Times New Roman"/>
          <w:sz w:val="24"/>
          <w:szCs w:val="24"/>
        </w:rPr>
        <w:t xml:space="preserve">, 718 P.2d 221 (Colo. 1986); </w:t>
      </w:r>
      <w:r w:rsidRPr="00EF4043">
        <w:rPr>
          <w:rFonts w:eastAsia="Times New Roman"/>
          <w:b/>
          <w:sz w:val="24"/>
          <w:szCs w:val="24"/>
        </w:rPr>
        <w:t>Draper v. DeFrenchi-</w:t>
      </w:r>
      <w:r w:rsidRPr="00EF4043">
        <w:rPr>
          <w:rFonts w:eastAsia="Times New Roman"/>
          <w:b/>
          <w:sz w:val="24"/>
          <w:szCs w:val="24"/>
        </w:rPr>
        <w:lastRenderedPageBreak/>
        <w:t>Gordineer</w:t>
      </w:r>
      <w:r w:rsidRPr="00EF4043">
        <w:rPr>
          <w:rFonts w:eastAsia="Times New Roman"/>
          <w:sz w:val="24"/>
          <w:szCs w:val="24"/>
        </w:rPr>
        <w:t xml:space="preserve">, 282 P.3d 489 (Colo. App. 2011); </w:t>
      </w:r>
      <w:r w:rsidRPr="00EF4043">
        <w:rPr>
          <w:rFonts w:eastAsia="Times New Roman"/>
          <w:b/>
          <w:sz w:val="24"/>
          <w:szCs w:val="24"/>
        </w:rPr>
        <w:t>Terry v. Sullivan</w:t>
      </w:r>
      <w:r w:rsidRPr="00EF4043">
        <w:rPr>
          <w:rFonts w:eastAsia="Times New Roman"/>
          <w:sz w:val="24"/>
          <w:szCs w:val="24"/>
        </w:rPr>
        <w:t xml:space="preserve">, 58 P.3d 1098 (Colo. App. 2002); </w:t>
      </w:r>
      <w:r w:rsidRPr="00EF4043">
        <w:rPr>
          <w:rFonts w:eastAsia="Times New Roman"/>
          <w:i/>
          <w:sz w:val="24"/>
          <w:szCs w:val="24"/>
        </w:rPr>
        <w:t>see also</w:t>
      </w:r>
      <w:r w:rsidRPr="00EF4043">
        <w:rPr>
          <w:rFonts w:eastAsia="Times New Roman"/>
          <w:sz w:val="24"/>
          <w:szCs w:val="24"/>
        </w:rPr>
        <w:t xml:space="preserve"> </w:t>
      </w:r>
      <w:r w:rsidRPr="00EF4043">
        <w:rPr>
          <w:rFonts w:eastAsia="Times New Roman"/>
          <w:b/>
          <w:sz w:val="24"/>
          <w:szCs w:val="24"/>
        </w:rPr>
        <w:t>Elgin v. Bartlett</w:t>
      </w:r>
      <w:r w:rsidRPr="00EF4043">
        <w:rPr>
          <w:rFonts w:eastAsia="Times New Roman"/>
          <w:sz w:val="24"/>
          <w:szCs w:val="24"/>
        </w:rPr>
        <w:t>,</w:t>
      </w:r>
      <w:r w:rsidRPr="00EF4043">
        <w:rPr>
          <w:rFonts w:eastAsia="Times New Roman"/>
          <w:b/>
          <w:sz w:val="24"/>
          <w:szCs w:val="24"/>
        </w:rPr>
        <w:t xml:space="preserve"> </w:t>
      </w:r>
      <w:r w:rsidRPr="00EF4043">
        <w:rPr>
          <w:rFonts w:eastAsia="Times New Roman"/>
          <w:sz w:val="24"/>
          <w:szCs w:val="24"/>
        </w:rPr>
        <w:t>994 P.2d 411 (Colo. 1999) (claims for derivative damages subject to same defenses available to underlying claims)</w:t>
      </w:r>
      <w:r w:rsidR="00263D17">
        <w:rPr>
          <w:rFonts w:eastAsia="Times New Roman"/>
          <w:sz w:val="24"/>
          <w:szCs w:val="24"/>
        </w:rPr>
        <w:t>,</w:t>
      </w:r>
      <w:r w:rsidR="009D3B2A" w:rsidRPr="009D3B2A">
        <w:rPr>
          <w:rFonts w:eastAsia="Times New Roman"/>
          <w:i/>
          <w:iCs/>
          <w:sz w:val="24"/>
          <w:szCs w:val="24"/>
        </w:rPr>
        <w:t xml:space="preserve"> </w:t>
      </w:r>
      <w:r w:rsidR="009D3B2A" w:rsidRPr="00683AEF">
        <w:rPr>
          <w:rFonts w:eastAsia="Times New Roman"/>
          <w:i/>
          <w:iCs/>
          <w:sz w:val="24"/>
          <w:szCs w:val="24"/>
        </w:rPr>
        <w:t>overruled on other grounds by</w:t>
      </w:r>
      <w:r w:rsidR="009D3B2A">
        <w:rPr>
          <w:rFonts w:eastAsia="Times New Roman"/>
          <w:sz w:val="24"/>
          <w:szCs w:val="24"/>
        </w:rPr>
        <w:t xml:space="preserve"> </w:t>
      </w:r>
      <w:r w:rsidR="009D3B2A" w:rsidRPr="00B559AD">
        <w:rPr>
          <w:rFonts w:eastAsia="Times New Roman"/>
          <w:b/>
          <w:bCs/>
          <w:sz w:val="24"/>
          <w:szCs w:val="24"/>
        </w:rPr>
        <w:t>Rudnicki v. Bianco</w:t>
      </w:r>
      <w:r w:rsidR="009D3B2A">
        <w:rPr>
          <w:rFonts w:eastAsia="Times New Roman"/>
          <w:sz w:val="24"/>
          <w:szCs w:val="24"/>
        </w:rPr>
        <w:t xml:space="preserve">, 2021 CO 80, 501 P.3d 776 </w:t>
      </w:r>
      <w:r w:rsidRPr="00EF4043">
        <w:rPr>
          <w:rFonts w:eastAsia="Times New Roman"/>
          <w:sz w:val="24"/>
          <w:szCs w:val="24"/>
        </w:rPr>
        <w:t xml:space="preserve">. Thus, a claim for loss of consortium arising out of an automobile accident was derivative for purposes of the now-repealed No-Fault Act, and could be maintained only if injuries to the spouse on which the claim is based satisfied one of the statutory threshold requirements for suit. </w:t>
      </w:r>
      <w:r w:rsidRPr="00EF4043">
        <w:rPr>
          <w:rFonts w:eastAsia="Times New Roman"/>
          <w:b/>
          <w:sz w:val="24"/>
          <w:szCs w:val="24"/>
        </w:rPr>
        <w:t>Welch v. George</w:t>
      </w:r>
      <w:r w:rsidRPr="00EF4043">
        <w:rPr>
          <w:rFonts w:eastAsia="Times New Roman"/>
          <w:sz w:val="24"/>
          <w:szCs w:val="24"/>
        </w:rPr>
        <w:t>, 19 P.3d 675 (Colo. 2000).</w:t>
      </w:r>
    </w:p>
    <w:p w14:paraId="54EB0259"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6. While the contributory negligence of the injured spouse or the spouse claiming loss of consortium is a defense to a claim for such loss, </w:t>
      </w:r>
      <w:r w:rsidRPr="00EF4043">
        <w:rPr>
          <w:rFonts w:eastAsia="Times New Roman"/>
          <w:smallCaps/>
          <w:sz w:val="24"/>
          <w:szCs w:val="24"/>
        </w:rPr>
        <w:t>W. Page Keeton et al., Prosser and Keeton on the Law of Torts</w:t>
      </w:r>
      <w:r w:rsidRPr="00EF4043">
        <w:rPr>
          <w:rFonts w:eastAsia="Times New Roman"/>
          <w:sz w:val="24"/>
          <w:szCs w:val="24"/>
        </w:rPr>
        <w:t xml:space="preserve"> § 125, at 937 (5th ed. 1984), it is not necessarily a complete bar under the comparative negligence statute, § 13-21-111, C.R.S. When there is sufficient evidence of contributory negligence on the part of the injured spouse or the plaintiff, the last two unnumbered paragraphs of this instruction should be changed to read as the last two unnumbered paragraphs of Instruction 9:22 (with appropriate modifications depending on whose contributory negligence is involved). The appropriate comparative negligence instructions, </w:t>
      </w:r>
      <w:r w:rsidRPr="00EF4043">
        <w:rPr>
          <w:rFonts w:eastAsia="Times New Roman"/>
          <w:i/>
          <w:sz w:val="24"/>
          <w:szCs w:val="24"/>
        </w:rPr>
        <w:t>see</w:t>
      </w:r>
      <w:r w:rsidRPr="00EF4043">
        <w:rPr>
          <w:rFonts w:eastAsia="Times New Roman"/>
          <w:sz w:val="24"/>
          <w:szCs w:val="24"/>
        </w:rPr>
        <w:t xml:space="preserve"> Instructions 9:26 – 9:28D, again with whatever modifications may be required, must also be given. </w:t>
      </w:r>
      <w:r w:rsidRPr="00EF4043">
        <w:rPr>
          <w:rFonts w:eastAsia="Times New Roman"/>
          <w:i/>
          <w:sz w:val="24"/>
          <w:szCs w:val="24"/>
        </w:rPr>
        <w:t>See also</w:t>
      </w:r>
      <w:r w:rsidRPr="00EF4043">
        <w:rPr>
          <w:rFonts w:eastAsia="Times New Roman"/>
          <w:sz w:val="24"/>
          <w:szCs w:val="24"/>
        </w:rPr>
        <w:t xml:space="preserve"> </w:t>
      </w:r>
      <w:r w:rsidRPr="00EF4043">
        <w:rPr>
          <w:rFonts w:eastAsia="Times New Roman"/>
          <w:b/>
          <w:sz w:val="24"/>
          <w:szCs w:val="24"/>
        </w:rPr>
        <w:t>Pioneer Constr. Co. v. Bergeron</w:t>
      </w:r>
      <w:r w:rsidRPr="00EF4043">
        <w:rPr>
          <w:rFonts w:eastAsia="Times New Roman"/>
          <w:sz w:val="24"/>
          <w:szCs w:val="24"/>
        </w:rPr>
        <w:t>, 170 Colo. 474, 462 P.2d 589 (1969) (contributory negligence of wife bars husband’s claims for wife’s medical expenses, loss of services and consortium, and expenses for care of children).</w:t>
      </w:r>
    </w:p>
    <w:p w14:paraId="56C5F064"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7. If no affirmative defense has been put in issue, the last two paragraphs of the instruction should be omitted.</w:t>
      </w:r>
    </w:p>
    <w:p w14:paraId="02A400ED"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8. This instruction should be given regardless of whether the injured spouse has joined in the suit to recover his or her own damages. When both spouses join in the same suit, however, separate verdict forms on the respective spouses’ claims should be submitted to the jury. </w:t>
      </w:r>
      <w:r w:rsidRPr="00EF4043">
        <w:rPr>
          <w:rFonts w:eastAsia="Times New Roman"/>
          <w:i/>
          <w:sz w:val="24"/>
          <w:szCs w:val="24"/>
        </w:rPr>
        <w:t>See</w:t>
      </w:r>
      <w:r w:rsidRPr="00EF4043">
        <w:rPr>
          <w:rFonts w:eastAsia="Times New Roman"/>
          <w:sz w:val="24"/>
          <w:szCs w:val="24"/>
        </w:rPr>
        <w:t xml:space="preserve"> </w:t>
      </w:r>
      <w:r w:rsidRPr="00EF4043">
        <w:rPr>
          <w:rFonts w:eastAsia="Times New Roman"/>
          <w:b/>
          <w:sz w:val="24"/>
          <w:szCs w:val="24"/>
        </w:rPr>
        <w:t>Nemer v. Anderson</w:t>
      </w:r>
      <w:r w:rsidRPr="00EF4043">
        <w:rPr>
          <w:rFonts w:eastAsia="Times New Roman"/>
          <w:sz w:val="24"/>
          <w:szCs w:val="24"/>
        </w:rPr>
        <w:t>, 151 Colo. 411, 378 P.2d 841 (1963) (by implication).</w:t>
      </w:r>
    </w:p>
    <w:p w14:paraId="68C43A58" w14:textId="77777777" w:rsidR="00EF4043" w:rsidRPr="0054263B" w:rsidRDefault="00EF4043" w:rsidP="00EF4043">
      <w:pPr>
        <w:keepNext/>
        <w:spacing w:after="240"/>
        <w:jc w:val="center"/>
        <w:rPr>
          <w:rFonts w:eastAsia="Times New Roman"/>
          <w:b/>
          <w:sz w:val="24"/>
          <w:szCs w:val="24"/>
        </w:rPr>
      </w:pPr>
      <w:r>
        <w:rPr>
          <w:rFonts w:eastAsia="Times New Roman"/>
          <w:b/>
          <w:sz w:val="24"/>
          <w:szCs w:val="24"/>
        </w:rPr>
        <w:t>Source and Authority</w:t>
      </w:r>
    </w:p>
    <w:p w14:paraId="4AFF2F4B"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1. For other forms of conduct giving rise to a claim of damages for loss of consortium, see 1 </w:t>
      </w:r>
      <w:r w:rsidRPr="00EF4043">
        <w:rPr>
          <w:rFonts w:eastAsia="Times New Roman"/>
          <w:smallCaps/>
          <w:sz w:val="24"/>
          <w:szCs w:val="24"/>
        </w:rPr>
        <w:t>H. Clark, The Law of Domestic Relations in the United States</w:t>
      </w:r>
      <w:r w:rsidRPr="00EF4043">
        <w:rPr>
          <w:rFonts w:eastAsia="Times New Roman"/>
          <w:sz w:val="24"/>
          <w:szCs w:val="24"/>
        </w:rPr>
        <w:t xml:space="preserve"> § 12.5 (2d ed. 1987).</w:t>
      </w:r>
    </w:p>
    <w:p w14:paraId="3AC61B40"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2. Section 14-2-209, C.R.S., gives a wife the same right to recover for loss of consortium as a husband.</w:t>
      </w:r>
    </w:p>
    <w:p w14:paraId="5D103945"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3. For defenses in general, see </w:t>
      </w:r>
      <w:r w:rsidRPr="00EF4043">
        <w:rPr>
          <w:rFonts w:eastAsia="Times New Roman"/>
          <w:smallCaps/>
          <w:sz w:val="24"/>
          <w:szCs w:val="24"/>
        </w:rPr>
        <w:t>Prosser and Keeton on the Law of Torts</w:t>
      </w:r>
      <w:r w:rsidRPr="00EF4043">
        <w:rPr>
          <w:rFonts w:eastAsia="Times New Roman"/>
          <w:sz w:val="24"/>
          <w:szCs w:val="24"/>
        </w:rPr>
        <w:t xml:space="preserve">, </w:t>
      </w:r>
      <w:r w:rsidRPr="00EF4043">
        <w:rPr>
          <w:rFonts w:eastAsia="Times New Roman"/>
          <w:i/>
          <w:sz w:val="24"/>
          <w:szCs w:val="24"/>
        </w:rPr>
        <w:t>supra</w:t>
      </w:r>
      <w:r w:rsidRPr="00EF4043">
        <w:rPr>
          <w:rFonts w:eastAsia="Times New Roman"/>
          <w:sz w:val="24"/>
          <w:szCs w:val="24"/>
        </w:rPr>
        <w:t>, § 125, at 937-39 (5th ed. 1984).</w:t>
      </w:r>
    </w:p>
    <w:p w14:paraId="5271EFCC" w14:textId="77777777" w:rsidR="00EC3919" w:rsidRDefault="00EC3919">
      <w:pPr>
        <w:rPr>
          <w:rFonts w:eastAsia="Times New Roman"/>
          <w:sz w:val="24"/>
          <w:szCs w:val="24"/>
        </w:rPr>
      </w:pPr>
      <w:r>
        <w:rPr>
          <w:rFonts w:eastAsia="Times New Roman"/>
          <w:sz w:val="24"/>
          <w:szCs w:val="24"/>
        </w:rPr>
        <w:br w:type="page"/>
      </w:r>
    </w:p>
    <w:p w14:paraId="780935E1" w14:textId="77777777" w:rsidR="00EC3919" w:rsidRPr="009E3DA4" w:rsidRDefault="00EC3919" w:rsidP="00EC3919">
      <w:pPr>
        <w:spacing w:after="240"/>
        <w:ind w:left="720" w:hanging="720"/>
        <w:rPr>
          <w:rFonts w:eastAsia="Times New Roman"/>
          <w:b/>
          <w:sz w:val="24"/>
          <w:szCs w:val="24"/>
        </w:rPr>
      </w:pPr>
      <w:bookmarkStart w:id="10" w:name="a6_6"/>
      <w:bookmarkEnd w:id="10"/>
      <w:r w:rsidRPr="00EC3919">
        <w:rPr>
          <w:rFonts w:eastAsia="Times New Roman"/>
          <w:b/>
          <w:sz w:val="24"/>
          <w:szCs w:val="24"/>
        </w:rPr>
        <w:lastRenderedPageBreak/>
        <w:t xml:space="preserve">6:6 </w:t>
      </w:r>
      <w:r w:rsidRPr="00EC3919">
        <w:rPr>
          <w:rFonts w:eastAsia="Times New Roman"/>
          <w:b/>
          <w:sz w:val="24"/>
          <w:szCs w:val="24"/>
        </w:rPr>
        <w:tab/>
        <w:t>LOSS OF CONSORTIUM — DEFINED — DAMAGES</w:t>
      </w:r>
    </w:p>
    <w:p w14:paraId="1464F19A" w14:textId="317E7AFA"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If you find for the plaintiff, </w:t>
      </w:r>
      <w:r w:rsidRPr="00EC3919">
        <w:rPr>
          <w:rFonts w:eastAsia="Times New Roman"/>
          <w:i/>
          <w:sz w:val="24"/>
          <w:szCs w:val="24"/>
        </w:rPr>
        <w:t>(name of injured spouse)</w:t>
      </w:r>
      <w:r w:rsidRPr="00EC3919">
        <w:rPr>
          <w:rFonts w:eastAsia="Times New Roman"/>
          <w:b/>
          <w:sz w:val="24"/>
          <w:szCs w:val="24"/>
        </w:rPr>
        <w:t xml:space="preserve">, then you may award damages to </w:t>
      </w:r>
      <w:r w:rsidR="00505E5C" w:rsidRPr="00AA267B">
        <w:rPr>
          <w:rFonts w:eastAsia="Times New Roman"/>
          <w:bCs/>
          <w:i/>
          <w:iCs/>
          <w:sz w:val="24"/>
          <w:szCs w:val="24"/>
        </w:rPr>
        <w:t>(</w:t>
      </w:r>
      <w:r w:rsidR="00505E5C">
        <w:rPr>
          <w:rFonts w:eastAsia="Times New Roman"/>
          <w:i/>
          <w:sz w:val="24"/>
          <w:szCs w:val="24"/>
        </w:rPr>
        <w:t>insert applicable pronoun)</w:t>
      </w:r>
      <w:r w:rsidRPr="00EC3919">
        <w:rPr>
          <w:rFonts w:eastAsia="Times New Roman"/>
          <w:b/>
          <w:sz w:val="24"/>
          <w:szCs w:val="24"/>
        </w:rPr>
        <w:t xml:space="preserve"> spouse for any loss of consortium resulting from the injury to </w:t>
      </w:r>
      <w:r w:rsidRPr="00EC3919">
        <w:rPr>
          <w:rFonts w:eastAsia="Times New Roman"/>
          <w:i/>
          <w:sz w:val="24"/>
          <w:szCs w:val="24"/>
        </w:rPr>
        <w:t>(name of injured spouse)</w:t>
      </w:r>
      <w:r w:rsidRPr="00EC3919">
        <w:rPr>
          <w:rFonts w:eastAsia="Times New Roman"/>
          <w:b/>
          <w:sz w:val="24"/>
          <w:szCs w:val="24"/>
        </w:rPr>
        <w:t>.</w:t>
      </w:r>
    </w:p>
    <w:p w14:paraId="7F9553F8" w14:textId="6CCBCE0F"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Plaintiff, </w:t>
      </w:r>
      <w:r w:rsidRPr="00EC3919">
        <w:rPr>
          <w:rFonts w:eastAsia="Times New Roman"/>
          <w:i/>
          <w:sz w:val="24"/>
          <w:szCs w:val="24"/>
        </w:rPr>
        <w:t>(name of non-injured spouse)</w:t>
      </w:r>
      <w:r w:rsidRPr="00EC3919">
        <w:rPr>
          <w:rFonts w:eastAsia="Times New Roman"/>
          <w:b/>
          <w:sz w:val="24"/>
          <w:szCs w:val="24"/>
        </w:rPr>
        <w:t xml:space="preserve">, has the burden of proving, by a preponderance of the evidence, the nature and extent of </w:t>
      </w:r>
      <w:r w:rsidR="00505E5C" w:rsidRPr="00AA267B">
        <w:rPr>
          <w:rFonts w:eastAsia="Times New Roman"/>
          <w:bCs/>
          <w:i/>
          <w:iCs/>
          <w:sz w:val="24"/>
          <w:szCs w:val="24"/>
        </w:rPr>
        <w:t>(</w:t>
      </w:r>
      <w:r w:rsidR="00505E5C">
        <w:rPr>
          <w:rFonts w:eastAsia="Times New Roman"/>
          <w:i/>
          <w:sz w:val="24"/>
          <w:szCs w:val="24"/>
        </w:rPr>
        <w:t>insert applicable pronoun)</w:t>
      </w:r>
      <w:r w:rsidRPr="00EC3919">
        <w:rPr>
          <w:rFonts w:eastAsia="Times New Roman"/>
          <w:b/>
          <w:sz w:val="24"/>
          <w:szCs w:val="24"/>
        </w:rPr>
        <w:t xml:space="preserve"> damages. If you find in favor of the plaintiff, </w:t>
      </w:r>
      <w:r w:rsidRPr="00EC3919">
        <w:rPr>
          <w:rFonts w:eastAsia="Times New Roman"/>
          <w:i/>
          <w:sz w:val="24"/>
          <w:szCs w:val="24"/>
        </w:rPr>
        <w:t>(name of non-injured spouse)</w:t>
      </w:r>
      <w:r w:rsidRPr="00EC3919">
        <w:rPr>
          <w:rFonts w:eastAsia="Times New Roman"/>
          <w:b/>
          <w:sz w:val="24"/>
          <w:szCs w:val="24"/>
        </w:rPr>
        <w:t xml:space="preserve">, you must determine the total amount of </w:t>
      </w:r>
      <w:r w:rsidR="00505E5C" w:rsidRPr="00AA267B">
        <w:rPr>
          <w:rFonts w:eastAsia="Times New Roman"/>
          <w:bCs/>
          <w:i/>
          <w:iCs/>
          <w:sz w:val="24"/>
          <w:szCs w:val="24"/>
        </w:rPr>
        <w:t>(</w:t>
      </w:r>
      <w:r w:rsidR="00505E5C">
        <w:rPr>
          <w:rFonts w:eastAsia="Times New Roman"/>
          <w:i/>
          <w:sz w:val="24"/>
          <w:szCs w:val="24"/>
        </w:rPr>
        <w:t>insert applicable pronoun)</w:t>
      </w:r>
      <w:r w:rsidRPr="00EC3919">
        <w:rPr>
          <w:rFonts w:eastAsia="Times New Roman"/>
          <w:b/>
          <w:sz w:val="24"/>
          <w:szCs w:val="24"/>
        </w:rPr>
        <w:t xml:space="preserve"> damages, if any, that were caused by the </w:t>
      </w:r>
      <w:r w:rsidRPr="00EC3919">
        <w:rPr>
          <w:rFonts w:eastAsia="Times New Roman"/>
          <w:i/>
          <w:sz w:val="24"/>
          <w:szCs w:val="24"/>
        </w:rPr>
        <w:t>(insert appropriate description, e.g., “negligence”)</w:t>
      </w:r>
      <w:r w:rsidRPr="00EC3919">
        <w:rPr>
          <w:rFonts w:eastAsia="Times New Roman"/>
          <w:b/>
          <w:sz w:val="24"/>
          <w:szCs w:val="24"/>
        </w:rPr>
        <w:t xml:space="preserve"> of the defendant(s), </w:t>
      </w:r>
      <w:r w:rsidRPr="00EC3919">
        <w:rPr>
          <w:rFonts w:eastAsia="Times New Roman"/>
          <w:i/>
          <w:sz w:val="24"/>
          <w:szCs w:val="24"/>
        </w:rPr>
        <w:t>(name[s]),</w:t>
      </w:r>
      <w:r w:rsidRPr="00EC3919">
        <w:rPr>
          <w:rFonts w:eastAsia="Times New Roman"/>
          <w:b/>
          <w:sz w:val="24"/>
          <w:szCs w:val="24"/>
        </w:rPr>
        <w:t xml:space="preserve"> (and) (,) (the </w:t>
      </w:r>
      <w:r w:rsidRPr="00EC3919">
        <w:rPr>
          <w:rFonts w:eastAsia="Times New Roman"/>
          <w:i/>
          <w:sz w:val="24"/>
          <w:szCs w:val="24"/>
        </w:rPr>
        <w:t>[insert appropriate description, e.g., “negligence”]</w:t>
      </w:r>
      <w:r w:rsidRPr="00EC3919">
        <w:rPr>
          <w:rFonts w:eastAsia="Times New Roman"/>
          <w:b/>
          <w:sz w:val="24"/>
          <w:szCs w:val="24"/>
        </w:rPr>
        <w:t xml:space="preserve">, if any, of the plaintiffs, </w:t>
      </w:r>
      <w:r w:rsidRPr="00EC3919">
        <w:rPr>
          <w:rFonts w:eastAsia="Times New Roman"/>
          <w:i/>
          <w:sz w:val="24"/>
          <w:szCs w:val="24"/>
        </w:rPr>
        <w:t>[names])</w:t>
      </w:r>
      <w:r w:rsidRPr="00EC3919">
        <w:rPr>
          <w:rFonts w:eastAsia="Times New Roman"/>
          <w:b/>
          <w:sz w:val="24"/>
          <w:szCs w:val="24"/>
        </w:rPr>
        <w:t xml:space="preserve"> (,) (and) (the </w:t>
      </w:r>
      <w:r w:rsidRPr="00EC3919">
        <w:rPr>
          <w:rFonts w:eastAsia="Times New Roman"/>
          <w:i/>
          <w:sz w:val="24"/>
          <w:szCs w:val="24"/>
        </w:rPr>
        <w:t>[insert appropriate description, e.g., “negligence”]</w:t>
      </w:r>
      <w:r w:rsidRPr="00EC3919">
        <w:rPr>
          <w:rFonts w:eastAsia="Times New Roman"/>
          <w:b/>
          <w:sz w:val="24"/>
          <w:szCs w:val="24"/>
        </w:rPr>
        <w:t>, if any, of any designated nonparties).</w:t>
      </w:r>
    </w:p>
    <w:p w14:paraId="1EC345AF"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In determining such damages, you shall consider the following:</w:t>
      </w:r>
    </w:p>
    <w:p w14:paraId="44551654"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1. Any noneconomic damages in the form of loss of affection, society, companionship, and aid and comfort of the injured spouse, and</w:t>
      </w:r>
    </w:p>
    <w:p w14:paraId="0F46607F"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2. Economic damages for loss of household services the injured spouse would have performed and any resulting expenses which plaintiff has had or which plaintiff will have in the future, including </w:t>
      </w:r>
      <w:r w:rsidRPr="00EC3919">
        <w:rPr>
          <w:rFonts w:eastAsia="Times New Roman"/>
          <w:i/>
          <w:sz w:val="24"/>
          <w:szCs w:val="24"/>
        </w:rPr>
        <w:t>(insert description of those expenses which would be compensable and concerning which there is sufficient evidence for the jury reasonably to determine their existence and amount)</w:t>
      </w:r>
      <w:r w:rsidRPr="00EC3919">
        <w:rPr>
          <w:rFonts w:eastAsia="Times New Roman"/>
          <w:b/>
          <w:sz w:val="24"/>
          <w:szCs w:val="24"/>
        </w:rPr>
        <w:t>.</w:t>
      </w:r>
    </w:p>
    <w:p w14:paraId="19F0A2A9" w14:textId="77777777" w:rsidR="00EC3919" w:rsidRDefault="00EC3919" w:rsidP="00EC3919">
      <w:pPr>
        <w:jc w:val="center"/>
        <w:rPr>
          <w:rFonts w:eastAsia="Times New Roman"/>
          <w:sz w:val="24"/>
          <w:szCs w:val="24"/>
        </w:rPr>
      </w:pPr>
    </w:p>
    <w:p w14:paraId="3F9CDB8D" w14:textId="77777777" w:rsidR="00EC3919" w:rsidRPr="0054263B" w:rsidRDefault="00EC3919" w:rsidP="00EC3919">
      <w:pPr>
        <w:keepNext/>
        <w:spacing w:after="240"/>
        <w:jc w:val="center"/>
        <w:rPr>
          <w:rFonts w:eastAsia="Times New Roman"/>
          <w:b/>
          <w:sz w:val="24"/>
          <w:szCs w:val="24"/>
        </w:rPr>
      </w:pPr>
      <w:r w:rsidRPr="0054263B">
        <w:rPr>
          <w:rFonts w:eastAsia="Times New Roman"/>
          <w:b/>
          <w:sz w:val="24"/>
          <w:szCs w:val="24"/>
        </w:rPr>
        <w:t>Notes on Use</w:t>
      </w:r>
    </w:p>
    <w:p w14:paraId="7F9F85DD"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1. Use whichever parenthesized words and phrases are appropriate to the evidence in the case.</w:t>
      </w:r>
    </w:p>
    <w:p w14:paraId="25DF60BB"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2. When the uninjured spouse has incurred expenses under numbered paragraph 2 of this instruction to replace one or more household services, and those same expenses also might come within the language used in Instruction 6:1 or Instruction 6:1A to describe the damages being claimed by the injured spouse, an appropriate cautionary instruction intended to prevent double recovery should be given.</w:t>
      </w:r>
    </w:p>
    <w:p w14:paraId="058E99B7"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3. This instruction should be given whenever Instruction 6:5 is given.</w:t>
      </w:r>
    </w:p>
    <w:p w14:paraId="4AABA24C"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4. The court should omit the first numbered paragraph of this instruction unless the court finds there is “justification” for such “derivative noneconomic” losses or injuries “by clear and convincing evidence.” § 13-21-102.5(3)(b), C.R.S.</w:t>
      </w:r>
    </w:p>
    <w:p w14:paraId="357E2CE1" w14:textId="77777777" w:rsidR="00EC3919" w:rsidRPr="0054263B" w:rsidRDefault="00EC3919" w:rsidP="00EC3919">
      <w:pPr>
        <w:keepNext/>
        <w:spacing w:after="240"/>
        <w:jc w:val="center"/>
        <w:rPr>
          <w:rFonts w:eastAsia="Times New Roman"/>
          <w:b/>
          <w:sz w:val="24"/>
          <w:szCs w:val="24"/>
        </w:rPr>
      </w:pPr>
      <w:r>
        <w:rPr>
          <w:rFonts w:eastAsia="Times New Roman"/>
          <w:b/>
          <w:sz w:val="24"/>
          <w:szCs w:val="24"/>
        </w:rPr>
        <w:t>Source and Authority</w:t>
      </w:r>
    </w:p>
    <w:p w14:paraId="448C8376" w14:textId="77777777" w:rsidR="00EF4043" w:rsidRDefault="00EC3919" w:rsidP="007A3A0E">
      <w:pPr>
        <w:spacing w:after="240"/>
        <w:ind w:firstLine="720"/>
        <w:rPr>
          <w:rFonts w:eastAsia="Times New Roman"/>
          <w:sz w:val="24"/>
          <w:szCs w:val="24"/>
        </w:rPr>
      </w:pPr>
      <w:r w:rsidRPr="00EC3919">
        <w:rPr>
          <w:rFonts w:eastAsia="Times New Roman"/>
          <w:sz w:val="24"/>
          <w:szCs w:val="24"/>
        </w:rPr>
        <w:t xml:space="preserve">The definition of consortium used in this instruction is supported by 1 </w:t>
      </w:r>
      <w:r w:rsidRPr="00EC3919">
        <w:rPr>
          <w:rFonts w:eastAsia="Times New Roman"/>
          <w:smallCaps/>
          <w:sz w:val="24"/>
          <w:szCs w:val="24"/>
        </w:rPr>
        <w:t>H. Clark, The Law of Domestic Relations in the United States</w:t>
      </w:r>
      <w:r w:rsidRPr="00EC3919">
        <w:rPr>
          <w:rFonts w:eastAsia="Times New Roman"/>
          <w:sz w:val="24"/>
          <w:szCs w:val="24"/>
        </w:rPr>
        <w:t xml:space="preserve"> § 12.5 (2d ed. 1987). Under modern </w:t>
      </w:r>
      <w:r w:rsidRPr="00EC3919">
        <w:rPr>
          <w:rFonts w:eastAsia="Times New Roman"/>
          <w:sz w:val="24"/>
          <w:szCs w:val="24"/>
        </w:rPr>
        <w:lastRenderedPageBreak/>
        <w:t xml:space="preserve">definitions of consortium, “companionship” includes sexual relations, </w:t>
      </w:r>
      <w:r w:rsidRPr="00EC3919">
        <w:rPr>
          <w:rFonts w:eastAsia="Times New Roman"/>
          <w:smallCaps/>
          <w:sz w:val="24"/>
          <w:szCs w:val="24"/>
        </w:rPr>
        <w:t>W. Page Keeton et al., Prosser and Keeton on the Law of Torts</w:t>
      </w:r>
      <w:r w:rsidRPr="00EC3919">
        <w:rPr>
          <w:rFonts w:eastAsia="Times New Roman"/>
          <w:sz w:val="24"/>
          <w:szCs w:val="24"/>
        </w:rPr>
        <w:t xml:space="preserve"> § 125 (5th ed. 1984). </w:t>
      </w:r>
      <w:r w:rsidRPr="00EC3919">
        <w:rPr>
          <w:rFonts w:eastAsia="Times New Roman"/>
          <w:i/>
          <w:sz w:val="24"/>
          <w:szCs w:val="24"/>
        </w:rPr>
        <w:t>See also</w:t>
      </w:r>
      <w:r w:rsidRPr="00EC3919">
        <w:rPr>
          <w:rFonts w:eastAsia="Times New Roman"/>
          <w:sz w:val="24"/>
          <w:szCs w:val="24"/>
        </w:rPr>
        <w:t xml:space="preserve"> </w:t>
      </w:r>
      <w:r w:rsidRPr="00EC3919">
        <w:rPr>
          <w:rFonts w:eastAsia="Times New Roman"/>
          <w:b/>
          <w:sz w:val="24"/>
          <w:szCs w:val="24"/>
        </w:rPr>
        <w:t>Schell v. Navajo Freight Lines, Inc.</w:t>
      </w:r>
      <w:r w:rsidRPr="00EC3919">
        <w:rPr>
          <w:rFonts w:eastAsia="Times New Roman"/>
          <w:sz w:val="24"/>
          <w:szCs w:val="24"/>
        </w:rPr>
        <w:t>, 693 P.2d 382, 385 (Colo. App. 1984) (citing former instruction, now incorporated into numbered paragraphs 1 and 2 of this instruction, and noting intangible nature of “rights arising out of a marital relationship”).</w:t>
      </w:r>
    </w:p>
    <w:p w14:paraId="5D9C29E5" w14:textId="77777777" w:rsidR="00EC3919" w:rsidRDefault="00EC3919">
      <w:pPr>
        <w:rPr>
          <w:rFonts w:eastAsia="Times New Roman"/>
          <w:sz w:val="24"/>
          <w:szCs w:val="24"/>
        </w:rPr>
      </w:pPr>
      <w:r>
        <w:rPr>
          <w:rFonts w:eastAsia="Times New Roman"/>
          <w:sz w:val="24"/>
          <w:szCs w:val="24"/>
        </w:rPr>
        <w:br w:type="page"/>
      </w:r>
    </w:p>
    <w:p w14:paraId="4B0022D6" w14:textId="77777777" w:rsidR="00EC3919" w:rsidRPr="009E3DA4" w:rsidRDefault="00EC3919" w:rsidP="00EC3919">
      <w:pPr>
        <w:spacing w:after="240"/>
        <w:ind w:left="720" w:hanging="720"/>
        <w:rPr>
          <w:rFonts w:eastAsia="Times New Roman"/>
          <w:b/>
          <w:sz w:val="24"/>
          <w:szCs w:val="24"/>
        </w:rPr>
      </w:pPr>
      <w:bookmarkStart w:id="11" w:name="a6_7"/>
      <w:bookmarkEnd w:id="11"/>
      <w:r w:rsidRPr="00EC3919">
        <w:rPr>
          <w:rFonts w:eastAsia="Times New Roman"/>
          <w:b/>
          <w:sz w:val="24"/>
          <w:szCs w:val="24"/>
        </w:rPr>
        <w:lastRenderedPageBreak/>
        <w:t xml:space="preserve">6:7 </w:t>
      </w:r>
      <w:r w:rsidRPr="00EC3919">
        <w:rPr>
          <w:rFonts w:eastAsia="Times New Roman"/>
          <w:b/>
          <w:sz w:val="24"/>
          <w:szCs w:val="24"/>
        </w:rPr>
        <w:tab/>
        <w:t>PERSONAL INJURIES — NON-REDUCTION OF DAMAGES — “THIN SKULL” DOCTRINE</w:t>
      </w:r>
    </w:p>
    <w:p w14:paraId="5F45541E" w14:textId="0E6D7096"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In determining the amount of plaintiff’s actual damages, you cannot reduce the amount of or refuse to award any such damages because of any </w:t>
      </w:r>
      <w:r w:rsidRPr="00EC3919">
        <w:rPr>
          <w:rFonts w:eastAsia="Times New Roman"/>
          <w:i/>
          <w:sz w:val="24"/>
          <w:szCs w:val="24"/>
        </w:rPr>
        <w:t>(insert appropriate description, e.g., physical frailties, mental condition, illness, etc.)</w:t>
      </w:r>
      <w:r w:rsidRPr="00EC3919">
        <w:rPr>
          <w:rFonts w:eastAsia="Times New Roman"/>
          <w:b/>
          <w:sz w:val="24"/>
          <w:szCs w:val="24"/>
        </w:rPr>
        <w:t xml:space="preserve"> of the plaintiff that may have made </w:t>
      </w:r>
      <w:r w:rsidR="00505E5C" w:rsidRPr="00AA267B">
        <w:rPr>
          <w:rFonts w:eastAsia="Times New Roman"/>
          <w:bCs/>
          <w:i/>
          <w:iCs/>
          <w:sz w:val="24"/>
          <w:szCs w:val="24"/>
        </w:rPr>
        <w:t>(</w:t>
      </w:r>
      <w:r w:rsidR="00505E5C">
        <w:rPr>
          <w:rFonts w:eastAsia="Times New Roman"/>
          <w:i/>
          <w:sz w:val="24"/>
          <w:szCs w:val="24"/>
        </w:rPr>
        <w:t>insert applicable pronoun)</w:t>
      </w:r>
      <w:r w:rsidRPr="00EC3919">
        <w:rPr>
          <w:rFonts w:eastAsia="Times New Roman"/>
          <w:b/>
          <w:sz w:val="24"/>
          <w:szCs w:val="24"/>
        </w:rPr>
        <w:t xml:space="preserve"> more susceptible to injury, disability, or impairment than an average or normal person.</w:t>
      </w:r>
    </w:p>
    <w:p w14:paraId="01B8DDB7" w14:textId="77777777" w:rsidR="00EC3919" w:rsidRDefault="00EC3919" w:rsidP="00EC3919">
      <w:pPr>
        <w:jc w:val="center"/>
        <w:rPr>
          <w:rFonts w:eastAsia="Times New Roman"/>
          <w:sz w:val="24"/>
          <w:szCs w:val="24"/>
        </w:rPr>
      </w:pPr>
    </w:p>
    <w:p w14:paraId="2C1E6EA7" w14:textId="77777777" w:rsidR="00EC3919" w:rsidRPr="0054263B" w:rsidRDefault="00EC3919" w:rsidP="00EC3919">
      <w:pPr>
        <w:keepNext/>
        <w:spacing w:after="240"/>
        <w:jc w:val="center"/>
        <w:rPr>
          <w:rFonts w:eastAsia="Times New Roman"/>
          <w:b/>
          <w:sz w:val="24"/>
          <w:szCs w:val="24"/>
        </w:rPr>
      </w:pPr>
      <w:r w:rsidRPr="0054263B">
        <w:rPr>
          <w:rFonts w:eastAsia="Times New Roman"/>
          <w:b/>
          <w:sz w:val="24"/>
          <w:szCs w:val="24"/>
        </w:rPr>
        <w:t>Notes on Use</w:t>
      </w:r>
    </w:p>
    <w:p w14:paraId="2687C6DA" w14:textId="76090741"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1. This instruction should be given when the defendant seeks to avoid or limit liability for plaintiff’s injuries by asserting that the injuries would not have occurred or would have been less severe if the plaintiff had been a normal or average person. </w:t>
      </w:r>
      <w:r w:rsidRPr="00EC3919">
        <w:rPr>
          <w:rFonts w:eastAsia="Times New Roman"/>
          <w:i/>
          <w:sz w:val="24"/>
          <w:szCs w:val="24"/>
        </w:rPr>
        <w:t>See</w:t>
      </w:r>
      <w:r w:rsidRPr="00EC3919">
        <w:rPr>
          <w:rFonts w:eastAsia="Times New Roman"/>
          <w:sz w:val="24"/>
          <w:szCs w:val="24"/>
        </w:rPr>
        <w:t xml:space="preserve"> </w:t>
      </w:r>
      <w:r w:rsidRPr="00EC3919">
        <w:rPr>
          <w:rFonts w:eastAsia="Times New Roman"/>
          <w:b/>
          <w:sz w:val="24"/>
          <w:szCs w:val="24"/>
        </w:rPr>
        <w:t>State Farm Mut. Auto. Ins. Co. v. Peiffer</w:t>
      </w:r>
      <w:r w:rsidRPr="00EC3919">
        <w:rPr>
          <w:rFonts w:eastAsia="Times New Roman"/>
          <w:sz w:val="24"/>
          <w:szCs w:val="24"/>
        </w:rPr>
        <w:t xml:space="preserve">, 955 P.2d 1008 (Colo. 1998); </w:t>
      </w:r>
      <w:r w:rsidRPr="00EC3919">
        <w:rPr>
          <w:rFonts w:eastAsia="Times New Roman"/>
          <w:b/>
          <w:sz w:val="24"/>
          <w:szCs w:val="24"/>
        </w:rPr>
        <w:t>Schafer v. Hoffman</w:t>
      </w:r>
      <w:r w:rsidRPr="00EC3919">
        <w:rPr>
          <w:rFonts w:eastAsia="Times New Roman"/>
          <w:sz w:val="24"/>
          <w:szCs w:val="24"/>
        </w:rPr>
        <w:t xml:space="preserve">, 831 P.2d 897 (Colo. 1992); </w:t>
      </w:r>
      <w:r w:rsidRPr="00EC3919">
        <w:rPr>
          <w:rFonts w:eastAsia="Times New Roman"/>
          <w:b/>
          <w:sz w:val="24"/>
          <w:szCs w:val="24"/>
        </w:rPr>
        <w:t>Giampapa v. Am. Family Mut. Ins. Co.</w:t>
      </w:r>
      <w:r w:rsidRPr="00EC3919">
        <w:rPr>
          <w:rFonts w:eastAsia="Times New Roman"/>
          <w:sz w:val="24"/>
          <w:szCs w:val="24"/>
        </w:rPr>
        <w:t xml:space="preserve">, 12 P.3d 839 (Colo. App. 2000), </w:t>
      </w:r>
      <w:r w:rsidRPr="00EC3919">
        <w:rPr>
          <w:rFonts w:eastAsia="Times New Roman"/>
          <w:i/>
          <w:sz w:val="24"/>
          <w:szCs w:val="24"/>
        </w:rPr>
        <w:t>rev’d on other grounds,</w:t>
      </w:r>
      <w:r w:rsidRPr="00EC3919">
        <w:rPr>
          <w:rFonts w:eastAsia="Times New Roman"/>
          <w:sz w:val="24"/>
          <w:szCs w:val="24"/>
        </w:rPr>
        <w:t xml:space="preserve"> 64 P.3d 230 (Colo. 2003); </w:t>
      </w:r>
      <w:r w:rsidR="00A36F14">
        <w:rPr>
          <w:rFonts w:eastAsia="Times New Roman"/>
          <w:b/>
          <w:bCs/>
          <w:sz w:val="24"/>
          <w:szCs w:val="24"/>
        </w:rPr>
        <w:t>Scholle v. Ehrichs</w:t>
      </w:r>
      <w:r w:rsidR="00A36F14">
        <w:rPr>
          <w:rFonts w:eastAsia="Times New Roman"/>
          <w:sz w:val="24"/>
          <w:szCs w:val="24"/>
        </w:rPr>
        <w:t>, 2022 COA 87M, ¶¶</w:t>
      </w:r>
      <w:r w:rsidR="00A8400E">
        <w:rPr>
          <w:rFonts w:eastAsia="Times New Roman"/>
          <w:sz w:val="24"/>
          <w:szCs w:val="24"/>
        </w:rPr>
        <w:t xml:space="preserve"> </w:t>
      </w:r>
      <w:r w:rsidR="00A36F14">
        <w:rPr>
          <w:rFonts w:eastAsia="Times New Roman"/>
          <w:sz w:val="24"/>
          <w:szCs w:val="24"/>
        </w:rPr>
        <w:t>70-80</w:t>
      </w:r>
      <w:r w:rsidR="00E67D7F">
        <w:rPr>
          <w:rFonts w:eastAsia="Times New Roman"/>
          <w:sz w:val="24"/>
          <w:szCs w:val="24"/>
        </w:rPr>
        <w:t>, 519 P.3d 1093</w:t>
      </w:r>
      <w:r w:rsidR="00263D17">
        <w:rPr>
          <w:rFonts w:eastAsia="Times New Roman"/>
          <w:sz w:val="24"/>
          <w:szCs w:val="24"/>
        </w:rPr>
        <w:t>,</w:t>
      </w:r>
      <w:r w:rsidR="009D3B2A">
        <w:rPr>
          <w:rFonts w:eastAsia="Times New Roman"/>
          <w:sz w:val="24"/>
          <w:szCs w:val="24"/>
        </w:rPr>
        <w:t xml:space="preserve"> </w:t>
      </w:r>
      <w:r w:rsidR="00263D17" w:rsidRPr="00263D17">
        <w:rPr>
          <w:rFonts w:eastAsia="Times New Roman"/>
          <w:i/>
          <w:iCs/>
          <w:sz w:val="24"/>
          <w:szCs w:val="24"/>
        </w:rPr>
        <w:t xml:space="preserve">aff’d in part, </w:t>
      </w:r>
      <w:r w:rsidR="009D3B2A">
        <w:rPr>
          <w:rFonts w:eastAsia="Times New Roman"/>
          <w:i/>
          <w:iCs/>
          <w:sz w:val="24"/>
          <w:szCs w:val="24"/>
        </w:rPr>
        <w:t>rev</w:t>
      </w:r>
      <w:r w:rsidR="00263D17">
        <w:rPr>
          <w:rFonts w:eastAsia="Times New Roman"/>
          <w:i/>
          <w:iCs/>
          <w:sz w:val="24"/>
          <w:szCs w:val="24"/>
        </w:rPr>
        <w:t>’</w:t>
      </w:r>
      <w:r w:rsidR="009D3B2A">
        <w:rPr>
          <w:rFonts w:eastAsia="Times New Roman"/>
          <w:i/>
          <w:iCs/>
          <w:sz w:val="24"/>
          <w:szCs w:val="24"/>
        </w:rPr>
        <w:t>d</w:t>
      </w:r>
      <w:r w:rsidR="009D3B2A" w:rsidRPr="00683AEF">
        <w:rPr>
          <w:rFonts w:eastAsia="Times New Roman"/>
          <w:i/>
          <w:iCs/>
          <w:sz w:val="24"/>
          <w:szCs w:val="24"/>
        </w:rPr>
        <w:t xml:space="preserve"> </w:t>
      </w:r>
      <w:r w:rsidR="00263D17">
        <w:rPr>
          <w:rFonts w:eastAsia="Times New Roman"/>
          <w:i/>
          <w:iCs/>
          <w:sz w:val="24"/>
          <w:szCs w:val="24"/>
        </w:rPr>
        <w:t xml:space="preserve">in part </w:t>
      </w:r>
      <w:r w:rsidR="009D3B2A" w:rsidRPr="00683AEF">
        <w:rPr>
          <w:rFonts w:eastAsia="Times New Roman"/>
          <w:i/>
          <w:iCs/>
          <w:sz w:val="24"/>
          <w:szCs w:val="24"/>
        </w:rPr>
        <w:t>on other grounds by</w:t>
      </w:r>
      <w:r w:rsidR="009D3B2A">
        <w:rPr>
          <w:rFonts w:eastAsia="Times New Roman"/>
          <w:sz w:val="24"/>
          <w:szCs w:val="24"/>
        </w:rPr>
        <w:t xml:space="preserve"> </w:t>
      </w:r>
      <w:r w:rsidR="009D3B2A" w:rsidRPr="00263D17">
        <w:rPr>
          <w:b/>
          <w:bCs/>
          <w:sz w:val="24"/>
          <w:szCs w:val="24"/>
        </w:rPr>
        <w:t>Scholle v. Ehrichs</w:t>
      </w:r>
      <w:r w:rsidR="009D3B2A" w:rsidRPr="00616E80">
        <w:rPr>
          <w:sz w:val="24"/>
          <w:szCs w:val="24"/>
        </w:rPr>
        <w:t>, 2024 CO 22, 546 P.3d 1170</w:t>
      </w:r>
      <w:r w:rsidR="00A36F14">
        <w:rPr>
          <w:rFonts w:eastAsia="Times New Roman"/>
          <w:sz w:val="24"/>
          <w:szCs w:val="24"/>
        </w:rPr>
        <w:t xml:space="preserve">; </w:t>
      </w:r>
      <w:r w:rsidRPr="00EC3919">
        <w:rPr>
          <w:rFonts w:eastAsia="Times New Roman"/>
          <w:b/>
          <w:sz w:val="24"/>
          <w:szCs w:val="24"/>
        </w:rPr>
        <w:t>Loza v. State Farm Mut. Auto. Ins. Co.</w:t>
      </w:r>
      <w:r w:rsidRPr="00EC3919">
        <w:rPr>
          <w:rFonts w:eastAsia="Times New Roman"/>
          <w:sz w:val="24"/>
          <w:szCs w:val="24"/>
        </w:rPr>
        <w:t xml:space="preserve">, 970 P.2d 478 (Colo. App. 1998); </w:t>
      </w:r>
      <w:r w:rsidRPr="00EC3919">
        <w:rPr>
          <w:rFonts w:eastAsia="Times New Roman"/>
          <w:b/>
          <w:sz w:val="24"/>
          <w:szCs w:val="24"/>
        </w:rPr>
        <w:t>Kildahl v. Tagge</w:t>
      </w:r>
      <w:r w:rsidRPr="00EC3919">
        <w:rPr>
          <w:rFonts w:eastAsia="Times New Roman"/>
          <w:sz w:val="24"/>
          <w:szCs w:val="24"/>
        </w:rPr>
        <w:t>,</w:t>
      </w:r>
      <w:r w:rsidRPr="00EC3919">
        <w:rPr>
          <w:rFonts w:eastAsia="Times New Roman"/>
          <w:b/>
          <w:sz w:val="24"/>
          <w:szCs w:val="24"/>
        </w:rPr>
        <w:t xml:space="preserve"> </w:t>
      </w:r>
      <w:r w:rsidRPr="00EC3919">
        <w:rPr>
          <w:rFonts w:eastAsia="Times New Roman"/>
          <w:sz w:val="24"/>
          <w:szCs w:val="24"/>
        </w:rPr>
        <w:t xml:space="preserve">942 P.2d 1283 (Colo. App. 1996). The “thin skull” doctrine is not limited to preexisting bodily conditions, but also applies if a plaintiff is predisposed or more susceptible to injury or illness than a normal person. </w:t>
      </w:r>
      <w:r w:rsidRPr="00EC3919">
        <w:rPr>
          <w:rFonts w:eastAsia="Times New Roman"/>
          <w:b/>
          <w:sz w:val="24"/>
          <w:szCs w:val="24"/>
        </w:rPr>
        <w:t>Schafer</w:t>
      </w:r>
      <w:r w:rsidRPr="00EC3919">
        <w:rPr>
          <w:rFonts w:eastAsia="Times New Roman"/>
          <w:sz w:val="24"/>
          <w:szCs w:val="24"/>
        </w:rPr>
        <w:t xml:space="preserve">, 831 P.2d at 901. Under the “thin skull” doctrine, foreseeability is not an issue in determining the extent of a plaintiff’s injuries. </w:t>
      </w:r>
      <w:r w:rsidRPr="00EC3919">
        <w:rPr>
          <w:rFonts w:eastAsia="Times New Roman"/>
          <w:i/>
          <w:sz w:val="24"/>
          <w:szCs w:val="24"/>
        </w:rPr>
        <w:t>Id</w:t>
      </w:r>
      <w:r w:rsidRPr="00EC3919">
        <w:rPr>
          <w:rFonts w:eastAsia="Times New Roman"/>
          <w:sz w:val="24"/>
          <w:szCs w:val="24"/>
        </w:rPr>
        <w:t>. at 902.</w:t>
      </w:r>
    </w:p>
    <w:p w14:paraId="41E45CEE"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2. “[A]n egg-shell instruction is appropriate where there is evidence that the plaintiff had a dormant or asymptomatic pre-existing condition. Giving an eggshell instruction is also appropriate where a pre-existing condition was symptomatic, if there is evidence that the harm resulting from the defendant’s negligence is greater than it would have been in the absence of the pre-existing condition.” </w:t>
      </w:r>
      <w:r w:rsidRPr="00EC3919">
        <w:rPr>
          <w:rFonts w:eastAsia="Times New Roman"/>
          <w:b/>
          <w:sz w:val="24"/>
          <w:szCs w:val="24"/>
        </w:rPr>
        <w:t>McLaughlin v. BNSF Ry. Co.</w:t>
      </w:r>
      <w:r w:rsidRPr="00EC3919">
        <w:rPr>
          <w:rFonts w:eastAsia="Times New Roman"/>
          <w:sz w:val="24"/>
          <w:szCs w:val="24"/>
        </w:rPr>
        <w:t>, 2012 COA 92, ¶ 44, 300 P.3d 925, 937 (applying federal law in an action brought under the Federal Employers’ Liability Act, the court presents an in-depth discussion of the interrelationship between an eggshell instruction and an aggravation instruction).</w:t>
      </w:r>
    </w:p>
    <w:p w14:paraId="70CDF817"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3. In cases involving the aggravation of a preexisting condition, consideration must be given as to whether this instruction or Instruction 6:8, or both, apply. If both instructions are given, some modification of this instruction and Instruction 6:8 may be necessary, and an instruction clarifying for the jury how both should be applied also should be given. </w:t>
      </w:r>
      <w:r w:rsidRPr="00EC3919">
        <w:rPr>
          <w:rFonts w:eastAsia="Times New Roman"/>
          <w:i/>
          <w:sz w:val="24"/>
          <w:szCs w:val="24"/>
        </w:rPr>
        <w:t>See id.</w:t>
      </w:r>
    </w:p>
    <w:p w14:paraId="28B37E32" w14:textId="77777777" w:rsidR="00EC3919" w:rsidRPr="0054263B" w:rsidRDefault="00EC3919" w:rsidP="00EC3919">
      <w:pPr>
        <w:keepNext/>
        <w:spacing w:after="240"/>
        <w:jc w:val="center"/>
        <w:rPr>
          <w:rFonts w:eastAsia="Times New Roman"/>
          <w:b/>
          <w:sz w:val="24"/>
          <w:szCs w:val="24"/>
        </w:rPr>
      </w:pPr>
      <w:r>
        <w:rPr>
          <w:rFonts w:eastAsia="Times New Roman"/>
          <w:b/>
          <w:sz w:val="24"/>
          <w:szCs w:val="24"/>
        </w:rPr>
        <w:t>Source and Authority</w:t>
      </w:r>
    </w:p>
    <w:p w14:paraId="08FD171D"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This instruction is supported by </w:t>
      </w:r>
      <w:r w:rsidRPr="00EC3919">
        <w:rPr>
          <w:rFonts w:eastAsia="Times New Roman"/>
          <w:b/>
          <w:sz w:val="24"/>
          <w:szCs w:val="24"/>
        </w:rPr>
        <w:t>Schafer</w:t>
      </w:r>
      <w:r w:rsidRPr="00EC3919">
        <w:rPr>
          <w:rFonts w:eastAsia="Times New Roman"/>
          <w:sz w:val="24"/>
          <w:szCs w:val="24"/>
        </w:rPr>
        <w:t xml:space="preserve">, 831 P.2d at 900. </w:t>
      </w:r>
      <w:r w:rsidRPr="00EC3919">
        <w:rPr>
          <w:rFonts w:eastAsia="Times New Roman"/>
          <w:i/>
          <w:sz w:val="24"/>
          <w:szCs w:val="24"/>
        </w:rPr>
        <w:t>See also</w:t>
      </w:r>
      <w:r w:rsidRPr="00EC3919">
        <w:rPr>
          <w:rFonts w:eastAsia="Times New Roman"/>
          <w:sz w:val="24"/>
          <w:szCs w:val="24"/>
        </w:rPr>
        <w:t xml:space="preserve"> </w:t>
      </w:r>
      <w:r w:rsidRPr="00EC3919">
        <w:rPr>
          <w:rFonts w:eastAsia="Times New Roman"/>
          <w:b/>
          <w:sz w:val="24"/>
          <w:szCs w:val="24"/>
        </w:rPr>
        <w:t>Stephens v. Koch</w:t>
      </w:r>
      <w:r w:rsidRPr="00EC3919">
        <w:rPr>
          <w:rFonts w:eastAsia="Times New Roman"/>
          <w:sz w:val="24"/>
          <w:szCs w:val="24"/>
        </w:rPr>
        <w:t xml:space="preserve">, 192 Colo. 531, 533, 561 P.2d 333, 334 (1977) (“[A] defendant must take his victim as he finds him.”); </w:t>
      </w:r>
      <w:r w:rsidRPr="00EC3919">
        <w:rPr>
          <w:rFonts w:eastAsia="Times New Roman"/>
          <w:i/>
          <w:sz w:val="24"/>
          <w:szCs w:val="24"/>
        </w:rPr>
        <w:t xml:space="preserve">accord </w:t>
      </w:r>
      <w:r w:rsidRPr="00EC3919">
        <w:rPr>
          <w:rFonts w:eastAsia="Times New Roman"/>
          <w:b/>
          <w:sz w:val="24"/>
          <w:szCs w:val="24"/>
        </w:rPr>
        <w:t>Fischer v. Moore</w:t>
      </w:r>
      <w:r w:rsidRPr="00EC3919">
        <w:rPr>
          <w:rFonts w:eastAsia="Times New Roman"/>
          <w:sz w:val="24"/>
          <w:szCs w:val="24"/>
        </w:rPr>
        <w:t>, 183 Colo. 392, 517 P.2d 458 (1973).</w:t>
      </w:r>
    </w:p>
    <w:p w14:paraId="706C69EE" w14:textId="77777777" w:rsidR="00AF7D47" w:rsidRDefault="00AF7D47">
      <w:pPr>
        <w:rPr>
          <w:rFonts w:eastAsia="Times New Roman"/>
          <w:sz w:val="24"/>
          <w:szCs w:val="24"/>
        </w:rPr>
      </w:pPr>
      <w:r>
        <w:rPr>
          <w:rFonts w:eastAsia="Times New Roman"/>
          <w:sz w:val="24"/>
          <w:szCs w:val="24"/>
        </w:rPr>
        <w:br w:type="page"/>
      </w:r>
    </w:p>
    <w:p w14:paraId="0A28CAB9" w14:textId="77777777" w:rsidR="00AF7D47" w:rsidRPr="009E3DA4" w:rsidRDefault="00AF7D47" w:rsidP="00AF7D47">
      <w:pPr>
        <w:spacing w:after="240"/>
        <w:ind w:left="720" w:hanging="720"/>
        <w:rPr>
          <w:rFonts w:eastAsia="Times New Roman"/>
          <w:b/>
          <w:sz w:val="24"/>
          <w:szCs w:val="24"/>
        </w:rPr>
      </w:pPr>
      <w:bookmarkStart w:id="12" w:name="a6_8"/>
      <w:bookmarkEnd w:id="12"/>
      <w:r w:rsidRPr="00AF7D47">
        <w:rPr>
          <w:rFonts w:eastAsia="Times New Roman"/>
          <w:b/>
          <w:sz w:val="24"/>
          <w:szCs w:val="24"/>
        </w:rPr>
        <w:lastRenderedPageBreak/>
        <w:t xml:space="preserve">6:8 </w:t>
      </w:r>
      <w:r w:rsidRPr="00AF7D47">
        <w:rPr>
          <w:rFonts w:eastAsia="Times New Roman"/>
          <w:b/>
          <w:sz w:val="24"/>
          <w:szCs w:val="24"/>
        </w:rPr>
        <w:tab/>
        <w:t>AGGRAVATION OF PREEXISTING CONDITION</w:t>
      </w:r>
    </w:p>
    <w:p w14:paraId="59F5C70A"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For the plaintiff, </w:t>
      </w:r>
      <w:r w:rsidRPr="00AF7D47">
        <w:rPr>
          <w:rFonts w:eastAsia="Times New Roman"/>
          <w:i/>
          <w:sz w:val="24"/>
          <w:szCs w:val="24"/>
        </w:rPr>
        <w:t>(name)</w:t>
      </w:r>
      <w:r w:rsidRPr="00AF7D47">
        <w:rPr>
          <w:rFonts w:eastAsia="Times New Roman"/>
          <w:b/>
          <w:sz w:val="24"/>
          <w:szCs w:val="24"/>
        </w:rPr>
        <w:t>, to recover damages for the aggravation of a preexisting condition, you must find all of the following have been proved:</w:t>
      </w:r>
    </w:p>
    <w:p w14:paraId="44E1AE70"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1. Before </w:t>
      </w:r>
      <w:r w:rsidRPr="00AF7D47">
        <w:rPr>
          <w:rFonts w:eastAsia="Times New Roman"/>
          <w:i/>
          <w:sz w:val="24"/>
          <w:szCs w:val="24"/>
        </w:rPr>
        <w:t>(insert date)</w:t>
      </w:r>
      <w:r w:rsidRPr="00AF7D47">
        <w:rPr>
          <w:rFonts w:eastAsia="Times New Roman"/>
          <w:b/>
          <w:sz w:val="24"/>
          <w:szCs w:val="24"/>
        </w:rPr>
        <w:t xml:space="preserve">, the plaintiff suffered from </w:t>
      </w:r>
      <w:r w:rsidRPr="00AF7D47">
        <w:rPr>
          <w:rFonts w:eastAsia="Times New Roman"/>
          <w:i/>
          <w:sz w:val="24"/>
          <w:szCs w:val="24"/>
        </w:rPr>
        <w:t>(insert appropriate description of ailment or disability)</w:t>
      </w:r>
      <w:r w:rsidRPr="00AF7D47">
        <w:rPr>
          <w:rFonts w:eastAsia="Times New Roman"/>
          <w:b/>
          <w:sz w:val="24"/>
          <w:szCs w:val="24"/>
        </w:rPr>
        <w:t>;</w:t>
      </w:r>
    </w:p>
    <w:p w14:paraId="20EDD66E"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2. On </w:t>
      </w:r>
      <w:r w:rsidRPr="00AF7D47">
        <w:rPr>
          <w:rFonts w:eastAsia="Times New Roman"/>
          <w:i/>
          <w:sz w:val="24"/>
          <w:szCs w:val="24"/>
        </w:rPr>
        <w:t>(insert date)</w:t>
      </w:r>
      <w:r w:rsidRPr="00AF7D47">
        <w:rPr>
          <w:rFonts w:eastAsia="Times New Roman"/>
          <w:b/>
          <w:sz w:val="24"/>
          <w:szCs w:val="24"/>
        </w:rPr>
        <w:t xml:space="preserve">, the defendant, </w:t>
      </w:r>
      <w:r w:rsidRPr="00AF7D47">
        <w:rPr>
          <w:rFonts w:eastAsia="Times New Roman"/>
          <w:i/>
          <w:sz w:val="24"/>
          <w:szCs w:val="24"/>
        </w:rPr>
        <w:t>(name)</w:t>
      </w:r>
      <w:r w:rsidRPr="00AF7D47">
        <w:rPr>
          <w:rFonts w:eastAsia="Times New Roman"/>
          <w:b/>
          <w:sz w:val="24"/>
          <w:szCs w:val="24"/>
        </w:rPr>
        <w:t>, was (</w:t>
      </w:r>
      <w:r w:rsidRPr="00AF7D47">
        <w:rPr>
          <w:rFonts w:eastAsia="Times New Roman"/>
          <w:i/>
          <w:sz w:val="24"/>
          <w:szCs w:val="24"/>
        </w:rPr>
        <w:t>insert appropriate description, e.g., “negligent”</w:t>
      </w:r>
      <w:r w:rsidRPr="00AF7D47">
        <w:rPr>
          <w:rFonts w:eastAsia="Times New Roman"/>
          <w:b/>
          <w:sz w:val="24"/>
          <w:szCs w:val="24"/>
        </w:rPr>
        <w:t>); and</w:t>
      </w:r>
    </w:p>
    <w:p w14:paraId="5F480856"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3. The defendant’s </w:t>
      </w:r>
      <w:r w:rsidRPr="00AF7D47">
        <w:rPr>
          <w:rFonts w:eastAsia="Times New Roman"/>
          <w:i/>
          <w:sz w:val="24"/>
          <w:szCs w:val="24"/>
        </w:rPr>
        <w:t xml:space="preserve">(insert appropriate description, e.g. “negligence”) </w:t>
      </w:r>
      <w:r w:rsidRPr="00AF7D47">
        <w:rPr>
          <w:rFonts w:eastAsia="Times New Roman"/>
          <w:b/>
          <w:sz w:val="24"/>
          <w:szCs w:val="24"/>
        </w:rPr>
        <w:t xml:space="preserve">made the plaintiff’s </w:t>
      </w:r>
      <w:r w:rsidRPr="00AF7D47">
        <w:rPr>
          <w:rFonts w:eastAsia="Times New Roman"/>
          <w:i/>
          <w:sz w:val="24"/>
          <w:szCs w:val="24"/>
        </w:rPr>
        <w:t>(insert appropriate description of ailment or disability)</w:t>
      </w:r>
      <w:r w:rsidRPr="00AF7D47">
        <w:rPr>
          <w:rFonts w:eastAsia="Times New Roman"/>
          <w:b/>
          <w:sz w:val="24"/>
          <w:szCs w:val="24"/>
        </w:rPr>
        <w:t xml:space="preserve"> worse.</w:t>
      </w:r>
    </w:p>
    <w:p w14:paraId="6974A4EE"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find that all of these </w:t>
      </w:r>
      <w:r w:rsidRPr="00AF7D47">
        <w:rPr>
          <w:rFonts w:eastAsia="Times New Roman"/>
          <w:i/>
          <w:sz w:val="24"/>
          <w:szCs w:val="24"/>
        </w:rPr>
        <w:t>(number)</w:t>
      </w:r>
      <w:r w:rsidRPr="00AF7D47">
        <w:rPr>
          <w:rFonts w:eastAsia="Times New Roman"/>
          <w:b/>
          <w:sz w:val="24"/>
          <w:szCs w:val="24"/>
        </w:rPr>
        <w:t xml:space="preserve"> statements have been proved by a preponderance of the evidence, it is your duty to determine, if possible, the amount of damages, if any, caused only by the </w:t>
      </w:r>
      <w:r w:rsidRPr="00AF7D47">
        <w:rPr>
          <w:rFonts w:eastAsia="Times New Roman"/>
          <w:i/>
          <w:sz w:val="24"/>
          <w:szCs w:val="24"/>
        </w:rPr>
        <w:t>(insert appropriate description, e.g., “negligence”)</w:t>
      </w:r>
      <w:r w:rsidRPr="00AF7D47">
        <w:rPr>
          <w:rFonts w:eastAsia="Times New Roman"/>
          <w:b/>
          <w:sz w:val="24"/>
          <w:szCs w:val="24"/>
        </w:rPr>
        <w:t xml:space="preserve"> of the defendant.</w:t>
      </w:r>
    </w:p>
    <w:p w14:paraId="3AE8288F"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are able to separate the amount of damages, if any, caused by the </w:t>
      </w:r>
      <w:r w:rsidRPr="00AF7D47">
        <w:rPr>
          <w:rFonts w:eastAsia="Times New Roman"/>
          <w:i/>
          <w:sz w:val="24"/>
          <w:szCs w:val="24"/>
        </w:rPr>
        <w:t>(insert appropriate description, e.g., “negligence”)</w:t>
      </w:r>
      <w:r w:rsidRPr="00AF7D47">
        <w:rPr>
          <w:rFonts w:eastAsia="Times New Roman"/>
          <w:b/>
          <w:sz w:val="24"/>
          <w:szCs w:val="24"/>
        </w:rPr>
        <w:t xml:space="preserve"> of the defendant from the amount of damages, if any, caused by the ailment or disability which existed before </w:t>
      </w:r>
      <w:r w:rsidRPr="00AF7D47">
        <w:rPr>
          <w:rFonts w:eastAsia="Times New Roman"/>
          <w:i/>
          <w:sz w:val="24"/>
          <w:szCs w:val="24"/>
        </w:rPr>
        <w:t>(insert date)</w:t>
      </w:r>
      <w:r w:rsidRPr="00AF7D47">
        <w:rPr>
          <w:rFonts w:eastAsia="Times New Roman"/>
          <w:b/>
          <w:sz w:val="24"/>
          <w:szCs w:val="24"/>
        </w:rPr>
        <w:t xml:space="preserve">, then the plaintiff is entitled to recover damages caused only by the </w:t>
      </w:r>
      <w:r w:rsidRPr="00AF7D47">
        <w:rPr>
          <w:rFonts w:eastAsia="Times New Roman"/>
          <w:i/>
          <w:sz w:val="24"/>
          <w:szCs w:val="24"/>
        </w:rPr>
        <w:t>(insert appropriate description, e.g., “negligence”)</w:t>
      </w:r>
      <w:r w:rsidRPr="00AF7D47">
        <w:rPr>
          <w:rFonts w:eastAsia="Times New Roman"/>
          <w:b/>
          <w:sz w:val="24"/>
          <w:szCs w:val="24"/>
        </w:rPr>
        <w:t xml:space="preserve"> of the defendant.</w:t>
      </w:r>
    </w:p>
    <w:p w14:paraId="7768D794"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are unable to separate the damages caused by the ailment or disability which existed before </w:t>
      </w:r>
      <w:r w:rsidRPr="00AF7D47">
        <w:rPr>
          <w:rFonts w:eastAsia="Times New Roman"/>
          <w:i/>
          <w:sz w:val="24"/>
          <w:szCs w:val="24"/>
        </w:rPr>
        <w:t xml:space="preserve">(date) </w:t>
      </w:r>
      <w:r w:rsidRPr="00AF7D47">
        <w:rPr>
          <w:rFonts w:eastAsia="Times New Roman"/>
          <w:b/>
          <w:sz w:val="24"/>
          <w:szCs w:val="24"/>
        </w:rPr>
        <w:t xml:space="preserve">and the damages caused by the </w:t>
      </w:r>
      <w:r w:rsidRPr="00AF7D47">
        <w:rPr>
          <w:rFonts w:eastAsia="Times New Roman"/>
          <w:i/>
          <w:sz w:val="24"/>
          <w:szCs w:val="24"/>
        </w:rPr>
        <w:t xml:space="preserve">(insert appropriate description, e.g., “negligence”) </w:t>
      </w:r>
      <w:r w:rsidRPr="00AF7D47">
        <w:rPr>
          <w:rFonts w:eastAsia="Times New Roman"/>
          <w:b/>
          <w:sz w:val="24"/>
          <w:szCs w:val="24"/>
        </w:rPr>
        <w:t>of the defendant, then the defendant is legally responsible for the entire amount of damages.</w:t>
      </w:r>
    </w:p>
    <w:p w14:paraId="0C233C9C" w14:textId="77777777" w:rsidR="00AF7D47" w:rsidRDefault="00AF7D47" w:rsidP="00AF7D47">
      <w:pPr>
        <w:jc w:val="center"/>
        <w:rPr>
          <w:rFonts w:eastAsia="Times New Roman"/>
          <w:sz w:val="24"/>
          <w:szCs w:val="24"/>
        </w:rPr>
      </w:pPr>
    </w:p>
    <w:p w14:paraId="3ED8D941" w14:textId="77777777" w:rsidR="00AF7D47" w:rsidRPr="0054263B" w:rsidRDefault="00AF7D47" w:rsidP="00AF7D47">
      <w:pPr>
        <w:keepNext/>
        <w:spacing w:after="240"/>
        <w:jc w:val="center"/>
        <w:rPr>
          <w:rFonts w:eastAsia="Times New Roman"/>
          <w:b/>
          <w:sz w:val="24"/>
          <w:szCs w:val="24"/>
        </w:rPr>
      </w:pPr>
      <w:r w:rsidRPr="0054263B">
        <w:rPr>
          <w:rFonts w:eastAsia="Times New Roman"/>
          <w:b/>
          <w:sz w:val="24"/>
          <w:szCs w:val="24"/>
        </w:rPr>
        <w:t>Notes on Use</w:t>
      </w:r>
    </w:p>
    <w:p w14:paraId="20136F60"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This instruction applies even where the preexisting condition was of traumatic origin for which the plaintiff previously had recovered damages. </w:t>
      </w:r>
      <w:r w:rsidRPr="00AF7D47">
        <w:rPr>
          <w:rFonts w:eastAsia="Times New Roman"/>
          <w:b/>
          <w:sz w:val="24"/>
          <w:szCs w:val="24"/>
        </w:rPr>
        <w:t>Hylton v. Wade</w:t>
      </w:r>
      <w:r w:rsidRPr="00AF7D47">
        <w:rPr>
          <w:rFonts w:eastAsia="Times New Roman"/>
          <w:sz w:val="24"/>
          <w:szCs w:val="24"/>
        </w:rPr>
        <w:t>, 29 Colo. App. 98, 478 P.2d 690 (1970).</w:t>
      </w:r>
    </w:p>
    <w:p w14:paraId="24A48AC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2. The rules stated in this instruction do not apply to a fact situation where the plaintiff’s injuries have been aggravated by a subsequent accident not proximately caused by the defendant. </w:t>
      </w:r>
      <w:r w:rsidRPr="00AF7D47">
        <w:rPr>
          <w:rFonts w:eastAsia="Times New Roman"/>
          <w:i/>
          <w:sz w:val="24"/>
          <w:szCs w:val="24"/>
        </w:rPr>
        <w:t>See</w:t>
      </w:r>
      <w:r w:rsidRPr="00AF7D47">
        <w:rPr>
          <w:rFonts w:eastAsia="Times New Roman"/>
          <w:sz w:val="24"/>
          <w:szCs w:val="24"/>
        </w:rPr>
        <w:t xml:space="preserve"> Instruction 6:9;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Smartt v. Lamar Oil Co.</w:t>
      </w:r>
      <w:r w:rsidRPr="00AF7D47">
        <w:rPr>
          <w:rFonts w:eastAsia="Times New Roman"/>
          <w:sz w:val="24"/>
          <w:szCs w:val="24"/>
        </w:rPr>
        <w:t xml:space="preserve">, 623 P.2d 73 (Colo. App. 1980); </w:t>
      </w:r>
      <w:r w:rsidRPr="00AF7D47">
        <w:rPr>
          <w:rFonts w:eastAsia="Times New Roman"/>
          <w:b/>
          <w:sz w:val="24"/>
          <w:szCs w:val="24"/>
        </w:rPr>
        <w:t>Bruckman v. Pena</w:t>
      </w:r>
      <w:r w:rsidRPr="00AF7D47">
        <w:rPr>
          <w:rFonts w:eastAsia="Times New Roman"/>
          <w:sz w:val="24"/>
          <w:szCs w:val="24"/>
        </w:rPr>
        <w:t>, 29 Colo. App. 357, 487 P.2d 566 (1971). Where a subsequent injury may have been proximately caused by the defendant’s conduct, see Instructions 9:19 and 9:20.</w:t>
      </w:r>
    </w:p>
    <w:p w14:paraId="576C79B0" w14:textId="72472696"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3. “[W]here plaintiff shows (1) that he had a pre-existing condition and (2) that, as a proximate result of defendant’s negligence, this condition was aggravated, the giving of [this instruction], in its entirety, [is] mandatory.” </w:t>
      </w:r>
      <w:r w:rsidRPr="00AF7D47">
        <w:rPr>
          <w:rFonts w:eastAsia="Times New Roman"/>
          <w:b/>
          <w:sz w:val="24"/>
          <w:szCs w:val="24"/>
        </w:rPr>
        <w:t>Brittis v. Freemon</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34 Colo. App. 348, 353, 527 P.2d 1175, 1178 (1974)</w:t>
      </w:r>
      <w:r w:rsidR="00B74215">
        <w:rPr>
          <w:rFonts w:eastAsia="Times New Roman"/>
          <w:sz w:val="24"/>
          <w:szCs w:val="24"/>
        </w:rPr>
        <w:t xml:space="preserve">. Instructing the jury based on this instruction “is proper when sufficient evidence shows that a later event or incident either (1) causes a new, unrelated injury to the </w:t>
      </w:r>
      <w:r w:rsidR="00B74215">
        <w:rPr>
          <w:rFonts w:eastAsia="Times New Roman"/>
          <w:sz w:val="24"/>
          <w:szCs w:val="24"/>
        </w:rPr>
        <w:lastRenderedPageBreak/>
        <w:t xml:space="preserve">plaintiff or (2) aggravates the injury the plaintiff suffered as a result of the defendant’s tortious conduct.” </w:t>
      </w:r>
      <w:r w:rsidR="00B74215">
        <w:rPr>
          <w:rFonts w:eastAsia="Times New Roman"/>
          <w:b/>
          <w:bCs/>
          <w:sz w:val="24"/>
          <w:szCs w:val="24"/>
        </w:rPr>
        <w:t>Herrera v. Lerma</w:t>
      </w:r>
      <w:r w:rsidR="00B74215">
        <w:rPr>
          <w:rFonts w:eastAsia="Times New Roman"/>
          <w:sz w:val="24"/>
          <w:szCs w:val="24"/>
        </w:rPr>
        <w:t>, 2018 COA 141, ¶ 8</w:t>
      </w:r>
      <w:r w:rsidR="009D7371">
        <w:rPr>
          <w:rFonts w:eastAsia="Times New Roman"/>
          <w:sz w:val="24"/>
          <w:szCs w:val="24"/>
        </w:rPr>
        <w:t>, 440 P.3d 1194, 1197</w:t>
      </w:r>
      <w:r w:rsidRPr="00AF7D47">
        <w:rPr>
          <w:rFonts w:eastAsia="Times New Roman"/>
          <w:sz w:val="24"/>
          <w:szCs w:val="24"/>
        </w:rPr>
        <w:t xml:space="preserve">; </w:t>
      </w:r>
      <w:r w:rsidRPr="00AF7D47">
        <w:rPr>
          <w:rFonts w:eastAsia="Times New Roman"/>
          <w:i/>
          <w:sz w:val="24"/>
          <w:szCs w:val="24"/>
        </w:rPr>
        <w:t xml:space="preserve">see also </w:t>
      </w:r>
      <w:r w:rsidRPr="00AF7D47">
        <w:rPr>
          <w:rFonts w:eastAsia="Times New Roman"/>
          <w:b/>
          <w:sz w:val="24"/>
          <w:szCs w:val="24"/>
        </w:rPr>
        <w:t>McLaughlin v. BNSF Ry. Co.</w:t>
      </w:r>
      <w:r w:rsidRPr="00AF7D47">
        <w:rPr>
          <w:rFonts w:eastAsia="Times New Roman"/>
          <w:sz w:val="24"/>
          <w:szCs w:val="24"/>
        </w:rPr>
        <w:t>, 2012 COA 92, ¶¶ 35-50, 300 P.3d 925 (in an action brought under the Federal Employers’ Liability Act, the court presents an in-depth discussion of the interrelationship between an eggshell instruction and an aggravation instruction).</w:t>
      </w:r>
    </w:p>
    <w:p w14:paraId="778531C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4. Compare this instruction with Instruction 6:7. If both this instruction and Instruction 6:7 are given to the jury, some modification of this instruction may be necessary and an instruction clarifying for the jury how both should be applied should be given. </w:t>
      </w:r>
      <w:r w:rsidRPr="00AF7D47">
        <w:rPr>
          <w:rFonts w:eastAsia="Times New Roman"/>
          <w:i/>
          <w:sz w:val="24"/>
          <w:szCs w:val="24"/>
        </w:rPr>
        <w:t>See</w:t>
      </w:r>
      <w:r w:rsidRPr="00AF7D47">
        <w:rPr>
          <w:rFonts w:eastAsia="Times New Roman"/>
          <w:sz w:val="24"/>
          <w:szCs w:val="24"/>
        </w:rPr>
        <w:t xml:space="preserve"> </w:t>
      </w:r>
      <w:r w:rsidRPr="00AF7D47">
        <w:rPr>
          <w:rFonts w:eastAsia="Times New Roman"/>
          <w:b/>
          <w:sz w:val="24"/>
          <w:szCs w:val="24"/>
        </w:rPr>
        <w:t>McLaughlin</w:t>
      </w:r>
      <w:r w:rsidRPr="00AF7D47">
        <w:rPr>
          <w:rFonts w:eastAsia="Times New Roman"/>
          <w:sz w:val="24"/>
          <w:szCs w:val="24"/>
        </w:rPr>
        <w:t>, ¶ 44.</w:t>
      </w:r>
    </w:p>
    <w:p w14:paraId="4BD354CB"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5. The term “aggravated” has two common meanings: (1) to make worse or more severe; and (2) to produce inflammation, or irritate. In certain cases, only one definition may be legally correct. If the term would be ambiguous in a particular factual situation, it should be further defined. </w:t>
      </w:r>
      <w:r w:rsidRPr="00AF7D47">
        <w:rPr>
          <w:rFonts w:eastAsia="Times New Roman"/>
          <w:b/>
          <w:sz w:val="24"/>
          <w:szCs w:val="24"/>
        </w:rPr>
        <w:t>Lascano v. Vowell</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940 P.2d 977 (Colo. App. 1996);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Mendoza v. Pioneer Gen. Ins. Co.</w:t>
      </w:r>
      <w:r w:rsidRPr="00AF7D47">
        <w:rPr>
          <w:rFonts w:eastAsia="Times New Roman"/>
          <w:sz w:val="24"/>
          <w:szCs w:val="24"/>
        </w:rPr>
        <w:t xml:space="preserve">, 2014 COA 29, ¶ 29, 365 P.3d 371 (when term in jury instructions is not defined, jury is presumed to have applied the common meaning of the word (citing </w:t>
      </w:r>
      <w:r w:rsidRPr="00AF7D47">
        <w:rPr>
          <w:rFonts w:eastAsia="Times New Roman"/>
          <w:b/>
          <w:sz w:val="24"/>
          <w:szCs w:val="24"/>
        </w:rPr>
        <w:t>Lascano</w:t>
      </w:r>
      <w:r w:rsidRPr="00AF7D47">
        <w:rPr>
          <w:rFonts w:eastAsia="Times New Roman"/>
          <w:sz w:val="24"/>
          <w:szCs w:val="24"/>
        </w:rPr>
        <w:t>, 940 P.2d at 982)).</w:t>
      </w:r>
    </w:p>
    <w:p w14:paraId="0568BDE6" w14:textId="77777777" w:rsidR="00AF7D47" w:rsidRPr="0054263B" w:rsidRDefault="00AF7D47" w:rsidP="00AF7D47">
      <w:pPr>
        <w:keepNext/>
        <w:spacing w:after="240"/>
        <w:jc w:val="center"/>
        <w:rPr>
          <w:rFonts w:eastAsia="Times New Roman"/>
          <w:b/>
          <w:sz w:val="24"/>
          <w:szCs w:val="24"/>
        </w:rPr>
      </w:pPr>
      <w:r>
        <w:rPr>
          <w:rFonts w:eastAsia="Times New Roman"/>
          <w:b/>
          <w:sz w:val="24"/>
          <w:szCs w:val="24"/>
        </w:rPr>
        <w:t>Source and Authority</w:t>
      </w:r>
    </w:p>
    <w:p w14:paraId="1E49E557" w14:textId="363F9991"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This instruction is supported by </w:t>
      </w:r>
      <w:r w:rsidRPr="00AF7D47">
        <w:rPr>
          <w:rFonts w:eastAsia="Times New Roman"/>
          <w:b/>
          <w:sz w:val="24"/>
          <w:szCs w:val="24"/>
        </w:rPr>
        <w:t>Intermill v. Heumesser</w:t>
      </w:r>
      <w:r w:rsidRPr="00AF7D47">
        <w:rPr>
          <w:rFonts w:eastAsia="Times New Roman"/>
          <w:sz w:val="24"/>
          <w:szCs w:val="24"/>
        </w:rPr>
        <w:t xml:space="preserve">, 154 Colo. 496, 391 P.2d 684 (1964); </w:t>
      </w:r>
      <w:r w:rsidRPr="00AF7D47">
        <w:rPr>
          <w:rFonts w:eastAsia="Times New Roman"/>
          <w:b/>
          <w:sz w:val="24"/>
          <w:szCs w:val="24"/>
        </w:rPr>
        <w:t>Newbury v. Vogel</w:t>
      </w:r>
      <w:r w:rsidRPr="00AF7D47">
        <w:rPr>
          <w:rFonts w:eastAsia="Times New Roman"/>
          <w:sz w:val="24"/>
          <w:szCs w:val="24"/>
        </w:rPr>
        <w:t xml:space="preserve">, 151 Colo. 520, 379 P.2d 811 (1963); </w:t>
      </w:r>
      <w:r w:rsidRPr="00AF7D47">
        <w:rPr>
          <w:rFonts w:eastAsia="Times New Roman"/>
          <w:b/>
          <w:sz w:val="24"/>
          <w:szCs w:val="24"/>
        </w:rPr>
        <w:t>Lawson v. Safeway, Inc.</w:t>
      </w:r>
      <w:r w:rsidRPr="00AF7D47">
        <w:rPr>
          <w:rFonts w:eastAsia="Times New Roman"/>
          <w:sz w:val="24"/>
          <w:szCs w:val="24"/>
        </w:rPr>
        <w:t xml:space="preserve">, 878 P.2d 127 (Colo. App. 1994); </w:t>
      </w:r>
      <w:r w:rsidRPr="00AF7D47">
        <w:rPr>
          <w:rFonts w:eastAsia="Times New Roman"/>
          <w:b/>
          <w:sz w:val="24"/>
          <w:szCs w:val="24"/>
        </w:rPr>
        <w:t>Hildyard v. Western Fasteners, Inc.</w:t>
      </w:r>
      <w:r w:rsidRPr="00AF7D47">
        <w:rPr>
          <w:rFonts w:eastAsia="Times New Roman"/>
          <w:sz w:val="24"/>
          <w:szCs w:val="24"/>
        </w:rPr>
        <w:t xml:space="preserve">, 33 Colo. App. 396, 522 P.2d 596 (1974) (specifically approving former instruction); and </w:t>
      </w:r>
      <w:r w:rsidRPr="00AF7D47">
        <w:rPr>
          <w:rFonts w:eastAsia="Times New Roman"/>
          <w:b/>
          <w:sz w:val="24"/>
          <w:szCs w:val="24"/>
        </w:rPr>
        <w:t>McLaughlin</w:t>
      </w:r>
      <w:r w:rsidRPr="00AF7D47">
        <w:rPr>
          <w:rFonts w:eastAsia="Times New Roman"/>
          <w:sz w:val="24"/>
          <w:szCs w:val="24"/>
        </w:rPr>
        <w:t>, ¶ 44</w:t>
      </w:r>
      <w:r w:rsidR="00146EDF">
        <w:rPr>
          <w:rFonts w:eastAsia="Times New Roman"/>
          <w:sz w:val="24"/>
          <w:szCs w:val="24"/>
        </w:rPr>
        <w:t>, 300 P.3d at 937</w:t>
      </w:r>
      <w:r w:rsidRPr="00AF7D47">
        <w:rPr>
          <w:rFonts w:eastAsia="Times New Roman"/>
          <w:sz w:val="24"/>
          <w:szCs w:val="24"/>
        </w:rPr>
        <w:t>.</w:t>
      </w:r>
    </w:p>
    <w:p w14:paraId="13F00AB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2. The last two paragraphs of this instruction (the second paragraph of the former instruction) adequately and correctly state the law, and consequently it is not necessary to include in this instruction any statement concerning the burden of proof on the issue of apportionment. </w:t>
      </w:r>
      <w:r w:rsidRPr="00AF7D47">
        <w:rPr>
          <w:rFonts w:eastAsia="Times New Roman"/>
          <w:b/>
          <w:sz w:val="24"/>
          <w:szCs w:val="24"/>
        </w:rPr>
        <w:t>Stephens v. Koch</w:t>
      </w:r>
      <w:r w:rsidRPr="00AF7D47">
        <w:rPr>
          <w:rFonts w:eastAsia="Times New Roman"/>
          <w:sz w:val="24"/>
          <w:szCs w:val="24"/>
        </w:rPr>
        <w:t>, 192 Colo. 531, 561 P.2d 333 (1977).</w:t>
      </w:r>
    </w:p>
    <w:p w14:paraId="7AD77BE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3. The pro rata liability statute, § 13-21-111.5, C.R.S., does not modify or provide an alternative to the doctrine of apportionment set forth in this instruction. </w:t>
      </w:r>
      <w:r w:rsidRPr="00AF7D47">
        <w:rPr>
          <w:rFonts w:eastAsia="Times New Roman"/>
          <w:b/>
          <w:sz w:val="24"/>
          <w:szCs w:val="24"/>
        </w:rPr>
        <w:t>Fried v. Leong</w:t>
      </w:r>
      <w:r w:rsidRPr="00AF7D47">
        <w:rPr>
          <w:rFonts w:eastAsia="Times New Roman"/>
          <w:sz w:val="24"/>
          <w:szCs w:val="24"/>
        </w:rPr>
        <w:t>, 946 P.2d 487 (Colo. App. 1997).</w:t>
      </w:r>
    </w:p>
    <w:p w14:paraId="37B8FE99" w14:textId="77777777" w:rsidR="00AF7D47" w:rsidRDefault="00AF7D47">
      <w:pPr>
        <w:rPr>
          <w:rFonts w:eastAsia="Times New Roman"/>
          <w:sz w:val="24"/>
          <w:szCs w:val="24"/>
        </w:rPr>
      </w:pPr>
      <w:r>
        <w:rPr>
          <w:rFonts w:eastAsia="Times New Roman"/>
          <w:sz w:val="24"/>
          <w:szCs w:val="24"/>
        </w:rPr>
        <w:br w:type="page"/>
      </w:r>
    </w:p>
    <w:p w14:paraId="4F0BF78B" w14:textId="77777777" w:rsidR="00AF7D47" w:rsidRPr="009E3DA4" w:rsidRDefault="00AF7D47" w:rsidP="00AF7D47">
      <w:pPr>
        <w:spacing w:after="240"/>
        <w:ind w:left="720" w:hanging="720"/>
        <w:rPr>
          <w:rFonts w:eastAsia="Times New Roman"/>
          <w:b/>
          <w:sz w:val="24"/>
          <w:szCs w:val="24"/>
        </w:rPr>
      </w:pPr>
      <w:bookmarkStart w:id="13" w:name="a6_9"/>
      <w:bookmarkEnd w:id="13"/>
      <w:r w:rsidRPr="00AF7D47">
        <w:rPr>
          <w:rFonts w:eastAsia="Times New Roman"/>
          <w:b/>
          <w:sz w:val="24"/>
          <w:szCs w:val="24"/>
        </w:rPr>
        <w:lastRenderedPageBreak/>
        <w:t xml:space="preserve">6:9 </w:t>
      </w:r>
      <w:r w:rsidRPr="00AF7D47">
        <w:rPr>
          <w:rFonts w:eastAsia="Times New Roman"/>
          <w:b/>
          <w:sz w:val="24"/>
          <w:szCs w:val="24"/>
        </w:rPr>
        <w:tab/>
        <w:t>DAMAGES CAUSED BY UNRELATED SECOND EVENT</w:t>
      </w:r>
    </w:p>
    <w:p w14:paraId="19245FAC"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The plaintiff, </w:t>
      </w:r>
      <w:r w:rsidRPr="00AF7D47">
        <w:rPr>
          <w:rFonts w:eastAsia="Times New Roman"/>
          <w:i/>
          <w:sz w:val="24"/>
          <w:szCs w:val="24"/>
        </w:rPr>
        <w:t>(name)</w:t>
      </w:r>
      <w:r w:rsidRPr="00AF7D47">
        <w:rPr>
          <w:rFonts w:eastAsia="Times New Roman"/>
          <w:b/>
          <w:sz w:val="24"/>
          <w:szCs w:val="24"/>
        </w:rPr>
        <w:t xml:space="preserve">, claims damages from the defendant, </w:t>
      </w:r>
      <w:r w:rsidRPr="00AF7D47">
        <w:rPr>
          <w:rFonts w:eastAsia="Times New Roman"/>
          <w:i/>
          <w:sz w:val="24"/>
          <w:szCs w:val="24"/>
        </w:rPr>
        <w:t>(name)</w:t>
      </w:r>
      <w:r w:rsidRPr="00AF7D47">
        <w:rPr>
          <w:rFonts w:eastAsia="Times New Roman"/>
          <w:b/>
          <w:sz w:val="24"/>
          <w:szCs w:val="24"/>
        </w:rPr>
        <w:t xml:space="preserve">, for (injuries) (damages) (losses) caused by (a) (an) </w:t>
      </w:r>
      <w:r w:rsidRPr="00AF7D47">
        <w:rPr>
          <w:rFonts w:eastAsia="Times New Roman"/>
          <w:i/>
          <w:sz w:val="24"/>
          <w:szCs w:val="24"/>
        </w:rPr>
        <w:t>(insert appropriate description of event, e.g., “auto accident on June 24, 20--”)</w:t>
      </w:r>
      <w:r w:rsidRPr="00AF7D47">
        <w:rPr>
          <w:rFonts w:eastAsia="Times New Roman"/>
          <w:b/>
          <w:sz w:val="24"/>
          <w:szCs w:val="24"/>
        </w:rPr>
        <w:t xml:space="preserve">. If you find that the defendant’s </w:t>
      </w:r>
      <w:r w:rsidRPr="00AF7D47">
        <w:rPr>
          <w:rFonts w:eastAsia="Times New Roman"/>
          <w:i/>
          <w:sz w:val="24"/>
          <w:szCs w:val="24"/>
        </w:rPr>
        <w:t>(insert appropriate description, e.g., “negligence”)</w:t>
      </w:r>
      <w:r w:rsidRPr="00AF7D47">
        <w:rPr>
          <w:rFonts w:eastAsia="Times New Roman"/>
          <w:b/>
          <w:sz w:val="24"/>
          <w:szCs w:val="24"/>
        </w:rPr>
        <w:t xml:space="preserve">, if any, was a cause of any such (injuries) (damages) (losses), then the plaintiff may recover all damages caused by that event. But if you find the plaintiff was later injured in (a) (an) </w:t>
      </w:r>
      <w:r w:rsidRPr="00AF7D47">
        <w:rPr>
          <w:rFonts w:eastAsia="Times New Roman"/>
          <w:i/>
          <w:sz w:val="24"/>
          <w:szCs w:val="24"/>
        </w:rPr>
        <w:t>(insert appropriate description of second event, e.g., “toboggan accident on January 3, 20--”)</w:t>
      </w:r>
      <w:r w:rsidRPr="00AF7D47">
        <w:rPr>
          <w:rFonts w:eastAsia="Times New Roman"/>
          <w:b/>
          <w:sz w:val="24"/>
          <w:szCs w:val="24"/>
        </w:rPr>
        <w:t xml:space="preserve"> which was not caused by any acts or omissions of the defendant, then the plaintiff may not recover any damages caused only by the </w:t>
      </w:r>
      <w:r w:rsidRPr="00AF7D47">
        <w:rPr>
          <w:rFonts w:eastAsia="Times New Roman"/>
          <w:i/>
          <w:sz w:val="24"/>
          <w:szCs w:val="24"/>
        </w:rPr>
        <w:t>(insert description of second event, e.g., “toboggan accident”)</w:t>
      </w:r>
      <w:r w:rsidRPr="00AF7D47">
        <w:rPr>
          <w:rFonts w:eastAsia="Times New Roman"/>
          <w:b/>
          <w:sz w:val="24"/>
          <w:szCs w:val="24"/>
        </w:rPr>
        <w:t>.</w:t>
      </w:r>
    </w:p>
    <w:p w14:paraId="23770A99"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find the </w:t>
      </w:r>
      <w:r w:rsidRPr="00AF7D47">
        <w:rPr>
          <w:rFonts w:eastAsia="Times New Roman"/>
          <w:i/>
          <w:sz w:val="24"/>
          <w:szCs w:val="24"/>
        </w:rPr>
        <w:t>(insert description of second event, e.g., “toboggan accident on January 3, 20--”)</w:t>
      </w:r>
      <w:r w:rsidRPr="00AF7D47">
        <w:rPr>
          <w:rFonts w:eastAsia="Times New Roman"/>
          <w:b/>
          <w:sz w:val="24"/>
          <w:szCs w:val="24"/>
        </w:rPr>
        <w:t xml:space="preserve"> (increased) (aggravated) (worsened) any (injuries) (damages) (losses) caused by the </w:t>
      </w:r>
      <w:r w:rsidRPr="00AF7D47">
        <w:rPr>
          <w:rFonts w:eastAsia="Times New Roman"/>
          <w:i/>
          <w:sz w:val="24"/>
          <w:szCs w:val="24"/>
        </w:rPr>
        <w:t>(insert description of first event, e.g., “auto accident on June 24, 20--”)</w:t>
      </w:r>
      <w:r w:rsidRPr="00AF7D47">
        <w:rPr>
          <w:rFonts w:eastAsia="Times New Roman"/>
          <w:b/>
          <w:sz w:val="24"/>
          <w:szCs w:val="24"/>
        </w:rPr>
        <w:t xml:space="preserve">, then you must separate, if possible, those damages caused by the </w:t>
      </w:r>
      <w:r w:rsidRPr="00AF7D47">
        <w:rPr>
          <w:rFonts w:eastAsia="Times New Roman"/>
          <w:i/>
          <w:sz w:val="24"/>
          <w:szCs w:val="24"/>
        </w:rPr>
        <w:t>(description of first event, e.g., “auto accident”)</w:t>
      </w:r>
      <w:r w:rsidRPr="00AF7D47">
        <w:rPr>
          <w:rFonts w:eastAsia="Times New Roman"/>
          <w:b/>
          <w:sz w:val="24"/>
          <w:szCs w:val="24"/>
        </w:rPr>
        <w:t xml:space="preserve"> from those caused by the </w:t>
      </w:r>
      <w:r w:rsidRPr="00AF7D47">
        <w:rPr>
          <w:rFonts w:eastAsia="Times New Roman"/>
          <w:i/>
          <w:sz w:val="24"/>
          <w:szCs w:val="24"/>
        </w:rPr>
        <w:t>(description of second event, e.g., “toboggan accident”)</w:t>
      </w:r>
      <w:r w:rsidRPr="00AF7D47">
        <w:rPr>
          <w:rFonts w:eastAsia="Times New Roman"/>
          <w:b/>
          <w:sz w:val="24"/>
          <w:szCs w:val="24"/>
        </w:rPr>
        <w:t xml:space="preserve">, and the plaintiff may recover all those separate damages caused by the </w:t>
      </w:r>
      <w:r w:rsidRPr="00AF7D47">
        <w:rPr>
          <w:rFonts w:eastAsia="Times New Roman"/>
          <w:i/>
          <w:sz w:val="24"/>
          <w:szCs w:val="24"/>
        </w:rPr>
        <w:t>(description of first event, e.g., “auto accident”)</w:t>
      </w:r>
      <w:r w:rsidRPr="00AF7D47">
        <w:rPr>
          <w:rFonts w:eastAsia="Times New Roman"/>
          <w:b/>
          <w:sz w:val="24"/>
          <w:szCs w:val="24"/>
        </w:rPr>
        <w:t>.</w:t>
      </w:r>
    </w:p>
    <w:p w14:paraId="28DE6381"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it is not possible to separate any damages caused by the </w:t>
      </w:r>
      <w:r w:rsidRPr="00AF7D47">
        <w:rPr>
          <w:rFonts w:eastAsia="Times New Roman"/>
          <w:i/>
          <w:sz w:val="24"/>
          <w:szCs w:val="24"/>
        </w:rPr>
        <w:t>(description of first event, e.g., “auto accident on June 24, 20--”)</w:t>
      </w:r>
      <w:r w:rsidRPr="00AF7D47">
        <w:rPr>
          <w:rFonts w:eastAsia="Times New Roman"/>
          <w:b/>
          <w:sz w:val="24"/>
          <w:szCs w:val="24"/>
        </w:rPr>
        <w:t xml:space="preserve"> from any caused by the </w:t>
      </w:r>
      <w:r w:rsidRPr="00AF7D47">
        <w:rPr>
          <w:rFonts w:eastAsia="Times New Roman"/>
          <w:i/>
          <w:sz w:val="24"/>
          <w:szCs w:val="24"/>
        </w:rPr>
        <w:t>(description of second event, e.g., “toboggan accident on January 3, 20--”)</w:t>
      </w:r>
      <w:r w:rsidRPr="00AF7D47">
        <w:rPr>
          <w:rFonts w:eastAsia="Times New Roman"/>
          <w:b/>
          <w:sz w:val="24"/>
          <w:szCs w:val="24"/>
        </w:rPr>
        <w:t xml:space="preserve">, then the plaintiff may recover those damages only from the date of the </w:t>
      </w:r>
      <w:r w:rsidRPr="00AF7D47">
        <w:rPr>
          <w:rFonts w:eastAsia="Times New Roman"/>
          <w:i/>
          <w:sz w:val="24"/>
          <w:szCs w:val="24"/>
        </w:rPr>
        <w:t>(description of first event, e.g., “auto accident on June 24, 20--”)</w:t>
      </w:r>
      <w:r w:rsidRPr="00AF7D47">
        <w:rPr>
          <w:rFonts w:eastAsia="Times New Roman"/>
          <w:b/>
          <w:sz w:val="24"/>
          <w:szCs w:val="24"/>
        </w:rPr>
        <w:t xml:space="preserve"> to the date of the </w:t>
      </w:r>
      <w:r w:rsidRPr="00AF7D47">
        <w:rPr>
          <w:rFonts w:eastAsia="Times New Roman"/>
          <w:i/>
          <w:sz w:val="24"/>
          <w:szCs w:val="24"/>
        </w:rPr>
        <w:t>(description of second event, e.g., “toboggan accident on January 3, 20--”)</w:t>
      </w:r>
      <w:r w:rsidRPr="00AF7D47">
        <w:rPr>
          <w:rFonts w:eastAsia="Times New Roman"/>
          <w:b/>
          <w:sz w:val="24"/>
          <w:szCs w:val="24"/>
        </w:rPr>
        <w:t>.</w:t>
      </w:r>
    </w:p>
    <w:p w14:paraId="769C101F" w14:textId="77777777" w:rsidR="00AF7D47" w:rsidRDefault="00AF7D47" w:rsidP="00AF7D47">
      <w:pPr>
        <w:jc w:val="center"/>
        <w:rPr>
          <w:rFonts w:eastAsia="Times New Roman"/>
          <w:sz w:val="24"/>
          <w:szCs w:val="24"/>
        </w:rPr>
      </w:pPr>
    </w:p>
    <w:p w14:paraId="5C23614F" w14:textId="77777777" w:rsidR="00AF7D47" w:rsidRPr="0054263B" w:rsidRDefault="00AF7D47" w:rsidP="00AF7D47">
      <w:pPr>
        <w:keepNext/>
        <w:spacing w:after="240"/>
        <w:jc w:val="center"/>
        <w:rPr>
          <w:rFonts w:eastAsia="Times New Roman"/>
          <w:b/>
          <w:sz w:val="24"/>
          <w:szCs w:val="24"/>
        </w:rPr>
      </w:pPr>
      <w:r w:rsidRPr="0054263B">
        <w:rPr>
          <w:rFonts w:eastAsia="Times New Roman"/>
          <w:b/>
          <w:sz w:val="24"/>
          <w:szCs w:val="24"/>
        </w:rPr>
        <w:t>Notes on Use</w:t>
      </w:r>
    </w:p>
    <w:p w14:paraId="5458EAD7"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The rules stated in this instruction apply to a fact situation where the plaintiff’s injuries have been aggravated by a subsequent accident or injury which was not causally related to the accident involving the defendant or to other conduct of the defendant. </w:t>
      </w:r>
      <w:r w:rsidRPr="00AF7D47">
        <w:rPr>
          <w:rFonts w:eastAsia="Times New Roman"/>
          <w:i/>
          <w:sz w:val="24"/>
          <w:szCs w:val="24"/>
        </w:rPr>
        <w:t>See, e.g</w:t>
      </w:r>
      <w:r w:rsidRPr="00AF7D47">
        <w:rPr>
          <w:rFonts w:eastAsia="Times New Roman"/>
          <w:sz w:val="24"/>
          <w:szCs w:val="24"/>
        </w:rPr>
        <w:t>.,</w:t>
      </w:r>
      <w:r w:rsidRPr="00AF7D47">
        <w:rPr>
          <w:rFonts w:eastAsia="Times New Roman"/>
          <w:i/>
          <w:sz w:val="24"/>
          <w:szCs w:val="24"/>
        </w:rPr>
        <w:t xml:space="preserve"> </w:t>
      </w:r>
      <w:r w:rsidRPr="00AF7D47">
        <w:rPr>
          <w:rFonts w:eastAsia="Times New Roman"/>
          <w:b/>
          <w:sz w:val="24"/>
          <w:szCs w:val="24"/>
        </w:rPr>
        <w:t>Garhart v. Columbia/HealthONE, L.L.C.</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95 P.3d 571 (Colo. 2004) (second event instruction not warranted where injury was causally related through the defendant’s conduct to prior or concurrent injury).</w:t>
      </w:r>
    </w:p>
    <w:p w14:paraId="72361D7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2. Use whichever parenthesized words are appropriate.</w:t>
      </w:r>
    </w:p>
    <w:p w14:paraId="21150C2A"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3. When there is sufficient evidence that the defendant’s conduct may have aggravated a preexisting condition of the plaintiff, Instruction 6:8 should be used rather than this instruction.</w:t>
      </w:r>
    </w:p>
    <w:p w14:paraId="3F806812"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4. This instruction must be appropriately modified in any case involving multiple parties or one or more designated nonparties.</w:t>
      </w:r>
    </w:p>
    <w:p w14:paraId="3C2558F3" w14:textId="40877B0A"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5. The term “aggravated” has two common meanings: (1) to make worse or more severe; and (2) to produce inflammation, or irritate. In certain cases, only one definition may be legally correct. If the term would be ambiguous in a particular factual situation, it should be further </w:t>
      </w:r>
      <w:r w:rsidRPr="00AF7D47">
        <w:rPr>
          <w:rFonts w:eastAsia="Times New Roman"/>
          <w:sz w:val="24"/>
          <w:szCs w:val="24"/>
        </w:rPr>
        <w:lastRenderedPageBreak/>
        <w:t xml:space="preserve">defined. </w:t>
      </w:r>
      <w:r w:rsidRPr="00AF7D47">
        <w:rPr>
          <w:rFonts w:eastAsia="Times New Roman"/>
          <w:b/>
          <w:sz w:val="24"/>
          <w:szCs w:val="24"/>
        </w:rPr>
        <w:t>Lascano v. Vowell</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940 P.2d 977 (Colo. App. 1996);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Mendoza v. Pioneer Gen. Ins. Co.</w:t>
      </w:r>
      <w:r w:rsidRPr="00AF7D47">
        <w:rPr>
          <w:rFonts w:eastAsia="Times New Roman"/>
          <w:sz w:val="24"/>
          <w:szCs w:val="24"/>
        </w:rPr>
        <w:t>, 2014 COA 29, ¶</w:t>
      </w:r>
      <w:r w:rsidR="00146EDF">
        <w:rPr>
          <w:rFonts w:eastAsia="Times New Roman"/>
          <w:sz w:val="24"/>
          <w:szCs w:val="24"/>
        </w:rPr>
        <w:t xml:space="preserve"> </w:t>
      </w:r>
      <w:r w:rsidRPr="00AF7D47">
        <w:rPr>
          <w:rFonts w:eastAsia="Times New Roman"/>
          <w:sz w:val="24"/>
          <w:szCs w:val="24"/>
        </w:rPr>
        <w:t xml:space="preserve">29, 365 P.3d 371 (when term in jury instructions is not defined, jury is presumed to have applied the common meaning of the word (citing </w:t>
      </w:r>
      <w:r w:rsidRPr="00AF7D47">
        <w:rPr>
          <w:rFonts w:eastAsia="Times New Roman"/>
          <w:b/>
          <w:sz w:val="24"/>
          <w:szCs w:val="24"/>
        </w:rPr>
        <w:t>Lascano</w:t>
      </w:r>
      <w:r w:rsidRPr="00AF7D47">
        <w:rPr>
          <w:rFonts w:eastAsia="Times New Roman"/>
          <w:sz w:val="24"/>
          <w:szCs w:val="24"/>
        </w:rPr>
        <w:t>, 940 P.2d at 982)).</w:t>
      </w:r>
    </w:p>
    <w:p w14:paraId="7FD23705" w14:textId="77777777" w:rsidR="00AF7D47" w:rsidRDefault="00AF7D47" w:rsidP="00AF7D47">
      <w:pPr>
        <w:spacing w:after="240"/>
        <w:ind w:firstLine="720"/>
        <w:rPr>
          <w:rFonts w:eastAsia="Times New Roman"/>
          <w:sz w:val="24"/>
          <w:szCs w:val="24"/>
        </w:rPr>
      </w:pPr>
      <w:r w:rsidRPr="00AF7D47">
        <w:rPr>
          <w:rFonts w:eastAsia="Times New Roman"/>
          <w:sz w:val="24"/>
          <w:szCs w:val="24"/>
        </w:rPr>
        <w:t xml:space="preserve">6. This instruction may be given even if there is no evidence that the subsequent injury was permanent. </w:t>
      </w:r>
      <w:r w:rsidRPr="00AF7D47">
        <w:rPr>
          <w:rFonts w:eastAsia="Times New Roman"/>
          <w:b/>
          <w:sz w:val="24"/>
          <w:szCs w:val="24"/>
        </w:rPr>
        <w:t>Francis ex rel. Goodridge v. Dahl</w:t>
      </w:r>
      <w:r w:rsidRPr="00AF7D47">
        <w:rPr>
          <w:rFonts w:eastAsia="Times New Roman"/>
          <w:sz w:val="24"/>
          <w:szCs w:val="24"/>
        </w:rPr>
        <w:t>, 107 P.3d 1171 (Colo. App. 2005).</w:t>
      </w:r>
    </w:p>
    <w:p w14:paraId="0C5C7B4C" w14:textId="2A2C753D" w:rsidR="00BC0B87" w:rsidRPr="00AF7D47" w:rsidRDefault="00BC0B87" w:rsidP="00AF7D47">
      <w:pPr>
        <w:spacing w:after="240"/>
        <w:ind w:firstLine="720"/>
        <w:rPr>
          <w:rFonts w:eastAsia="Times New Roman"/>
          <w:sz w:val="24"/>
          <w:szCs w:val="24"/>
        </w:rPr>
      </w:pPr>
      <w:r>
        <w:rPr>
          <w:rFonts w:eastAsia="Times New Roman"/>
          <w:sz w:val="24"/>
          <w:szCs w:val="24"/>
        </w:rPr>
        <w:t xml:space="preserve">7. It is an abuse of discretion to give this instruction if there is no evidence that the second event caused any injury or an aggravation of any existing injury. </w:t>
      </w:r>
      <w:r>
        <w:rPr>
          <w:rFonts w:eastAsia="Times New Roman"/>
          <w:b/>
          <w:sz w:val="24"/>
          <w:szCs w:val="24"/>
        </w:rPr>
        <w:t>Herrera v. Lerma</w:t>
      </w:r>
      <w:r>
        <w:rPr>
          <w:rFonts w:eastAsia="Times New Roman"/>
          <w:sz w:val="24"/>
          <w:szCs w:val="24"/>
        </w:rPr>
        <w:t>, 2018 COA 141 ¶¶ 8-9, 440 P.3d 1194.</w:t>
      </w:r>
    </w:p>
    <w:p w14:paraId="3E95A55D" w14:textId="77777777" w:rsidR="00AF7D47" w:rsidRPr="0054263B" w:rsidRDefault="00AF7D47" w:rsidP="00AF7D47">
      <w:pPr>
        <w:keepNext/>
        <w:spacing w:after="240"/>
        <w:jc w:val="center"/>
        <w:rPr>
          <w:rFonts w:eastAsia="Times New Roman"/>
          <w:b/>
          <w:sz w:val="24"/>
          <w:szCs w:val="24"/>
        </w:rPr>
      </w:pPr>
      <w:r>
        <w:rPr>
          <w:rFonts w:eastAsia="Times New Roman"/>
          <w:b/>
          <w:sz w:val="24"/>
          <w:szCs w:val="24"/>
        </w:rPr>
        <w:t>Source and Authority</w:t>
      </w:r>
    </w:p>
    <w:p w14:paraId="0DF5C604"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This instruction is supported by </w:t>
      </w:r>
      <w:r w:rsidRPr="00AF7D47">
        <w:rPr>
          <w:rFonts w:eastAsia="Times New Roman"/>
          <w:b/>
          <w:sz w:val="24"/>
          <w:szCs w:val="24"/>
        </w:rPr>
        <w:t>Brown v. Kreuser</w:t>
      </w:r>
      <w:r w:rsidRPr="00AF7D47">
        <w:rPr>
          <w:rFonts w:eastAsia="Times New Roman"/>
          <w:sz w:val="24"/>
          <w:szCs w:val="24"/>
        </w:rPr>
        <w:t xml:space="preserve">, 38 Colo. App. 554, 560 P.2d 105 (1977) (jury properly instructed that it could consider exacerbation of auto accident-related injuries by subsequent fall where physician testified as to condition of the injuries both before and after the occurrence of the second accident); and </w:t>
      </w:r>
      <w:r w:rsidRPr="00AF7D47">
        <w:rPr>
          <w:rFonts w:eastAsia="Times New Roman"/>
          <w:b/>
          <w:sz w:val="24"/>
          <w:szCs w:val="24"/>
        </w:rPr>
        <w:t>Lascano</w:t>
      </w:r>
      <w:r w:rsidRPr="00AF7D47">
        <w:rPr>
          <w:rFonts w:eastAsia="Times New Roman"/>
          <w:sz w:val="24"/>
          <w:szCs w:val="24"/>
        </w:rPr>
        <w:t xml:space="preserve">, 940 P.2d 981-82 (where it was not possible to separate damages caused by motor vehicle accident and subsequent accidents, instruction that plaintiff could recover damages only from the date of motor vehicle accident to the date of the first subsequent injury was proper).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Francis</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107 P.3d at 1175 (subsequent injury instruction allowed where plaintiff suffered a fall from a pommel horse after auto accident); </w:t>
      </w:r>
      <w:r w:rsidRPr="00AF7D47">
        <w:rPr>
          <w:rFonts w:eastAsia="Times New Roman"/>
          <w:b/>
          <w:sz w:val="24"/>
          <w:szCs w:val="24"/>
        </w:rPr>
        <w:t>Smartt v. Lamar Oil Co.</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623 P.2d 73 (Colo. App. 1980) (subsequent fall due to tripping on bathroom rug); </w:t>
      </w:r>
      <w:r w:rsidRPr="00AF7D47">
        <w:rPr>
          <w:rFonts w:eastAsia="Times New Roman"/>
          <w:b/>
          <w:sz w:val="24"/>
          <w:szCs w:val="24"/>
        </w:rPr>
        <w:t>Romero v. Parker</w:t>
      </w:r>
      <w:r w:rsidRPr="00AF7D47">
        <w:rPr>
          <w:rFonts w:eastAsia="Times New Roman"/>
          <w:sz w:val="24"/>
          <w:szCs w:val="24"/>
        </w:rPr>
        <w:t xml:space="preserve">, 619 P.2d 89 (Colo. App. 1980) (subsequent auto accident). </w:t>
      </w:r>
    </w:p>
    <w:p w14:paraId="28BA4A24"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2. The principles of this instruction are not limited to subsequent accidents causing physical injuries, but apply to other subsequent events as well, such as a job layoff. </w:t>
      </w:r>
      <w:r w:rsidRPr="00AF7D47">
        <w:rPr>
          <w:rFonts w:eastAsia="Times New Roman"/>
          <w:b/>
          <w:sz w:val="24"/>
          <w:szCs w:val="24"/>
        </w:rPr>
        <w:t>Guerrero v. Bailey</w:t>
      </w:r>
      <w:r w:rsidRPr="00AF7D47">
        <w:rPr>
          <w:rFonts w:eastAsia="Times New Roman"/>
          <w:sz w:val="24"/>
          <w:szCs w:val="24"/>
        </w:rPr>
        <w:t xml:space="preserve">, 658 P.2d 278 (Colo. App. 1982). </w:t>
      </w:r>
    </w:p>
    <w:p w14:paraId="0DBB13E2" w14:textId="77777777" w:rsidR="004C723A" w:rsidRDefault="004C723A">
      <w:pPr>
        <w:rPr>
          <w:rFonts w:eastAsia="Times New Roman"/>
          <w:sz w:val="24"/>
          <w:szCs w:val="24"/>
        </w:rPr>
      </w:pPr>
      <w:r>
        <w:rPr>
          <w:rFonts w:eastAsia="Times New Roman"/>
          <w:sz w:val="24"/>
          <w:szCs w:val="24"/>
        </w:rPr>
        <w:br w:type="page"/>
      </w:r>
    </w:p>
    <w:p w14:paraId="5CF67F8B" w14:textId="77777777" w:rsidR="004C723A" w:rsidRPr="009E3DA4" w:rsidRDefault="004C723A" w:rsidP="004C723A">
      <w:pPr>
        <w:spacing w:after="240"/>
        <w:ind w:left="720" w:hanging="720"/>
        <w:rPr>
          <w:rFonts w:eastAsia="Times New Roman"/>
          <w:b/>
          <w:sz w:val="24"/>
          <w:szCs w:val="24"/>
        </w:rPr>
      </w:pPr>
      <w:bookmarkStart w:id="14" w:name="a6_10"/>
      <w:bookmarkEnd w:id="14"/>
      <w:r w:rsidRPr="004C723A">
        <w:rPr>
          <w:rFonts w:eastAsia="Times New Roman"/>
          <w:b/>
          <w:sz w:val="24"/>
          <w:szCs w:val="24"/>
        </w:rPr>
        <w:lastRenderedPageBreak/>
        <w:t xml:space="preserve">6:10 </w:t>
      </w:r>
      <w:r w:rsidRPr="004C723A">
        <w:rPr>
          <w:rFonts w:eastAsia="Times New Roman"/>
          <w:b/>
          <w:sz w:val="24"/>
          <w:szCs w:val="24"/>
        </w:rPr>
        <w:tab/>
        <w:t>EFFECT OF INCOME TAX AND OTHER ECONOMIC FACTORS ON AWARD OF DAMAGES</w:t>
      </w:r>
    </w:p>
    <w:p w14:paraId="7787EB68" w14:textId="6C675912" w:rsidR="004C723A" w:rsidRPr="0054263B" w:rsidRDefault="004C723A" w:rsidP="004C723A">
      <w:pPr>
        <w:keepNext/>
        <w:spacing w:after="240"/>
        <w:jc w:val="center"/>
        <w:rPr>
          <w:rFonts w:eastAsia="Times New Roman"/>
          <w:b/>
          <w:sz w:val="24"/>
          <w:szCs w:val="24"/>
        </w:rPr>
      </w:pPr>
      <w:r>
        <w:rPr>
          <w:rFonts w:eastAsia="Times New Roman"/>
          <w:b/>
          <w:sz w:val="24"/>
          <w:szCs w:val="24"/>
        </w:rPr>
        <w:t>Note</w:t>
      </w:r>
    </w:p>
    <w:p w14:paraId="345EF4E9" w14:textId="33F71FD0" w:rsidR="004C723A" w:rsidRPr="00263D17" w:rsidRDefault="00263D17" w:rsidP="00263D17">
      <w:pPr>
        <w:pStyle w:val="ListParagraph"/>
        <w:spacing w:after="240"/>
        <w:ind w:left="0" w:firstLine="720"/>
        <w:rPr>
          <w:rFonts w:eastAsia="Times New Roman"/>
          <w:sz w:val="24"/>
          <w:szCs w:val="24"/>
        </w:rPr>
      </w:pPr>
      <w:r>
        <w:rPr>
          <w:rFonts w:eastAsia="Times New Roman"/>
          <w:sz w:val="24"/>
          <w:szCs w:val="24"/>
        </w:rPr>
        <w:t xml:space="preserve">1. </w:t>
      </w:r>
      <w:r w:rsidR="004C723A" w:rsidRPr="00263D17">
        <w:rPr>
          <w:rFonts w:eastAsia="Times New Roman"/>
          <w:sz w:val="24"/>
          <w:szCs w:val="24"/>
        </w:rPr>
        <w:t>The Committee has taken no position on the formulation of instructions dealing with</w:t>
      </w:r>
      <w:r>
        <w:rPr>
          <w:rFonts w:eastAsia="Times New Roman"/>
          <w:sz w:val="24"/>
          <w:szCs w:val="24"/>
        </w:rPr>
        <w:t xml:space="preserve"> </w:t>
      </w:r>
      <w:r w:rsidR="004C723A" w:rsidRPr="00263D17">
        <w:rPr>
          <w:rFonts w:eastAsia="Times New Roman"/>
          <w:sz w:val="24"/>
          <w:szCs w:val="24"/>
        </w:rPr>
        <w:t>“economic factors” as they may affect an award of damages.</w:t>
      </w:r>
    </w:p>
    <w:p w14:paraId="2DE8AD52" w14:textId="1E524DFA" w:rsidR="009C3BCF" w:rsidRPr="004C723A" w:rsidRDefault="00407D3A" w:rsidP="009C3BCF">
      <w:pPr>
        <w:spacing w:after="240"/>
        <w:ind w:firstLine="720"/>
        <w:rPr>
          <w:rFonts w:eastAsia="Times New Roman"/>
          <w:sz w:val="24"/>
          <w:szCs w:val="24"/>
        </w:rPr>
      </w:pPr>
      <w:r>
        <w:rPr>
          <w:rFonts w:eastAsia="Times New Roman"/>
          <w:sz w:val="24"/>
          <w:szCs w:val="24"/>
        </w:rPr>
        <w:t>2.</w:t>
      </w:r>
      <w:r w:rsidR="009C3BCF" w:rsidRPr="004C723A">
        <w:rPr>
          <w:rFonts w:eastAsia="Times New Roman"/>
          <w:sz w:val="24"/>
          <w:szCs w:val="24"/>
        </w:rPr>
        <w:t xml:space="preserve"> In personal injury actions, an instruction on the nontaxability of damage awards as income should not be given. </w:t>
      </w:r>
      <w:r w:rsidR="009C3BCF" w:rsidRPr="004C723A">
        <w:rPr>
          <w:rFonts w:eastAsia="Times New Roman"/>
          <w:b/>
          <w:sz w:val="24"/>
          <w:szCs w:val="24"/>
        </w:rPr>
        <w:t>Rego Co. v. McKown-Katy</w:t>
      </w:r>
      <w:r w:rsidR="009C3BCF" w:rsidRPr="004C723A">
        <w:rPr>
          <w:rFonts w:eastAsia="Times New Roman"/>
          <w:sz w:val="24"/>
          <w:szCs w:val="24"/>
        </w:rPr>
        <w:t>, 801 P.2d 536 (Colo. 1990).</w:t>
      </w:r>
    </w:p>
    <w:p w14:paraId="55044895" w14:textId="5686429D" w:rsidR="004C723A" w:rsidRPr="004C723A" w:rsidRDefault="00407D3A" w:rsidP="004C723A">
      <w:pPr>
        <w:spacing w:after="240"/>
        <w:ind w:firstLine="720"/>
        <w:rPr>
          <w:rFonts w:eastAsia="Times New Roman"/>
          <w:sz w:val="24"/>
          <w:szCs w:val="24"/>
        </w:rPr>
      </w:pPr>
      <w:r>
        <w:rPr>
          <w:rFonts w:eastAsia="Times New Roman"/>
          <w:sz w:val="24"/>
          <w:szCs w:val="24"/>
        </w:rPr>
        <w:t>3</w:t>
      </w:r>
      <w:r w:rsidR="004C723A" w:rsidRPr="004C723A">
        <w:rPr>
          <w:rFonts w:eastAsia="Times New Roman"/>
          <w:sz w:val="24"/>
          <w:szCs w:val="24"/>
        </w:rPr>
        <w:t xml:space="preserve">. </w:t>
      </w:r>
      <w:r w:rsidR="009C3BCF">
        <w:rPr>
          <w:rFonts w:eastAsia="Times New Roman"/>
          <w:sz w:val="24"/>
          <w:szCs w:val="24"/>
        </w:rPr>
        <w:t xml:space="preserve">Even before </w:t>
      </w:r>
      <w:r w:rsidR="009C3BCF">
        <w:rPr>
          <w:rFonts w:eastAsia="Times New Roman"/>
          <w:b/>
          <w:bCs/>
          <w:sz w:val="24"/>
          <w:szCs w:val="24"/>
        </w:rPr>
        <w:t>Rego</w:t>
      </w:r>
      <w:r w:rsidR="009C3BCF">
        <w:rPr>
          <w:rFonts w:eastAsia="Times New Roman"/>
          <w:sz w:val="24"/>
          <w:szCs w:val="24"/>
        </w:rPr>
        <w:t>, the court of appeals had upheld trial court decision</w:t>
      </w:r>
      <w:r w:rsidR="00EA4B71">
        <w:rPr>
          <w:rFonts w:eastAsia="Times New Roman"/>
          <w:sz w:val="24"/>
          <w:szCs w:val="24"/>
        </w:rPr>
        <w:t>s</w:t>
      </w:r>
      <w:r w:rsidR="009C3BCF">
        <w:rPr>
          <w:rFonts w:eastAsia="Times New Roman"/>
          <w:sz w:val="24"/>
          <w:szCs w:val="24"/>
        </w:rPr>
        <w:t xml:space="preserve"> not to give such an instruction.</w:t>
      </w:r>
      <w:r w:rsidR="004C723A" w:rsidRPr="004C723A">
        <w:rPr>
          <w:rFonts w:eastAsia="Times New Roman"/>
          <w:sz w:val="24"/>
          <w:szCs w:val="24"/>
        </w:rPr>
        <w:t xml:space="preserve"> </w:t>
      </w:r>
      <w:r w:rsidR="004C723A" w:rsidRPr="004C723A">
        <w:rPr>
          <w:rFonts w:eastAsia="Times New Roman"/>
          <w:i/>
          <w:sz w:val="24"/>
          <w:szCs w:val="24"/>
        </w:rPr>
        <w:t>See</w:t>
      </w:r>
      <w:r w:rsidR="004C723A" w:rsidRPr="004C723A">
        <w:rPr>
          <w:rFonts w:eastAsia="Times New Roman"/>
          <w:sz w:val="24"/>
          <w:szCs w:val="24"/>
        </w:rPr>
        <w:t xml:space="preserve"> </w:t>
      </w:r>
      <w:r w:rsidR="004C723A" w:rsidRPr="004C723A">
        <w:rPr>
          <w:rFonts w:eastAsia="Times New Roman"/>
          <w:b/>
          <w:sz w:val="24"/>
          <w:szCs w:val="24"/>
        </w:rPr>
        <w:t>Ford v. Bd. of Cty. Comm’rs</w:t>
      </w:r>
      <w:r w:rsidR="004C723A" w:rsidRPr="004C723A">
        <w:rPr>
          <w:rFonts w:eastAsia="Times New Roman"/>
          <w:sz w:val="24"/>
          <w:szCs w:val="24"/>
        </w:rPr>
        <w:t xml:space="preserve">, 677 P.2d 358 (Colo. App. 1983) (wrongful death action); </w:t>
      </w:r>
      <w:r w:rsidR="004C723A" w:rsidRPr="004C723A">
        <w:rPr>
          <w:rFonts w:eastAsia="Times New Roman"/>
          <w:b/>
          <w:sz w:val="24"/>
          <w:szCs w:val="24"/>
        </w:rPr>
        <w:t>Hildyard v. W. Fasteners, Inc.</w:t>
      </w:r>
      <w:r w:rsidR="004C723A" w:rsidRPr="004C723A">
        <w:rPr>
          <w:rFonts w:eastAsia="Times New Roman"/>
          <w:sz w:val="24"/>
          <w:szCs w:val="24"/>
        </w:rPr>
        <w:t xml:space="preserve">, 33 Colo. App. 396, 522 P.2d 596 (1974); </w:t>
      </w:r>
      <w:r w:rsidR="004C723A" w:rsidRPr="004C723A">
        <w:rPr>
          <w:rFonts w:eastAsia="Times New Roman"/>
          <w:b/>
          <w:sz w:val="24"/>
          <w:szCs w:val="24"/>
        </w:rPr>
        <w:t>Polster v. Griff’s of Am., Inc.</w:t>
      </w:r>
      <w:r w:rsidR="004C723A" w:rsidRPr="004C723A">
        <w:rPr>
          <w:rFonts w:eastAsia="Times New Roman"/>
          <w:sz w:val="24"/>
          <w:szCs w:val="24"/>
        </w:rPr>
        <w:t xml:space="preserve">, 32 Colo. App. 264, 514 P.2d 80 (1973), </w:t>
      </w:r>
      <w:r w:rsidR="004C723A" w:rsidRPr="004C723A">
        <w:rPr>
          <w:rFonts w:eastAsia="Times New Roman"/>
          <w:i/>
          <w:sz w:val="24"/>
          <w:szCs w:val="24"/>
        </w:rPr>
        <w:t>rev’d on other grounds</w:t>
      </w:r>
      <w:r w:rsidR="004C723A" w:rsidRPr="004C723A">
        <w:rPr>
          <w:rFonts w:eastAsia="Times New Roman"/>
          <w:sz w:val="24"/>
          <w:szCs w:val="24"/>
        </w:rPr>
        <w:t>,</w:t>
      </w:r>
      <w:r w:rsidR="004C723A" w:rsidRPr="004C723A">
        <w:rPr>
          <w:rFonts w:eastAsia="Times New Roman"/>
          <w:i/>
          <w:sz w:val="24"/>
          <w:szCs w:val="24"/>
        </w:rPr>
        <w:t xml:space="preserve"> </w:t>
      </w:r>
      <w:r w:rsidR="004C723A" w:rsidRPr="004C723A">
        <w:rPr>
          <w:rFonts w:eastAsia="Times New Roman"/>
          <w:sz w:val="24"/>
          <w:szCs w:val="24"/>
        </w:rPr>
        <w:t xml:space="preserve">184 Colo. 418, 520 P.2d 745 (1974); </w:t>
      </w:r>
      <w:r w:rsidR="004C723A" w:rsidRPr="004C723A">
        <w:rPr>
          <w:rFonts w:eastAsia="Times New Roman"/>
          <w:b/>
          <w:sz w:val="24"/>
          <w:szCs w:val="24"/>
        </w:rPr>
        <w:t>Davis v. Fortino &amp; Jackson Chevrolet Co.</w:t>
      </w:r>
      <w:r w:rsidR="004C723A" w:rsidRPr="004C723A">
        <w:rPr>
          <w:rFonts w:eastAsia="Times New Roman"/>
          <w:sz w:val="24"/>
          <w:szCs w:val="24"/>
        </w:rPr>
        <w:t xml:space="preserve">, 32 Colo. App. 222, 510 P.2d 1376 (1973); </w:t>
      </w:r>
      <w:r w:rsidR="004C723A" w:rsidRPr="004C723A">
        <w:rPr>
          <w:rFonts w:eastAsia="Times New Roman"/>
          <w:i/>
          <w:sz w:val="24"/>
          <w:szCs w:val="24"/>
        </w:rPr>
        <w:t>see also</w:t>
      </w:r>
      <w:r w:rsidR="004C723A" w:rsidRPr="004C723A">
        <w:rPr>
          <w:rFonts w:eastAsia="Times New Roman"/>
          <w:sz w:val="24"/>
          <w:szCs w:val="24"/>
        </w:rPr>
        <w:t xml:space="preserve"> </w:t>
      </w:r>
      <w:r w:rsidR="004C723A" w:rsidRPr="004C723A">
        <w:rPr>
          <w:rFonts w:eastAsia="Times New Roman"/>
          <w:b/>
          <w:sz w:val="24"/>
          <w:szCs w:val="24"/>
        </w:rPr>
        <w:t>Landsberg v. Hutsell</w:t>
      </w:r>
      <w:r w:rsidR="004C723A" w:rsidRPr="004C723A">
        <w:rPr>
          <w:rFonts w:eastAsia="Times New Roman"/>
          <w:sz w:val="24"/>
          <w:szCs w:val="24"/>
        </w:rPr>
        <w:t>, 837 P.2d 205 (Colo. App. 1992).</w:t>
      </w:r>
    </w:p>
    <w:p w14:paraId="2061681A" w14:textId="7573327C" w:rsidR="004C723A" w:rsidRPr="004C723A" w:rsidRDefault="00407D3A" w:rsidP="004C723A">
      <w:pPr>
        <w:spacing w:after="240"/>
        <w:ind w:firstLine="720"/>
        <w:rPr>
          <w:rFonts w:eastAsia="Times New Roman"/>
          <w:sz w:val="24"/>
          <w:szCs w:val="24"/>
        </w:rPr>
      </w:pPr>
      <w:r>
        <w:rPr>
          <w:rFonts w:eastAsia="Times New Roman"/>
          <w:sz w:val="24"/>
          <w:szCs w:val="24"/>
        </w:rPr>
        <w:t>4</w:t>
      </w:r>
      <w:r w:rsidR="004C723A" w:rsidRPr="004C723A">
        <w:rPr>
          <w:rFonts w:eastAsia="Times New Roman"/>
          <w:sz w:val="24"/>
          <w:szCs w:val="24"/>
        </w:rPr>
        <w:t xml:space="preserve">. In </w:t>
      </w:r>
      <w:r w:rsidR="004C723A" w:rsidRPr="004C723A">
        <w:rPr>
          <w:rFonts w:eastAsia="Times New Roman"/>
          <w:b/>
          <w:sz w:val="24"/>
          <w:szCs w:val="24"/>
        </w:rPr>
        <w:t>In re Estate of Beren</w:t>
      </w:r>
      <w:r w:rsidR="004C723A" w:rsidRPr="004C723A">
        <w:rPr>
          <w:rFonts w:eastAsia="Times New Roman"/>
          <w:sz w:val="24"/>
          <w:szCs w:val="24"/>
        </w:rPr>
        <w:t xml:space="preserve">, 2012 COA 203M, ¶¶ 144-45, </w:t>
      </w:r>
      <w:r w:rsidR="00BA4966">
        <w:rPr>
          <w:rFonts w:eastAsia="Times New Roman"/>
          <w:sz w:val="24"/>
          <w:szCs w:val="24"/>
        </w:rPr>
        <w:t xml:space="preserve">412 P.3d 487, </w:t>
      </w:r>
      <w:r w:rsidR="004C723A" w:rsidRPr="004C723A">
        <w:rPr>
          <w:rFonts w:eastAsia="Times New Roman"/>
          <w:i/>
          <w:sz w:val="24"/>
          <w:szCs w:val="24"/>
        </w:rPr>
        <w:t>aff’d in part, rev’d in part on other grounds sub nom.</w:t>
      </w:r>
      <w:r w:rsidR="004C723A" w:rsidRPr="004C723A">
        <w:rPr>
          <w:rFonts w:eastAsia="Times New Roman"/>
          <w:sz w:val="24"/>
          <w:szCs w:val="24"/>
        </w:rPr>
        <w:t xml:space="preserve"> </w:t>
      </w:r>
      <w:r w:rsidR="004C723A" w:rsidRPr="004C723A">
        <w:rPr>
          <w:rFonts w:eastAsia="Times New Roman"/>
          <w:b/>
          <w:sz w:val="24"/>
          <w:szCs w:val="24"/>
        </w:rPr>
        <w:t>Beren v. Beren</w:t>
      </w:r>
      <w:r w:rsidR="004C723A" w:rsidRPr="004C723A">
        <w:rPr>
          <w:rFonts w:eastAsia="Times New Roman"/>
          <w:sz w:val="24"/>
          <w:szCs w:val="24"/>
        </w:rPr>
        <w:t>, 2015 CO 29, 349 P.3d 233, the court of appeals declined to adopt a rule that a party ordered to repay amounts received pursuant to a reversed judgment is entitled to a credit for taxes paid on the amount erroneously distributed. The court held, however, that on remand the trial court had discretion (1) to hear evidence concerning the amount of taxes paid and the steps taken to seek a refund and (2) to stay for a reasonable time that portion of the repayment obligation attributable to the disputed taxes while her claim for the tax refund was litigated.</w:t>
      </w:r>
    </w:p>
    <w:p w14:paraId="53E37D78" w14:textId="5F64C551" w:rsidR="004C723A" w:rsidRPr="004C723A" w:rsidRDefault="00407D3A" w:rsidP="004C723A">
      <w:pPr>
        <w:spacing w:after="240"/>
        <w:ind w:firstLine="720"/>
        <w:rPr>
          <w:rFonts w:eastAsia="Times New Roman"/>
          <w:sz w:val="24"/>
          <w:szCs w:val="24"/>
        </w:rPr>
      </w:pPr>
      <w:r>
        <w:rPr>
          <w:rFonts w:eastAsia="Times New Roman"/>
          <w:sz w:val="24"/>
          <w:szCs w:val="24"/>
        </w:rPr>
        <w:t>5</w:t>
      </w:r>
      <w:r w:rsidR="004C723A" w:rsidRPr="004C723A">
        <w:rPr>
          <w:rFonts w:eastAsia="Times New Roman"/>
          <w:sz w:val="24"/>
          <w:szCs w:val="24"/>
        </w:rPr>
        <w:t xml:space="preserve">. In </w:t>
      </w:r>
      <w:r w:rsidR="004C723A" w:rsidRPr="004C723A">
        <w:rPr>
          <w:rFonts w:eastAsia="Times New Roman"/>
          <w:b/>
          <w:sz w:val="24"/>
          <w:szCs w:val="24"/>
        </w:rPr>
        <w:t>Hoyal v. Pioneer Sand Co., Inc.</w:t>
      </w:r>
      <w:r w:rsidR="004C723A" w:rsidRPr="004C723A">
        <w:rPr>
          <w:rFonts w:eastAsia="Times New Roman"/>
          <w:sz w:val="24"/>
          <w:szCs w:val="24"/>
        </w:rPr>
        <w:t xml:space="preserve">, 188 P.3d 716 (Colo. 2008), the Colorado Supreme Court upheld a trial court’s exclusion of evidence of potential future income taxes in calculating economic damages in a wrongful death action, concluding that the evidence would be distracting, speculative, and contrary to a goal of the tort system, compensating victims. In dicta, the court indicated the same considerations applied in personal injury actions. </w:t>
      </w:r>
      <w:r w:rsidR="004C723A" w:rsidRPr="004C723A">
        <w:rPr>
          <w:rFonts w:eastAsia="Times New Roman"/>
          <w:i/>
          <w:sz w:val="24"/>
          <w:szCs w:val="24"/>
        </w:rPr>
        <w:t>But see</w:t>
      </w:r>
      <w:r w:rsidR="004C723A" w:rsidRPr="004C723A">
        <w:rPr>
          <w:rFonts w:eastAsia="Times New Roman"/>
          <w:sz w:val="24"/>
          <w:szCs w:val="24"/>
        </w:rPr>
        <w:t xml:space="preserve"> </w:t>
      </w:r>
      <w:r w:rsidR="004C723A" w:rsidRPr="004C723A">
        <w:rPr>
          <w:rFonts w:eastAsia="Times New Roman"/>
          <w:b/>
          <w:sz w:val="24"/>
          <w:szCs w:val="24"/>
        </w:rPr>
        <w:t>Lewis v. Great W. Distrib. Co. of Borger</w:t>
      </w:r>
      <w:r w:rsidR="004C723A" w:rsidRPr="004C723A">
        <w:rPr>
          <w:rFonts w:eastAsia="Times New Roman"/>
          <w:sz w:val="24"/>
          <w:szCs w:val="24"/>
        </w:rPr>
        <w:t>, 168 Colo. 424, 451 P.2d 754 (1969) (noting that the determination of net pecuniary loss in a wrongful death case contemplates deduction of income taxes).</w:t>
      </w:r>
    </w:p>
    <w:p w14:paraId="59513E22" w14:textId="37F2A172" w:rsidR="004C723A" w:rsidRPr="004C723A" w:rsidRDefault="00407D3A" w:rsidP="004C723A">
      <w:pPr>
        <w:spacing w:after="240"/>
        <w:ind w:firstLine="720"/>
        <w:rPr>
          <w:rFonts w:eastAsia="Times New Roman"/>
          <w:sz w:val="24"/>
          <w:szCs w:val="24"/>
        </w:rPr>
      </w:pPr>
      <w:r>
        <w:rPr>
          <w:rFonts w:eastAsia="Times New Roman"/>
          <w:sz w:val="24"/>
          <w:szCs w:val="24"/>
        </w:rPr>
        <w:t>6</w:t>
      </w:r>
      <w:r w:rsidR="004C723A" w:rsidRPr="004C723A">
        <w:rPr>
          <w:rFonts w:eastAsia="Times New Roman"/>
          <w:sz w:val="24"/>
          <w:szCs w:val="24"/>
        </w:rPr>
        <w:t xml:space="preserve">. In </w:t>
      </w:r>
      <w:r w:rsidR="004C723A" w:rsidRPr="004C723A">
        <w:rPr>
          <w:rFonts w:eastAsia="Times New Roman"/>
          <w:b/>
          <w:sz w:val="24"/>
          <w:szCs w:val="24"/>
        </w:rPr>
        <w:t>Norfolk &amp; W. Ry. v. Liepelt</w:t>
      </w:r>
      <w:r w:rsidR="004C723A" w:rsidRPr="004C723A">
        <w:rPr>
          <w:rFonts w:eastAsia="Times New Roman"/>
          <w:sz w:val="24"/>
          <w:szCs w:val="24"/>
        </w:rPr>
        <w:t>, 444 U.S. 490 (1980), the U.S. Supreme Court held in a wrongful death case brought under the Federal Employers’ Liability Act, where the measure of damages is the loss of pecuniary benefits the beneficiaries might reasonably have received from the deceased, that (1) evidence concerning income taxes the deceased would have paid on estimated future earnings is admissible, and (2) it was error “in this case” to refuse to give the jury a cautionary instruction that any award they might make would not be subject to income taxes and consequently such taxes should not be considered by them in determining the amount of any award.</w:t>
      </w:r>
      <w:r w:rsidR="008B0EBD">
        <w:rPr>
          <w:rFonts w:eastAsia="Times New Roman"/>
          <w:sz w:val="24"/>
          <w:szCs w:val="24"/>
        </w:rPr>
        <w:t xml:space="preserve"> In </w:t>
      </w:r>
      <w:r w:rsidR="008B0EBD">
        <w:rPr>
          <w:rFonts w:eastAsia="Times New Roman"/>
          <w:b/>
          <w:bCs/>
          <w:sz w:val="24"/>
          <w:szCs w:val="24"/>
        </w:rPr>
        <w:t>Rego</w:t>
      </w:r>
      <w:r w:rsidR="008B0EBD">
        <w:rPr>
          <w:rFonts w:eastAsia="Times New Roman"/>
          <w:sz w:val="24"/>
          <w:szCs w:val="24"/>
        </w:rPr>
        <w:t xml:space="preserve">, </w:t>
      </w:r>
      <w:r w:rsidR="00EA4B71" w:rsidRPr="004C723A">
        <w:rPr>
          <w:rFonts w:eastAsia="Times New Roman"/>
          <w:sz w:val="24"/>
          <w:szCs w:val="24"/>
        </w:rPr>
        <w:t xml:space="preserve">801 P.2d </w:t>
      </w:r>
      <w:r w:rsidR="005F6120">
        <w:rPr>
          <w:rFonts w:eastAsia="Times New Roman"/>
          <w:sz w:val="24"/>
          <w:szCs w:val="24"/>
        </w:rPr>
        <w:t>at 538</w:t>
      </w:r>
      <w:r w:rsidR="00EA4B71">
        <w:rPr>
          <w:rFonts w:eastAsia="Times New Roman"/>
          <w:sz w:val="24"/>
          <w:szCs w:val="24"/>
        </w:rPr>
        <w:t>,</w:t>
      </w:r>
      <w:r w:rsidR="00EA4B71" w:rsidRPr="004C723A">
        <w:rPr>
          <w:rFonts w:eastAsia="Times New Roman"/>
          <w:sz w:val="24"/>
          <w:szCs w:val="24"/>
        </w:rPr>
        <w:t xml:space="preserve"> </w:t>
      </w:r>
      <w:r w:rsidR="008B0EBD">
        <w:rPr>
          <w:rFonts w:eastAsia="Times New Roman"/>
          <w:sz w:val="24"/>
          <w:szCs w:val="24"/>
        </w:rPr>
        <w:t xml:space="preserve">the Colorado Supreme Court declined to follow </w:t>
      </w:r>
      <w:r w:rsidR="008B0EBD">
        <w:rPr>
          <w:rFonts w:eastAsia="Times New Roman"/>
          <w:b/>
          <w:bCs/>
          <w:sz w:val="24"/>
          <w:szCs w:val="24"/>
        </w:rPr>
        <w:t>Liepelt</w:t>
      </w:r>
      <w:r w:rsidR="008B0EBD">
        <w:rPr>
          <w:rFonts w:eastAsia="Times New Roman"/>
          <w:sz w:val="24"/>
          <w:szCs w:val="24"/>
        </w:rPr>
        <w:t>.</w:t>
      </w:r>
      <w:r w:rsidR="004C723A" w:rsidRPr="004C723A">
        <w:rPr>
          <w:rFonts w:eastAsia="Times New Roman"/>
          <w:sz w:val="24"/>
          <w:szCs w:val="24"/>
        </w:rPr>
        <w:t xml:space="preserve"> </w:t>
      </w:r>
      <w:r w:rsidR="004C723A" w:rsidRPr="004C723A">
        <w:rPr>
          <w:rFonts w:eastAsia="Times New Roman"/>
          <w:i/>
          <w:sz w:val="24"/>
          <w:szCs w:val="24"/>
        </w:rPr>
        <w:t>See also</w:t>
      </w:r>
      <w:r w:rsidR="004C723A" w:rsidRPr="004C723A">
        <w:rPr>
          <w:rFonts w:eastAsia="Times New Roman"/>
          <w:sz w:val="24"/>
          <w:szCs w:val="24"/>
        </w:rPr>
        <w:t xml:space="preserve"> </w:t>
      </w:r>
      <w:r w:rsidR="004C723A" w:rsidRPr="004C723A">
        <w:rPr>
          <w:rFonts w:eastAsia="Times New Roman"/>
          <w:b/>
          <w:sz w:val="24"/>
          <w:szCs w:val="24"/>
        </w:rPr>
        <w:t>Gulf Offshore Co. v. Mobil Oil Corp.</w:t>
      </w:r>
      <w:r w:rsidR="004C723A" w:rsidRPr="004C723A">
        <w:rPr>
          <w:rFonts w:eastAsia="Times New Roman"/>
          <w:sz w:val="24"/>
          <w:szCs w:val="24"/>
        </w:rPr>
        <w:t>,</w:t>
      </w:r>
      <w:r w:rsidR="004C723A" w:rsidRPr="004C723A">
        <w:rPr>
          <w:rFonts w:eastAsia="Times New Roman"/>
          <w:b/>
          <w:sz w:val="24"/>
          <w:szCs w:val="24"/>
        </w:rPr>
        <w:t xml:space="preserve"> </w:t>
      </w:r>
      <w:r w:rsidR="004C723A" w:rsidRPr="004C723A">
        <w:rPr>
          <w:rFonts w:eastAsia="Times New Roman"/>
          <w:sz w:val="24"/>
          <w:szCs w:val="24"/>
        </w:rPr>
        <w:t xml:space="preserve">453 U.S. 473 (1981) (discussing when, as to federal causes of action triable in either federal or state courts, the giving of such a cautionary </w:t>
      </w:r>
      <w:r w:rsidR="004C723A" w:rsidRPr="004C723A">
        <w:rPr>
          <w:rFonts w:eastAsia="Times New Roman"/>
          <w:sz w:val="24"/>
          <w:szCs w:val="24"/>
        </w:rPr>
        <w:lastRenderedPageBreak/>
        <w:t xml:space="preserve">instruction should be determined as a matter of federal law or state law). On the other hand, “the failure to give [a] non-taxability instruction [in a FELA case not involving wrongful death] is harmless error unless there is a showing that the verdict is excessive.” </w:t>
      </w:r>
      <w:r w:rsidR="004C723A" w:rsidRPr="004C723A">
        <w:rPr>
          <w:rFonts w:eastAsia="Times New Roman"/>
          <w:b/>
          <w:sz w:val="24"/>
          <w:szCs w:val="24"/>
        </w:rPr>
        <w:t>Marlow v. Atchison, Topeka &amp; Santa Fe Ry.</w:t>
      </w:r>
      <w:r w:rsidR="004C723A" w:rsidRPr="004C723A">
        <w:rPr>
          <w:rFonts w:eastAsia="Times New Roman"/>
          <w:sz w:val="24"/>
          <w:szCs w:val="24"/>
        </w:rPr>
        <w:t>, 671 P.2d 438, 442 (Colo. App. 1983).</w:t>
      </w:r>
    </w:p>
    <w:p w14:paraId="1CC97A84" w14:textId="72287744" w:rsidR="004C723A" w:rsidRPr="004C723A" w:rsidRDefault="00407D3A" w:rsidP="004C723A">
      <w:pPr>
        <w:spacing w:after="240"/>
        <w:ind w:firstLine="720"/>
        <w:rPr>
          <w:rFonts w:eastAsia="Times New Roman"/>
          <w:sz w:val="24"/>
          <w:szCs w:val="24"/>
        </w:rPr>
      </w:pPr>
      <w:r>
        <w:rPr>
          <w:rFonts w:eastAsia="Times New Roman"/>
          <w:sz w:val="24"/>
          <w:szCs w:val="24"/>
        </w:rPr>
        <w:t>7</w:t>
      </w:r>
      <w:r w:rsidR="004C723A" w:rsidRPr="004C723A">
        <w:rPr>
          <w:rFonts w:eastAsia="Times New Roman"/>
          <w:sz w:val="24"/>
          <w:szCs w:val="24"/>
        </w:rPr>
        <w:t xml:space="preserve">. For a discussion of both income taxes and inflation, see </w:t>
      </w:r>
      <w:r w:rsidR="004C723A" w:rsidRPr="004C723A">
        <w:rPr>
          <w:rFonts w:eastAsia="Times New Roman"/>
          <w:b/>
          <w:sz w:val="24"/>
          <w:szCs w:val="24"/>
        </w:rPr>
        <w:t>Good v. A.B. Chance Co.</w:t>
      </w:r>
      <w:r w:rsidR="004C723A" w:rsidRPr="004C723A">
        <w:rPr>
          <w:rFonts w:eastAsia="Times New Roman"/>
          <w:sz w:val="24"/>
          <w:szCs w:val="24"/>
        </w:rPr>
        <w:t>,</w:t>
      </w:r>
      <w:r w:rsidR="004C723A" w:rsidRPr="004C723A">
        <w:rPr>
          <w:rFonts w:eastAsia="Times New Roman"/>
          <w:b/>
          <w:sz w:val="24"/>
          <w:szCs w:val="24"/>
        </w:rPr>
        <w:t xml:space="preserve"> </w:t>
      </w:r>
      <w:r w:rsidR="004C723A" w:rsidRPr="004C723A">
        <w:rPr>
          <w:rFonts w:eastAsia="Times New Roman"/>
          <w:sz w:val="24"/>
          <w:szCs w:val="24"/>
        </w:rPr>
        <w:t>39 Colo. App. 70, 565 P.2d 217 (1977).</w:t>
      </w:r>
    </w:p>
    <w:p w14:paraId="29D5EAF5" w14:textId="15745847" w:rsidR="004C723A" w:rsidRPr="004C723A" w:rsidRDefault="00407D3A" w:rsidP="004C723A">
      <w:pPr>
        <w:spacing w:after="240"/>
        <w:ind w:firstLine="720"/>
        <w:rPr>
          <w:rFonts w:eastAsia="Times New Roman"/>
          <w:sz w:val="24"/>
          <w:szCs w:val="24"/>
        </w:rPr>
      </w:pPr>
      <w:r>
        <w:rPr>
          <w:rFonts w:eastAsia="Times New Roman"/>
          <w:sz w:val="24"/>
          <w:szCs w:val="24"/>
        </w:rPr>
        <w:t>8</w:t>
      </w:r>
      <w:r w:rsidR="004C723A" w:rsidRPr="004C723A">
        <w:rPr>
          <w:rFonts w:eastAsia="Times New Roman"/>
          <w:sz w:val="24"/>
          <w:szCs w:val="24"/>
        </w:rPr>
        <w:t xml:space="preserve">. Any tax benefits the plaintiff may receive from being able to write off losses caused by the defendant should not be deducted from the plaintiff’s damages, and if evidence of such tax benefits is received, the court should instruct the jury that it should not consider the effect of income taxes when determining the amount of plaintiff’s damages. </w:t>
      </w:r>
      <w:r w:rsidR="004C723A" w:rsidRPr="004C723A">
        <w:rPr>
          <w:rFonts w:eastAsia="Times New Roman"/>
          <w:b/>
          <w:sz w:val="24"/>
          <w:szCs w:val="24"/>
        </w:rPr>
        <w:t>Boettcher &amp; Co. v. Munson</w:t>
      </w:r>
      <w:r w:rsidR="004C723A" w:rsidRPr="004C723A">
        <w:rPr>
          <w:rFonts w:eastAsia="Times New Roman"/>
          <w:sz w:val="24"/>
          <w:szCs w:val="24"/>
        </w:rPr>
        <w:t>, 854 P.2d 199 (Colo. 1993).</w:t>
      </w:r>
    </w:p>
    <w:p w14:paraId="0EA392D9" w14:textId="77777777" w:rsidR="004C723A" w:rsidRDefault="004C723A">
      <w:pPr>
        <w:rPr>
          <w:rFonts w:eastAsia="Times New Roman"/>
          <w:sz w:val="24"/>
          <w:szCs w:val="24"/>
        </w:rPr>
      </w:pPr>
      <w:r>
        <w:rPr>
          <w:rFonts w:eastAsia="Times New Roman"/>
          <w:sz w:val="24"/>
          <w:szCs w:val="24"/>
        </w:rPr>
        <w:br w:type="page"/>
      </w:r>
    </w:p>
    <w:p w14:paraId="34453A24" w14:textId="77777777" w:rsidR="004C723A" w:rsidRDefault="004C723A" w:rsidP="004C723A">
      <w:pPr>
        <w:spacing w:after="240"/>
        <w:jc w:val="center"/>
        <w:rPr>
          <w:rFonts w:eastAsia="Times New Roman"/>
          <w:b/>
          <w:sz w:val="24"/>
          <w:szCs w:val="24"/>
        </w:rPr>
      </w:pPr>
      <w:r w:rsidRPr="004C723A">
        <w:rPr>
          <w:rFonts w:eastAsia="Times New Roman"/>
          <w:b/>
          <w:sz w:val="24"/>
          <w:szCs w:val="24"/>
        </w:rPr>
        <w:lastRenderedPageBreak/>
        <w:t>B. DAMAGES FOR LOSS OR DESTRUCTION OF PERSONAL PROPERTY</w:t>
      </w:r>
    </w:p>
    <w:p w14:paraId="5ED45077" w14:textId="77777777" w:rsidR="004C723A" w:rsidRPr="009E3DA4" w:rsidRDefault="004C723A" w:rsidP="004C723A">
      <w:pPr>
        <w:spacing w:after="240"/>
        <w:ind w:left="720" w:hanging="720"/>
        <w:rPr>
          <w:rFonts w:eastAsia="Times New Roman"/>
          <w:b/>
          <w:sz w:val="24"/>
          <w:szCs w:val="24"/>
        </w:rPr>
      </w:pPr>
      <w:bookmarkStart w:id="15" w:name="a6_11"/>
      <w:bookmarkEnd w:id="15"/>
      <w:r w:rsidRPr="004C723A">
        <w:rPr>
          <w:rFonts w:eastAsia="Times New Roman"/>
          <w:b/>
          <w:sz w:val="24"/>
          <w:szCs w:val="24"/>
        </w:rPr>
        <w:t xml:space="preserve">6:11 </w:t>
      </w:r>
      <w:r w:rsidRPr="004C723A">
        <w:rPr>
          <w:rFonts w:eastAsia="Times New Roman"/>
          <w:b/>
          <w:sz w:val="24"/>
          <w:szCs w:val="24"/>
        </w:rPr>
        <w:tab/>
        <w:t>PERSONAL PROPERTY — DIFFERENCE IN MARKET VALUE</w:t>
      </w:r>
    </w:p>
    <w:p w14:paraId="121FD9D2" w14:textId="680BBD2F" w:rsidR="004C723A" w:rsidRPr="004C723A" w:rsidRDefault="004C723A" w:rsidP="004C723A">
      <w:pPr>
        <w:spacing w:after="240"/>
        <w:ind w:firstLine="720"/>
        <w:rPr>
          <w:rFonts w:eastAsia="Times New Roman"/>
          <w:b/>
          <w:sz w:val="24"/>
          <w:szCs w:val="24"/>
        </w:rPr>
      </w:pPr>
      <w:r w:rsidRPr="004C723A">
        <w:rPr>
          <w:rFonts w:eastAsia="Times New Roman"/>
          <w:b/>
          <w:sz w:val="24"/>
          <w:szCs w:val="24"/>
        </w:rPr>
        <w:t xml:space="preserve">If you find in favor of the plaintiff, </w:t>
      </w:r>
      <w:r w:rsidRPr="004C723A">
        <w:rPr>
          <w:rFonts w:eastAsia="Times New Roman"/>
          <w:i/>
          <w:sz w:val="24"/>
          <w:szCs w:val="24"/>
        </w:rPr>
        <w:t>(name)</w:t>
      </w:r>
      <w:r w:rsidRPr="004C723A">
        <w:rPr>
          <w:rFonts w:eastAsia="Times New Roman"/>
          <w:b/>
          <w:sz w:val="24"/>
          <w:szCs w:val="24"/>
        </w:rPr>
        <w:t xml:space="preserve">, you shall award as </w:t>
      </w:r>
      <w:r w:rsidR="00505E5C" w:rsidRPr="00AA267B">
        <w:rPr>
          <w:rFonts w:eastAsia="Times New Roman"/>
          <w:bCs/>
          <w:i/>
          <w:iCs/>
          <w:sz w:val="24"/>
          <w:szCs w:val="24"/>
        </w:rPr>
        <w:t>(</w:t>
      </w:r>
      <w:r w:rsidR="00505E5C">
        <w:rPr>
          <w:rFonts w:eastAsia="Times New Roman"/>
          <w:i/>
          <w:sz w:val="24"/>
          <w:szCs w:val="24"/>
        </w:rPr>
        <w:t>insert applicable pronoun)</w:t>
      </w:r>
      <w:r w:rsidRPr="004C723A">
        <w:rPr>
          <w:rFonts w:eastAsia="Times New Roman"/>
          <w:b/>
          <w:sz w:val="24"/>
          <w:szCs w:val="24"/>
        </w:rPr>
        <w:t xml:space="preserve"> actual damages the difference between the market value of the property immediately before and its market value immediately after the occurrence.</w:t>
      </w:r>
    </w:p>
    <w:p w14:paraId="6AF4190A" w14:textId="77777777" w:rsidR="004C723A" w:rsidRPr="0054263B" w:rsidRDefault="004C723A" w:rsidP="004C723A">
      <w:pPr>
        <w:keepNext/>
        <w:spacing w:after="240"/>
        <w:jc w:val="center"/>
        <w:rPr>
          <w:rFonts w:eastAsia="Times New Roman"/>
          <w:b/>
          <w:sz w:val="24"/>
          <w:szCs w:val="24"/>
        </w:rPr>
      </w:pPr>
      <w:r w:rsidRPr="0054263B">
        <w:rPr>
          <w:rFonts w:eastAsia="Times New Roman"/>
          <w:b/>
          <w:sz w:val="24"/>
          <w:szCs w:val="24"/>
        </w:rPr>
        <w:t>Notes on Use</w:t>
      </w:r>
    </w:p>
    <w:p w14:paraId="317186FA"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This instruction should be used where the property damaged has a market value, and there is evidence of total or substantial destruction. </w:t>
      </w:r>
      <w:r w:rsidRPr="004C723A">
        <w:rPr>
          <w:rFonts w:eastAsia="Times New Roman"/>
          <w:i/>
          <w:sz w:val="24"/>
          <w:szCs w:val="24"/>
        </w:rPr>
        <w:t>Cf</w:t>
      </w:r>
      <w:r w:rsidRPr="004C723A">
        <w:rPr>
          <w:rFonts w:eastAsia="Times New Roman"/>
          <w:sz w:val="24"/>
          <w:szCs w:val="24"/>
        </w:rPr>
        <w:t xml:space="preserve">. Notes on Use to Instruction 6:12. In certain cases the plaintiff may be entitled to other damages as well. </w:t>
      </w:r>
      <w:r w:rsidRPr="004C723A">
        <w:rPr>
          <w:rFonts w:eastAsia="Times New Roman"/>
          <w:i/>
          <w:sz w:val="24"/>
          <w:szCs w:val="24"/>
        </w:rPr>
        <w:t>See, e.g.</w:t>
      </w:r>
      <w:r w:rsidRPr="004C723A">
        <w:rPr>
          <w:rFonts w:eastAsia="Times New Roman"/>
          <w:sz w:val="24"/>
          <w:szCs w:val="24"/>
        </w:rPr>
        <w:t xml:space="preserve">, the authority cited below in Source and Authority; </w:t>
      </w:r>
      <w:r w:rsidRPr="004C723A">
        <w:rPr>
          <w:rFonts w:eastAsia="Times New Roman"/>
          <w:i/>
          <w:sz w:val="24"/>
          <w:szCs w:val="24"/>
        </w:rPr>
        <w:t>see also</w:t>
      </w:r>
      <w:r w:rsidRPr="004C723A">
        <w:rPr>
          <w:rFonts w:eastAsia="Times New Roman"/>
          <w:sz w:val="24"/>
          <w:szCs w:val="24"/>
        </w:rPr>
        <w:t xml:space="preserve"> </w:t>
      </w:r>
      <w:r w:rsidRPr="004C723A">
        <w:rPr>
          <w:rFonts w:eastAsia="Times New Roman"/>
          <w:b/>
          <w:sz w:val="24"/>
          <w:szCs w:val="24"/>
        </w:rPr>
        <w:t>Cope v. Vermeer Sales &amp; Serv. of Colo., Inc.</w:t>
      </w:r>
      <w:r w:rsidRPr="004C723A">
        <w:rPr>
          <w:rFonts w:eastAsia="Times New Roman"/>
          <w:sz w:val="24"/>
          <w:szCs w:val="24"/>
        </w:rPr>
        <w:t>, 650 P.2d 1307, 1309 (Colo. App. 1982) (holding that plaintiff was entitled to recover loss of profits anticipated from use of negligently damaged property, and stating, “[t]he rule which precludes recovery of uncertain and speculative damages applies only where the fact of damages is uncertain, not where the amount is uncertain”).</w:t>
      </w:r>
    </w:p>
    <w:p w14:paraId="6B53DF7D" w14:textId="77777777" w:rsidR="004C723A" w:rsidRPr="0054263B" w:rsidRDefault="004C723A" w:rsidP="004C723A">
      <w:pPr>
        <w:keepNext/>
        <w:spacing w:after="240"/>
        <w:jc w:val="center"/>
        <w:rPr>
          <w:rFonts w:eastAsia="Times New Roman"/>
          <w:b/>
          <w:sz w:val="24"/>
          <w:szCs w:val="24"/>
        </w:rPr>
      </w:pPr>
      <w:r>
        <w:rPr>
          <w:rFonts w:eastAsia="Times New Roman"/>
          <w:b/>
          <w:sz w:val="24"/>
          <w:szCs w:val="24"/>
        </w:rPr>
        <w:t>Source and Authority</w:t>
      </w:r>
    </w:p>
    <w:p w14:paraId="0BB1A0DF"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1. This instruction is supported by </w:t>
      </w:r>
      <w:r w:rsidRPr="004C723A">
        <w:rPr>
          <w:rFonts w:eastAsia="Times New Roman"/>
          <w:b/>
          <w:sz w:val="24"/>
          <w:szCs w:val="24"/>
        </w:rPr>
        <w:t>Goodyear Tire &amp; Rubber Co. v. Holmes</w:t>
      </w:r>
      <w:r w:rsidRPr="004C723A">
        <w:rPr>
          <w:rFonts w:eastAsia="Times New Roman"/>
          <w:sz w:val="24"/>
          <w:szCs w:val="24"/>
        </w:rPr>
        <w:t xml:space="preserve">, 193 P.3d 821 (Colo. 2008); </w:t>
      </w:r>
      <w:r w:rsidRPr="004C723A">
        <w:rPr>
          <w:rFonts w:eastAsia="Times New Roman"/>
          <w:b/>
          <w:sz w:val="24"/>
          <w:szCs w:val="24"/>
        </w:rPr>
        <w:t>Zwick v. Simpson</w:t>
      </w:r>
      <w:r w:rsidRPr="004C723A">
        <w:rPr>
          <w:rFonts w:eastAsia="Times New Roman"/>
          <w:sz w:val="24"/>
          <w:szCs w:val="24"/>
        </w:rPr>
        <w:t>, 193 Colo. 36, 572 P.2d 133 (1977);</w:t>
      </w:r>
      <w:r w:rsidRPr="004C723A">
        <w:rPr>
          <w:rFonts w:eastAsia="Times New Roman"/>
          <w:b/>
          <w:sz w:val="24"/>
          <w:szCs w:val="24"/>
        </w:rPr>
        <w:t xml:space="preserve"> State v. Morison</w:t>
      </w:r>
      <w:r w:rsidRPr="004C723A">
        <w:rPr>
          <w:rFonts w:eastAsia="Times New Roman"/>
          <w:sz w:val="24"/>
          <w:szCs w:val="24"/>
        </w:rPr>
        <w:t xml:space="preserve">, 148 Colo. 79, 365 P.2d 266 (1961); </w:t>
      </w:r>
      <w:r w:rsidRPr="004C723A">
        <w:rPr>
          <w:rFonts w:eastAsia="Times New Roman"/>
          <w:b/>
          <w:sz w:val="24"/>
          <w:szCs w:val="24"/>
        </w:rPr>
        <w:t>Trujillo v. Wilson</w:t>
      </w:r>
      <w:r w:rsidRPr="004C723A">
        <w:rPr>
          <w:rFonts w:eastAsia="Times New Roman"/>
          <w:sz w:val="24"/>
          <w:szCs w:val="24"/>
        </w:rPr>
        <w:t xml:space="preserve">, 117 Colo. 430, 189 P.2d 147 (1948) (plaintiff also entitled to recover expense of reasonable efforts to preserve or restore the property); and </w:t>
      </w:r>
      <w:r w:rsidRPr="004C723A">
        <w:rPr>
          <w:rFonts w:eastAsia="Times New Roman"/>
          <w:b/>
          <w:sz w:val="24"/>
          <w:szCs w:val="24"/>
        </w:rPr>
        <w:t>Airborne, Inc. v. Denver Air Center, Inc.</w:t>
      </w:r>
      <w:r w:rsidRPr="004C723A">
        <w:rPr>
          <w:rFonts w:eastAsia="Times New Roman"/>
          <w:sz w:val="24"/>
          <w:szCs w:val="24"/>
        </w:rPr>
        <w:t>, 832 P.2d 1086 (Colo. App. 1992) (diminution in value must be based on market prices at the time of the occurrence, not on the date of trial).</w:t>
      </w:r>
    </w:p>
    <w:p w14:paraId="38753233"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2. Under sections 5-12-102(1)(a) and (b), C.R.S., prejudgment interest, calculated by the court rather than the jury, is recoverable on damages for injury to personal property. </w:t>
      </w:r>
      <w:r w:rsidRPr="004C723A">
        <w:rPr>
          <w:rFonts w:eastAsia="Times New Roman"/>
          <w:b/>
          <w:sz w:val="24"/>
          <w:szCs w:val="24"/>
        </w:rPr>
        <w:t>Isbill Assocs., Inc. v. City &amp; Cty. of Denver</w:t>
      </w:r>
      <w:r w:rsidRPr="004C723A">
        <w:rPr>
          <w:rFonts w:eastAsia="Times New Roman"/>
          <w:sz w:val="24"/>
          <w:szCs w:val="24"/>
        </w:rPr>
        <w:t>, 666 P.2d 1117 (Colo. App. 1983).</w:t>
      </w:r>
    </w:p>
    <w:p w14:paraId="0313A84C"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3. In the absence of fraud, malice, or other willful and wanton conduct, there is generally no recovery in trespass and negligence cases for mental suffering for damage to or the loss of personal property. </w:t>
      </w:r>
      <w:r w:rsidRPr="004C723A">
        <w:rPr>
          <w:rFonts w:eastAsia="Times New Roman"/>
          <w:b/>
          <w:sz w:val="24"/>
          <w:szCs w:val="24"/>
        </w:rPr>
        <w:t>Webster v. Boone</w:t>
      </w:r>
      <w:r w:rsidRPr="004C723A">
        <w:rPr>
          <w:rFonts w:eastAsia="Times New Roman"/>
          <w:sz w:val="24"/>
          <w:szCs w:val="24"/>
        </w:rPr>
        <w:t xml:space="preserve">, 992 P.2d 1183 (Colo. App. 1999). Nor is recovery permitted for the sentimental or emotional value of lost or damaged personal property such as keepsakes and mementos even though such items may have no market value or the value to the owner is far greater than the market value. </w:t>
      </w:r>
      <w:r w:rsidRPr="004C723A">
        <w:rPr>
          <w:rFonts w:eastAsia="Times New Roman"/>
          <w:i/>
          <w:sz w:val="24"/>
          <w:szCs w:val="24"/>
        </w:rPr>
        <w:t>Id</w:t>
      </w:r>
      <w:r w:rsidRPr="004C723A">
        <w:rPr>
          <w:rFonts w:eastAsia="Times New Roman"/>
          <w:sz w:val="24"/>
          <w:szCs w:val="24"/>
        </w:rPr>
        <w:t xml:space="preserve">.; </w:t>
      </w:r>
      <w:r w:rsidRPr="004C723A">
        <w:rPr>
          <w:rFonts w:eastAsia="Times New Roman"/>
          <w:i/>
          <w:sz w:val="24"/>
          <w:szCs w:val="24"/>
        </w:rPr>
        <w:t>cf</w:t>
      </w:r>
      <w:r w:rsidRPr="004C723A">
        <w:rPr>
          <w:rFonts w:eastAsia="Times New Roman"/>
          <w:sz w:val="24"/>
          <w:szCs w:val="24"/>
        </w:rPr>
        <w:t xml:space="preserve">. </w:t>
      </w:r>
      <w:r w:rsidRPr="004C723A">
        <w:rPr>
          <w:rFonts w:eastAsia="Times New Roman"/>
          <w:b/>
          <w:sz w:val="24"/>
          <w:szCs w:val="24"/>
        </w:rPr>
        <w:t>Chryar v. Wolf</w:t>
      </w:r>
      <w:r w:rsidRPr="004C723A">
        <w:rPr>
          <w:rFonts w:eastAsia="Times New Roman"/>
          <w:sz w:val="24"/>
          <w:szCs w:val="24"/>
        </w:rPr>
        <w:t>, 21 P.3d 428 (Colo. App. 2000) (in outrageous conduct case, sentimental value of lost or damaged property may be considered in assessing damages for emotional distress).</w:t>
      </w:r>
    </w:p>
    <w:p w14:paraId="242C0FF4" w14:textId="77777777" w:rsidR="00E551EB" w:rsidRDefault="00E551EB">
      <w:pPr>
        <w:rPr>
          <w:rFonts w:eastAsia="Times New Roman"/>
          <w:sz w:val="24"/>
          <w:szCs w:val="24"/>
        </w:rPr>
      </w:pPr>
      <w:r>
        <w:rPr>
          <w:rFonts w:eastAsia="Times New Roman"/>
          <w:sz w:val="24"/>
          <w:szCs w:val="24"/>
        </w:rPr>
        <w:br w:type="page"/>
      </w:r>
    </w:p>
    <w:p w14:paraId="496CBACA" w14:textId="77777777" w:rsidR="00E551EB" w:rsidRPr="009E3DA4" w:rsidRDefault="00E551EB" w:rsidP="00E551EB">
      <w:pPr>
        <w:spacing w:after="240"/>
        <w:ind w:left="720" w:hanging="720"/>
        <w:rPr>
          <w:rFonts w:eastAsia="Times New Roman"/>
          <w:b/>
          <w:sz w:val="24"/>
          <w:szCs w:val="24"/>
        </w:rPr>
      </w:pPr>
      <w:bookmarkStart w:id="16" w:name="a6_12"/>
      <w:bookmarkEnd w:id="16"/>
      <w:r w:rsidRPr="00E551EB">
        <w:rPr>
          <w:rFonts w:eastAsia="Times New Roman"/>
          <w:b/>
          <w:sz w:val="24"/>
          <w:szCs w:val="24"/>
        </w:rPr>
        <w:lastRenderedPageBreak/>
        <w:t xml:space="preserve">6:12 </w:t>
      </w:r>
      <w:r w:rsidRPr="00E551EB">
        <w:rPr>
          <w:rFonts w:eastAsia="Times New Roman"/>
          <w:b/>
          <w:sz w:val="24"/>
          <w:szCs w:val="24"/>
        </w:rPr>
        <w:tab/>
        <w:t>PERSONAL PROPERTY — COST OF REPAIRS</w:t>
      </w:r>
    </w:p>
    <w:p w14:paraId="6B46BC3C" w14:textId="0F788C3B"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If you find in favor of the plaintiff, </w:t>
      </w:r>
      <w:r w:rsidRPr="00E551EB">
        <w:rPr>
          <w:rFonts w:eastAsia="Times New Roman"/>
          <w:i/>
          <w:sz w:val="24"/>
          <w:szCs w:val="24"/>
        </w:rPr>
        <w:t>(name)</w:t>
      </w:r>
      <w:r w:rsidRPr="00E551EB">
        <w:rPr>
          <w:rFonts w:eastAsia="Times New Roman"/>
          <w:b/>
          <w:sz w:val="24"/>
          <w:szCs w:val="24"/>
        </w:rPr>
        <w:t xml:space="preserve">, you shall award as </w:t>
      </w:r>
      <w:r w:rsidR="00505E5C" w:rsidRPr="00AA267B">
        <w:rPr>
          <w:rFonts w:eastAsia="Times New Roman"/>
          <w:bCs/>
          <w:i/>
          <w:iCs/>
          <w:sz w:val="24"/>
          <w:szCs w:val="24"/>
        </w:rPr>
        <w:t>(</w:t>
      </w:r>
      <w:r w:rsidR="00505E5C">
        <w:rPr>
          <w:rFonts w:eastAsia="Times New Roman"/>
          <w:i/>
          <w:sz w:val="24"/>
          <w:szCs w:val="24"/>
        </w:rPr>
        <w:t>insert applicable pronoun)</w:t>
      </w:r>
      <w:r w:rsidRPr="00E551EB">
        <w:rPr>
          <w:rFonts w:eastAsia="Times New Roman"/>
          <w:b/>
          <w:sz w:val="24"/>
          <w:szCs w:val="24"/>
        </w:rPr>
        <w:t xml:space="preserve"> actual damages both the reasonable cost of (repairing) (rebuilding) the property, and the decrease in market value, if any, to the property as (repaired) (rebuilt).</w:t>
      </w:r>
    </w:p>
    <w:p w14:paraId="13B0365F"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If the cost of (repairs) (rebuilding) and any decrease in market value of the property as (repaired) (rebuilt) is more than the market value of the property before the occurrence, your award shall be limited to the market value of the property before the occurrence.</w:t>
      </w:r>
    </w:p>
    <w:p w14:paraId="6A2295A1" w14:textId="77777777" w:rsidR="00E551EB" w:rsidRPr="0054263B" w:rsidRDefault="00E551EB" w:rsidP="00E551EB">
      <w:pPr>
        <w:keepNext/>
        <w:spacing w:after="240"/>
        <w:jc w:val="center"/>
        <w:rPr>
          <w:rFonts w:eastAsia="Times New Roman"/>
          <w:b/>
          <w:sz w:val="24"/>
          <w:szCs w:val="24"/>
        </w:rPr>
      </w:pPr>
      <w:r w:rsidRPr="0054263B">
        <w:rPr>
          <w:rFonts w:eastAsia="Times New Roman"/>
          <w:b/>
          <w:sz w:val="24"/>
          <w:szCs w:val="24"/>
        </w:rPr>
        <w:t>Notes on Use</w:t>
      </w:r>
    </w:p>
    <w:p w14:paraId="4BD32764" w14:textId="4E2AC57A"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should be used when: the personal property has been damaged, but not destroyed, and repairs are feasible; the property has no market value; repairs have already been made; or repair costs will more effectively compensate the plaintiff. </w:t>
      </w:r>
      <w:r w:rsidRPr="00E551EB">
        <w:rPr>
          <w:rFonts w:eastAsia="Times New Roman"/>
          <w:i/>
          <w:sz w:val="24"/>
          <w:szCs w:val="24"/>
        </w:rPr>
        <w:t xml:space="preserve">See generally </w:t>
      </w:r>
      <w:r w:rsidRPr="00E551EB">
        <w:rPr>
          <w:rFonts w:eastAsia="Times New Roman"/>
          <w:b/>
          <w:sz w:val="24"/>
          <w:szCs w:val="24"/>
        </w:rPr>
        <w:t>Bd. of Cty. Comm’rs of Weld Cty. v. Slovek</w:t>
      </w:r>
      <w:r w:rsidRPr="00E551EB">
        <w:rPr>
          <w:rFonts w:eastAsia="Times New Roman"/>
          <w:sz w:val="24"/>
          <w:szCs w:val="24"/>
        </w:rPr>
        <w:t>, 723 P.2d 1309 (Colo. 1986);</w:t>
      </w:r>
      <w:r w:rsidRPr="00E551EB">
        <w:rPr>
          <w:rFonts w:eastAsia="Times New Roman"/>
          <w:i/>
          <w:sz w:val="24"/>
          <w:szCs w:val="24"/>
        </w:rPr>
        <w:t xml:space="preserve"> </w:t>
      </w:r>
      <w:r w:rsidRPr="00E551EB">
        <w:rPr>
          <w:rFonts w:eastAsia="Times New Roman"/>
          <w:b/>
          <w:sz w:val="24"/>
          <w:szCs w:val="24"/>
        </w:rPr>
        <w:t>Zwick v. Simpson</w:t>
      </w:r>
      <w:r w:rsidRPr="00E551EB">
        <w:rPr>
          <w:rFonts w:eastAsia="Times New Roman"/>
          <w:sz w:val="24"/>
          <w:szCs w:val="24"/>
        </w:rPr>
        <w:t xml:space="preserve">, 193 Colo. 36, 572 P.2d 133 (1977). Selection of which measure of damages to use is within the </w:t>
      </w:r>
      <w:r w:rsidR="00E07BB8">
        <w:rPr>
          <w:rFonts w:eastAsia="Times New Roman"/>
          <w:sz w:val="24"/>
          <w:szCs w:val="24"/>
        </w:rPr>
        <w:t xml:space="preserve">discretion of the trial court. </w:t>
      </w:r>
      <w:r w:rsidRPr="00E551EB">
        <w:rPr>
          <w:rFonts w:eastAsia="Times New Roman"/>
          <w:b/>
          <w:sz w:val="24"/>
          <w:szCs w:val="24"/>
        </w:rPr>
        <w:t>Slovek</w:t>
      </w:r>
      <w:r w:rsidRPr="00E551EB">
        <w:rPr>
          <w:rFonts w:eastAsia="Times New Roman"/>
          <w:sz w:val="24"/>
          <w:szCs w:val="24"/>
        </w:rPr>
        <w:t xml:space="preserve">, 723 P.2d at 1316. </w:t>
      </w:r>
      <w:r w:rsidRPr="00E551EB">
        <w:rPr>
          <w:rFonts w:eastAsia="Times New Roman"/>
          <w:i/>
          <w:sz w:val="24"/>
          <w:szCs w:val="24"/>
        </w:rPr>
        <w:t>Cf</w:t>
      </w:r>
      <w:r w:rsidRPr="00E551EB">
        <w:rPr>
          <w:rFonts w:eastAsia="Times New Roman"/>
          <w:sz w:val="24"/>
          <w:szCs w:val="24"/>
        </w:rPr>
        <w:t>. Notes on Use to Instruction 6:11.</w:t>
      </w:r>
    </w:p>
    <w:p w14:paraId="7E9B025D"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2. Use whichever parenthesized words are most appropriate.</w:t>
      </w:r>
    </w:p>
    <w:p w14:paraId="1BB69E3A"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3. The concept of depreciation has been included in the second paragraph of this instruction. Consequently, where the property may have appreciated in value, or would have done so had the occurrence not transpired, this second paragraph should be omitted or, if given, be appropriately modified. </w:t>
      </w:r>
      <w:r w:rsidRPr="00E551EB">
        <w:rPr>
          <w:rFonts w:eastAsia="Times New Roman"/>
          <w:b/>
          <w:sz w:val="24"/>
          <w:szCs w:val="24"/>
        </w:rPr>
        <w:t>McAlonan v. U.S. Home Corp.</w:t>
      </w:r>
      <w:r w:rsidRPr="00E551EB">
        <w:rPr>
          <w:rFonts w:eastAsia="Times New Roman"/>
          <w:sz w:val="24"/>
          <w:szCs w:val="24"/>
        </w:rPr>
        <w:t>, 724 P.2d 78 (Colo. App. 1986).</w:t>
      </w:r>
    </w:p>
    <w:p w14:paraId="47E0D509"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4. Under section 5-12-101(1)(b), C.R.S., in a strict liability case where repair costs are appropriate damages, prejudgment interest accrues from the date plaintiff pays the repair or replacement expenditure. </w:t>
      </w:r>
      <w:r w:rsidRPr="00E551EB">
        <w:rPr>
          <w:rFonts w:eastAsia="Times New Roman"/>
          <w:b/>
          <w:sz w:val="24"/>
          <w:szCs w:val="24"/>
        </w:rPr>
        <w:t>Goodyear Tire &amp; Rubber Co. v. Holmes</w:t>
      </w:r>
      <w:r w:rsidRPr="00E551EB">
        <w:rPr>
          <w:rFonts w:eastAsia="Times New Roman"/>
          <w:sz w:val="24"/>
          <w:szCs w:val="24"/>
        </w:rPr>
        <w:t>, 193 P.3d 821 (Colo. 2008).</w:t>
      </w:r>
    </w:p>
    <w:p w14:paraId="17599C6E"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5. This instruction should be appropriately modified in a case brought under the Construction Defect Action Reform Act, §§ 13-20-801 to -808, C.R.S. (“CDARA”).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Hildebrand v. New Vista Homes II, LLC</w:t>
      </w:r>
      <w:r w:rsidRPr="00E551EB">
        <w:rPr>
          <w:rFonts w:eastAsia="Times New Roman"/>
          <w:sz w:val="24"/>
          <w:szCs w:val="24"/>
        </w:rPr>
        <w:t>, 252 P.3d 1159 (Colo. App. 2010) (Actual damages in CDARA case are the lesser of the fair market value of the real property without the alleged construction defect, the replacement cost of the real property, or the reasonable cost to repair the alleged construction defect; damages for inconvenience may also be awarded.).</w:t>
      </w:r>
    </w:p>
    <w:p w14:paraId="63D2D97D" w14:textId="77777777" w:rsidR="00E551EB" w:rsidRPr="0054263B" w:rsidRDefault="00E551EB" w:rsidP="00E551EB">
      <w:pPr>
        <w:keepNext/>
        <w:spacing w:after="240"/>
        <w:jc w:val="center"/>
        <w:rPr>
          <w:rFonts w:eastAsia="Times New Roman"/>
          <w:b/>
          <w:sz w:val="24"/>
          <w:szCs w:val="24"/>
        </w:rPr>
      </w:pPr>
      <w:r>
        <w:rPr>
          <w:rFonts w:eastAsia="Times New Roman"/>
          <w:b/>
          <w:sz w:val="24"/>
          <w:szCs w:val="24"/>
        </w:rPr>
        <w:t>Source and Authority</w:t>
      </w:r>
    </w:p>
    <w:p w14:paraId="2AEE6CB9" w14:textId="77777777" w:rsidR="00E551EB" w:rsidRDefault="00E551EB" w:rsidP="00E551EB">
      <w:pPr>
        <w:spacing w:after="240"/>
        <w:ind w:firstLine="720"/>
      </w:pPr>
      <w:r w:rsidRPr="00E551EB">
        <w:rPr>
          <w:rFonts w:eastAsia="Times New Roman"/>
          <w:sz w:val="24"/>
          <w:szCs w:val="24"/>
        </w:rPr>
        <w:t xml:space="preserve">This instruction is supported by </w:t>
      </w:r>
      <w:r w:rsidRPr="00E551EB">
        <w:rPr>
          <w:rFonts w:eastAsia="Times New Roman"/>
          <w:b/>
          <w:sz w:val="24"/>
          <w:szCs w:val="24"/>
        </w:rPr>
        <w:t>Callaham v. Slavsky</w:t>
      </w:r>
      <w:r w:rsidRPr="00E551EB">
        <w:rPr>
          <w:rFonts w:eastAsia="Times New Roman"/>
          <w:sz w:val="24"/>
          <w:szCs w:val="24"/>
        </w:rPr>
        <w:t xml:space="preserve">, 153 Colo. 291, 385 P.2d 674 (1963) (by implication); </w:t>
      </w:r>
      <w:r w:rsidRPr="00E551EB">
        <w:rPr>
          <w:rFonts w:eastAsia="Times New Roman"/>
          <w:b/>
          <w:sz w:val="24"/>
          <w:szCs w:val="24"/>
        </w:rPr>
        <w:t>Allison v. Heller</w:t>
      </w:r>
      <w:r w:rsidRPr="00E551EB">
        <w:rPr>
          <w:rFonts w:eastAsia="Times New Roman"/>
          <w:sz w:val="24"/>
          <w:szCs w:val="24"/>
        </w:rPr>
        <w:t xml:space="preserve">, 132 Colo. 415, 289 P.2d 160 (1955) (plaintiff entitled to have property restored as nearly as possible to its condition before accident); and </w:t>
      </w:r>
      <w:r w:rsidRPr="00E551EB">
        <w:rPr>
          <w:rFonts w:eastAsia="Times New Roman"/>
          <w:b/>
          <w:sz w:val="24"/>
          <w:szCs w:val="24"/>
        </w:rPr>
        <w:t>Airborne, Inc. v. Denver Air Center, Inc.</w:t>
      </w:r>
      <w:r w:rsidRPr="00E551EB">
        <w:rPr>
          <w:rFonts w:eastAsia="Times New Roman"/>
          <w:sz w:val="24"/>
          <w:szCs w:val="24"/>
        </w:rPr>
        <w:t xml:space="preserve">, 832 P.2d 1086 (Colo. App. 1992) (if damage to property is reparable, plaintiff is entitled to recover reasonable costs of repair together with any decrease in market value as repaired). </w:t>
      </w:r>
      <w:r w:rsidRPr="00E551EB">
        <w:rPr>
          <w:rFonts w:eastAsia="Times New Roman"/>
          <w:i/>
          <w:sz w:val="24"/>
          <w:szCs w:val="24"/>
        </w:rPr>
        <w:t>See also</w:t>
      </w:r>
      <w:r w:rsidRPr="00E551EB">
        <w:rPr>
          <w:rFonts w:eastAsia="Times New Roman"/>
          <w:sz w:val="24"/>
          <w:szCs w:val="24"/>
        </w:rPr>
        <w:t xml:space="preserve"> </w:t>
      </w:r>
      <w:r w:rsidRPr="00E551EB">
        <w:rPr>
          <w:rFonts w:eastAsia="Times New Roman"/>
          <w:b/>
          <w:sz w:val="24"/>
          <w:szCs w:val="24"/>
        </w:rPr>
        <w:t>McAlonan</w:t>
      </w:r>
      <w:r w:rsidRPr="00E551EB">
        <w:rPr>
          <w:rFonts w:eastAsia="Times New Roman"/>
          <w:sz w:val="24"/>
          <w:szCs w:val="24"/>
        </w:rPr>
        <w:t>, 724 P.2d at 79-80 (approving first paragraph and applying it in action to recover costs of repairs needed to bring new condominium up to quality contracted for).</w:t>
      </w:r>
      <w:r>
        <w:br w:type="page"/>
      </w:r>
    </w:p>
    <w:p w14:paraId="17CDC6A8" w14:textId="77777777" w:rsidR="00E551EB" w:rsidRPr="009E3DA4" w:rsidRDefault="00E551EB" w:rsidP="00E551EB">
      <w:pPr>
        <w:spacing w:after="240"/>
        <w:ind w:left="720" w:hanging="720"/>
        <w:rPr>
          <w:rFonts w:eastAsia="Times New Roman"/>
          <w:b/>
          <w:sz w:val="24"/>
          <w:szCs w:val="24"/>
        </w:rPr>
      </w:pPr>
      <w:bookmarkStart w:id="17" w:name="a6_13"/>
      <w:bookmarkEnd w:id="17"/>
      <w:r w:rsidRPr="00E551EB">
        <w:rPr>
          <w:rFonts w:eastAsia="Times New Roman"/>
          <w:b/>
          <w:sz w:val="24"/>
          <w:szCs w:val="24"/>
        </w:rPr>
        <w:lastRenderedPageBreak/>
        <w:t xml:space="preserve">6:13 </w:t>
      </w:r>
      <w:r w:rsidRPr="00E551EB">
        <w:rPr>
          <w:rFonts w:eastAsia="Times New Roman"/>
          <w:b/>
          <w:sz w:val="24"/>
          <w:szCs w:val="24"/>
        </w:rPr>
        <w:tab/>
        <w:t>PERSONAL PROPERTY — LOSS OF USE</w:t>
      </w:r>
    </w:p>
    <w:p w14:paraId="4C4ADF84" w14:textId="60F7CA0D"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If you find in favor of the plaintiff, you shall also award an amount which will reasonably compensate the plaintiff for any loss of use of </w:t>
      </w:r>
      <w:r w:rsidR="00505E5C" w:rsidRPr="00AA267B">
        <w:rPr>
          <w:rFonts w:eastAsia="Times New Roman"/>
          <w:bCs/>
          <w:i/>
          <w:iCs/>
          <w:sz w:val="24"/>
          <w:szCs w:val="24"/>
        </w:rPr>
        <w:t>(</w:t>
      </w:r>
      <w:r w:rsidR="00505E5C">
        <w:rPr>
          <w:rFonts w:eastAsia="Times New Roman"/>
          <w:i/>
          <w:sz w:val="24"/>
          <w:szCs w:val="24"/>
        </w:rPr>
        <w:t>insert applicable pronoun)</w:t>
      </w:r>
      <w:r w:rsidRPr="00E551EB">
        <w:rPr>
          <w:rFonts w:eastAsia="Times New Roman"/>
          <w:b/>
          <w:sz w:val="24"/>
          <w:szCs w:val="24"/>
        </w:rPr>
        <w:t xml:space="preserve"> </w:t>
      </w:r>
      <w:r w:rsidRPr="00E551EB">
        <w:rPr>
          <w:rFonts w:eastAsia="Times New Roman"/>
          <w:i/>
          <w:sz w:val="24"/>
          <w:szCs w:val="24"/>
        </w:rPr>
        <w:t>(insert description of property)</w:t>
      </w:r>
      <w:r w:rsidRPr="00E551EB">
        <w:rPr>
          <w:rFonts w:eastAsia="Times New Roman"/>
          <w:b/>
          <w:sz w:val="24"/>
          <w:szCs w:val="24"/>
        </w:rPr>
        <w:t xml:space="preserve"> during the time reasonably required to make the necessary repairs. These damages must be proven by a preponderance of the evidence. The measure of these damages is the </w:t>
      </w:r>
      <w:r w:rsidRPr="00E551EB">
        <w:rPr>
          <w:rFonts w:eastAsia="Times New Roman"/>
          <w:i/>
          <w:sz w:val="24"/>
          <w:szCs w:val="24"/>
        </w:rPr>
        <w:t xml:space="preserve">(the reasonable rental value of the [insert description]) (the reasonable cost of renting or replacing a similar [insert description] for use) (lost profits) </w:t>
      </w:r>
      <w:r w:rsidRPr="00E551EB">
        <w:rPr>
          <w:rFonts w:eastAsia="Times New Roman"/>
          <w:b/>
          <w:sz w:val="24"/>
          <w:szCs w:val="24"/>
        </w:rPr>
        <w:t>while repairs are being made.</w:t>
      </w:r>
    </w:p>
    <w:p w14:paraId="6F6DA58A" w14:textId="77777777" w:rsidR="00E551EB" w:rsidRPr="0054263B" w:rsidRDefault="00E551EB" w:rsidP="00E551EB">
      <w:pPr>
        <w:keepNext/>
        <w:spacing w:after="240"/>
        <w:jc w:val="center"/>
        <w:rPr>
          <w:rFonts w:eastAsia="Times New Roman"/>
          <w:b/>
          <w:sz w:val="24"/>
          <w:szCs w:val="24"/>
        </w:rPr>
      </w:pPr>
      <w:r w:rsidRPr="0054263B">
        <w:rPr>
          <w:rFonts w:eastAsia="Times New Roman"/>
          <w:b/>
          <w:sz w:val="24"/>
          <w:szCs w:val="24"/>
        </w:rPr>
        <w:t>Notes on Use</w:t>
      </w:r>
    </w:p>
    <w:p w14:paraId="5C749020"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1. Use whichever parenthesized phrase is more appropriate.</w:t>
      </w:r>
    </w:p>
    <w:p w14:paraId="7EC9F22A" w14:textId="4D2EC2E5" w:rsidR="00E551EB" w:rsidRPr="00E551EB" w:rsidRDefault="00E551EB" w:rsidP="00E551EB">
      <w:pPr>
        <w:spacing w:after="240"/>
        <w:ind w:firstLine="720"/>
        <w:rPr>
          <w:rFonts w:eastAsia="Times New Roman"/>
          <w:sz w:val="24"/>
          <w:szCs w:val="24"/>
        </w:rPr>
      </w:pPr>
      <w:r w:rsidRPr="00E551EB">
        <w:rPr>
          <w:rFonts w:eastAsia="Times New Roman"/>
          <w:sz w:val="24"/>
          <w:szCs w:val="24"/>
        </w:rPr>
        <w:t>2. This instruction, appropriately modified, also may be used in cases</w:t>
      </w:r>
      <w:r w:rsidR="008B0EBD">
        <w:rPr>
          <w:rFonts w:eastAsia="Times New Roman"/>
          <w:sz w:val="24"/>
          <w:szCs w:val="24"/>
        </w:rPr>
        <w:t xml:space="preserve"> </w:t>
      </w:r>
      <w:r w:rsidRPr="00E551EB">
        <w:rPr>
          <w:rFonts w:eastAsia="Times New Roman"/>
          <w:sz w:val="24"/>
          <w:szCs w:val="24"/>
        </w:rPr>
        <w:t>involving the destruction</w:t>
      </w:r>
      <w:r w:rsidR="00A67468">
        <w:rPr>
          <w:rFonts w:eastAsia="Times New Roman"/>
          <w:sz w:val="24"/>
          <w:szCs w:val="24"/>
        </w:rPr>
        <w:t xml:space="preserve"> of property</w:t>
      </w:r>
      <w:bookmarkStart w:id="18" w:name="_Hlk56516278"/>
      <w:r w:rsidR="00C7356F">
        <w:rPr>
          <w:rFonts w:eastAsia="Times New Roman"/>
          <w:sz w:val="24"/>
          <w:szCs w:val="24"/>
        </w:rPr>
        <w:t xml:space="preserve"> </w:t>
      </w:r>
      <w:r w:rsidR="008B0EBD">
        <w:rPr>
          <w:rFonts w:eastAsia="Times New Roman"/>
          <w:sz w:val="24"/>
          <w:szCs w:val="24"/>
        </w:rPr>
        <w:t>—</w:t>
      </w:r>
      <w:bookmarkEnd w:id="18"/>
      <w:r w:rsidR="00C7356F">
        <w:rPr>
          <w:rFonts w:eastAsia="Times New Roman"/>
          <w:sz w:val="24"/>
          <w:szCs w:val="24"/>
        </w:rPr>
        <w:t xml:space="preserve"> </w:t>
      </w:r>
      <w:r w:rsidRPr="00E551EB">
        <w:rPr>
          <w:rFonts w:eastAsia="Times New Roman"/>
          <w:sz w:val="24"/>
          <w:szCs w:val="24"/>
        </w:rPr>
        <w:t>in contrast to injury or damage</w:t>
      </w:r>
      <w:r w:rsidR="00A67468">
        <w:rPr>
          <w:rFonts w:eastAsia="Times New Roman"/>
          <w:sz w:val="24"/>
          <w:szCs w:val="24"/>
        </w:rPr>
        <w:t xml:space="preserve"> to </w:t>
      </w:r>
      <w:r w:rsidR="00F30F12">
        <w:rPr>
          <w:rFonts w:eastAsia="Times New Roman"/>
          <w:sz w:val="24"/>
          <w:szCs w:val="24"/>
        </w:rPr>
        <w:t>property</w:t>
      </w:r>
      <w:r w:rsidR="00C7356F">
        <w:rPr>
          <w:rFonts w:eastAsia="Times New Roman"/>
          <w:sz w:val="24"/>
          <w:szCs w:val="24"/>
        </w:rPr>
        <w:t xml:space="preserve"> </w:t>
      </w:r>
      <w:r w:rsidR="008B0EBD">
        <w:rPr>
          <w:rFonts w:eastAsia="Times New Roman"/>
          <w:sz w:val="24"/>
          <w:szCs w:val="24"/>
        </w:rPr>
        <w:t>—</w:t>
      </w:r>
      <w:r w:rsidR="00C7356F">
        <w:rPr>
          <w:rFonts w:eastAsia="Times New Roman"/>
          <w:sz w:val="24"/>
          <w:szCs w:val="24"/>
        </w:rPr>
        <w:t xml:space="preserve"> </w:t>
      </w:r>
      <w:r w:rsidRPr="00E551EB">
        <w:rPr>
          <w:rFonts w:eastAsia="Times New Roman"/>
          <w:sz w:val="24"/>
          <w:szCs w:val="24"/>
        </w:rPr>
        <w:t xml:space="preserve">with the </w:t>
      </w:r>
      <w:r w:rsidR="00F30F12">
        <w:rPr>
          <w:rFonts w:eastAsia="Times New Roman"/>
          <w:sz w:val="24"/>
          <w:szCs w:val="24"/>
        </w:rPr>
        <w:t xml:space="preserve">award </w:t>
      </w:r>
      <w:r w:rsidRPr="00E551EB">
        <w:rPr>
          <w:rFonts w:eastAsia="Times New Roman"/>
          <w:sz w:val="24"/>
          <w:szCs w:val="24"/>
        </w:rPr>
        <w:t xml:space="preserve">of </w:t>
      </w:r>
      <w:r w:rsidR="00F30F12">
        <w:rPr>
          <w:rFonts w:eastAsia="Times New Roman"/>
          <w:sz w:val="24"/>
          <w:szCs w:val="24"/>
        </w:rPr>
        <w:t xml:space="preserve">damages for </w:t>
      </w:r>
      <w:r w:rsidRPr="00E551EB">
        <w:rPr>
          <w:rFonts w:eastAsia="Times New Roman"/>
          <w:sz w:val="24"/>
          <w:szCs w:val="24"/>
        </w:rPr>
        <w:t>lost profit</w:t>
      </w:r>
      <w:r w:rsidR="00F30F12">
        <w:rPr>
          <w:rFonts w:eastAsia="Times New Roman"/>
          <w:sz w:val="24"/>
          <w:szCs w:val="24"/>
        </w:rPr>
        <w:t>s</w:t>
      </w:r>
      <w:r w:rsidRPr="00E551EB">
        <w:rPr>
          <w:rFonts w:eastAsia="Times New Roman"/>
          <w:sz w:val="24"/>
          <w:szCs w:val="24"/>
        </w:rPr>
        <w:t xml:space="preserve"> </w:t>
      </w:r>
      <w:r w:rsidR="00F30F12">
        <w:rPr>
          <w:rFonts w:eastAsia="Times New Roman"/>
          <w:sz w:val="24"/>
          <w:szCs w:val="24"/>
        </w:rPr>
        <w:t xml:space="preserve">limited to a reasonable period of time to complete a preexisting contract with a replacement item.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Duggan v. Bd. of Cty. Comm’rs</w:t>
      </w:r>
      <w:r w:rsidRPr="00E551EB">
        <w:rPr>
          <w:rFonts w:eastAsia="Times New Roman"/>
          <w:sz w:val="24"/>
          <w:szCs w:val="24"/>
        </w:rPr>
        <w:t xml:space="preserve">, 747 P.2d 6 (Colo. App. 1987); </w:t>
      </w:r>
      <w:r w:rsidRPr="00E551EB">
        <w:rPr>
          <w:rFonts w:eastAsia="Times New Roman"/>
          <w:i/>
          <w:sz w:val="24"/>
          <w:szCs w:val="24"/>
        </w:rPr>
        <w:t>see also</w:t>
      </w:r>
      <w:r w:rsidRPr="00E551EB">
        <w:rPr>
          <w:rFonts w:eastAsia="Times New Roman"/>
          <w:sz w:val="24"/>
          <w:szCs w:val="24"/>
        </w:rPr>
        <w:t xml:space="preserve"> </w:t>
      </w:r>
      <w:r w:rsidRPr="00E551EB">
        <w:rPr>
          <w:rFonts w:eastAsia="Times New Roman"/>
          <w:b/>
          <w:sz w:val="24"/>
          <w:szCs w:val="24"/>
        </w:rPr>
        <w:t>Koenig v. PurCo Fleet Servs., Inc.</w:t>
      </w:r>
      <w:r w:rsidRPr="00E551EB">
        <w:rPr>
          <w:rFonts w:eastAsia="Times New Roman"/>
          <w:sz w:val="24"/>
          <w:szCs w:val="24"/>
        </w:rPr>
        <w:t>, 2012 CO 56, ¶ 3, 285 P.3d 979.</w:t>
      </w:r>
    </w:p>
    <w:p w14:paraId="245C2D98" w14:textId="77777777" w:rsidR="00E551EB" w:rsidRPr="0054263B" w:rsidRDefault="00E551EB" w:rsidP="00E551EB">
      <w:pPr>
        <w:keepNext/>
        <w:spacing w:after="240"/>
        <w:jc w:val="center"/>
        <w:rPr>
          <w:rFonts w:eastAsia="Times New Roman"/>
          <w:b/>
          <w:sz w:val="24"/>
          <w:szCs w:val="24"/>
        </w:rPr>
      </w:pPr>
      <w:r>
        <w:rPr>
          <w:rFonts w:eastAsia="Times New Roman"/>
          <w:b/>
          <w:sz w:val="24"/>
          <w:szCs w:val="24"/>
        </w:rPr>
        <w:t>Source and Authority</w:t>
      </w:r>
    </w:p>
    <w:p w14:paraId="7F4DEF44"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is supported by </w:t>
      </w:r>
      <w:r w:rsidRPr="00E551EB">
        <w:rPr>
          <w:rFonts w:eastAsia="Times New Roman"/>
          <w:b/>
          <w:sz w:val="24"/>
          <w:szCs w:val="24"/>
        </w:rPr>
        <w:t>Airborne, Inc. v. Denver Air Center, Inc.</w:t>
      </w:r>
      <w:r w:rsidRPr="00E551EB">
        <w:rPr>
          <w:rFonts w:eastAsia="Times New Roman"/>
          <w:sz w:val="24"/>
          <w:szCs w:val="24"/>
        </w:rPr>
        <w:t xml:space="preserve">, 832 P.2d 1086 (Colo. App. 1992). The right to recover damages for loss of use has been expressly or implicitly recognized in </w:t>
      </w:r>
      <w:r w:rsidRPr="00E551EB">
        <w:rPr>
          <w:rFonts w:eastAsia="Times New Roman"/>
          <w:b/>
          <w:sz w:val="24"/>
          <w:szCs w:val="24"/>
        </w:rPr>
        <w:t>Rogers v. Funkhouser</w:t>
      </w:r>
      <w:r w:rsidRPr="00E551EB">
        <w:rPr>
          <w:rFonts w:eastAsia="Times New Roman"/>
          <w:sz w:val="24"/>
          <w:szCs w:val="24"/>
        </w:rPr>
        <w:t>,</w:t>
      </w:r>
      <w:r w:rsidRPr="00E551EB">
        <w:rPr>
          <w:rFonts w:eastAsia="Times New Roman"/>
          <w:b/>
          <w:sz w:val="24"/>
          <w:szCs w:val="24"/>
        </w:rPr>
        <w:t xml:space="preserve"> </w:t>
      </w:r>
      <w:r w:rsidRPr="00E551EB">
        <w:rPr>
          <w:rFonts w:eastAsia="Times New Roman"/>
          <w:sz w:val="24"/>
          <w:szCs w:val="24"/>
        </w:rPr>
        <w:t xml:space="preserve">121 Colo. 13, 212 P.2d 497 (1949) (automobile); </w:t>
      </w:r>
      <w:r w:rsidRPr="00E551EB">
        <w:rPr>
          <w:rFonts w:eastAsia="Times New Roman"/>
          <w:b/>
          <w:sz w:val="24"/>
          <w:szCs w:val="24"/>
        </w:rPr>
        <w:t>Hunter v. Quaintance</w:t>
      </w:r>
      <w:r w:rsidRPr="00E551EB">
        <w:rPr>
          <w:rFonts w:eastAsia="Times New Roman"/>
          <w:sz w:val="24"/>
          <w:szCs w:val="24"/>
        </w:rPr>
        <w:t xml:space="preserve">, 69 Colo. 28, 168 P. 918 (1917) (automobile); and </w:t>
      </w:r>
      <w:r w:rsidRPr="00E551EB">
        <w:rPr>
          <w:rFonts w:eastAsia="Times New Roman"/>
          <w:b/>
          <w:sz w:val="24"/>
          <w:szCs w:val="24"/>
        </w:rPr>
        <w:t>Jackson v. Kiel</w:t>
      </w:r>
      <w:r w:rsidRPr="00E551EB">
        <w:rPr>
          <w:rFonts w:eastAsia="Times New Roman"/>
          <w:sz w:val="24"/>
          <w:szCs w:val="24"/>
        </w:rPr>
        <w:t xml:space="preserve">, 13 Colo. 378, 22 P. 504 (1889) (obstruction by public nuisance of access to real property). </w:t>
      </w:r>
      <w:r w:rsidRPr="00E551EB">
        <w:rPr>
          <w:rFonts w:eastAsia="Times New Roman"/>
          <w:i/>
          <w:sz w:val="24"/>
          <w:szCs w:val="24"/>
        </w:rPr>
        <w:t xml:space="preserve">See also </w:t>
      </w:r>
      <w:r w:rsidRPr="00E551EB">
        <w:rPr>
          <w:rFonts w:eastAsia="Times New Roman"/>
          <w:b/>
          <w:sz w:val="24"/>
          <w:szCs w:val="24"/>
        </w:rPr>
        <w:t>Wagner v. Dan Unfug Motors, Inc.</w:t>
      </w:r>
      <w:r w:rsidRPr="00E551EB">
        <w:rPr>
          <w:rFonts w:eastAsia="Times New Roman"/>
          <w:sz w:val="24"/>
          <w:szCs w:val="24"/>
        </w:rPr>
        <w:t xml:space="preserve">, 35 Colo. App. 102, 529 P.2d 656 (1974) (holding that damages for the loss of personal use of a vehicle were recoverable in fraud and deceit case when they have been pleaded and reduced to a definite rental cost, and distinguishing the contrary dictum in </w:t>
      </w:r>
      <w:r w:rsidRPr="00E551EB">
        <w:rPr>
          <w:rFonts w:eastAsia="Times New Roman"/>
          <w:b/>
          <w:sz w:val="24"/>
          <w:szCs w:val="24"/>
        </w:rPr>
        <w:t>Hunter</w:t>
      </w:r>
      <w:r w:rsidRPr="00E551EB">
        <w:rPr>
          <w:rFonts w:eastAsia="Times New Roman"/>
          <w:sz w:val="24"/>
          <w:szCs w:val="24"/>
        </w:rPr>
        <w:t xml:space="preserve">, 69 Colo. at 30, 168 P. at 919); </w:t>
      </w:r>
      <w:r w:rsidRPr="00E551EB">
        <w:rPr>
          <w:rFonts w:eastAsia="Times New Roman"/>
          <w:b/>
          <w:sz w:val="24"/>
          <w:szCs w:val="24"/>
        </w:rPr>
        <w:t>Francis v. Steve Johnson Pontiac-GMC-Jeep, Inc.</w:t>
      </w:r>
      <w:r w:rsidRPr="00E551EB">
        <w:rPr>
          <w:rFonts w:eastAsia="Times New Roman"/>
          <w:sz w:val="24"/>
          <w:szCs w:val="24"/>
        </w:rPr>
        <w:t>, 724 P.2d 84 (Colo. App. 1986) (same).</w:t>
      </w:r>
    </w:p>
    <w:p w14:paraId="6BE0F5BE" w14:textId="40F32073"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2. Loss of use damages can be measured by either lost profits or reasonable rental value incurred during a reasonable repair or replacement period. The property owner is not required to prove that the owner actually lost the chance for income from the rental. Rather, the property owner is entitled to recover because the owner lost the right to earn a profit from the rental. </w:t>
      </w:r>
      <w:r w:rsidRPr="00E551EB">
        <w:rPr>
          <w:rFonts w:eastAsia="Times New Roman"/>
          <w:b/>
          <w:sz w:val="24"/>
          <w:szCs w:val="24"/>
        </w:rPr>
        <w:t>Koenig</w:t>
      </w:r>
      <w:r w:rsidRPr="00E551EB">
        <w:rPr>
          <w:rFonts w:eastAsia="Times New Roman"/>
          <w:sz w:val="24"/>
          <w:szCs w:val="24"/>
        </w:rPr>
        <w:t>, ¶ 14</w:t>
      </w:r>
      <w:r w:rsidR="00146EDF">
        <w:rPr>
          <w:rFonts w:eastAsia="Times New Roman"/>
          <w:sz w:val="24"/>
          <w:szCs w:val="24"/>
        </w:rPr>
        <w:t>, 285 P.3d at 983</w:t>
      </w:r>
      <w:r w:rsidRPr="00E551EB">
        <w:rPr>
          <w:rFonts w:eastAsia="Times New Roman"/>
          <w:sz w:val="24"/>
          <w:szCs w:val="24"/>
        </w:rPr>
        <w:t xml:space="preserve">. However, in a case involving loss of use of a personal vehicle while it is repaired, damages may be recovered even without an actual loss. </w:t>
      </w:r>
      <w:r w:rsidRPr="00E551EB">
        <w:rPr>
          <w:rFonts w:eastAsia="Times New Roman"/>
          <w:b/>
          <w:sz w:val="24"/>
          <w:szCs w:val="24"/>
        </w:rPr>
        <w:t>Francis</w:t>
      </w:r>
      <w:r w:rsidRPr="00E551EB">
        <w:rPr>
          <w:rFonts w:eastAsia="Times New Roman"/>
          <w:sz w:val="24"/>
          <w:szCs w:val="24"/>
        </w:rPr>
        <w:t>, 724 P.2d at 86 (in tort case, loss is presumed if personal auto is unavailable, even though no replacement auto is rented).</w:t>
      </w:r>
    </w:p>
    <w:p w14:paraId="3040658C" w14:textId="77777777" w:rsidR="00EC3919" w:rsidRDefault="00E551EB" w:rsidP="007A3A0E">
      <w:pPr>
        <w:spacing w:after="240"/>
        <w:ind w:firstLine="720"/>
        <w:rPr>
          <w:rFonts w:eastAsia="Times New Roman"/>
          <w:sz w:val="24"/>
          <w:szCs w:val="24"/>
        </w:rPr>
      </w:pPr>
      <w:r w:rsidRPr="00E551EB">
        <w:rPr>
          <w:rFonts w:eastAsia="Times New Roman"/>
          <w:sz w:val="24"/>
          <w:szCs w:val="24"/>
        </w:rPr>
        <w:t xml:space="preserve">3. “Loss of use” damages must be specially pleaded. </w:t>
      </w:r>
      <w:r w:rsidRPr="00E551EB">
        <w:rPr>
          <w:rFonts w:eastAsia="Times New Roman"/>
          <w:b/>
          <w:sz w:val="24"/>
          <w:szCs w:val="24"/>
        </w:rPr>
        <w:t>Rogers</w:t>
      </w:r>
      <w:r w:rsidRPr="00E551EB">
        <w:rPr>
          <w:rFonts w:eastAsia="Times New Roman"/>
          <w:sz w:val="24"/>
          <w:szCs w:val="24"/>
        </w:rPr>
        <w:t>, 121 Colo. at 24-25, 212 P.2d at 502.</w:t>
      </w:r>
    </w:p>
    <w:p w14:paraId="31847883" w14:textId="77777777" w:rsidR="00E551EB" w:rsidRDefault="00E551EB">
      <w:pPr>
        <w:rPr>
          <w:rFonts w:eastAsia="Times New Roman"/>
          <w:sz w:val="24"/>
          <w:szCs w:val="24"/>
        </w:rPr>
      </w:pPr>
      <w:r>
        <w:rPr>
          <w:rFonts w:eastAsia="Times New Roman"/>
          <w:sz w:val="24"/>
          <w:szCs w:val="24"/>
        </w:rPr>
        <w:br w:type="page"/>
      </w:r>
    </w:p>
    <w:p w14:paraId="42100C76" w14:textId="77777777" w:rsidR="00E551EB" w:rsidRDefault="00E551EB" w:rsidP="00E551EB">
      <w:pPr>
        <w:spacing w:after="240"/>
        <w:jc w:val="center"/>
        <w:rPr>
          <w:rFonts w:eastAsia="Times New Roman"/>
          <w:b/>
          <w:sz w:val="24"/>
          <w:szCs w:val="24"/>
        </w:rPr>
      </w:pPr>
      <w:r w:rsidRPr="00E551EB">
        <w:rPr>
          <w:rFonts w:eastAsia="Times New Roman"/>
          <w:b/>
          <w:sz w:val="24"/>
          <w:szCs w:val="24"/>
        </w:rPr>
        <w:lastRenderedPageBreak/>
        <w:t>C. MULTIPLE RECOVERY</w:t>
      </w:r>
    </w:p>
    <w:p w14:paraId="7CBAE0A8" w14:textId="77777777" w:rsidR="00E551EB" w:rsidRPr="009E3DA4" w:rsidRDefault="00E551EB" w:rsidP="00E551EB">
      <w:pPr>
        <w:spacing w:after="240"/>
        <w:ind w:left="720" w:hanging="720"/>
        <w:rPr>
          <w:rFonts w:eastAsia="Times New Roman"/>
          <w:b/>
          <w:sz w:val="24"/>
          <w:szCs w:val="24"/>
        </w:rPr>
      </w:pPr>
      <w:bookmarkStart w:id="19" w:name="a6_14"/>
      <w:bookmarkEnd w:id="19"/>
      <w:r w:rsidRPr="00E551EB">
        <w:rPr>
          <w:rFonts w:eastAsia="Times New Roman"/>
          <w:b/>
          <w:sz w:val="24"/>
          <w:szCs w:val="24"/>
        </w:rPr>
        <w:t xml:space="preserve">6:14 </w:t>
      </w:r>
      <w:r w:rsidRPr="00E551EB">
        <w:rPr>
          <w:rFonts w:eastAsia="Times New Roman"/>
          <w:b/>
          <w:sz w:val="24"/>
          <w:szCs w:val="24"/>
        </w:rPr>
        <w:tab/>
        <w:t>MULTIPLE RECOVERY PROHIBITED (WHEN PLAINTIFF SUING ON ALTERNATIVE BUT DUPLICATIVE CLAIMS FOR RELIEF)</w:t>
      </w:r>
    </w:p>
    <w:p w14:paraId="28498C69"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The plaintiff, </w:t>
      </w:r>
      <w:r w:rsidRPr="00E551EB">
        <w:rPr>
          <w:rFonts w:eastAsia="Times New Roman"/>
          <w:i/>
          <w:sz w:val="24"/>
          <w:szCs w:val="24"/>
        </w:rPr>
        <w:t>(name)</w:t>
      </w:r>
      <w:r w:rsidRPr="00E551EB">
        <w:rPr>
          <w:rFonts w:eastAsia="Times New Roman"/>
          <w:b/>
          <w:sz w:val="24"/>
          <w:szCs w:val="24"/>
        </w:rPr>
        <w:t xml:space="preserve">, has sued for the same (injuries) (damages) (losses) on </w:t>
      </w:r>
      <w:r w:rsidRPr="00E551EB">
        <w:rPr>
          <w:rFonts w:eastAsia="Times New Roman"/>
          <w:i/>
          <w:sz w:val="24"/>
          <w:szCs w:val="24"/>
        </w:rPr>
        <w:t>(number)</w:t>
      </w:r>
      <w:r w:rsidRPr="00E551EB">
        <w:rPr>
          <w:rFonts w:eastAsia="Times New Roman"/>
          <w:b/>
          <w:sz w:val="24"/>
          <w:szCs w:val="24"/>
        </w:rPr>
        <w:t xml:space="preserve"> different claims for relief. The claims for relief on which the plaintiff has sued and on which you have been instructed are: </w:t>
      </w:r>
      <w:r w:rsidRPr="00E551EB">
        <w:rPr>
          <w:rFonts w:eastAsia="Times New Roman"/>
          <w:i/>
          <w:sz w:val="24"/>
          <w:szCs w:val="24"/>
        </w:rPr>
        <w:t>(insert appropriate description of each of the plaintiff’s claims)</w:t>
      </w:r>
      <w:r w:rsidRPr="00E551EB">
        <w:rPr>
          <w:rFonts w:eastAsia="Times New Roman"/>
          <w:b/>
          <w:sz w:val="24"/>
          <w:szCs w:val="24"/>
        </w:rPr>
        <w:t>.</w:t>
      </w:r>
    </w:p>
    <w:p w14:paraId="289C69E5" w14:textId="1C751A44"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If you find for the plaintiff on more than one claim for relief, you may award </w:t>
      </w:r>
      <w:r w:rsidR="00505E5C" w:rsidRPr="00AA267B">
        <w:rPr>
          <w:rFonts w:eastAsia="Times New Roman"/>
          <w:bCs/>
          <w:i/>
          <w:iCs/>
          <w:sz w:val="24"/>
          <w:szCs w:val="24"/>
        </w:rPr>
        <w:t>(</w:t>
      </w:r>
      <w:r w:rsidR="00505E5C">
        <w:rPr>
          <w:rFonts w:eastAsia="Times New Roman"/>
          <w:i/>
          <w:sz w:val="24"/>
          <w:szCs w:val="24"/>
        </w:rPr>
        <w:t>insert applicable pronoun)</w:t>
      </w:r>
      <w:r w:rsidRPr="00E551EB">
        <w:rPr>
          <w:rFonts w:eastAsia="Times New Roman"/>
          <w:b/>
          <w:sz w:val="24"/>
          <w:szCs w:val="24"/>
        </w:rPr>
        <w:t xml:space="preserve"> damages only once for the same (injuries) (damages) (losses).</w:t>
      </w:r>
    </w:p>
    <w:p w14:paraId="13973030" w14:textId="77777777" w:rsidR="00E551EB" w:rsidRPr="0054263B" w:rsidRDefault="00E551EB" w:rsidP="00E551EB">
      <w:pPr>
        <w:keepNext/>
        <w:spacing w:after="240"/>
        <w:jc w:val="center"/>
        <w:rPr>
          <w:rFonts w:eastAsia="Times New Roman"/>
          <w:b/>
          <w:sz w:val="24"/>
          <w:szCs w:val="24"/>
        </w:rPr>
      </w:pPr>
      <w:r w:rsidRPr="0054263B">
        <w:rPr>
          <w:rFonts w:eastAsia="Times New Roman"/>
          <w:b/>
          <w:sz w:val="24"/>
          <w:szCs w:val="24"/>
        </w:rPr>
        <w:t>Notes on Use</w:t>
      </w:r>
    </w:p>
    <w:p w14:paraId="78E7EF5C" w14:textId="77777777" w:rsidR="009E365F" w:rsidRPr="001B32FD" w:rsidRDefault="009E365F" w:rsidP="009E365F">
      <w:pPr>
        <w:spacing w:after="240"/>
        <w:ind w:firstLine="720"/>
        <w:rPr>
          <w:rFonts w:asciiTheme="minorBidi" w:hAnsiTheme="minorBidi" w:cs="Times New Roman (Body CS)"/>
          <w:sz w:val="24"/>
          <w:szCs w:val="24"/>
        </w:rPr>
      </w:pPr>
      <w:r w:rsidRPr="001B32FD">
        <w:rPr>
          <w:rFonts w:eastAsia="Times New Roman"/>
          <w:sz w:val="24"/>
          <w:szCs w:val="24"/>
        </w:rPr>
        <w:t xml:space="preserve">1. </w:t>
      </w:r>
      <w:r w:rsidRPr="001B32FD">
        <w:rPr>
          <w:rFonts w:asciiTheme="minorBidi" w:hAnsiTheme="minorBidi" w:cs="Times New Roman (Body CS)"/>
          <w:sz w:val="24"/>
          <w:szCs w:val="24"/>
        </w:rPr>
        <w:t xml:space="preserve">Where a party </w:t>
      </w:r>
      <w:r>
        <w:rPr>
          <w:rFonts w:asciiTheme="minorBidi" w:hAnsiTheme="minorBidi" w:cs="Times New Roman (Body CS)"/>
          <w:sz w:val="24"/>
          <w:szCs w:val="24"/>
        </w:rPr>
        <w:t>prevails on</w:t>
      </w:r>
      <w:r w:rsidRPr="001B32FD">
        <w:rPr>
          <w:rFonts w:asciiTheme="minorBidi" w:hAnsiTheme="minorBidi" w:cs="Times New Roman (Body CS)"/>
          <w:sz w:val="24"/>
          <w:szCs w:val="24"/>
        </w:rPr>
        <w:t xml:space="preserve"> multiple claims seeking the same damages, the jury must award the full amount of damages it finds but must award those damages only once. The Committee recommends that, wherever possible, the jury be given unified step-by-step special verdict forms (</w:t>
      </w:r>
      <w:r w:rsidRPr="001B32FD">
        <w:rPr>
          <w:rFonts w:asciiTheme="minorBidi" w:hAnsiTheme="minorBidi" w:cs="Times New Roman (Body CS)"/>
          <w:i/>
          <w:sz w:val="24"/>
          <w:szCs w:val="24"/>
        </w:rPr>
        <w:t>see, e.g.</w:t>
      </w:r>
      <w:r w:rsidRPr="001B32FD">
        <w:rPr>
          <w:rFonts w:asciiTheme="minorBidi" w:hAnsiTheme="minorBidi" w:cs="Times New Roman (Body CS)"/>
          <w:sz w:val="24"/>
          <w:szCs w:val="24"/>
        </w:rPr>
        <w:t xml:space="preserve">, Instruction 4:20) that should lead the jury to award the full amount of damages it intends but minimize the risk of awarding the same damages more than once. </w:t>
      </w:r>
    </w:p>
    <w:p w14:paraId="74D6A371" w14:textId="439E298B" w:rsidR="009E365F" w:rsidRPr="0043369C" w:rsidRDefault="009E365F" w:rsidP="009E365F">
      <w:pPr>
        <w:spacing w:after="240"/>
        <w:ind w:firstLine="720"/>
        <w:rPr>
          <w:rFonts w:eastAsia="Times New Roman"/>
          <w:sz w:val="24"/>
          <w:szCs w:val="24"/>
        </w:rPr>
      </w:pPr>
      <w:r>
        <w:rPr>
          <w:rFonts w:eastAsia="Times New Roman"/>
          <w:sz w:val="24"/>
          <w:szCs w:val="24"/>
        </w:rPr>
        <w:t>2</w:t>
      </w:r>
      <w:r w:rsidRPr="0043369C">
        <w:rPr>
          <w:rFonts w:eastAsia="Times New Roman"/>
          <w:sz w:val="24"/>
          <w:szCs w:val="24"/>
        </w:rPr>
        <w:t xml:space="preserve">. In </w:t>
      </w:r>
      <w:r w:rsidRPr="0043369C">
        <w:rPr>
          <w:rFonts w:eastAsia="Times New Roman"/>
          <w:b/>
          <w:sz w:val="24"/>
          <w:szCs w:val="24"/>
        </w:rPr>
        <w:t>Schuessler v. Wolter</w:t>
      </w:r>
      <w:r w:rsidRPr="0043369C">
        <w:rPr>
          <w:rFonts w:eastAsia="Times New Roman"/>
          <w:sz w:val="24"/>
          <w:szCs w:val="24"/>
        </w:rPr>
        <w:t xml:space="preserve">, 2012 COA 86, </w:t>
      </w:r>
      <w:r>
        <w:rPr>
          <w:rFonts w:eastAsia="Times New Roman"/>
          <w:sz w:val="24"/>
          <w:szCs w:val="24"/>
        </w:rPr>
        <w:t xml:space="preserve">310 P.3d 151, </w:t>
      </w:r>
      <w:r w:rsidRPr="0043369C">
        <w:rPr>
          <w:rFonts w:eastAsia="Times New Roman"/>
          <w:sz w:val="24"/>
          <w:szCs w:val="24"/>
        </w:rPr>
        <w:t xml:space="preserve">the jury awarded an identical amount against each of two defendants for noneconomic damages. One defendant argued on appeal that the jury had impermissibly awarded the same damages twice. The court of appeals disagreed and affirmed the damage award because Instruction 6:14 had been given, and the court presumed that the jury had followed it. </w:t>
      </w:r>
      <w:r w:rsidRPr="0043369C">
        <w:rPr>
          <w:rFonts w:eastAsia="Times New Roman"/>
          <w:i/>
          <w:sz w:val="24"/>
          <w:szCs w:val="24"/>
        </w:rPr>
        <w:t>Id.</w:t>
      </w:r>
      <w:r w:rsidRPr="0043369C">
        <w:rPr>
          <w:rFonts w:eastAsia="Times New Roman"/>
          <w:sz w:val="24"/>
          <w:szCs w:val="24"/>
        </w:rPr>
        <w:t xml:space="preserve"> at ¶</w:t>
      </w:r>
      <w:r>
        <w:rPr>
          <w:rFonts w:eastAsia="Times New Roman"/>
          <w:sz w:val="24"/>
          <w:szCs w:val="24"/>
        </w:rPr>
        <w:t xml:space="preserve"> </w:t>
      </w:r>
      <w:r w:rsidRPr="0043369C">
        <w:rPr>
          <w:rFonts w:eastAsia="Times New Roman"/>
          <w:sz w:val="24"/>
          <w:szCs w:val="24"/>
        </w:rPr>
        <w:t xml:space="preserve">65. The court further stated: “When multiple claims are presented that are duplicative in terms of their recoverable damages, an instruction prohibiting multiple recoveries for the same damages must be given.” </w:t>
      </w:r>
      <w:r w:rsidRPr="0043369C">
        <w:rPr>
          <w:rFonts w:eastAsia="Times New Roman"/>
          <w:i/>
          <w:sz w:val="24"/>
          <w:szCs w:val="24"/>
        </w:rPr>
        <w:t>Id.</w:t>
      </w:r>
      <w:r w:rsidRPr="0043369C">
        <w:rPr>
          <w:rFonts w:eastAsia="Times New Roman"/>
          <w:sz w:val="24"/>
          <w:szCs w:val="24"/>
        </w:rPr>
        <w:t xml:space="preserve"> at ¶</w:t>
      </w:r>
      <w:r>
        <w:rPr>
          <w:rFonts w:eastAsia="Times New Roman"/>
          <w:sz w:val="24"/>
          <w:szCs w:val="24"/>
        </w:rPr>
        <w:t xml:space="preserve"> </w:t>
      </w:r>
      <w:r w:rsidRPr="0043369C">
        <w:rPr>
          <w:rFonts w:eastAsia="Times New Roman"/>
          <w:sz w:val="24"/>
          <w:szCs w:val="24"/>
        </w:rPr>
        <w:t xml:space="preserve">64. </w:t>
      </w:r>
    </w:p>
    <w:p w14:paraId="69490C2D" w14:textId="65F6BA6F" w:rsidR="009E365F" w:rsidRDefault="009E365F" w:rsidP="009E365F">
      <w:pPr>
        <w:spacing w:after="240"/>
        <w:ind w:firstLine="720"/>
        <w:rPr>
          <w:rFonts w:eastAsia="Times New Roman"/>
          <w:sz w:val="24"/>
          <w:szCs w:val="24"/>
        </w:rPr>
      </w:pPr>
      <w:r>
        <w:rPr>
          <w:rFonts w:eastAsia="Times New Roman"/>
          <w:sz w:val="24"/>
          <w:szCs w:val="24"/>
        </w:rPr>
        <w:t>3</w:t>
      </w:r>
      <w:r w:rsidRPr="0043369C">
        <w:rPr>
          <w:rFonts w:eastAsia="Times New Roman"/>
          <w:sz w:val="24"/>
          <w:szCs w:val="24"/>
        </w:rPr>
        <w:t xml:space="preserve">. In </w:t>
      </w:r>
      <w:r w:rsidRPr="0043369C">
        <w:rPr>
          <w:rFonts w:eastAsia="Times New Roman"/>
          <w:b/>
          <w:sz w:val="24"/>
          <w:szCs w:val="24"/>
        </w:rPr>
        <w:t>Steward Software Co. v. Kopcho</w:t>
      </w:r>
      <w:r w:rsidRPr="0043369C">
        <w:rPr>
          <w:rFonts w:eastAsia="Times New Roman"/>
          <w:sz w:val="24"/>
          <w:szCs w:val="24"/>
        </w:rPr>
        <w:t xml:space="preserve">, 275 P.3d 702 (Colo. App. 2010), </w:t>
      </w:r>
      <w:r w:rsidRPr="001B32FD">
        <w:rPr>
          <w:rFonts w:eastAsia="Times New Roman"/>
          <w:i/>
          <w:sz w:val="24"/>
          <w:szCs w:val="24"/>
        </w:rPr>
        <w:t>rev’d on other grounds</w:t>
      </w:r>
      <w:r w:rsidRPr="0043369C">
        <w:rPr>
          <w:rFonts w:eastAsia="Times New Roman"/>
          <w:sz w:val="24"/>
          <w:szCs w:val="24"/>
        </w:rPr>
        <w:t xml:space="preserve">, 266 P.3d 1085 (Colo. 2011), in contrast, the court reversed a judgment involving multiple claims for the same damages even though this instruction was given. Plaintiff asserted three claims for the same damages, and the jury found for plaintiff on all three. However, the jury awarded substantive damages on one claim and nominal damages on the other two. </w:t>
      </w:r>
      <w:r w:rsidRPr="008664CD">
        <w:rPr>
          <w:rFonts w:eastAsia="Times New Roman"/>
          <w:sz w:val="24"/>
          <w:szCs w:val="24"/>
        </w:rPr>
        <w:t>While declining to conclude that “pattern instruction 6:14, standing alone, was erroneous,”</w:t>
      </w:r>
      <w:r w:rsidRPr="00F50150">
        <w:rPr>
          <w:rFonts w:eastAsia="Times New Roman"/>
          <w:sz w:val="24"/>
          <w:szCs w:val="24"/>
        </w:rPr>
        <w:t xml:space="preserve"> </w:t>
      </w:r>
      <w:r w:rsidRPr="009F2C43">
        <w:rPr>
          <w:rFonts w:eastAsia="Times New Roman"/>
          <w:sz w:val="24"/>
          <w:szCs w:val="24"/>
        </w:rPr>
        <w:t>t</w:t>
      </w:r>
      <w:r w:rsidRPr="0043369C">
        <w:rPr>
          <w:rFonts w:eastAsia="Times New Roman"/>
          <w:sz w:val="24"/>
          <w:szCs w:val="24"/>
        </w:rPr>
        <w:t xml:space="preserve">he court held that under all the circumstances of the case and in the absence of other clarifying instructions, “the instructions as a whole erroneously prevented the jury from awarding the same damages on all three of [plaintiff’s] claims.” 275 P.3d at 711. In such cases, the court held, “the jury must be directed to award the same damages on all three claims if the damages are proven as to those claims.” </w:t>
      </w:r>
      <w:r w:rsidRPr="00BA40D4">
        <w:rPr>
          <w:rFonts w:eastAsia="Times New Roman"/>
          <w:i/>
          <w:sz w:val="24"/>
          <w:szCs w:val="24"/>
        </w:rPr>
        <w:t>Id.</w:t>
      </w:r>
      <w:r w:rsidRPr="0043369C">
        <w:rPr>
          <w:rFonts w:eastAsia="Times New Roman"/>
          <w:sz w:val="24"/>
          <w:szCs w:val="24"/>
        </w:rPr>
        <w:t xml:space="preserve">  </w:t>
      </w:r>
    </w:p>
    <w:p w14:paraId="32650A5E" w14:textId="532F5C6D" w:rsidR="009E365F" w:rsidRPr="00BA40D4" w:rsidRDefault="009E365F" w:rsidP="009E365F">
      <w:pPr>
        <w:spacing w:after="240"/>
        <w:ind w:firstLine="720"/>
        <w:rPr>
          <w:rFonts w:eastAsia="Times New Roman"/>
          <w:sz w:val="24"/>
          <w:szCs w:val="24"/>
        </w:rPr>
      </w:pPr>
      <w:r>
        <w:rPr>
          <w:rFonts w:eastAsia="Times New Roman"/>
          <w:sz w:val="24"/>
          <w:szCs w:val="24"/>
        </w:rPr>
        <w:t>4</w:t>
      </w:r>
      <w:r w:rsidRPr="00BA40D4">
        <w:rPr>
          <w:rFonts w:eastAsia="Times New Roman"/>
          <w:sz w:val="24"/>
          <w:szCs w:val="24"/>
        </w:rPr>
        <w:t xml:space="preserve">. </w:t>
      </w:r>
      <w:r w:rsidRPr="00BA40D4">
        <w:rPr>
          <w:rFonts w:asciiTheme="minorBidi" w:hAnsiTheme="minorBidi" w:cs="Times New Roman (Body CS)"/>
          <w:sz w:val="24"/>
          <w:szCs w:val="24"/>
        </w:rPr>
        <w:t xml:space="preserve">In cases with multiple claims seeking the same damages, the Committee recommends that the issues illustrated by </w:t>
      </w:r>
      <w:r w:rsidRPr="00BA40D4">
        <w:rPr>
          <w:rFonts w:asciiTheme="minorBidi" w:hAnsiTheme="minorBidi" w:cs="Times New Roman (Body CS)"/>
          <w:b/>
          <w:bCs/>
          <w:sz w:val="24"/>
          <w:szCs w:val="24"/>
        </w:rPr>
        <w:t>Schuessler</w:t>
      </w:r>
      <w:r w:rsidRPr="00BA40D4">
        <w:rPr>
          <w:rFonts w:asciiTheme="minorBidi" w:hAnsiTheme="minorBidi" w:cs="Times New Roman (Body CS)"/>
          <w:sz w:val="24"/>
          <w:szCs w:val="24"/>
        </w:rPr>
        <w:t xml:space="preserve"> and </w:t>
      </w:r>
      <w:r w:rsidRPr="00BA40D4">
        <w:rPr>
          <w:rFonts w:asciiTheme="minorBidi" w:hAnsiTheme="minorBidi" w:cs="Times New Roman (Body CS)"/>
          <w:b/>
          <w:bCs/>
          <w:sz w:val="24"/>
          <w:szCs w:val="24"/>
        </w:rPr>
        <w:t>Steward Software</w:t>
      </w:r>
      <w:r w:rsidRPr="00BA40D4">
        <w:rPr>
          <w:rFonts w:asciiTheme="minorBidi" w:hAnsiTheme="minorBidi" w:cs="Times New Roman (Body CS)"/>
          <w:sz w:val="24"/>
          <w:szCs w:val="24"/>
        </w:rPr>
        <w:t xml:space="preserve"> be dealt with primarily by designing the special verdict form to lead the jury ste</w:t>
      </w:r>
      <w:r>
        <w:rPr>
          <w:rFonts w:asciiTheme="minorBidi" w:hAnsiTheme="minorBidi" w:cs="Times New Roman (Body CS)"/>
          <w:sz w:val="24"/>
          <w:szCs w:val="24"/>
        </w:rPr>
        <w:t>p-by-</w:t>
      </w:r>
      <w:r w:rsidRPr="00BA40D4">
        <w:rPr>
          <w:rFonts w:asciiTheme="minorBidi" w:hAnsiTheme="minorBidi" w:cs="Times New Roman (Body CS)"/>
          <w:sz w:val="24"/>
          <w:szCs w:val="24"/>
        </w:rPr>
        <w:t xml:space="preserve">step through the decision-making process. Additional clarifying instructions may be necessary. </w:t>
      </w:r>
      <w:r w:rsidRPr="00BA40D4">
        <w:rPr>
          <w:rFonts w:asciiTheme="minorBidi" w:hAnsiTheme="minorBidi" w:cs="Times New Roman (Body CS)"/>
          <w:b/>
          <w:bCs/>
          <w:sz w:val="24"/>
          <w:szCs w:val="24"/>
        </w:rPr>
        <w:t>Steward Software</w:t>
      </w:r>
      <w:r w:rsidRPr="00BA40D4">
        <w:rPr>
          <w:rFonts w:asciiTheme="minorBidi" w:hAnsiTheme="minorBidi" w:cs="Times New Roman (Body CS)"/>
          <w:sz w:val="24"/>
          <w:szCs w:val="24"/>
        </w:rPr>
        <w:t>, 275 P.3d at 711.</w:t>
      </w:r>
      <w:r w:rsidRPr="00BA40D4">
        <w:rPr>
          <w:rFonts w:asciiTheme="minorBidi" w:hAnsiTheme="minorBidi" w:cs="Times New Roman (Body CS)"/>
          <w:b/>
          <w:bCs/>
          <w:sz w:val="24"/>
          <w:szCs w:val="24"/>
        </w:rPr>
        <w:t xml:space="preserve"> </w:t>
      </w:r>
      <w:r w:rsidRPr="00BA40D4">
        <w:rPr>
          <w:rFonts w:asciiTheme="minorBidi" w:hAnsiTheme="minorBidi" w:cs="Times New Roman (Body CS)"/>
          <w:sz w:val="24"/>
          <w:szCs w:val="24"/>
        </w:rPr>
        <w:t xml:space="preserve">For example, in a case where a single plaintiff asserts three claims against a single defendant for the same damages, the verdict form should direct the jury, using or adapting the </w:t>
      </w:r>
      <w:r w:rsidRPr="00BA40D4">
        <w:rPr>
          <w:rFonts w:asciiTheme="minorBidi" w:hAnsiTheme="minorBidi" w:cs="Times New Roman (Body CS)"/>
          <w:sz w:val="24"/>
          <w:szCs w:val="24"/>
        </w:rPr>
        <w:lastRenderedPageBreak/>
        <w:t>format in Instructions 4:15, 4:16, and 4:20, to decide which party prevailed on each claim. If the jury finds for the plaintiff on any of the claims, the jury should be directed to answer a separate single question asking the jury to state the amount of damages. The damages question should be introduced with a direction, in sum or substance, that plaintiff has asserted three claims for the same damages and that consequently the jury’s answer to the damages question must be the same regardless of whether the jury found for the plaintiff on one, two, or all three claims. If the plaintiff asserts other claims for different damages, the verdict form then would lead the jury to decide those claims.</w:t>
      </w:r>
    </w:p>
    <w:p w14:paraId="694B80D4" w14:textId="4A5258F5" w:rsidR="009E365F" w:rsidRDefault="009E365F" w:rsidP="009E365F">
      <w:pPr>
        <w:spacing w:after="240"/>
        <w:ind w:firstLine="720"/>
        <w:rPr>
          <w:rFonts w:eastAsia="Times New Roman"/>
          <w:sz w:val="24"/>
          <w:szCs w:val="24"/>
        </w:rPr>
      </w:pPr>
      <w:r>
        <w:rPr>
          <w:rFonts w:eastAsia="Times New Roman"/>
          <w:sz w:val="24"/>
          <w:szCs w:val="24"/>
        </w:rPr>
        <w:t>5</w:t>
      </w:r>
      <w:r w:rsidRPr="0043369C">
        <w:rPr>
          <w:rFonts w:eastAsia="Times New Roman"/>
          <w:sz w:val="24"/>
          <w:szCs w:val="24"/>
        </w:rPr>
        <w:t xml:space="preserve">. </w:t>
      </w:r>
      <w:r>
        <w:rPr>
          <w:rFonts w:eastAsia="Times New Roman"/>
          <w:sz w:val="24"/>
          <w:szCs w:val="24"/>
        </w:rPr>
        <w:t>S</w:t>
      </w:r>
      <w:r w:rsidRPr="0043369C">
        <w:rPr>
          <w:rFonts w:eastAsia="Times New Roman"/>
          <w:sz w:val="24"/>
          <w:szCs w:val="24"/>
        </w:rPr>
        <w:t>ome cases are more complex because, for example</w:t>
      </w:r>
      <w:r>
        <w:rPr>
          <w:rFonts w:eastAsia="Times New Roman"/>
          <w:sz w:val="24"/>
          <w:szCs w:val="24"/>
        </w:rPr>
        <w:t>,</w:t>
      </w:r>
      <w:r w:rsidRPr="0043369C">
        <w:rPr>
          <w:rFonts w:eastAsia="Times New Roman"/>
          <w:sz w:val="24"/>
          <w:szCs w:val="24"/>
        </w:rPr>
        <w:t xml:space="preserve"> the damages awardable on two claims overlap but are not identical</w:t>
      </w:r>
      <w:r>
        <w:rPr>
          <w:rFonts w:eastAsia="Times New Roman"/>
          <w:sz w:val="24"/>
          <w:szCs w:val="24"/>
        </w:rPr>
        <w:t>,</w:t>
      </w:r>
      <w:r w:rsidRPr="0043369C">
        <w:rPr>
          <w:rFonts w:eastAsia="Times New Roman"/>
          <w:sz w:val="24"/>
          <w:szCs w:val="24"/>
        </w:rPr>
        <w:t xml:space="preserve"> </w:t>
      </w:r>
      <w:r>
        <w:rPr>
          <w:rFonts w:eastAsia="Times New Roman"/>
          <w:sz w:val="24"/>
          <w:szCs w:val="24"/>
        </w:rPr>
        <w:t xml:space="preserve">or </w:t>
      </w:r>
      <w:r w:rsidRPr="0043369C">
        <w:rPr>
          <w:rFonts w:eastAsia="Times New Roman"/>
          <w:sz w:val="24"/>
          <w:szCs w:val="24"/>
        </w:rPr>
        <w:t xml:space="preserve">some claims are asserted by or against fewer than all plaintiffs or defendants. Most of these cases </w:t>
      </w:r>
      <w:r>
        <w:rPr>
          <w:rFonts w:eastAsia="Times New Roman"/>
          <w:sz w:val="24"/>
          <w:szCs w:val="24"/>
        </w:rPr>
        <w:t>can be addressed by</w:t>
      </w:r>
      <w:r w:rsidRPr="0043369C">
        <w:rPr>
          <w:rFonts w:eastAsia="Times New Roman"/>
          <w:sz w:val="24"/>
          <w:szCs w:val="24"/>
        </w:rPr>
        <w:t xml:space="preserve"> the recommended approach. For example, where </w:t>
      </w:r>
      <w:r>
        <w:rPr>
          <w:rFonts w:eastAsia="Times New Roman"/>
          <w:sz w:val="24"/>
          <w:szCs w:val="24"/>
        </w:rPr>
        <w:t xml:space="preserve">the same economic damages are sought on both </w:t>
      </w:r>
      <w:r w:rsidRPr="0043369C">
        <w:rPr>
          <w:rFonts w:eastAsia="Times New Roman"/>
          <w:sz w:val="24"/>
          <w:szCs w:val="24"/>
        </w:rPr>
        <w:t xml:space="preserve">tort </w:t>
      </w:r>
      <w:r>
        <w:rPr>
          <w:rFonts w:eastAsia="Times New Roman"/>
          <w:sz w:val="24"/>
          <w:szCs w:val="24"/>
        </w:rPr>
        <w:t>and contract claims</w:t>
      </w:r>
      <w:r w:rsidRPr="0043369C">
        <w:rPr>
          <w:rFonts w:eastAsia="Times New Roman"/>
          <w:sz w:val="24"/>
          <w:szCs w:val="24"/>
        </w:rPr>
        <w:t>,</w:t>
      </w:r>
      <w:r>
        <w:rPr>
          <w:rFonts w:eastAsia="Times New Roman"/>
          <w:sz w:val="24"/>
          <w:szCs w:val="24"/>
        </w:rPr>
        <w:t xml:space="preserve"> noneconomic damages may be sought only on </w:t>
      </w:r>
      <w:r w:rsidRPr="0043369C">
        <w:rPr>
          <w:rFonts w:eastAsia="Times New Roman"/>
          <w:sz w:val="24"/>
          <w:szCs w:val="24"/>
        </w:rPr>
        <w:t xml:space="preserve">the tort claim. This situation can be dealt with by asking the jury to state separately the amounts of economic and noneconomic </w:t>
      </w:r>
      <w:r>
        <w:rPr>
          <w:rFonts w:eastAsia="Times New Roman"/>
          <w:sz w:val="24"/>
          <w:szCs w:val="24"/>
        </w:rPr>
        <w:t>damages</w:t>
      </w:r>
      <w:r w:rsidRPr="0043369C">
        <w:rPr>
          <w:rFonts w:eastAsia="Times New Roman"/>
          <w:sz w:val="24"/>
          <w:szCs w:val="24"/>
        </w:rPr>
        <w:t>. After the verdict, counsel and the court can readily determine the damages to be included in the judgment.</w:t>
      </w:r>
    </w:p>
    <w:p w14:paraId="2A206B8B" w14:textId="24DA1BA2" w:rsidR="00E551EB" w:rsidRPr="00E551EB" w:rsidRDefault="009E365F" w:rsidP="009E365F">
      <w:pPr>
        <w:spacing w:after="240"/>
        <w:ind w:firstLine="720"/>
        <w:rPr>
          <w:rFonts w:eastAsia="Times New Roman"/>
          <w:sz w:val="24"/>
          <w:szCs w:val="24"/>
        </w:rPr>
      </w:pPr>
      <w:r>
        <w:rPr>
          <w:rFonts w:eastAsia="Times New Roman"/>
          <w:sz w:val="24"/>
          <w:szCs w:val="24"/>
        </w:rPr>
        <w:t>6</w:t>
      </w:r>
      <w:r w:rsidRPr="00E551EB">
        <w:rPr>
          <w:rFonts w:eastAsia="Times New Roman"/>
          <w:sz w:val="24"/>
          <w:szCs w:val="24"/>
        </w:rPr>
        <w:t xml:space="preserve">. </w:t>
      </w:r>
      <w:r w:rsidRPr="00AE62BD">
        <w:rPr>
          <w:rFonts w:eastAsia="Times New Roman"/>
          <w:i/>
          <w:sz w:val="24"/>
          <w:szCs w:val="24"/>
        </w:rPr>
        <w:t>See also</w:t>
      </w:r>
      <w:r>
        <w:rPr>
          <w:rFonts w:eastAsia="Times New Roman"/>
          <w:sz w:val="24"/>
          <w:szCs w:val="24"/>
        </w:rPr>
        <w:t xml:space="preserve"> </w:t>
      </w:r>
      <w:r w:rsidR="00E551EB" w:rsidRPr="00E551EB">
        <w:rPr>
          <w:rFonts w:eastAsia="Times New Roman"/>
          <w:b/>
          <w:sz w:val="24"/>
          <w:szCs w:val="24"/>
        </w:rPr>
        <w:t>Am. Furniture Co. v. Veazie</w:t>
      </w:r>
      <w:r w:rsidR="00E551EB" w:rsidRPr="00E551EB">
        <w:rPr>
          <w:rFonts w:eastAsia="Times New Roman"/>
          <w:sz w:val="24"/>
          <w:szCs w:val="24"/>
        </w:rPr>
        <w:t>,</w:t>
      </w:r>
      <w:r w:rsidR="00E551EB" w:rsidRPr="00E551EB">
        <w:rPr>
          <w:rFonts w:eastAsia="Times New Roman"/>
          <w:b/>
          <w:sz w:val="24"/>
          <w:szCs w:val="24"/>
        </w:rPr>
        <w:t xml:space="preserve"> </w:t>
      </w:r>
      <w:r w:rsidR="00E551EB" w:rsidRPr="00E551EB">
        <w:rPr>
          <w:rFonts w:eastAsia="Times New Roman"/>
          <w:sz w:val="24"/>
          <w:szCs w:val="24"/>
        </w:rPr>
        <w:t xml:space="preserve">131 Colo. 340, 281 P.2d 803 (1955); </w:t>
      </w:r>
      <w:r w:rsidR="00E551EB" w:rsidRPr="00E551EB">
        <w:rPr>
          <w:rFonts w:eastAsia="Times New Roman"/>
          <w:b/>
          <w:sz w:val="24"/>
          <w:szCs w:val="24"/>
        </w:rPr>
        <w:t>Andrews v. Picard</w:t>
      </w:r>
      <w:r w:rsidR="00E551EB" w:rsidRPr="00E551EB">
        <w:rPr>
          <w:rFonts w:eastAsia="Times New Roman"/>
          <w:sz w:val="24"/>
          <w:szCs w:val="24"/>
        </w:rPr>
        <w:t>,</w:t>
      </w:r>
      <w:r w:rsidR="00E551EB" w:rsidRPr="00E551EB">
        <w:rPr>
          <w:rFonts w:eastAsia="Times New Roman"/>
          <w:b/>
          <w:sz w:val="24"/>
          <w:szCs w:val="24"/>
        </w:rPr>
        <w:t xml:space="preserve"> </w:t>
      </w:r>
      <w:r w:rsidR="00E551EB" w:rsidRPr="00E551EB">
        <w:rPr>
          <w:rFonts w:eastAsia="Times New Roman"/>
          <w:sz w:val="24"/>
          <w:szCs w:val="24"/>
        </w:rPr>
        <w:t xml:space="preserve">199 P.3d 6 (Colo. App. 2007); </w:t>
      </w:r>
      <w:r w:rsidR="00E551EB" w:rsidRPr="00E551EB">
        <w:rPr>
          <w:rFonts w:eastAsia="Times New Roman"/>
          <w:b/>
          <w:sz w:val="24"/>
          <w:szCs w:val="24"/>
        </w:rPr>
        <w:t>Colo. Homes, Ltd. v. Loerch-Wilson</w:t>
      </w:r>
      <w:r w:rsidR="00E551EB" w:rsidRPr="00E551EB">
        <w:rPr>
          <w:rFonts w:eastAsia="Times New Roman"/>
          <w:sz w:val="24"/>
          <w:szCs w:val="24"/>
        </w:rPr>
        <w:t xml:space="preserve">, 43 P.3d 718 (Colo. App. 2001); </w:t>
      </w:r>
      <w:r w:rsidR="00E551EB" w:rsidRPr="00E551EB">
        <w:rPr>
          <w:rFonts w:eastAsia="Times New Roman"/>
          <w:b/>
          <w:sz w:val="24"/>
          <w:szCs w:val="24"/>
        </w:rPr>
        <w:t>DeBose v. Bear Valley Church of Christ</w:t>
      </w:r>
      <w:r w:rsidR="00E551EB" w:rsidRPr="00E551EB">
        <w:rPr>
          <w:rFonts w:eastAsia="Times New Roman"/>
          <w:sz w:val="24"/>
          <w:szCs w:val="24"/>
        </w:rPr>
        <w:t xml:space="preserve">, 890 P.2d 214 (Colo. App. 1994), </w:t>
      </w:r>
      <w:r w:rsidR="00E551EB" w:rsidRPr="00E551EB">
        <w:rPr>
          <w:rFonts w:eastAsia="Times New Roman"/>
          <w:i/>
          <w:sz w:val="24"/>
          <w:szCs w:val="24"/>
        </w:rPr>
        <w:t>rev’d on other grounds</w:t>
      </w:r>
      <w:r w:rsidR="00E551EB" w:rsidRPr="00E551EB">
        <w:rPr>
          <w:rFonts w:eastAsia="Times New Roman"/>
          <w:sz w:val="24"/>
          <w:szCs w:val="24"/>
        </w:rPr>
        <w:t>, 928 P.2d 1315 (Colo. 1996)</w:t>
      </w:r>
      <w:r>
        <w:rPr>
          <w:rFonts w:eastAsia="Times New Roman"/>
          <w:sz w:val="24"/>
          <w:szCs w:val="24"/>
        </w:rPr>
        <w:t xml:space="preserve">; </w:t>
      </w:r>
      <w:r w:rsidRPr="00E551EB">
        <w:rPr>
          <w:rFonts w:eastAsia="Times New Roman"/>
          <w:b/>
          <w:sz w:val="24"/>
          <w:szCs w:val="24"/>
        </w:rPr>
        <w:t>Rusch v. Lincoln-Devore Testing Lab., Inc.</w:t>
      </w:r>
      <w:r w:rsidRPr="00E551EB">
        <w:rPr>
          <w:rFonts w:eastAsia="Times New Roman"/>
          <w:sz w:val="24"/>
          <w:szCs w:val="24"/>
        </w:rPr>
        <w:t>, 698 P.2d 832 (Colo. App. 1984)</w:t>
      </w:r>
      <w:r w:rsidR="00E551EB" w:rsidRPr="00E551EB">
        <w:rPr>
          <w:rFonts w:eastAsia="Times New Roman"/>
          <w:sz w:val="24"/>
          <w:szCs w:val="24"/>
        </w:rPr>
        <w:t>.</w:t>
      </w:r>
    </w:p>
    <w:p w14:paraId="5AE1D92C" w14:textId="77777777" w:rsidR="00E551EB" w:rsidRPr="0054263B" w:rsidRDefault="00E551EB" w:rsidP="00E551EB">
      <w:pPr>
        <w:keepNext/>
        <w:spacing w:after="240"/>
        <w:jc w:val="center"/>
        <w:rPr>
          <w:rFonts w:eastAsia="Times New Roman"/>
          <w:b/>
          <w:sz w:val="24"/>
          <w:szCs w:val="24"/>
        </w:rPr>
      </w:pPr>
      <w:r>
        <w:rPr>
          <w:rFonts w:eastAsia="Times New Roman"/>
          <w:b/>
          <w:sz w:val="24"/>
          <w:szCs w:val="24"/>
        </w:rPr>
        <w:t>Source and Authority</w:t>
      </w:r>
    </w:p>
    <w:p w14:paraId="25555762"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is supported by </w:t>
      </w:r>
      <w:r w:rsidRPr="00E551EB">
        <w:rPr>
          <w:rFonts w:eastAsia="Times New Roman"/>
          <w:b/>
          <w:sz w:val="24"/>
          <w:szCs w:val="24"/>
        </w:rPr>
        <w:t>American Furniture Co.</w:t>
      </w:r>
      <w:r w:rsidRPr="00E551EB">
        <w:rPr>
          <w:rFonts w:eastAsia="Times New Roman"/>
          <w:sz w:val="24"/>
          <w:szCs w:val="24"/>
        </w:rPr>
        <w:t xml:space="preserve">, 131 Colo. at 346, 281 P.2d at 806. In that case, the court noted in dictum that the confusion of the verdict forms could have been avoided by requiring the plaintiff to elect his remedy before the case was submitted to the jury. However, the court did not state that such necessarily should have been done, and other authority clearly indicates that in the absence of unusual circumstances, the plaintiff is entitled to go to the jury on alternative theories, if there is sufficient evidence supporting each theory.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Carpenter v. Donohoe</w:t>
      </w:r>
      <w:r w:rsidRPr="00E551EB">
        <w:rPr>
          <w:rFonts w:eastAsia="Times New Roman"/>
          <w:sz w:val="24"/>
          <w:szCs w:val="24"/>
        </w:rPr>
        <w:t xml:space="preserve">, 154 Colo. 78, 388 P.2d 399 (1964) (when remedies are consistent, a party is entitled to pursue either or both until satisfaction of one is obtained); </w:t>
      </w:r>
      <w:r w:rsidRPr="00E551EB">
        <w:rPr>
          <w:rFonts w:eastAsia="Times New Roman"/>
          <w:i/>
          <w:sz w:val="24"/>
          <w:szCs w:val="24"/>
        </w:rPr>
        <w:t>see also</w:t>
      </w:r>
      <w:r w:rsidRPr="00E551EB">
        <w:rPr>
          <w:rFonts w:eastAsia="Times New Roman"/>
          <w:sz w:val="24"/>
          <w:szCs w:val="24"/>
        </w:rPr>
        <w:t xml:space="preserve"> C.R.C.P. 18(a), 318(a); </w:t>
      </w:r>
      <w:r w:rsidRPr="00E551EB">
        <w:rPr>
          <w:rFonts w:eastAsia="Times New Roman"/>
          <w:b/>
          <w:sz w:val="24"/>
          <w:szCs w:val="24"/>
        </w:rPr>
        <w:t>Stewart v. Blanning</w:t>
      </w:r>
      <w:r w:rsidRPr="00E551EB">
        <w:rPr>
          <w:rFonts w:eastAsia="Times New Roman"/>
          <w:sz w:val="24"/>
          <w:szCs w:val="24"/>
        </w:rPr>
        <w:t>, 677 P.2d 1382, 1384 (Colo. App. 1984) (requiring election of remedies not appropriate unless the “remedial rights sought in a given situation are so inconsistent that the assertion of one necessarily repudiates the assertion of the other”).</w:t>
      </w:r>
    </w:p>
    <w:p w14:paraId="560621BE" w14:textId="77777777" w:rsidR="00E551EB" w:rsidRDefault="00E551EB" w:rsidP="007A3A0E">
      <w:pPr>
        <w:spacing w:after="240"/>
        <w:ind w:firstLine="720"/>
        <w:rPr>
          <w:rFonts w:eastAsia="Times New Roman"/>
          <w:sz w:val="24"/>
          <w:szCs w:val="24"/>
        </w:rPr>
      </w:pPr>
      <w:r w:rsidRPr="00E551EB">
        <w:rPr>
          <w:rFonts w:eastAsia="Times New Roman"/>
          <w:sz w:val="24"/>
          <w:szCs w:val="24"/>
        </w:rPr>
        <w:t xml:space="preserve">2. The rule prohibiting double recovery for the same injury on multiple claims for relief also applies in cases involving multiple defendants. </w:t>
      </w:r>
      <w:r w:rsidRPr="00E551EB">
        <w:rPr>
          <w:rFonts w:eastAsia="Times New Roman"/>
          <w:b/>
          <w:sz w:val="24"/>
          <w:szCs w:val="24"/>
        </w:rPr>
        <w:t>Quist v. Specialties Supply Co.</w:t>
      </w:r>
      <w:r w:rsidRPr="00E551EB">
        <w:rPr>
          <w:rFonts w:eastAsia="Times New Roman"/>
          <w:sz w:val="24"/>
          <w:szCs w:val="24"/>
        </w:rPr>
        <w:t>, 12 P.3d 863 (Colo. App. 2000).</w:t>
      </w:r>
    </w:p>
    <w:sectPr w:rsidR="00E551EB" w:rsidSect="001A379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390BD" w14:textId="77777777" w:rsidR="007145C7" w:rsidRDefault="007145C7" w:rsidP="0054263B">
      <w:r>
        <w:separator/>
      </w:r>
    </w:p>
    <w:p w14:paraId="10B45F35" w14:textId="77777777" w:rsidR="007145C7" w:rsidRDefault="007145C7"/>
  </w:endnote>
  <w:endnote w:type="continuationSeparator" w:id="0">
    <w:p w14:paraId="29691220" w14:textId="77777777" w:rsidR="007145C7" w:rsidRDefault="007145C7" w:rsidP="0054263B">
      <w:r>
        <w:continuationSeparator/>
      </w:r>
    </w:p>
    <w:p w14:paraId="3EE92AF8" w14:textId="77777777" w:rsidR="007145C7" w:rsidRDefault="00714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13063A27" w14:textId="77777777" w:rsidR="00FD488F" w:rsidRDefault="00FD488F">
        <w:pPr>
          <w:pStyle w:val="Footer"/>
          <w:jc w:val="center"/>
        </w:pPr>
        <w:r>
          <w:fldChar w:fldCharType="begin"/>
        </w:r>
        <w:r>
          <w:instrText xml:space="preserve"> PAGE   \* MERGEFORMAT </w:instrText>
        </w:r>
        <w:r>
          <w:fldChar w:fldCharType="separate"/>
        </w:r>
        <w:r w:rsidR="005F223A">
          <w:rPr>
            <w:noProof/>
          </w:rPr>
          <w:t>2</w:t>
        </w:r>
        <w:r>
          <w:rPr>
            <w:noProof/>
          </w:rPr>
          <w:fldChar w:fldCharType="end"/>
        </w:r>
      </w:p>
    </w:sdtContent>
  </w:sdt>
  <w:p w14:paraId="70F197F2" w14:textId="77777777" w:rsidR="00FD488F" w:rsidRDefault="00FD488F">
    <w:pPr>
      <w:pStyle w:val="Footer"/>
    </w:pPr>
  </w:p>
  <w:p w14:paraId="7F5F1E70" w14:textId="77777777" w:rsidR="00FD488F" w:rsidRDefault="00FD48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3EC95" w14:textId="77777777" w:rsidR="007145C7" w:rsidRDefault="007145C7" w:rsidP="0054263B">
      <w:r>
        <w:separator/>
      </w:r>
    </w:p>
    <w:p w14:paraId="5777C9D3" w14:textId="77777777" w:rsidR="007145C7" w:rsidRDefault="007145C7"/>
  </w:footnote>
  <w:footnote w:type="continuationSeparator" w:id="0">
    <w:p w14:paraId="26BFE580" w14:textId="77777777" w:rsidR="007145C7" w:rsidRDefault="007145C7" w:rsidP="0054263B">
      <w:r>
        <w:continuationSeparator/>
      </w:r>
    </w:p>
    <w:p w14:paraId="2AD42675" w14:textId="77777777" w:rsidR="007145C7" w:rsidRDefault="007145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F2036C"/>
    <w:multiLevelType w:val="hybridMultilevel"/>
    <w:tmpl w:val="46CC8B66"/>
    <w:lvl w:ilvl="0" w:tplc="EF40F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E03B1E"/>
    <w:multiLevelType w:val="hybridMultilevel"/>
    <w:tmpl w:val="B212E9C8"/>
    <w:lvl w:ilvl="0" w:tplc="8DE63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1038606">
    <w:abstractNumId w:val="0"/>
  </w:num>
  <w:num w:numId="2" w16cid:durableId="1823354797">
    <w:abstractNumId w:val="2"/>
  </w:num>
  <w:num w:numId="3" w16cid:durableId="1530488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16142"/>
    <w:rsid w:val="0003475C"/>
    <w:rsid w:val="00037111"/>
    <w:rsid w:val="000425EB"/>
    <w:rsid w:val="00042DA3"/>
    <w:rsid w:val="000437A0"/>
    <w:rsid w:val="00050E11"/>
    <w:rsid w:val="000627A2"/>
    <w:rsid w:val="00067F64"/>
    <w:rsid w:val="00084767"/>
    <w:rsid w:val="00085495"/>
    <w:rsid w:val="00085913"/>
    <w:rsid w:val="000921F1"/>
    <w:rsid w:val="00094989"/>
    <w:rsid w:val="000962C8"/>
    <w:rsid w:val="000C6F97"/>
    <w:rsid w:val="000C7496"/>
    <w:rsid w:val="000C7606"/>
    <w:rsid w:val="000C76FE"/>
    <w:rsid w:val="000D0AB6"/>
    <w:rsid w:val="001024A2"/>
    <w:rsid w:val="001117D9"/>
    <w:rsid w:val="001246C3"/>
    <w:rsid w:val="00146EDF"/>
    <w:rsid w:val="00164C72"/>
    <w:rsid w:val="0016520C"/>
    <w:rsid w:val="00172674"/>
    <w:rsid w:val="001903CB"/>
    <w:rsid w:val="001913B1"/>
    <w:rsid w:val="00191498"/>
    <w:rsid w:val="001944B5"/>
    <w:rsid w:val="001967DF"/>
    <w:rsid w:val="001A2648"/>
    <w:rsid w:val="001A3389"/>
    <w:rsid w:val="001A3797"/>
    <w:rsid w:val="001A49DA"/>
    <w:rsid w:val="001B593C"/>
    <w:rsid w:val="001E48B2"/>
    <w:rsid w:val="001F41F5"/>
    <w:rsid w:val="00200BA5"/>
    <w:rsid w:val="0020410C"/>
    <w:rsid w:val="002065D8"/>
    <w:rsid w:val="00213641"/>
    <w:rsid w:val="0021368F"/>
    <w:rsid w:val="0021580F"/>
    <w:rsid w:val="0022134E"/>
    <w:rsid w:val="00223286"/>
    <w:rsid w:val="00263D17"/>
    <w:rsid w:val="00276FAB"/>
    <w:rsid w:val="00291B13"/>
    <w:rsid w:val="0029583A"/>
    <w:rsid w:val="00296236"/>
    <w:rsid w:val="002A0F72"/>
    <w:rsid w:val="002A23B0"/>
    <w:rsid w:val="002A5AB7"/>
    <w:rsid w:val="002B6D2C"/>
    <w:rsid w:val="002E0384"/>
    <w:rsid w:val="002E0970"/>
    <w:rsid w:val="002E6FAF"/>
    <w:rsid w:val="002F48D6"/>
    <w:rsid w:val="00320613"/>
    <w:rsid w:val="003247EA"/>
    <w:rsid w:val="00334049"/>
    <w:rsid w:val="003355B1"/>
    <w:rsid w:val="00336CE4"/>
    <w:rsid w:val="00344302"/>
    <w:rsid w:val="00352111"/>
    <w:rsid w:val="003613FE"/>
    <w:rsid w:val="00361BB0"/>
    <w:rsid w:val="003937B8"/>
    <w:rsid w:val="003B4332"/>
    <w:rsid w:val="003C576A"/>
    <w:rsid w:val="003D518C"/>
    <w:rsid w:val="003D6B3B"/>
    <w:rsid w:val="003F108C"/>
    <w:rsid w:val="003F5E0B"/>
    <w:rsid w:val="00407D3A"/>
    <w:rsid w:val="0041214E"/>
    <w:rsid w:val="00412186"/>
    <w:rsid w:val="00421670"/>
    <w:rsid w:val="00431F59"/>
    <w:rsid w:val="00434371"/>
    <w:rsid w:val="004425AA"/>
    <w:rsid w:val="00455845"/>
    <w:rsid w:val="00456038"/>
    <w:rsid w:val="00463C54"/>
    <w:rsid w:val="00467B80"/>
    <w:rsid w:val="00471618"/>
    <w:rsid w:val="0047356A"/>
    <w:rsid w:val="0049418C"/>
    <w:rsid w:val="004A5BE8"/>
    <w:rsid w:val="004B0071"/>
    <w:rsid w:val="004B0CD2"/>
    <w:rsid w:val="004B7F05"/>
    <w:rsid w:val="004C0718"/>
    <w:rsid w:val="004C4647"/>
    <w:rsid w:val="004C4966"/>
    <w:rsid w:val="004C62F9"/>
    <w:rsid w:val="004C723A"/>
    <w:rsid w:val="004D0C95"/>
    <w:rsid w:val="004E2F91"/>
    <w:rsid w:val="004E7EF1"/>
    <w:rsid w:val="004F1648"/>
    <w:rsid w:val="004F3856"/>
    <w:rsid w:val="0050325D"/>
    <w:rsid w:val="00505377"/>
    <w:rsid w:val="00505E5C"/>
    <w:rsid w:val="00514DFE"/>
    <w:rsid w:val="00531F87"/>
    <w:rsid w:val="0054263B"/>
    <w:rsid w:val="00557FCC"/>
    <w:rsid w:val="00562F43"/>
    <w:rsid w:val="00563A63"/>
    <w:rsid w:val="0056459F"/>
    <w:rsid w:val="00580EA6"/>
    <w:rsid w:val="00583B5A"/>
    <w:rsid w:val="00596A4C"/>
    <w:rsid w:val="00597A3B"/>
    <w:rsid w:val="005B3A78"/>
    <w:rsid w:val="005C52E2"/>
    <w:rsid w:val="005D3156"/>
    <w:rsid w:val="005E712D"/>
    <w:rsid w:val="005F223A"/>
    <w:rsid w:val="005F6120"/>
    <w:rsid w:val="005F6FC8"/>
    <w:rsid w:val="006009C3"/>
    <w:rsid w:val="00602F87"/>
    <w:rsid w:val="00626BC4"/>
    <w:rsid w:val="006272FE"/>
    <w:rsid w:val="00627CE7"/>
    <w:rsid w:val="006312C6"/>
    <w:rsid w:val="00631FE7"/>
    <w:rsid w:val="006602BD"/>
    <w:rsid w:val="00661D05"/>
    <w:rsid w:val="006645E4"/>
    <w:rsid w:val="0066513D"/>
    <w:rsid w:val="00671CEE"/>
    <w:rsid w:val="00675252"/>
    <w:rsid w:val="00682B93"/>
    <w:rsid w:val="0068336D"/>
    <w:rsid w:val="00683AEF"/>
    <w:rsid w:val="00683FA1"/>
    <w:rsid w:val="006A0F62"/>
    <w:rsid w:val="006A2527"/>
    <w:rsid w:val="006A4CD6"/>
    <w:rsid w:val="006A74B6"/>
    <w:rsid w:val="006B089F"/>
    <w:rsid w:val="006B0DB1"/>
    <w:rsid w:val="006C6103"/>
    <w:rsid w:val="006D3694"/>
    <w:rsid w:val="006E0D06"/>
    <w:rsid w:val="006E3575"/>
    <w:rsid w:val="006E62F0"/>
    <w:rsid w:val="0070333F"/>
    <w:rsid w:val="0070752A"/>
    <w:rsid w:val="007119D8"/>
    <w:rsid w:val="00713514"/>
    <w:rsid w:val="007145C7"/>
    <w:rsid w:val="0071624D"/>
    <w:rsid w:val="007303EC"/>
    <w:rsid w:val="00740D94"/>
    <w:rsid w:val="007532AB"/>
    <w:rsid w:val="0075398E"/>
    <w:rsid w:val="007563B8"/>
    <w:rsid w:val="00762771"/>
    <w:rsid w:val="00776921"/>
    <w:rsid w:val="00787D74"/>
    <w:rsid w:val="007A1C6B"/>
    <w:rsid w:val="007A3A0E"/>
    <w:rsid w:val="007A612E"/>
    <w:rsid w:val="007C3712"/>
    <w:rsid w:val="007D2BCE"/>
    <w:rsid w:val="007E1675"/>
    <w:rsid w:val="007F61BD"/>
    <w:rsid w:val="007F7129"/>
    <w:rsid w:val="007F7846"/>
    <w:rsid w:val="00801691"/>
    <w:rsid w:val="00810A39"/>
    <w:rsid w:val="00816A00"/>
    <w:rsid w:val="0082168C"/>
    <w:rsid w:val="0083264A"/>
    <w:rsid w:val="00832DB4"/>
    <w:rsid w:val="0083763B"/>
    <w:rsid w:val="00837F81"/>
    <w:rsid w:val="008410CD"/>
    <w:rsid w:val="00845F81"/>
    <w:rsid w:val="00850A48"/>
    <w:rsid w:val="00853ECF"/>
    <w:rsid w:val="008557E1"/>
    <w:rsid w:val="00861824"/>
    <w:rsid w:val="00866EDB"/>
    <w:rsid w:val="0087148E"/>
    <w:rsid w:val="00875064"/>
    <w:rsid w:val="00876699"/>
    <w:rsid w:val="00882FCD"/>
    <w:rsid w:val="00891344"/>
    <w:rsid w:val="008A0EE0"/>
    <w:rsid w:val="008A6339"/>
    <w:rsid w:val="008A637B"/>
    <w:rsid w:val="008B0EBD"/>
    <w:rsid w:val="008B1617"/>
    <w:rsid w:val="008B1A76"/>
    <w:rsid w:val="008B4F02"/>
    <w:rsid w:val="008C1AE1"/>
    <w:rsid w:val="008C24DC"/>
    <w:rsid w:val="008E41F1"/>
    <w:rsid w:val="008F4C42"/>
    <w:rsid w:val="00902A25"/>
    <w:rsid w:val="0090556D"/>
    <w:rsid w:val="00914128"/>
    <w:rsid w:val="00925459"/>
    <w:rsid w:val="00935DA8"/>
    <w:rsid w:val="0094446E"/>
    <w:rsid w:val="00951DAF"/>
    <w:rsid w:val="0095456A"/>
    <w:rsid w:val="0095709A"/>
    <w:rsid w:val="00960E95"/>
    <w:rsid w:val="0096521C"/>
    <w:rsid w:val="00971A26"/>
    <w:rsid w:val="00973884"/>
    <w:rsid w:val="009902F2"/>
    <w:rsid w:val="009A3899"/>
    <w:rsid w:val="009A5ACD"/>
    <w:rsid w:val="009B6746"/>
    <w:rsid w:val="009B70E6"/>
    <w:rsid w:val="009C3BCF"/>
    <w:rsid w:val="009C72B0"/>
    <w:rsid w:val="009D0D24"/>
    <w:rsid w:val="009D3B2A"/>
    <w:rsid w:val="009D7371"/>
    <w:rsid w:val="009E20C7"/>
    <w:rsid w:val="009E365F"/>
    <w:rsid w:val="009E3DA4"/>
    <w:rsid w:val="009F23A7"/>
    <w:rsid w:val="00A06792"/>
    <w:rsid w:val="00A347B5"/>
    <w:rsid w:val="00A36457"/>
    <w:rsid w:val="00A36812"/>
    <w:rsid w:val="00A36F14"/>
    <w:rsid w:val="00A54AE1"/>
    <w:rsid w:val="00A5516F"/>
    <w:rsid w:val="00A67468"/>
    <w:rsid w:val="00A7048D"/>
    <w:rsid w:val="00A73AE6"/>
    <w:rsid w:val="00A80C10"/>
    <w:rsid w:val="00A83BD6"/>
    <w:rsid w:val="00A8400E"/>
    <w:rsid w:val="00A85AAA"/>
    <w:rsid w:val="00A94F0A"/>
    <w:rsid w:val="00AA267B"/>
    <w:rsid w:val="00AA2E83"/>
    <w:rsid w:val="00AA606D"/>
    <w:rsid w:val="00AB189B"/>
    <w:rsid w:val="00AC1BAC"/>
    <w:rsid w:val="00AC78F7"/>
    <w:rsid w:val="00AD39B2"/>
    <w:rsid w:val="00AE62BD"/>
    <w:rsid w:val="00AF7D47"/>
    <w:rsid w:val="00B0264D"/>
    <w:rsid w:val="00B04DC4"/>
    <w:rsid w:val="00B35C57"/>
    <w:rsid w:val="00B37722"/>
    <w:rsid w:val="00B53DA7"/>
    <w:rsid w:val="00B567C1"/>
    <w:rsid w:val="00B579DF"/>
    <w:rsid w:val="00B6275E"/>
    <w:rsid w:val="00B70D68"/>
    <w:rsid w:val="00B72D6B"/>
    <w:rsid w:val="00B739A6"/>
    <w:rsid w:val="00B74215"/>
    <w:rsid w:val="00B85E83"/>
    <w:rsid w:val="00B861A4"/>
    <w:rsid w:val="00B86781"/>
    <w:rsid w:val="00B937E4"/>
    <w:rsid w:val="00B938FF"/>
    <w:rsid w:val="00B972E4"/>
    <w:rsid w:val="00BA4966"/>
    <w:rsid w:val="00BC0B87"/>
    <w:rsid w:val="00BC1DC9"/>
    <w:rsid w:val="00BC49BF"/>
    <w:rsid w:val="00BC56E2"/>
    <w:rsid w:val="00BD7299"/>
    <w:rsid w:val="00BE2B09"/>
    <w:rsid w:val="00BE654D"/>
    <w:rsid w:val="00C00091"/>
    <w:rsid w:val="00C01572"/>
    <w:rsid w:val="00C14241"/>
    <w:rsid w:val="00C207CC"/>
    <w:rsid w:val="00C30637"/>
    <w:rsid w:val="00C40968"/>
    <w:rsid w:val="00C473A2"/>
    <w:rsid w:val="00C60E95"/>
    <w:rsid w:val="00C64E7E"/>
    <w:rsid w:val="00C65208"/>
    <w:rsid w:val="00C7356F"/>
    <w:rsid w:val="00C84E71"/>
    <w:rsid w:val="00C8797B"/>
    <w:rsid w:val="00CA41CC"/>
    <w:rsid w:val="00CA4F3B"/>
    <w:rsid w:val="00CA4F46"/>
    <w:rsid w:val="00CB3564"/>
    <w:rsid w:val="00CC0502"/>
    <w:rsid w:val="00CC1AC8"/>
    <w:rsid w:val="00CC6A95"/>
    <w:rsid w:val="00CC7E17"/>
    <w:rsid w:val="00CD4A7D"/>
    <w:rsid w:val="00CE593D"/>
    <w:rsid w:val="00CF3B54"/>
    <w:rsid w:val="00D03A29"/>
    <w:rsid w:val="00D05926"/>
    <w:rsid w:val="00D06D8D"/>
    <w:rsid w:val="00D333AA"/>
    <w:rsid w:val="00D57BA1"/>
    <w:rsid w:val="00D6297A"/>
    <w:rsid w:val="00D70F81"/>
    <w:rsid w:val="00DB2C90"/>
    <w:rsid w:val="00DC5DBF"/>
    <w:rsid w:val="00DC63A9"/>
    <w:rsid w:val="00DC66A6"/>
    <w:rsid w:val="00DE17D1"/>
    <w:rsid w:val="00DE2930"/>
    <w:rsid w:val="00DE7078"/>
    <w:rsid w:val="00DF2CB7"/>
    <w:rsid w:val="00DF3BF1"/>
    <w:rsid w:val="00E045FA"/>
    <w:rsid w:val="00E058BA"/>
    <w:rsid w:val="00E07BB8"/>
    <w:rsid w:val="00E16777"/>
    <w:rsid w:val="00E172C8"/>
    <w:rsid w:val="00E2200B"/>
    <w:rsid w:val="00E53ACD"/>
    <w:rsid w:val="00E551EB"/>
    <w:rsid w:val="00E6035F"/>
    <w:rsid w:val="00E67D7F"/>
    <w:rsid w:val="00E8031C"/>
    <w:rsid w:val="00E87C31"/>
    <w:rsid w:val="00E912D6"/>
    <w:rsid w:val="00E91DC9"/>
    <w:rsid w:val="00E92A63"/>
    <w:rsid w:val="00E970B9"/>
    <w:rsid w:val="00E97FB8"/>
    <w:rsid w:val="00EA4B71"/>
    <w:rsid w:val="00EA6F5A"/>
    <w:rsid w:val="00EB1B50"/>
    <w:rsid w:val="00EB724A"/>
    <w:rsid w:val="00EC17E3"/>
    <w:rsid w:val="00EC385D"/>
    <w:rsid w:val="00EC3919"/>
    <w:rsid w:val="00EC7C98"/>
    <w:rsid w:val="00ED5E52"/>
    <w:rsid w:val="00ED7176"/>
    <w:rsid w:val="00EE20D0"/>
    <w:rsid w:val="00EE72B5"/>
    <w:rsid w:val="00EF1E2D"/>
    <w:rsid w:val="00EF37D7"/>
    <w:rsid w:val="00EF4043"/>
    <w:rsid w:val="00EF711B"/>
    <w:rsid w:val="00EF7890"/>
    <w:rsid w:val="00F02467"/>
    <w:rsid w:val="00F14548"/>
    <w:rsid w:val="00F30F12"/>
    <w:rsid w:val="00F32AA4"/>
    <w:rsid w:val="00F32CBF"/>
    <w:rsid w:val="00F34D28"/>
    <w:rsid w:val="00F50D0F"/>
    <w:rsid w:val="00F53140"/>
    <w:rsid w:val="00F7023A"/>
    <w:rsid w:val="00F764F4"/>
    <w:rsid w:val="00F972E3"/>
    <w:rsid w:val="00FA7B76"/>
    <w:rsid w:val="00FB5548"/>
    <w:rsid w:val="00FD488F"/>
    <w:rsid w:val="00FD7887"/>
    <w:rsid w:val="00FE00D7"/>
    <w:rsid w:val="00FF171F"/>
    <w:rsid w:val="00FF21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201C"/>
  <w15:docId w15:val="{A5148DF2-CE51-4560-8E3F-B9AA07E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paragraph" w:styleId="Heading2">
    <w:name w:val="heading 2"/>
    <w:basedOn w:val="Normal"/>
    <w:next w:val="Normal"/>
    <w:link w:val="Heading2Char"/>
    <w:uiPriority w:val="9"/>
    <w:semiHidden/>
    <w:unhideWhenUsed/>
    <w:qFormat/>
    <w:rsid w:val="00F02467"/>
    <w:pPr>
      <w:keepNext/>
      <w:keepLines/>
      <w:spacing w:before="40"/>
      <w:outlineLvl w:val="1"/>
    </w:pPr>
    <w:rPr>
      <w:rFonts w:asciiTheme="majorHAnsi" w:eastAsiaTheme="majorEastAsia" w:hAnsiTheme="majorHAnsi" w:cstheme="majorBidi"/>
      <w:color w:val="365F91"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580EA6"/>
    <w:rPr>
      <w:sz w:val="22"/>
      <w:szCs w:val="26"/>
    </w:rPr>
  </w:style>
  <w:style w:type="character" w:styleId="UnresolvedMention">
    <w:name w:val="Unresolved Mention"/>
    <w:basedOn w:val="DefaultParagraphFont"/>
    <w:uiPriority w:val="99"/>
    <w:semiHidden/>
    <w:unhideWhenUsed/>
    <w:rsid w:val="00A83BD6"/>
    <w:rPr>
      <w:color w:val="605E5C"/>
      <w:shd w:val="clear" w:color="auto" w:fill="E1DFDD"/>
    </w:rPr>
  </w:style>
  <w:style w:type="character" w:customStyle="1" w:styleId="Heading2Char">
    <w:name w:val="Heading 2 Char"/>
    <w:basedOn w:val="DefaultParagraphFont"/>
    <w:link w:val="Heading2"/>
    <w:uiPriority w:val="9"/>
    <w:semiHidden/>
    <w:rsid w:val="00F0246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000232326">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F0A9B-1B19-480B-952C-B7C2D813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13317</Words>
  <Characters>75913</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dc:title>
  <dc:creator>Ellen Buckley</dc:creator>
  <cp:lastModifiedBy>beck, jeremy</cp:lastModifiedBy>
  <cp:revision>3</cp:revision>
  <dcterms:created xsi:type="dcterms:W3CDTF">2025-01-27T22:48:00Z</dcterms:created>
  <dcterms:modified xsi:type="dcterms:W3CDTF">2025-02-11T19:01:00Z</dcterms:modified>
</cp:coreProperties>
</file>