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812A" w14:textId="2223FB35" w:rsidR="00CA41CC" w:rsidRPr="00914128" w:rsidRDefault="0068336D" w:rsidP="00914128">
      <w:pPr>
        <w:pStyle w:val="Heading1"/>
      </w:pPr>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8220BD" w:rsidP="00914128">
      <w:pPr>
        <w:pStyle w:val="ToC"/>
      </w:pPr>
      <w:hyperlink w:anchor="a10_01" w:history="1">
        <w:r w:rsidRPr="008220BD">
          <w:rPr>
            <w:rStyle w:val="Hyperlink"/>
          </w:rPr>
          <w:t>10:1</w:t>
        </w:r>
      </w:hyperlink>
      <w:r w:rsidRPr="008220BD">
        <w:t xml:space="preserve"> </w:t>
      </w:r>
      <w:r w:rsidRPr="008220BD">
        <w:tab/>
        <w:t xml:space="preserve">Contributory Negligence </w:t>
      </w:r>
      <w:r>
        <w:t>of a</w:t>
      </w:r>
      <w:r w:rsidRPr="008220BD">
        <w:t xml:space="preserve"> Decedent</w:t>
      </w:r>
    </w:p>
    <w:p w14:paraId="42C413C2" w14:textId="77777777" w:rsidR="008220BD" w:rsidRDefault="008220BD" w:rsidP="00914128">
      <w:pPr>
        <w:pStyle w:val="ToC"/>
      </w:pPr>
      <w:hyperlink w:anchor="a10_02" w:history="1">
        <w:r w:rsidRPr="008220BD">
          <w:rPr>
            <w:rStyle w:val="Hyperlink"/>
          </w:rPr>
          <w:t>10:2</w:t>
        </w:r>
      </w:hyperlink>
      <w:r w:rsidRPr="008220BD">
        <w:t xml:space="preserve"> </w:t>
      </w:r>
      <w:r w:rsidRPr="008220BD">
        <w:tab/>
        <w:t xml:space="preserve">Contributory Negligence </w:t>
      </w:r>
      <w:r>
        <w:t>of a</w:t>
      </w:r>
      <w:r w:rsidRPr="008220BD">
        <w:t xml:space="preserve"> Plaintiff</w:t>
      </w:r>
    </w:p>
    <w:p w14:paraId="7736BF02" w14:textId="77777777" w:rsidR="008220BD" w:rsidRDefault="008220BD" w:rsidP="00914128">
      <w:pPr>
        <w:pStyle w:val="ToC"/>
      </w:pPr>
      <w:hyperlink w:anchor="a10_03" w:history="1">
        <w:r w:rsidRPr="008220BD">
          <w:rPr>
            <w:rStyle w:val="Hyperlink"/>
          </w:rPr>
          <w:t>10:3</w:t>
        </w:r>
      </w:hyperlink>
      <w:r w:rsidRPr="008220BD">
        <w:t xml:space="preserve"> </w:t>
      </w:r>
      <w:r w:rsidRPr="008220BD">
        <w:tab/>
        <w:t xml:space="preserve">Damages </w:t>
      </w:r>
      <w:r>
        <w:t>f</w:t>
      </w:r>
      <w:r w:rsidRPr="008220BD">
        <w:t>or Wrongful Death</w:t>
      </w:r>
    </w:p>
    <w:p w14:paraId="0A4A9F26" w14:textId="77777777" w:rsidR="008220BD" w:rsidRDefault="008220BD" w:rsidP="00914128">
      <w:pPr>
        <w:pStyle w:val="ToC"/>
      </w:pPr>
      <w:hyperlink w:anchor="a10_04" w:history="1">
        <w:r w:rsidRPr="008220BD">
          <w:rPr>
            <w:rStyle w:val="Hyperlink"/>
          </w:rPr>
          <w:t>10:4</w:t>
        </w:r>
      </w:hyperlink>
      <w:r w:rsidRPr="008220BD">
        <w:t xml:space="preserve"> </w:t>
      </w:r>
      <w:r w:rsidRPr="008220BD">
        <w:tab/>
        <w:t xml:space="preserve">Wrongful Death </w:t>
      </w:r>
      <w:r>
        <w:t>o</w:t>
      </w:r>
      <w:r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0" w:name="a10_01"/>
      <w:bookmarkEnd w:id="0"/>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1" w:name="a10_02"/>
      <w:bookmarkEnd w:id="1"/>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2" w:name="a10_03"/>
      <w:bookmarkEnd w:id="2"/>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97E622"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w:t>
      </w:r>
      <w:r w:rsidR="007842B8">
        <w:rPr>
          <w:rFonts w:eastAsia="Times New Roman"/>
          <w:bCs/>
          <w:i/>
          <w:iCs/>
          <w:sz w:val="24"/>
          <w:szCs w:val="24"/>
        </w:rPr>
        <w:t>(insert applicable pronoun)</w:t>
      </w:r>
      <w:r w:rsidRPr="006A1FFC">
        <w:rPr>
          <w:rFonts w:eastAsia="Times New Roman"/>
          <w:b/>
          <w:sz w:val="24"/>
          <w:szCs w:val="24"/>
        </w:rPr>
        <w:t xml:space="preserve">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14:paraId="6E4E96D3" w14:textId="36065F4B"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w:t>
      </w:r>
      <w:r w:rsidR="00984FDD">
        <w:rPr>
          <w:rFonts w:eastAsia="Times New Roman"/>
          <w:bCs/>
          <w:i/>
          <w:iCs/>
          <w:sz w:val="24"/>
          <w:szCs w:val="24"/>
        </w:rPr>
        <w:t>(insert applicable pronoun)</w:t>
      </w:r>
      <w:r w:rsidRPr="006A1FFC">
        <w:rPr>
          <w:rFonts w:eastAsia="Times New Roman"/>
          <w:b/>
          <w:sz w:val="24"/>
          <w:szCs w:val="24"/>
        </w:rPr>
        <w:t xml:space="preserv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w:t>
      </w:r>
      <w:r w:rsidRPr="006A1FFC">
        <w:rPr>
          <w:rFonts w:eastAsia="Times New Roman"/>
          <w:sz w:val="24"/>
          <w:szCs w:val="24"/>
        </w:rPr>
        <w:lastRenderedPageBreak/>
        <w:t xml:space="preserve">finding or admission of the defendant’s liability for the wrongful death.” § 13-21-203.5. A solatium award is not subject to reduction by operation of the comparative fault statute, § 13-21-111,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Estate of Wright ex rel. Wright v. United Servs. Auto. 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14:paraId="34641379" w14:textId="4267FA82"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4. The limitations on noneconomic damages set forth in section 13-21-203(1), and the amount of the solatium set forth in section 13-21-203.5, are to be adjusted periodically for inflation by the Colorado secretary of state. § 13-21-203.7, C.R.S. As of the most recent certification, on </w:t>
      </w:r>
      <w:r w:rsidR="00B54FBE">
        <w:rPr>
          <w:rFonts w:eastAsia="Times New Roman"/>
          <w:sz w:val="24"/>
          <w:szCs w:val="24"/>
        </w:rPr>
        <w:t>February</w:t>
      </w:r>
      <w:r w:rsidRPr="006A1FFC">
        <w:rPr>
          <w:rFonts w:eastAsia="Times New Roman"/>
          <w:sz w:val="24"/>
          <w:szCs w:val="24"/>
        </w:rPr>
        <w:t xml:space="preserve"> 1</w:t>
      </w:r>
      <w:r w:rsidR="00AB31F9">
        <w:rPr>
          <w:rFonts w:eastAsia="Times New Roman"/>
          <w:sz w:val="24"/>
          <w:szCs w:val="24"/>
        </w:rPr>
        <w:t>2</w:t>
      </w:r>
      <w:r w:rsidRPr="006A1FFC">
        <w:rPr>
          <w:rFonts w:eastAsia="Times New Roman"/>
          <w:sz w:val="24"/>
          <w:szCs w:val="24"/>
        </w:rPr>
        <w:t>, 20</w:t>
      </w:r>
      <w:r w:rsidR="00442938">
        <w:rPr>
          <w:rFonts w:eastAsia="Times New Roman"/>
          <w:sz w:val="24"/>
          <w:szCs w:val="24"/>
        </w:rPr>
        <w:t>2</w:t>
      </w:r>
      <w:r w:rsidR="00AB31F9">
        <w:rPr>
          <w:rFonts w:eastAsia="Times New Roman"/>
          <w:sz w:val="24"/>
          <w:szCs w:val="24"/>
        </w:rPr>
        <w:t>4</w:t>
      </w:r>
      <w:r w:rsidRPr="006A1FFC">
        <w:rPr>
          <w:rFonts w:eastAsia="Times New Roman"/>
          <w:sz w:val="24"/>
          <w:szCs w:val="24"/>
        </w:rPr>
        <w:t>,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1AA26C69"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r w:rsidR="00442938">
        <w:rPr>
          <w:rFonts w:eastAsia="Times New Roman"/>
          <w:sz w:val="24"/>
          <w:szCs w:val="24"/>
        </w:rPr>
        <w:t>, and before January 1, 2020</w:t>
      </w:r>
      <w:r w:rsidRPr="006A1FFC">
        <w:rPr>
          <w:rFonts w:eastAsia="Times New Roman"/>
          <w:sz w:val="24"/>
          <w:szCs w:val="24"/>
        </w:rPr>
        <w:t>:</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13B18A63" w14:textId="155D778E" w:rsidR="00442938" w:rsidRDefault="00442938" w:rsidP="00442938">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2020</w:t>
      </w:r>
      <w:r w:rsidR="00B54FBE">
        <w:rPr>
          <w:rFonts w:eastAsia="Times New Roman"/>
          <w:sz w:val="24"/>
          <w:szCs w:val="24"/>
        </w:rPr>
        <w:t>, and before January 1, 2022</w:t>
      </w:r>
      <w:r>
        <w:rPr>
          <w:rFonts w:eastAsia="Times New Roman"/>
          <w:sz w:val="24"/>
          <w:szCs w:val="24"/>
        </w:rPr>
        <w:t>:</w:t>
      </w:r>
    </w:p>
    <w:p w14:paraId="29CE55A2" w14:textId="35C7B253" w:rsidR="00442938" w:rsidRPr="006A1FFC" w:rsidRDefault="00442938" w:rsidP="00442938">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571,870</w:t>
      </w:r>
      <w:r w:rsidRPr="006A1FFC">
        <w:rPr>
          <w:rFonts w:eastAsia="Times New Roman"/>
          <w:sz w:val="24"/>
          <w:szCs w:val="24"/>
        </w:rPr>
        <w:t>.</w:t>
      </w:r>
    </w:p>
    <w:p w14:paraId="059BB189" w14:textId="1F5461D6" w:rsidR="00442938" w:rsidRDefault="00442938" w:rsidP="00442938">
      <w:pPr>
        <w:spacing w:after="240"/>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114,370</w:t>
      </w:r>
      <w:r w:rsidRPr="006A1FFC">
        <w:rPr>
          <w:rFonts w:eastAsia="Times New Roman"/>
          <w:sz w:val="24"/>
          <w:szCs w:val="24"/>
        </w:rPr>
        <w:t>.</w:t>
      </w:r>
    </w:p>
    <w:p w14:paraId="6B129558" w14:textId="2FC08699" w:rsidR="00B54FBE" w:rsidRDefault="00B54FBE" w:rsidP="00B54FBE">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2022, and before January 1, 2024:</w:t>
      </w:r>
    </w:p>
    <w:p w14:paraId="3D03787D" w14:textId="0B560115" w:rsidR="00B54FBE" w:rsidRPr="006A1FFC" w:rsidRDefault="00B54FBE" w:rsidP="00B54FBE">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598,350</w:t>
      </w:r>
      <w:r w:rsidRPr="006A1FFC">
        <w:rPr>
          <w:rFonts w:eastAsia="Times New Roman"/>
          <w:sz w:val="24"/>
          <w:szCs w:val="24"/>
        </w:rPr>
        <w:t>.</w:t>
      </w:r>
    </w:p>
    <w:p w14:paraId="6E2A8473" w14:textId="32A9951F" w:rsidR="00B54FBE" w:rsidRDefault="00B54FBE" w:rsidP="00B54FBE">
      <w:pPr>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119,660</w:t>
      </w:r>
      <w:r w:rsidRPr="006A1FFC">
        <w:rPr>
          <w:rFonts w:eastAsia="Times New Roman"/>
          <w:sz w:val="24"/>
          <w:szCs w:val="24"/>
        </w:rPr>
        <w:t>.</w:t>
      </w:r>
    </w:p>
    <w:p w14:paraId="08B0E876" w14:textId="77777777" w:rsidR="00AB31F9" w:rsidRDefault="00AB31F9" w:rsidP="00B54FBE">
      <w:pPr>
        <w:ind w:left="720"/>
        <w:rPr>
          <w:rFonts w:eastAsia="Times New Roman"/>
          <w:sz w:val="24"/>
          <w:szCs w:val="24"/>
        </w:rPr>
      </w:pPr>
    </w:p>
    <w:p w14:paraId="27DDA07D" w14:textId="4E4311B2" w:rsidR="00AB31F9" w:rsidRDefault="00AB31F9" w:rsidP="00AB31F9">
      <w:pPr>
        <w:ind w:left="720"/>
        <w:rPr>
          <w:rFonts w:eastAsia="Times New Roman"/>
          <w:sz w:val="24"/>
          <w:szCs w:val="24"/>
        </w:rPr>
      </w:pPr>
      <w:r w:rsidRPr="006A1FFC">
        <w:rPr>
          <w:rFonts w:eastAsia="Times New Roman"/>
          <w:sz w:val="24"/>
          <w:szCs w:val="24"/>
        </w:rPr>
        <w:lastRenderedPageBreak/>
        <w:t>For all claims for relief that accrue on and after January 1</w:t>
      </w:r>
      <w:r>
        <w:rPr>
          <w:rFonts w:eastAsia="Times New Roman"/>
          <w:sz w:val="24"/>
          <w:szCs w:val="24"/>
        </w:rPr>
        <w:t>, 2024, and before January 1, 2026:</w:t>
      </w:r>
    </w:p>
    <w:p w14:paraId="7C62A776" w14:textId="04BB0A3D" w:rsidR="00AB31F9" w:rsidRPr="006A1FFC" w:rsidRDefault="00AB31F9" w:rsidP="00AB31F9">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679,990</w:t>
      </w:r>
      <w:r w:rsidRPr="006A1FFC">
        <w:rPr>
          <w:rFonts w:eastAsia="Times New Roman"/>
          <w:sz w:val="24"/>
          <w:szCs w:val="24"/>
        </w:rPr>
        <w:t>.</w:t>
      </w:r>
    </w:p>
    <w:p w14:paraId="2E62D10F" w14:textId="34C7EB04" w:rsidR="00AB31F9" w:rsidRDefault="00AB31F9" w:rsidP="00AB31F9">
      <w:pPr>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135,990</w:t>
      </w:r>
      <w:r w:rsidRPr="006A1FFC">
        <w:rPr>
          <w:rFonts w:eastAsia="Times New Roman"/>
          <w:sz w:val="24"/>
          <w:szCs w:val="24"/>
        </w:rPr>
        <w:t>.</w:t>
      </w:r>
    </w:p>
    <w:p w14:paraId="32E75BFE" w14:textId="77777777" w:rsidR="00B54FBE" w:rsidRPr="006A1FFC" w:rsidRDefault="00B54FBE" w:rsidP="00B54FBE">
      <w:pPr>
        <w:ind w:left="720"/>
        <w:rPr>
          <w:rFonts w:eastAsia="Times New Roman"/>
          <w:sz w:val="24"/>
          <w:szCs w:val="24"/>
        </w:rPr>
      </w:pP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r w:rsidRPr="006A1FFC">
        <w:rPr>
          <w:rFonts w:eastAsia="Times New Roman"/>
          <w:b/>
          <w:bCs/>
          <w:sz w:val="24"/>
          <w:szCs w:val="24"/>
        </w:rPr>
        <w:t>Hoyal v. Pioneer Sand Co.</w:t>
      </w:r>
      <w:r w:rsidRPr="006A1FFC">
        <w:rPr>
          <w:rFonts w:eastAsia="Times New Roman"/>
          <w:sz w:val="24"/>
          <w:szCs w:val="24"/>
        </w:rPr>
        <w:t xml:space="preserve">, 188 P.3d 716 (Colo. 2008).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w:t>
      </w:r>
      <w:r w:rsidRPr="006A1FFC">
        <w:rPr>
          <w:rFonts w:eastAsia="Times New Roman"/>
          <w:sz w:val="24"/>
          <w:szCs w:val="24"/>
        </w:rPr>
        <w:lastRenderedPageBreak/>
        <w:t xml:space="preserve">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Lanahan v. Chi Psi Fraternity</w:t>
      </w:r>
      <w:r w:rsidRPr="006A1FFC">
        <w:rPr>
          <w:rFonts w:eastAsia="Times New Roman"/>
          <w:sz w:val="24"/>
          <w:szCs w:val="24"/>
        </w:rPr>
        <w:t xml:space="preserve">, 175 P.3d 97 (Colo. 2008).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r w:rsidRPr="006A1FFC">
        <w:rPr>
          <w:rFonts w:eastAsia="Times New Roman"/>
          <w:b/>
          <w:sz w:val="24"/>
          <w:szCs w:val="24"/>
        </w:rPr>
        <w:t>Steedle v. Sereff</w:t>
      </w:r>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r w:rsidRPr="006A1FFC">
        <w:rPr>
          <w:rFonts w:eastAsia="Times New Roman"/>
          <w:b/>
          <w:sz w:val="24"/>
          <w:szCs w:val="24"/>
        </w:rPr>
        <w:t>Bartch v. United States</w:t>
      </w:r>
      <w:r w:rsidRPr="006A1FFC">
        <w:rPr>
          <w:rFonts w:eastAsia="Times New Roman"/>
          <w:sz w:val="24"/>
          <w:szCs w:val="24"/>
        </w:rPr>
        <w:t>, 330 F.2d 466 (10th Cir. 1964).</w:t>
      </w:r>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lastRenderedPageBreak/>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14:paraId="52ED392E" w14:textId="13EADC40"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w:t>
      </w:r>
      <w:r w:rsidR="00442938">
        <w:rPr>
          <w:rFonts w:eastAsia="Times New Roman"/>
          <w:sz w:val="24"/>
          <w:szCs w:val="24"/>
        </w:rPr>
        <w:t>, 456 P.3d 59, 61-62</w:t>
      </w:r>
      <w:r w:rsidR="00FC39BF">
        <w:rPr>
          <w:rFonts w:eastAsia="Times New Roman"/>
          <w:sz w:val="24"/>
          <w:szCs w:val="24"/>
        </w:rPr>
        <w:t>. But, t</w:t>
      </w:r>
      <w:r w:rsidRPr="006A1FFC">
        <w:rPr>
          <w:rFonts w:eastAsia="Times New Roman"/>
          <w:sz w:val="24"/>
          <w:szCs w:val="24"/>
        </w:rPr>
        <w:t xml:space="preserve">he term “heirs” in section 13-21-201(1)(a),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 16</w:t>
      </w:r>
      <w:r w:rsidR="000B3708">
        <w:rPr>
          <w:rFonts w:eastAsia="Times New Roman"/>
          <w:sz w:val="24"/>
          <w:szCs w:val="24"/>
        </w:rPr>
        <w:t>-25</w:t>
      </w:r>
      <w:r w:rsidR="00442938">
        <w:rPr>
          <w:rFonts w:eastAsia="Times New Roman"/>
          <w:sz w:val="24"/>
          <w:szCs w:val="24"/>
        </w:rPr>
        <w:t>, 456 P.3d at 62</w:t>
      </w:r>
      <w:r w:rsidR="000B3708">
        <w:rPr>
          <w:rFonts w:eastAsia="Times New Roman"/>
          <w:sz w:val="24"/>
          <w:szCs w:val="24"/>
        </w:rPr>
        <w:t xml:space="preserve"> (holding decedent’s adult adoptee a lineal descendent under the wrongful death act). But section</w:t>
      </w:r>
      <w:r w:rsidR="000B3708" w:rsidRPr="009532B8">
        <w:rPr>
          <w:rFonts w:eastAsia="Times New Roman"/>
          <w:sz w:val="24"/>
          <w:szCs w:val="24"/>
        </w:rPr>
        <w:t xml:space="preserve"> 13-21-201(1)(c)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an unmarried minor without descendants or an unmarried adult without descendants 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r w:rsidR="000B3708" w:rsidRPr="00460F26">
        <w:rPr>
          <w:rFonts w:eastAsia="Times New Roman"/>
          <w:b/>
          <w:bCs/>
          <w:sz w:val="24"/>
          <w:szCs w:val="24"/>
        </w:rPr>
        <w:t>Whitenhill</w:t>
      </w:r>
      <w:r w:rsidR="000B3708" w:rsidRPr="009532B8">
        <w:rPr>
          <w:rFonts w:eastAsia="Times New Roman"/>
          <w:sz w:val="24"/>
          <w:szCs w:val="24"/>
        </w:rPr>
        <w:t xml:space="preserve">, 940 P.2d </w:t>
      </w:r>
      <w:r w:rsidR="000B3708">
        <w:rPr>
          <w:rFonts w:eastAsia="Times New Roman"/>
          <w:sz w:val="24"/>
          <w:szCs w:val="24"/>
        </w:rPr>
        <w:t>at</w:t>
      </w:r>
      <w:r w:rsidR="000B3708" w:rsidRPr="009532B8">
        <w:rPr>
          <w:rFonts w:eastAsia="Times New Roman"/>
          <w:sz w:val="24"/>
          <w:szCs w:val="24"/>
        </w:rPr>
        <w:t xml:space="preserve"> 1131</w:t>
      </w:r>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when the deceased was married at the 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3" w:name="a10_04"/>
      <w:bookmarkEnd w:id="3"/>
      <w:r w:rsidRPr="008220BD">
        <w:rPr>
          <w:rFonts w:eastAsia="Times New Roman"/>
          <w:b/>
          <w:sz w:val="24"/>
          <w:szCs w:val="24"/>
        </w:rPr>
        <w:lastRenderedPageBreak/>
        <w:t xml:space="preserve">10:4 </w:t>
      </w:r>
      <w:r w:rsidRPr="008220BD">
        <w:rPr>
          <w:rFonts w:eastAsia="Times New Roman"/>
          <w:b/>
          <w:sz w:val="24"/>
          <w:szCs w:val="24"/>
        </w:rPr>
        <w:tab/>
        <w:t>WRONGFUL DEATH OF CHILD — DETERMINING PECUNIARY LOSS</w:t>
      </w:r>
    </w:p>
    <w:p w14:paraId="759D76AF" w14:textId="2132ECFB"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w:t>
      </w:r>
      <w:r w:rsidR="007842B8">
        <w:rPr>
          <w:rFonts w:eastAsia="Times New Roman"/>
          <w:bCs/>
          <w:i/>
          <w:iCs/>
          <w:sz w:val="24"/>
          <w:szCs w:val="24"/>
        </w:rPr>
        <w:t>(insert applicable pronoun)</w:t>
      </w:r>
      <w:r w:rsidRPr="008220BD">
        <w:rPr>
          <w:rFonts w:eastAsia="Times New Roman"/>
          <w:b/>
          <w:sz w:val="24"/>
          <w:szCs w:val="24"/>
        </w:rPr>
        <w:t xml:space="preserve"> might have made while a minor together with any support </w:t>
      </w:r>
      <w:r w:rsidR="007842B8">
        <w:rPr>
          <w:rFonts w:eastAsia="Times New Roman"/>
          <w:bCs/>
          <w:i/>
          <w:iCs/>
          <w:sz w:val="24"/>
          <w:szCs w:val="24"/>
        </w:rPr>
        <w:t>(insert applicable pronoun)</w:t>
      </w:r>
      <w:r w:rsidRPr="008220BD">
        <w:rPr>
          <w:rFonts w:eastAsia="Times New Roman"/>
          <w:b/>
          <w:sz w:val="24"/>
          <w:szCs w:val="24"/>
        </w:rPr>
        <w:t xml:space="preserve"> might reasonably have been expected to provide the plaintiff(s) after </w:t>
      </w:r>
      <w:r w:rsidR="007842B8">
        <w:rPr>
          <w:rFonts w:eastAsia="Times New Roman"/>
          <w:bCs/>
          <w:i/>
          <w:iCs/>
          <w:sz w:val="24"/>
          <w:szCs w:val="24"/>
        </w:rPr>
        <w:t>(insert applicable pronoun)</w:t>
      </w:r>
      <w:r w:rsidRPr="008220BD">
        <w:rPr>
          <w:rFonts w:eastAsia="Times New Roman"/>
          <w:b/>
          <w:sz w:val="24"/>
          <w:szCs w:val="24"/>
        </w:rPr>
        <w:t xml:space="preserv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w:t>
      </w:r>
      <w:r w:rsidR="007842B8">
        <w:rPr>
          <w:rFonts w:eastAsia="Times New Roman"/>
          <w:bCs/>
          <w:i/>
          <w:iCs/>
          <w:sz w:val="24"/>
          <w:szCs w:val="24"/>
        </w:rPr>
        <w:t>(insert applicable pronoun)</w:t>
      </w:r>
      <w:r w:rsidRPr="008220BD">
        <w:rPr>
          <w:rFonts w:eastAsia="Times New Roman"/>
          <w:b/>
          <w:sz w:val="24"/>
          <w:szCs w:val="24"/>
        </w:rPr>
        <w:t xml:space="preserve"> an education.</w:t>
      </w:r>
    </w:p>
    <w:p w14:paraId="34DEFFBA" w14:textId="5B240CD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plaintiff(’s)(s’)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w:t>
      </w:r>
      <w:r w:rsidR="007842B8">
        <w:rPr>
          <w:rFonts w:eastAsia="Times New Roman"/>
          <w:bCs/>
          <w:i/>
          <w:iCs/>
          <w:sz w:val="24"/>
          <w:szCs w:val="24"/>
        </w:rPr>
        <w:t>(insert applicable pronoun)</w:t>
      </w:r>
      <w:r w:rsidRPr="008220BD">
        <w:rPr>
          <w:rFonts w:eastAsia="Times New Roman"/>
          <w:b/>
          <w:sz w:val="24"/>
          <w:szCs w:val="24"/>
        </w:rPr>
        <w:t xml:space="preserve">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110D74F4"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r w:rsidRPr="008220BD">
        <w:rPr>
          <w:rFonts w:eastAsia="Times New Roman"/>
          <w:b/>
          <w:bCs/>
          <w:sz w:val="24"/>
          <w:szCs w:val="24"/>
        </w:rPr>
        <w:t>Hoyal v. Pioneer Sand Co.</w:t>
      </w:r>
      <w:r w:rsidRPr="008220BD">
        <w:rPr>
          <w:rFonts w:eastAsia="Times New Roman"/>
          <w:sz w:val="24"/>
          <w:szCs w:val="24"/>
        </w:rPr>
        <w:t>, 188 P.3d 716 (Colo. 2008).</w:t>
      </w:r>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lastRenderedPageBreak/>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CB2EE" w14:textId="77777777" w:rsidR="001B1666" w:rsidRDefault="001B1666" w:rsidP="0054263B">
      <w:r>
        <w:separator/>
      </w:r>
    </w:p>
    <w:p w14:paraId="5949150C" w14:textId="77777777" w:rsidR="001B1666" w:rsidRDefault="001B1666"/>
  </w:endnote>
  <w:endnote w:type="continuationSeparator" w:id="0">
    <w:p w14:paraId="593A5B2D" w14:textId="77777777" w:rsidR="001B1666" w:rsidRDefault="001B1666" w:rsidP="0054263B">
      <w:r>
        <w:continuationSeparator/>
      </w:r>
    </w:p>
    <w:p w14:paraId="2EC8B6C6" w14:textId="77777777" w:rsidR="001B1666" w:rsidRDefault="001B1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2B1E72">
          <w:rPr>
            <w:noProof/>
          </w:rPr>
          <w:t>5</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1540" w14:textId="77777777" w:rsidR="001B1666" w:rsidRDefault="001B1666" w:rsidP="0054263B">
      <w:r>
        <w:separator/>
      </w:r>
    </w:p>
    <w:p w14:paraId="6D12E428" w14:textId="77777777" w:rsidR="001B1666" w:rsidRDefault="001B1666"/>
  </w:footnote>
  <w:footnote w:type="continuationSeparator" w:id="0">
    <w:p w14:paraId="71B62D07" w14:textId="77777777" w:rsidR="001B1666" w:rsidRDefault="001B1666" w:rsidP="0054263B">
      <w:r>
        <w:continuationSeparator/>
      </w:r>
    </w:p>
    <w:p w14:paraId="74EA619F" w14:textId="77777777" w:rsidR="001B1666" w:rsidRDefault="001B1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959440">
    <w:abstractNumId w:val="0"/>
  </w:num>
  <w:num w:numId="2" w16cid:durableId="55574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4766"/>
    <w:rsid w:val="000232F0"/>
    <w:rsid w:val="00037111"/>
    <w:rsid w:val="0006367C"/>
    <w:rsid w:val="00065CDE"/>
    <w:rsid w:val="000824C8"/>
    <w:rsid w:val="00085495"/>
    <w:rsid w:val="00091CF1"/>
    <w:rsid w:val="000921F1"/>
    <w:rsid w:val="000962C8"/>
    <w:rsid w:val="000B10F1"/>
    <w:rsid w:val="000B1B7A"/>
    <w:rsid w:val="000B3708"/>
    <w:rsid w:val="000C503A"/>
    <w:rsid w:val="000C6F97"/>
    <w:rsid w:val="001117D9"/>
    <w:rsid w:val="00112FF9"/>
    <w:rsid w:val="00126B7A"/>
    <w:rsid w:val="00130D7F"/>
    <w:rsid w:val="00133480"/>
    <w:rsid w:val="00144917"/>
    <w:rsid w:val="0016520C"/>
    <w:rsid w:val="00172674"/>
    <w:rsid w:val="0018388B"/>
    <w:rsid w:val="001903CB"/>
    <w:rsid w:val="001913B1"/>
    <w:rsid w:val="00191498"/>
    <w:rsid w:val="00191C86"/>
    <w:rsid w:val="001A2648"/>
    <w:rsid w:val="001B1666"/>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B1E72"/>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C4639"/>
    <w:rsid w:val="003D370E"/>
    <w:rsid w:val="003D63E7"/>
    <w:rsid w:val="003E472A"/>
    <w:rsid w:val="003E5B38"/>
    <w:rsid w:val="003F108C"/>
    <w:rsid w:val="003F6E89"/>
    <w:rsid w:val="00407146"/>
    <w:rsid w:val="00434371"/>
    <w:rsid w:val="004425AA"/>
    <w:rsid w:val="00442938"/>
    <w:rsid w:val="00456038"/>
    <w:rsid w:val="00467B80"/>
    <w:rsid w:val="0047120C"/>
    <w:rsid w:val="00471618"/>
    <w:rsid w:val="00474B1B"/>
    <w:rsid w:val="004A50B3"/>
    <w:rsid w:val="004B21A5"/>
    <w:rsid w:val="004B753E"/>
    <w:rsid w:val="004C62F9"/>
    <w:rsid w:val="004C723A"/>
    <w:rsid w:val="004D523B"/>
    <w:rsid w:val="004E7EF1"/>
    <w:rsid w:val="005065E6"/>
    <w:rsid w:val="00516447"/>
    <w:rsid w:val="0052537F"/>
    <w:rsid w:val="00531F87"/>
    <w:rsid w:val="0054263B"/>
    <w:rsid w:val="0054270B"/>
    <w:rsid w:val="00547D97"/>
    <w:rsid w:val="00550AFD"/>
    <w:rsid w:val="00557FCC"/>
    <w:rsid w:val="005648EF"/>
    <w:rsid w:val="005B283B"/>
    <w:rsid w:val="005B3A78"/>
    <w:rsid w:val="005D3156"/>
    <w:rsid w:val="005D7AC2"/>
    <w:rsid w:val="005E712D"/>
    <w:rsid w:val="005F1017"/>
    <w:rsid w:val="00620BE3"/>
    <w:rsid w:val="006272FE"/>
    <w:rsid w:val="006309FF"/>
    <w:rsid w:val="00642012"/>
    <w:rsid w:val="00647CC5"/>
    <w:rsid w:val="00651A64"/>
    <w:rsid w:val="00661D05"/>
    <w:rsid w:val="00663A16"/>
    <w:rsid w:val="00675252"/>
    <w:rsid w:val="00681506"/>
    <w:rsid w:val="00682B93"/>
    <w:rsid w:val="0068336D"/>
    <w:rsid w:val="00683FA1"/>
    <w:rsid w:val="00687304"/>
    <w:rsid w:val="006A1FFC"/>
    <w:rsid w:val="006A74B6"/>
    <w:rsid w:val="006B2457"/>
    <w:rsid w:val="006B26D7"/>
    <w:rsid w:val="006E0D06"/>
    <w:rsid w:val="006E3575"/>
    <w:rsid w:val="006E62F0"/>
    <w:rsid w:val="006F7DC0"/>
    <w:rsid w:val="00701DAD"/>
    <w:rsid w:val="00702B5A"/>
    <w:rsid w:val="0070752A"/>
    <w:rsid w:val="007119D8"/>
    <w:rsid w:val="0071225B"/>
    <w:rsid w:val="007216DA"/>
    <w:rsid w:val="007532AB"/>
    <w:rsid w:val="007842B8"/>
    <w:rsid w:val="007A3A0E"/>
    <w:rsid w:val="007A612E"/>
    <w:rsid w:val="007B1633"/>
    <w:rsid w:val="007D198E"/>
    <w:rsid w:val="007D2BCE"/>
    <w:rsid w:val="007D39CC"/>
    <w:rsid w:val="007E1675"/>
    <w:rsid w:val="007E31FF"/>
    <w:rsid w:val="007E466D"/>
    <w:rsid w:val="007F7129"/>
    <w:rsid w:val="00801691"/>
    <w:rsid w:val="00813A6B"/>
    <w:rsid w:val="0082168C"/>
    <w:rsid w:val="008220BD"/>
    <w:rsid w:val="00830997"/>
    <w:rsid w:val="0083264A"/>
    <w:rsid w:val="00832DB4"/>
    <w:rsid w:val="0083763B"/>
    <w:rsid w:val="00837F81"/>
    <w:rsid w:val="00845994"/>
    <w:rsid w:val="00845F81"/>
    <w:rsid w:val="00850A48"/>
    <w:rsid w:val="00851876"/>
    <w:rsid w:val="00853ECF"/>
    <w:rsid w:val="008557E1"/>
    <w:rsid w:val="00856233"/>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0CED"/>
    <w:rsid w:val="00973884"/>
    <w:rsid w:val="0098020C"/>
    <w:rsid w:val="00984FDD"/>
    <w:rsid w:val="009902F2"/>
    <w:rsid w:val="009931B9"/>
    <w:rsid w:val="0099791C"/>
    <w:rsid w:val="009B6746"/>
    <w:rsid w:val="009E20C7"/>
    <w:rsid w:val="009E3DA4"/>
    <w:rsid w:val="009F3DCE"/>
    <w:rsid w:val="00A24143"/>
    <w:rsid w:val="00A36457"/>
    <w:rsid w:val="00A460D2"/>
    <w:rsid w:val="00A64932"/>
    <w:rsid w:val="00A7241A"/>
    <w:rsid w:val="00A73AE6"/>
    <w:rsid w:val="00A80C10"/>
    <w:rsid w:val="00A85AAA"/>
    <w:rsid w:val="00A92C18"/>
    <w:rsid w:val="00AB0578"/>
    <w:rsid w:val="00AB2019"/>
    <w:rsid w:val="00AB31F9"/>
    <w:rsid w:val="00AB5A07"/>
    <w:rsid w:val="00AB71A7"/>
    <w:rsid w:val="00AC78F7"/>
    <w:rsid w:val="00AF0F6A"/>
    <w:rsid w:val="00AF7D47"/>
    <w:rsid w:val="00B0264D"/>
    <w:rsid w:val="00B25E5E"/>
    <w:rsid w:val="00B32E46"/>
    <w:rsid w:val="00B3658E"/>
    <w:rsid w:val="00B37722"/>
    <w:rsid w:val="00B429CA"/>
    <w:rsid w:val="00B42E7B"/>
    <w:rsid w:val="00B5407F"/>
    <w:rsid w:val="00B54FBE"/>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5296D"/>
    <w:rsid w:val="00C60E95"/>
    <w:rsid w:val="00C724B6"/>
    <w:rsid w:val="00C84E71"/>
    <w:rsid w:val="00C87463"/>
    <w:rsid w:val="00C8797B"/>
    <w:rsid w:val="00C966B0"/>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4254E"/>
    <w:rsid w:val="00E551EB"/>
    <w:rsid w:val="00E67638"/>
    <w:rsid w:val="00E7526A"/>
    <w:rsid w:val="00E87C31"/>
    <w:rsid w:val="00E87FFB"/>
    <w:rsid w:val="00E970B9"/>
    <w:rsid w:val="00EC17E3"/>
    <w:rsid w:val="00EC3919"/>
    <w:rsid w:val="00EC7C98"/>
    <w:rsid w:val="00ED5E52"/>
    <w:rsid w:val="00ED7176"/>
    <w:rsid w:val="00EF1E2D"/>
    <w:rsid w:val="00EF4043"/>
    <w:rsid w:val="00F022D4"/>
    <w:rsid w:val="00F12435"/>
    <w:rsid w:val="00F25120"/>
    <w:rsid w:val="00F25E27"/>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6309F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2263-5AF3-41EE-B613-8D9F2004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Ellen Buckley</dc:creator>
  <cp:lastModifiedBy>beck, jeremy</cp:lastModifiedBy>
  <cp:revision>3</cp:revision>
  <dcterms:created xsi:type="dcterms:W3CDTF">2025-01-27T20:34:00Z</dcterms:created>
  <dcterms:modified xsi:type="dcterms:W3CDTF">2025-02-11T19:13:00Z</dcterms:modified>
</cp:coreProperties>
</file>