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ED77" w14:textId="6DA09EE9" w:rsidR="00CA41CC" w:rsidRPr="00914128" w:rsidRDefault="0068336D" w:rsidP="00914128">
      <w:pPr>
        <w:pStyle w:val="Heading1"/>
      </w:pPr>
      <w:r>
        <w:t xml:space="preserve">CHAPTER </w:t>
      </w:r>
      <w:r w:rsidR="00505E9A">
        <w:t>13</w:t>
      </w:r>
    </w:p>
    <w:p w14:paraId="02CDD902" w14:textId="77777777" w:rsidR="00EC7C98" w:rsidRPr="00914128" w:rsidRDefault="00505E9A" w:rsidP="00914128">
      <w:pPr>
        <w:pStyle w:val="Heading1"/>
      </w:pPr>
      <w:r>
        <w:t>animals</w:t>
      </w:r>
    </w:p>
    <w:p w14:paraId="2E0ACEFC" w14:textId="77777777" w:rsidR="00EC7C98" w:rsidRDefault="00901DC8" w:rsidP="00914128">
      <w:pPr>
        <w:pStyle w:val="ToC"/>
      </w:pPr>
      <w:hyperlink w:anchor="a13_01" w:history="1">
        <w:r w:rsidRPr="00901DC8">
          <w:rPr>
            <w:rStyle w:val="Hyperlink"/>
          </w:rPr>
          <w:t>13:1</w:t>
        </w:r>
      </w:hyperlink>
      <w:r w:rsidRPr="00901DC8">
        <w:t xml:space="preserve"> </w:t>
      </w:r>
      <w:r w:rsidRPr="00901DC8">
        <w:tab/>
        <w:t xml:space="preserve">Domestic Animals — Dangerous </w:t>
      </w:r>
      <w:r>
        <w:t>o</w:t>
      </w:r>
      <w:r w:rsidRPr="00901DC8">
        <w:t xml:space="preserve">r Vicious Tendencies — Elements </w:t>
      </w:r>
      <w:r>
        <w:t>o</w:t>
      </w:r>
      <w:r w:rsidRPr="00901DC8">
        <w:t>f Liability</w:t>
      </w:r>
    </w:p>
    <w:p w14:paraId="6FB3684C" w14:textId="77777777" w:rsidR="00901DC8" w:rsidRDefault="00901DC8" w:rsidP="00914128">
      <w:pPr>
        <w:pStyle w:val="ToC"/>
      </w:pPr>
      <w:hyperlink w:anchor="a13_02" w:history="1">
        <w:r w:rsidRPr="00901DC8">
          <w:rPr>
            <w:rStyle w:val="Hyperlink"/>
          </w:rPr>
          <w:t>13:2</w:t>
        </w:r>
      </w:hyperlink>
      <w:r w:rsidRPr="00901DC8">
        <w:t xml:space="preserve"> </w:t>
      </w:r>
      <w:r w:rsidRPr="00901DC8">
        <w:tab/>
        <w:t xml:space="preserve">Wild Animals — Elements </w:t>
      </w:r>
      <w:r>
        <w:t>o</w:t>
      </w:r>
      <w:r w:rsidRPr="00901DC8">
        <w:t>f Liability</w:t>
      </w:r>
    </w:p>
    <w:p w14:paraId="50B518C7" w14:textId="77777777" w:rsidR="00901DC8" w:rsidRDefault="00901DC8" w:rsidP="00914128">
      <w:pPr>
        <w:pStyle w:val="ToC"/>
      </w:pPr>
      <w:hyperlink w:anchor="a13_03" w:history="1">
        <w:r w:rsidRPr="00901DC8">
          <w:rPr>
            <w:rStyle w:val="Hyperlink"/>
          </w:rPr>
          <w:t>13:3</w:t>
        </w:r>
      </w:hyperlink>
      <w:r w:rsidRPr="00901DC8">
        <w:t xml:space="preserve"> </w:t>
      </w:r>
      <w:r w:rsidRPr="00901DC8">
        <w:tab/>
        <w:t xml:space="preserve">Serious Bodily Injury </w:t>
      </w:r>
      <w:r>
        <w:t>o</w:t>
      </w:r>
      <w:r w:rsidRPr="00901DC8">
        <w:t xml:space="preserve">r Death Resulting </w:t>
      </w:r>
      <w:r>
        <w:t>f</w:t>
      </w:r>
      <w:r w:rsidRPr="00901DC8">
        <w:t xml:space="preserve">rom Being Bitten </w:t>
      </w:r>
      <w:r>
        <w:t>b</w:t>
      </w:r>
      <w:r w:rsidRPr="00901DC8">
        <w:t xml:space="preserve">y </w:t>
      </w:r>
      <w:r>
        <w:t>a</w:t>
      </w:r>
      <w:r w:rsidRPr="00901DC8">
        <w:t xml:space="preserve"> Dog — Elements </w:t>
      </w:r>
      <w:r>
        <w:t>o</w:t>
      </w:r>
      <w:r w:rsidRPr="00901DC8">
        <w:t>f Liability</w:t>
      </w:r>
    </w:p>
    <w:p w14:paraId="4E847D28" w14:textId="77777777" w:rsidR="00901DC8" w:rsidRDefault="00901DC8" w:rsidP="00914128">
      <w:pPr>
        <w:pStyle w:val="ToC"/>
      </w:pPr>
      <w:hyperlink w:anchor="a13_04" w:history="1">
        <w:r w:rsidRPr="00901DC8">
          <w:rPr>
            <w:rStyle w:val="Hyperlink"/>
          </w:rPr>
          <w:t>13:4</w:t>
        </w:r>
      </w:hyperlink>
      <w:r w:rsidRPr="00901DC8">
        <w:t xml:space="preserve"> </w:t>
      </w:r>
      <w:r w:rsidRPr="00901DC8">
        <w:tab/>
        <w:t>Serious Bodily Injury — Defined</w:t>
      </w:r>
    </w:p>
    <w:p w14:paraId="4BC252D4" w14:textId="77777777" w:rsidR="00901DC8" w:rsidRDefault="00901DC8" w:rsidP="00914128">
      <w:pPr>
        <w:pStyle w:val="ToC"/>
      </w:pPr>
      <w:hyperlink w:anchor="a13_05" w:history="1">
        <w:r w:rsidRPr="00901DC8">
          <w:rPr>
            <w:rStyle w:val="Hyperlink"/>
          </w:rPr>
          <w:t>13:5</w:t>
        </w:r>
      </w:hyperlink>
      <w:r w:rsidRPr="00901DC8">
        <w:tab/>
        <w:t>Damages</w:t>
      </w:r>
    </w:p>
    <w:p w14:paraId="78F06D0C" w14:textId="77777777" w:rsidR="00352111" w:rsidRPr="00352111" w:rsidRDefault="00352111">
      <w:pPr>
        <w:rPr>
          <w:rFonts w:eastAsia="Times New Roman"/>
          <w:sz w:val="24"/>
          <w:szCs w:val="24"/>
        </w:rPr>
      </w:pPr>
      <w:r w:rsidRPr="00352111">
        <w:rPr>
          <w:rFonts w:eastAsia="Times New Roman"/>
          <w:sz w:val="24"/>
          <w:szCs w:val="24"/>
        </w:rPr>
        <w:br w:type="page"/>
      </w:r>
    </w:p>
    <w:p w14:paraId="3A9463FD" w14:textId="77777777" w:rsidR="009E3DA4" w:rsidRPr="009E3DA4" w:rsidRDefault="00505E9A" w:rsidP="00CC0502">
      <w:pPr>
        <w:spacing w:after="240"/>
        <w:ind w:left="720" w:hanging="720"/>
        <w:rPr>
          <w:rFonts w:eastAsia="Times New Roman"/>
          <w:b/>
          <w:sz w:val="24"/>
          <w:szCs w:val="24"/>
        </w:rPr>
      </w:pPr>
      <w:bookmarkStart w:id="0" w:name="a13_01"/>
      <w:bookmarkEnd w:id="0"/>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14:paraId="69CCB9D9" w14:textId="0D3069A1"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xml:space="preserve">, on </w:t>
      </w:r>
      <w:r w:rsidR="002E259A" w:rsidRPr="002E259A">
        <w:rPr>
          <w:rFonts w:eastAsia="Times New Roman"/>
          <w:bCs/>
          <w:i/>
          <w:iCs/>
          <w:sz w:val="24"/>
          <w:szCs w:val="24"/>
        </w:rPr>
        <w:t>(insert applicable pronoun)</w:t>
      </w:r>
      <w:r w:rsidRPr="00505E9A">
        <w:rPr>
          <w:rFonts w:eastAsia="Times New Roman"/>
          <w:b/>
          <w:sz w:val="24"/>
          <w:szCs w:val="24"/>
        </w:rPr>
        <w:t xml:space="preserve"> claim, you must find that all the following have been proved by a preponderance of the evidence:</w:t>
      </w:r>
    </w:p>
    <w:p w14:paraId="6E02AAF9" w14:textId="77777777"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14:paraId="7765F6E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14:paraId="1DBF1EFF"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14:paraId="4814CCF7" w14:textId="062969C9"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w:t>
      </w:r>
      <w:r w:rsidR="002E259A" w:rsidRPr="002E259A">
        <w:rPr>
          <w:rFonts w:eastAsia="Times New Roman"/>
          <w:bCs/>
          <w:i/>
          <w:iCs/>
          <w:sz w:val="24"/>
          <w:szCs w:val="24"/>
        </w:rPr>
        <w:t>(insert applicable pronoun)</w:t>
      </w:r>
      <w:r w:rsidRPr="00505E9A">
        <w:rPr>
          <w:rFonts w:eastAsia="Times New Roman"/>
          <w:b/>
          <w:sz w:val="24"/>
          <w:szCs w:val="24"/>
        </w:rPr>
        <w:t xml:space="preserv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14:paraId="6107FFA3"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14:paraId="0AE6FD3D"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14:paraId="5A8DCBA6"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14:paraId="0CCA8BE1"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14:paraId="5164F1C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89C6498" w14:textId="77777777"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14:paraId="12CBD404" w14:textId="77777777" w:rsidR="00832DB4" w:rsidRDefault="00832DB4" w:rsidP="0054263B">
      <w:pPr>
        <w:jc w:val="center"/>
        <w:rPr>
          <w:rFonts w:eastAsia="Times New Roman"/>
          <w:sz w:val="24"/>
          <w:szCs w:val="24"/>
        </w:rPr>
      </w:pPr>
    </w:p>
    <w:p w14:paraId="30916B28"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5C89EDE"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w:t>
      </w:r>
      <w:r w:rsidRPr="00505E9A">
        <w:rPr>
          <w:rFonts w:eastAsia="Times New Roman"/>
          <w:sz w:val="24"/>
          <w:szCs w:val="24"/>
        </w:rPr>
        <w:lastRenderedPageBreak/>
        <w:t>dog owner did not owe a duty of care to plaintiff because there was no special relationship between the parties, the plaintiff was not directly injured by the dogs or on the dog owner’s property, the dogs remained confined and never left the property, and plaintiff’s injuries resulted from being struck by ca</w:t>
      </w:r>
      <w:r w:rsidR="00CB2A64">
        <w:rPr>
          <w:rFonts w:eastAsia="Times New Roman"/>
          <w:sz w:val="24"/>
          <w:szCs w:val="24"/>
        </w:rPr>
        <w:t>r after jumping into street).</w:t>
      </w:r>
    </w:p>
    <w:p w14:paraId="0C83937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14:paraId="2EBD673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14:paraId="332D9627"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14:paraId="76E62298" w14:textId="1DC136DE"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14:paraId="75CA058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14:paraId="6243AE17" w14:textId="349311CD"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7. In contrast to the cases cited above, several Colorado Court of Appeals decisions have stated, “In order to prove the owner of a domestic animal is negligent, a plaintiff must show: (1) 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 47, 397 P.3d at 376.</w:t>
      </w:r>
    </w:p>
    <w:p w14:paraId="597A874A"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14:paraId="4CA5010B"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14:paraId="7125D0B2"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2C4245D" w14:textId="67421D4E"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 46-47</w:t>
      </w:r>
      <w:r w:rsidR="004828A3">
        <w:rPr>
          <w:rFonts w:eastAsia="Times New Roman"/>
          <w:sz w:val="24"/>
          <w:szCs w:val="24"/>
        </w:rPr>
        <w:t xml:space="preserve">, </w:t>
      </w:r>
      <w:r w:rsidR="004828A3" w:rsidRPr="00505E9A">
        <w:rPr>
          <w:rFonts w:eastAsia="Times New Roman"/>
          <w:sz w:val="24"/>
          <w:szCs w:val="24"/>
        </w:rPr>
        <w:t>397 P.3d at 376</w:t>
      </w:r>
      <w:r w:rsidRPr="00505E9A">
        <w:rPr>
          <w:rFonts w:eastAsia="Times New Roman"/>
          <w:sz w:val="24"/>
          <w:szCs w:val="24"/>
        </w:rPr>
        <w:t xml:space="preserve"> (citing this instruction and </w:t>
      </w:r>
      <w:r w:rsidRPr="00505E9A">
        <w:rPr>
          <w:rFonts w:eastAsia="Times New Roman"/>
          <w:b/>
          <w:sz w:val="24"/>
          <w:szCs w:val="24"/>
        </w:rPr>
        <w:t>Fishman</w:t>
      </w:r>
      <w:r w:rsidRPr="00505E9A">
        <w:rPr>
          <w:rFonts w:eastAsia="Times New Roman"/>
          <w:sz w:val="24"/>
          <w:szCs w:val="24"/>
        </w:rPr>
        <w:t>’s approval of the instruction).</w:t>
      </w:r>
    </w:p>
    <w:p w14:paraId="49B3EC9C"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lastRenderedPageBreak/>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14:paraId="1688FAEF"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14:paraId="200F69A2"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14:paraId="0A543848" w14:textId="77777777"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14:paraId="5BFFE01F" w14:textId="77777777" w:rsidR="007072AD" w:rsidRDefault="007072AD">
      <w:pPr>
        <w:rPr>
          <w:rFonts w:eastAsia="Times New Roman"/>
          <w:sz w:val="24"/>
          <w:szCs w:val="24"/>
        </w:rPr>
      </w:pPr>
      <w:r>
        <w:rPr>
          <w:rFonts w:eastAsia="Times New Roman"/>
          <w:sz w:val="24"/>
          <w:szCs w:val="24"/>
        </w:rPr>
        <w:br w:type="page"/>
      </w:r>
    </w:p>
    <w:p w14:paraId="0245E76C" w14:textId="77777777" w:rsidR="007072AD" w:rsidRPr="009E3DA4" w:rsidRDefault="007072AD" w:rsidP="007072AD">
      <w:pPr>
        <w:spacing w:after="240"/>
        <w:ind w:left="720" w:hanging="720"/>
        <w:rPr>
          <w:rFonts w:eastAsia="Times New Roman"/>
          <w:b/>
          <w:sz w:val="24"/>
          <w:szCs w:val="24"/>
        </w:rPr>
      </w:pPr>
      <w:bookmarkStart w:id="1" w:name="a13_02"/>
      <w:bookmarkEnd w:id="1"/>
      <w:r w:rsidRPr="007072AD">
        <w:rPr>
          <w:rFonts w:eastAsia="Times New Roman"/>
          <w:b/>
          <w:sz w:val="24"/>
          <w:szCs w:val="24"/>
        </w:rPr>
        <w:lastRenderedPageBreak/>
        <w:t xml:space="preserve">13:2 </w:t>
      </w:r>
      <w:r w:rsidRPr="007072AD">
        <w:rPr>
          <w:rFonts w:eastAsia="Times New Roman"/>
          <w:b/>
          <w:sz w:val="24"/>
          <w:szCs w:val="24"/>
        </w:rPr>
        <w:tab/>
        <w:t>WILD ANIMALS — ELEMENTS OF LIABILITY</w:t>
      </w:r>
    </w:p>
    <w:p w14:paraId="4ECBCBC3" w14:textId="6A5397A8"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w:t>
      </w:r>
      <w:r w:rsidR="002E259A" w:rsidRPr="002E259A">
        <w:rPr>
          <w:rFonts w:eastAsia="Times New Roman"/>
          <w:bCs/>
          <w:i/>
          <w:iCs/>
          <w:sz w:val="24"/>
          <w:szCs w:val="24"/>
        </w:rPr>
        <w:t>(insert applicable pronoun)</w:t>
      </w:r>
      <w:r w:rsidRPr="007072AD">
        <w:rPr>
          <w:rFonts w:eastAsia="Times New Roman"/>
          <w:b/>
          <w:sz w:val="24"/>
          <w:szCs w:val="24"/>
        </w:rPr>
        <w:t xml:space="preserve"> claim of strict liability, you must find that all the following have been proved by a preponderance of the evidence: </w:t>
      </w:r>
    </w:p>
    <w:p w14:paraId="7B54D427"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14:paraId="005BC49F"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14:paraId="5B92C354"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14:paraId="285C56DE"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14:paraId="797D5358"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14:paraId="57F348D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14:paraId="2B3EFD5C" w14:textId="77777777"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14:paraId="2A8A794E" w14:textId="77777777" w:rsidR="007072AD" w:rsidRDefault="007072AD" w:rsidP="007072AD">
      <w:pPr>
        <w:jc w:val="center"/>
        <w:rPr>
          <w:rFonts w:eastAsia="Times New Roman"/>
          <w:sz w:val="24"/>
          <w:szCs w:val="24"/>
        </w:rPr>
      </w:pPr>
    </w:p>
    <w:p w14:paraId="1D5C78BC" w14:textId="77777777"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14:paraId="7F907E23"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14:paraId="65440D9B" w14:textId="77777777"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14:paraId="7ECAEE1D" w14:textId="77777777"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14:paraId="4A1DC393" w14:textId="77777777" w:rsidR="00ED5647" w:rsidRDefault="00ED5647">
      <w:pPr>
        <w:rPr>
          <w:rFonts w:eastAsia="Times New Roman"/>
          <w:sz w:val="24"/>
          <w:szCs w:val="24"/>
        </w:rPr>
      </w:pPr>
      <w:r>
        <w:rPr>
          <w:rFonts w:eastAsia="Times New Roman"/>
          <w:sz w:val="24"/>
          <w:szCs w:val="24"/>
        </w:rPr>
        <w:br w:type="page"/>
      </w:r>
    </w:p>
    <w:p w14:paraId="72E4ADC0" w14:textId="77777777" w:rsidR="00ED5647" w:rsidRPr="009E3DA4" w:rsidRDefault="00ED5647" w:rsidP="00ED5647">
      <w:pPr>
        <w:spacing w:after="240"/>
        <w:ind w:left="720" w:hanging="720"/>
        <w:rPr>
          <w:rFonts w:eastAsia="Times New Roman"/>
          <w:b/>
          <w:sz w:val="24"/>
          <w:szCs w:val="24"/>
        </w:rPr>
      </w:pPr>
      <w:bookmarkStart w:id="2" w:name="a13_03"/>
      <w:bookmarkEnd w:id="2"/>
      <w:r w:rsidRPr="00ED5647">
        <w:rPr>
          <w:rFonts w:eastAsia="Times New Roman"/>
          <w:b/>
          <w:sz w:val="24"/>
          <w:szCs w:val="24"/>
        </w:rPr>
        <w:lastRenderedPageBreak/>
        <w:t xml:space="preserve">13:3 </w:t>
      </w:r>
      <w:r w:rsidRPr="00ED5647">
        <w:rPr>
          <w:rFonts w:eastAsia="Times New Roman"/>
          <w:b/>
          <w:sz w:val="24"/>
          <w:szCs w:val="24"/>
        </w:rPr>
        <w:tab/>
        <w:t>SERIOUS BODILY INJURY OR DEATH RESULTING FROM BEING BITTEN BY A DOG — ELEMENTS OF LIABILITY</w:t>
      </w:r>
    </w:p>
    <w:p w14:paraId="49EA864D" w14:textId="06442B4F"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 xml:space="preserve">on </w:t>
      </w:r>
      <w:r w:rsidR="002E259A" w:rsidRPr="002E259A">
        <w:rPr>
          <w:rFonts w:eastAsia="Times New Roman"/>
          <w:bCs/>
          <w:i/>
          <w:iCs/>
          <w:sz w:val="24"/>
          <w:szCs w:val="24"/>
        </w:rPr>
        <w:t>(insert applicable pronoun)</w:t>
      </w:r>
      <w:r w:rsidRPr="00ED5647">
        <w:rPr>
          <w:rFonts w:eastAsia="Times New Roman"/>
          <w:b/>
          <w:sz w:val="24"/>
          <w:szCs w:val="24"/>
        </w:rPr>
        <w:t xml:space="preserve"> claim for serious bodily injury, you must find that all the following have been proved by a preponderance of the evidence:</w:t>
      </w:r>
    </w:p>
    <w:p w14:paraId="452F1303"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14:paraId="39F9282A"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14:paraId="2686B770" w14:textId="74210FB3"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(3. When </w:t>
      </w:r>
      <w:r w:rsidR="002E259A">
        <w:rPr>
          <w:rFonts w:eastAsia="Times New Roman"/>
          <w:bCs/>
          <w:i/>
          <w:iCs/>
          <w:sz w:val="24"/>
          <w:szCs w:val="24"/>
        </w:rPr>
        <w:t>[</w:t>
      </w:r>
      <w:r w:rsidR="002E259A" w:rsidRPr="002E259A">
        <w:rPr>
          <w:rFonts w:eastAsia="Times New Roman"/>
          <w:bCs/>
          <w:i/>
          <w:iCs/>
          <w:sz w:val="24"/>
          <w:szCs w:val="24"/>
        </w:rPr>
        <w:t>insert applicable pronoun</w:t>
      </w:r>
      <w:r w:rsidR="002E259A">
        <w:rPr>
          <w:rFonts w:eastAsia="Times New Roman"/>
          <w:bCs/>
          <w:i/>
          <w:iCs/>
          <w:sz w:val="24"/>
          <w:szCs w:val="24"/>
        </w:rPr>
        <w:t>]</w:t>
      </w:r>
      <w:r w:rsidRPr="00ED5647">
        <w:rPr>
          <w:rFonts w:eastAsia="Times New Roman"/>
          <w:b/>
          <w:sz w:val="24"/>
          <w:szCs w:val="24"/>
        </w:rPr>
        <w:t xml:space="preserve"> was bitten by the defendant’s dog, the plaintiff was lawfully on [the defendant’s] [</w:t>
      </w:r>
      <w:r w:rsidR="002E259A" w:rsidRPr="002E259A">
        <w:rPr>
          <w:rFonts w:eastAsia="Times New Roman"/>
          <w:bCs/>
          <w:i/>
          <w:iCs/>
          <w:sz w:val="24"/>
          <w:szCs w:val="24"/>
        </w:rPr>
        <w:t>(insert applicable pronoun)</w:t>
      </w:r>
      <w:r w:rsidRPr="00ED5647">
        <w:rPr>
          <w:rFonts w:eastAsia="Times New Roman"/>
          <w:b/>
          <w:sz w:val="24"/>
          <w:szCs w:val="24"/>
        </w:rPr>
        <w:t xml:space="preserve"> own] [public] [another’s] property;)</w:t>
      </w:r>
    </w:p>
    <w:p w14:paraId="193817E9"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14:paraId="17F9FF6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14:paraId="6CC86111"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14:paraId="5E40C807"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14:paraId="7646A24F"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14:paraId="0ECDB4E0"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14:paraId="04A0B8BD" w14:textId="77777777" w:rsidR="00ED5647" w:rsidRDefault="00ED5647" w:rsidP="00ED5647">
      <w:pPr>
        <w:jc w:val="center"/>
        <w:rPr>
          <w:rFonts w:eastAsia="Times New Roman"/>
          <w:sz w:val="24"/>
          <w:szCs w:val="24"/>
        </w:rPr>
      </w:pPr>
    </w:p>
    <w:p w14:paraId="24DBE974"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2397C2DC"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14:paraId="101B42D9" w14:textId="3364439C"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with the instructions in Chapter 10 on wrongful death.</w:t>
      </w:r>
    </w:p>
    <w:p w14:paraId="00E038E8"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14:paraId="34F3C6F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w:t>
      </w:r>
      <w:r w:rsidRPr="00ED5647">
        <w:rPr>
          <w:rFonts w:eastAsia="Times New Roman"/>
          <w:sz w:val="24"/>
          <w:szCs w:val="24"/>
        </w:rPr>
        <w:lastRenderedPageBreak/>
        <w:t xml:space="preserve">However, at least one Colorado Court of Appeals case appeared to consider the language “lawfully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14:paraId="0725C649"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F348C7D" w14:textId="7FD5145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w:t>
      </w:r>
      <w:r w:rsidR="004828A3">
        <w:rPr>
          <w:rFonts w:eastAsia="Times New Roman"/>
          <w:sz w:val="24"/>
          <w:szCs w:val="24"/>
        </w:rPr>
        <w:t xml:space="preserve"> ¶ 34, 369 P.3d at 792</w:t>
      </w:r>
      <w:r w:rsidRPr="00ED5647">
        <w:rPr>
          <w:rFonts w:eastAsia="Times New Roman"/>
          <w:sz w:val="24"/>
          <w:szCs w:val="24"/>
        </w:rPr>
        <w:t>.</w:t>
      </w:r>
    </w:p>
    <w:p w14:paraId="2DFE6ED1" w14:textId="774208A9"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 25</w:t>
      </w:r>
      <w:r w:rsidR="004828A3">
        <w:rPr>
          <w:rFonts w:eastAsia="Times New Roman"/>
          <w:sz w:val="24"/>
          <w:szCs w:val="24"/>
        </w:rPr>
        <w:t>, 328 P.3d at 243</w:t>
      </w:r>
      <w:r w:rsidRPr="00ED5647">
        <w:rPr>
          <w:rFonts w:eastAsia="Times New Roman"/>
          <w:sz w:val="24"/>
          <w:szCs w:val="24"/>
        </w:rPr>
        <w:t xml:space="preserve">. </w:t>
      </w:r>
    </w:p>
    <w:p w14:paraId="14EE0A2A"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14:paraId="0B08B69E" w14:textId="0A777F54"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 25-27</w:t>
      </w:r>
      <w:r w:rsidR="004828A3">
        <w:rPr>
          <w:rFonts w:eastAsia="Times New Roman"/>
          <w:sz w:val="24"/>
          <w:szCs w:val="24"/>
        </w:rPr>
        <w:t>, 328 P.3d at 243</w:t>
      </w:r>
      <w:r w:rsidRPr="00ED5647">
        <w:rPr>
          <w:rFonts w:eastAsia="Times New Roman"/>
          <w:sz w:val="24"/>
          <w:szCs w:val="24"/>
        </w:rPr>
        <w:t>.</w:t>
      </w:r>
    </w:p>
    <w:p w14:paraId="68527834" w14:textId="77777777" w:rsidR="00ED5647" w:rsidRDefault="00ED5647">
      <w:pPr>
        <w:rPr>
          <w:rFonts w:eastAsia="Times New Roman"/>
          <w:sz w:val="24"/>
          <w:szCs w:val="24"/>
        </w:rPr>
      </w:pPr>
      <w:r>
        <w:rPr>
          <w:rFonts w:eastAsia="Times New Roman"/>
          <w:sz w:val="24"/>
          <w:szCs w:val="24"/>
        </w:rPr>
        <w:br w:type="page"/>
      </w:r>
    </w:p>
    <w:p w14:paraId="3EDA548F" w14:textId="77777777" w:rsidR="00ED5647" w:rsidRPr="009E3DA4" w:rsidRDefault="00ED5647" w:rsidP="00ED5647">
      <w:pPr>
        <w:spacing w:after="240"/>
        <w:ind w:left="720" w:hanging="720"/>
        <w:rPr>
          <w:rFonts w:eastAsia="Times New Roman"/>
          <w:b/>
          <w:sz w:val="24"/>
          <w:szCs w:val="24"/>
        </w:rPr>
      </w:pPr>
      <w:bookmarkStart w:id="3" w:name="a13_04"/>
      <w:bookmarkEnd w:id="3"/>
      <w:r w:rsidRPr="00ED5647">
        <w:rPr>
          <w:rFonts w:eastAsia="Times New Roman"/>
          <w:b/>
          <w:sz w:val="24"/>
          <w:szCs w:val="24"/>
        </w:rPr>
        <w:lastRenderedPageBreak/>
        <w:t xml:space="preserve">13:4 </w:t>
      </w:r>
      <w:r w:rsidRPr="00ED5647">
        <w:rPr>
          <w:rFonts w:eastAsia="Times New Roman"/>
          <w:b/>
          <w:sz w:val="24"/>
          <w:szCs w:val="24"/>
        </w:rPr>
        <w:tab/>
        <w:t>SERIOUS BODILY INJURY — DEFINED</w:t>
      </w:r>
    </w:p>
    <w:p w14:paraId="58EABA7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14:paraId="4000D3EE" w14:textId="235DFF4C"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(a) A substantial risk of death; or</w:t>
      </w:r>
    </w:p>
    <w:p w14:paraId="7ACF23BB" w14:textId="77777777"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14:paraId="779AA7B4" w14:textId="635E9AC9"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(c) A substantial risk of protracted loss or impairment of the function of any part or organ of the body; </w:t>
      </w:r>
    </w:p>
    <w:p w14:paraId="03209E74" w14:textId="058241E8"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14:paraId="156B7793" w14:textId="77777777" w:rsidR="00ED5647" w:rsidRDefault="00ED5647" w:rsidP="00ED5647">
      <w:pPr>
        <w:jc w:val="center"/>
        <w:rPr>
          <w:rFonts w:eastAsia="Times New Roman"/>
          <w:sz w:val="24"/>
          <w:szCs w:val="24"/>
        </w:rPr>
      </w:pPr>
    </w:p>
    <w:p w14:paraId="56D6F50E"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14:paraId="0F8402D7" w14:textId="1729A35B" w:rsidR="00ED5647" w:rsidRPr="00E54D1B" w:rsidRDefault="00E11828" w:rsidP="0054518B">
      <w:pPr>
        <w:spacing w:after="240"/>
        <w:ind w:firstLine="720"/>
        <w:rPr>
          <w:rFonts w:eastAsia="Times New Roman"/>
          <w:sz w:val="24"/>
          <w:szCs w:val="24"/>
        </w:rPr>
      </w:pPr>
      <w:r w:rsidRPr="00E54D1B">
        <w:rPr>
          <w:rFonts w:eastAsia="Times New Roman"/>
          <w:sz w:val="24"/>
          <w:szCs w:val="24"/>
        </w:rPr>
        <w:t xml:space="preserve">1. </w:t>
      </w:r>
      <w:r w:rsidR="00ED5647" w:rsidRPr="00E54D1B">
        <w:rPr>
          <w:rFonts w:eastAsia="Times New Roman"/>
          <w:sz w:val="24"/>
          <w:szCs w:val="24"/>
        </w:rPr>
        <w:t>This instruction should be given whenever Instruction 13:3 is given and there is a factual dispute as to whether the plaintiff sustained serious bodily injury.</w:t>
      </w:r>
    </w:p>
    <w:p w14:paraId="341FB126" w14:textId="7C1980D4" w:rsidR="004B4EAA" w:rsidRPr="00E54D1B" w:rsidRDefault="004B4EAA" w:rsidP="004B4EAA">
      <w:pPr>
        <w:spacing w:after="240"/>
        <w:ind w:firstLine="720"/>
        <w:rPr>
          <w:rFonts w:eastAsia="Times New Roman"/>
          <w:sz w:val="24"/>
          <w:szCs w:val="24"/>
        </w:rPr>
      </w:pPr>
      <w:r>
        <w:rPr>
          <w:rFonts w:eastAsia="Times New Roman"/>
          <w:sz w:val="24"/>
          <w:szCs w:val="24"/>
        </w:rPr>
        <w:t xml:space="preserve">2. </w:t>
      </w:r>
      <w:r w:rsidRPr="00E54D1B">
        <w:rPr>
          <w:rFonts w:eastAsia="Times New Roman"/>
          <w:sz w:val="24"/>
          <w:szCs w:val="24"/>
        </w:rPr>
        <w:t>“[T]he facts of the actual injury control the substantial risk of death determination under section 18-1-901(3)(p),</w:t>
      </w:r>
      <w:r w:rsidR="00E54D1B">
        <w:rPr>
          <w:rFonts w:eastAsia="Times New Roman"/>
          <w:sz w:val="24"/>
          <w:szCs w:val="24"/>
        </w:rPr>
        <w:t xml:space="preserve"> [C.R.S.],</w:t>
      </w:r>
      <w:r w:rsidRPr="00E54D1B">
        <w:rPr>
          <w:rFonts w:eastAsia="Times New Roman"/>
          <w:sz w:val="24"/>
          <w:szCs w:val="24"/>
        </w:rPr>
        <w:t xml:space="preserve"> </w:t>
      </w:r>
      <w:r w:rsidRPr="00E54D1B">
        <w:rPr>
          <w:rFonts w:eastAsia="Times New Roman"/>
          <w:i/>
          <w:iCs/>
          <w:sz w:val="24"/>
          <w:szCs w:val="24"/>
        </w:rPr>
        <w:t>not</w:t>
      </w:r>
      <w:r w:rsidRPr="00E54D1B">
        <w:rPr>
          <w:rFonts w:eastAsia="Times New Roman"/>
          <w:sz w:val="24"/>
          <w:szCs w:val="24"/>
        </w:rPr>
        <w:t xml:space="preserve"> the risk generally associated with the type of conduct or injury in question.” </w:t>
      </w:r>
      <w:r w:rsidRPr="00E54D1B">
        <w:rPr>
          <w:rFonts w:eastAsia="Times New Roman"/>
          <w:b/>
          <w:bCs/>
          <w:sz w:val="24"/>
          <w:szCs w:val="24"/>
        </w:rPr>
        <w:t>People v. Vigil</w:t>
      </w:r>
      <w:r w:rsidRPr="00E54D1B">
        <w:rPr>
          <w:rFonts w:eastAsia="Times New Roman"/>
          <w:sz w:val="24"/>
          <w:szCs w:val="24"/>
        </w:rPr>
        <w:t>,</w:t>
      </w:r>
      <w:r w:rsidR="00816F8C" w:rsidRPr="00816F8C">
        <w:rPr>
          <w:rFonts w:eastAsia="Times New Roman"/>
          <w:sz w:val="24"/>
          <w:szCs w:val="24"/>
        </w:rPr>
        <w:t xml:space="preserve"> 2021 CO 46, ¶ 4,</w:t>
      </w:r>
      <w:r w:rsidR="00816F8C">
        <w:rPr>
          <w:rFonts w:eastAsia="Times New Roman"/>
          <w:sz w:val="24"/>
          <w:szCs w:val="24"/>
        </w:rPr>
        <w:t xml:space="preserve"> </w:t>
      </w:r>
      <w:r w:rsidRPr="00E54D1B">
        <w:rPr>
          <w:rFonts w:eastAsia="Times New Roman"/>
          <w:sz w:val="24"/>
          <w:szCs w:val="24"/>
        </w:rPr>
        <w:t>488 P.3d 1150, 1152.</w:t>
      </w:r>
    </w:p>
    <w:p w14:paraId="0D374D25" w14:textId="79703F85" w:rsidR="00E11828" w:rsidRDefault="004B4EAA" w:rsidP="00ED5647">
      <w:pPr>
        <w:spacing w:after="240"/>
        <w:ind w:firstLine="720"/>
        <w:rPr>
          <w:rFonts w:eastAsia="Times New Roman"/>
          <w:sz w:val="24"/>
          <w:szCs w:val="24"/>
        </w:rPr>
      </w:pPr>
      <w:r>
        <w:rPr>
          <w:rFonts w:eastAsia="Times New Roman"/>
          <w:sz w:val="24"/>
          <w:szCs w:val="24"/>
        </w:rPr>
        <w:t>3</w:t>
      </w:r>
      <w:r w:rsidR="00E11828">
        <w:rPr>
          <w:rFonts w:eastAsia="Times New Roman"/>
          <w:sz w:val="24"/>
          <w:szCs w:val="24"/>
        </w:rPr>
        <w:t xml:space="preserve">. Section </w:t>
      </w:r>
      <w:r w:rsidR="00670C9E">
        <w:rPr>
          <w:rFonts w:eastAsia="Times New Roman"/>
          <w:sz w:val="24"/>
          <w:szCs w:val="24"/>
        </w:rPr>
        <w:t>18-1-901(3)(p) was amended in 2023 to add references to “penetrating knife wound</w:t>
      </w:r>
      <w:r w:rsidR="00A24A32">
        <w:rPr>
          <w:rFonts w:eastAsia="Times New Roman"/>
          <w:sz w:val="24"/>
          <w:szCs w:val="24"/>
        </w:rPr>
        <w:t xml:space="preserve"> or</w:t>
      </w:r>
      <w:r w:rsidR="00670C9E">
        <w:rPr>
          <w:rFonts w:eastAsia="Times New Roman"/>
          <w:sz w:val="24"/>
          <w:szCs w:val="24"/>
        </w:rPr>
        <w:t xml:space="preserve"> penetrating gunshot wounds</w:t>
      </w:r>
      <w:r w:rsidR="00DC739D">
        <w:rPr>
          <w:rFonts w:eastAsia="Times New Roman"/>
          <w:sz w:val="24"/>
          <w:szCs w:val="24"/>
        </w:rPr>
        <w:t>.</w:t>
      </w:r>
      <w:r w:rsidR="00670C9E">
        <w:rPr>
          <w:rFonts w:eastAsia="Times New Roman"/>
          <w:sz w:val="24"/>
          <w:szCs w:val="24"/>
        </w:rPr>
        <w:t>”</w:t>
      </w:r>
      <w:r w:rsidR="00DC739D">
        <w:rPr>
          <w:rFonts w:eastAsia="Times New Roman"/>
          <w:sz w:val="24"/>
          <w:szCs w:val="24"/>
        </w:rPr>
        <w:t xml:space="preserve"> </w:t>
      </w:r>
      <w:r w:rsidR="005A34C0" w:rsidRPr="005A34C0">
        <w:rPr>
          <w:rFonts w:eastAsia="Times New Roman"/>
          <w:sz w:val="24"/>
          <w:szCs w:val="24"/>
        </w:rPr>
        <w:t xml:space="preserve">Ch. 316, </w:t>
      </w:r>
      <w:r w:rsidR="008A7B4A">
        <w:rPr>
          <w:rFonts w:eastAsia="Times New Roman"/>
          <w:sz w:val="24"/>
          <w:szCs w:val="24"/>
        </w:rPr>
        <w:t xml:space="preserve">sec. 1, § 18-1-901, </w:t>
      </w:r>
      <w:r w:rsidR="005A34C0" w:rsidRPr="005A34C0">
        <w:rPr>
          <w:rFonts w:eastAsia="Times New Roman"/>
          <w:sz w:val="24"/>
          <w:szCs w:val="24"/>
        </w:rPr>
        <w:t xml:space="preserve">2023 </w:t>
      </w:r>
      <w:r w:rsidR="008A7B4A">
        <w:rPr>
          <w:rFonts w:eastAsia="Times New Roman"/>
          <w:sz w:val="24"/>
          <w:szCs w:val="24"/>
        </w:rPr>
        <w:t>Colo. Sess. Laws 1916.</w:t>
      </w:r>
      <w:r w:rsidR="005A34C0">
        <w:rPr>
          <w:rFonts w:eastAsia="Times New Roman"/>
          <w:sz w:val="24"/>
          <w:szCs w:val="24"/>
        </w:rPr>
        <w:t xml:space="preserve"> </w:t>
      </w:r>
      <w:r w:rsidR="00DC739D">
        <w:rPr>
          <w:rFonts w:eastAsia="Times New Roman"/>
          <w:sz w:val="24"/>
          <w:szCs w:val="24"/>
        </w:rPr>
        <w:t xml:space="preserve">Given the context of this instruction, that statutory language is omitted. In a case involving </w:t>
      </w:r>
      <w:r w:rsidR="005A34C0">
        <w:rPr>
          <w:rFonts w:eastAsia="Times New Roman"/>
          <w:sz w:val="24"/>
          <w:szCs w:val="24"/>
        </w:rPr>
        <w:t xml:space="preserve">a dog-bite injury that also involves </w:t>
      </w:r>
      <w:r w:rsidR="00DC739D">
        <w:rPr>
          <w:rFonts w:eastAsia="Times New Roman"/>
          <w:sz w:val="24"/>
          <w:szCs w:val="24"/>
        </w:rPr>
        <w:t xml:space="preserve">penetrating knife or gunshot wounds, this statutory text should be </w:t>
      </w:r>
      <w:r w:rsidR="005A34C0">
        <w:rPr>
          <w:rFonts w:eastAsia="Times New Roman"/>
          <w:sz w:val="24"/>
          <w:szCs w:val="24"/>
        </w:rPr>
        <w:t xml:space="preserve">considered for inclusion in </w:t>
      </w:r>
      <w:r w:rsidR="00DC739D">
        <w:rPr>
          <w:rFonts w:eastAsia="Times New Roman"/>
          <w:sz w:val="24"/>
          <w:szCs w:val="24"/>
        </w:rPr>
        <w:t>paragraph (d) of the instruction.</w:t>
      </w:r>
    </w:p>
    <w:p w14:paraId="694347A2" w14:textId="6241D0EB" w:rsidR="004B4EAA" w:rsidRPr="00ED5647" w:rsidRDefault="004B4EAA" w:rsidP="00EF027F">
      <w:pPr>
        <w:spacing w:after="240"/>
        <w:ind w:firstLine="720"/>
        <w:rPr>
          <w:rFonts w:eastAsia="Times New Roman"/>
          <w:sz w:val="24"/>
          <w:szCs w:val="24"/>
        </w:rPr>
      </w:pPr>
      <w:r>
        <w:rPr>
          <w:rFonts w:eastAsia="Times New Roman"/>
          <w:sz w:val="24"/>
          <w:szCs w:val="24"/>
        </w:rPr>
        <w:t xml:space="preserve">4. </w:t>
      </w:r>
      <w:r w:rsidR="00EF027F">
        <w:rPr>
          <w:rFonts w:eastAsia="Times New Roman"/>
          <w:sz w:val="24"/>
          <w:szCs w:val="24"/>
        </w:rPr>
        <w:t>The 2023 amendment to section</w:t>
      </w:r>
      <w:r>
        <w:rPr>
          <w:rFonts w:eastAsia="Times New Roman"/>
          <w:sz w:val="24"/>
          <w:szCs w:val="24"/>
        </w:rPr>
        <w:t xml:space="preserve"> 18-1-901(3)(p) address</w:t>
      </w:r>
      <w:r w:rsidR="00EF027F">
        <w:rPr>
          <w:rFonts w:eastAsia="Times New Roman"/>
          <w:sz w:val="24"/>
          <w:szCs w:val="24"/>
        </w:rPr>
        <w:t>es</w:t>
      </w:r>
      <w:r>
        <w:rPr>
          <w:rFonts w:eastAsia="Times New Roman"/>
          <w:sz w:val="24"/>
          <w:szCs w:val="24"/>
        </w:rPr>
        <w:t xml:space="preserve"> the specific </w:t>
      </w:r>
      <w:r w:rsidR="00EF027F">
        <w:rPr>
          <w:rFonts w:eastAsia="Times New Roman"/>
          <w:sz w:val="24"/>
          <w:szCs w:val="24"/>
        </w:rPr>
        <w:t>injury</w:t>
      </w:r>
      <w:r>
        <w:rPr>
          <w:rFonts w:eastAsia="Times New Roman"/>
          <w:sz w:val="24"/>
          <w:szCs w:val="24"/>
        </w:rPr>
        <w:t xml:space="preserve"> </w:t>
      </w:r>
      <w:r w:rsidR="00EF027F">
        <w:rPr>
          <w:rFonts w:eastAsia="Times New Roman"/>
          <w:sz w:val="24"/>
          <w:szCs w:val="24"/>
        </w:rPr>
        <w:t>presented</w:t>
      </w:r>
      <w:r>
        <w:rPr>
          <w:rFonts w:eastAsia="Times New Roman"/>
          <w:sz w:val="24"/>
          <w:szCs w:val="24"/>
        </w:rPr>
        <w:t xml:space="preserve"> in </w:t>
      </w:r>
      <w:r w:rsidRPr="00E54D1B">
        <w:rPr>
          <w:rFonts w:eastAsia="Times New Roman"/>
          <w:b/>
          <w:bCs/>
          <w:sz w:val="24"/>
          <w:szCs w:val="24"/>
        </w:rPr>
        <w:t>Vigil</w:t>
      </w:r>
      <w:r>
        <w:rPr>
          <w:rFonts w:eastAsia="Times New Roman"/>
          <w:sz w:val="24"/>
          <w:szCs w:val="24"/>
        </w:rPr>
        <w:t>. The amendment do</w:t>
      </w:r>
      <w:r w:rsidR="00EF027F">
        <w:rPr>
          <w:rFonts w:eastAsia="Times New Roman"/>
          <w:sz w:val="24"/>
          <w:szCs w:val="24"/>
        </w:rPr>
        <w:t>es</w:t>
      </w:r>
      <w:r>
        <w:rPr>
          <w:rFonts w:eastAsia="Times New Roman"/>
          <w:sz w:val="24"/>
          <w:szCs w:val="24"/>
        </w:rPr>
        <w:t xml:space="preserve"> not otherwise a</w:t>
      </w:r>
      <w:r w:rsidR="00EF027F">
        <w:rPr>
          <w:rFonts w:eastAsia="Times New Roman"/>
          <w:sz w:val="24"/>
          <w:szCs w:val="24"/>
        </w:rPr>
        <w:t>brogate</w:t>
      </w:r>
      <w:r>
        <w:rPr>
          <w:rFonts w:eastAsia="Times New Roman"/>
          <w:sz w:val="24"/>
          <w:szCs w:val="24"/>
        </w:rPr>
        <w:t xml:space="preserve"> th</w:t>
      </w:r>
      <w:r w:rsidR="00F12DCB">
        <w:rPr>
          <w:rFonts w:eastAsia="Times New Roman"/>
          <w:sz w:val="24"/>
          <w:szCs w:val="24"/>
        </w:rPr>
        <w:t>at</w:t>
      </w:r>
      <w:r>
        <w:rPr>
          <w:rFonts w:eastAsia="Times New Roman"/>
          <w:sz w:val="24"/>
          <w:szCs w:val="24"/>
        </w:rPr>
        <w:t xml:space="preserve"> opinion’s fundamental ruling distinguishing actual injury from generally associated risk.</w:t>
      </w:r>
    </w:p>
    <w:p w14:paraId="566DA308" w14:textId="77777777"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14:paraId="47145B33"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14:paraId="72FB7F94" w14:textId="77777777" w:rsidR="00ED5647" w:rsidRDefault="00ED5647">
      <w:pPr>
        <w:rPr>
          <w:rFonts w:eastAsia="Times New Roman"/>
          <w:sz w:val="24"/>
          <w:szCs w:val="24"/>
        </w:rPr>
      </w:pPr>
      <w:r>
        <w:rPr>
          <w:rFonts w:eastAsia="Times New Roman"/>
          <w:sz w:val="24"/>
          <w:szCs w:val="24"/>
        </w:rPr>
        <w:br w:type="page"/>
      </w:r>
    </w:p>
    <w:p w14:paraId="355A389E" w14:textId="77777777" w:rsidR="00ED5647" w:rsidRPr="009E3DA4" w:rsidRDefault="00ED5647" w:rsidP="00ED5647">
      <w:pPr>
        <w:spacing w:after="240"/>
        <w:ind w:left="720" w:hanging="720"/>
        <w:rPr>
          <w:rFonts w:eastAsia="Times New Roman"/>
          <w:b/>
          <w:sz w:val="24"/>
          <w:szCs w:val="24"/>
        </w:rPr>
      </w:pPr>
      <w:bookmarkStart w:id="4" w:name="a13_05"/>
      <w:bookmarkEnd w:id="4"/>
      <w:r w:rsidRPr="00ED5647">
        <w:rPr>
          <w:rFonts w:eastAsia="Times New Roman"/>
          <w:b/>
          <w:sz w:val="24"/>
          <w:szCs w:val="24"/>
        </w:rPr>
        <w:lastRenderedPageBreak/>
        <w:t>13:5</w:t>
      </w:r>
      <w:r w:rsidRPr="00ED5647">
        <w:rPr>
          <w:rFonts w:eastAsia="Times New Roman"/>
          <w:b/>
          <w:sz w:val="24"/>
          <w:szCs w:val="24"/>
        </w:rPr>
        <w:tab/>
        <w:t>DAMAGES</w:t>
      </w:r>
    </w:p>
    <w:p w14:paraId="613AD5F2" w14:textId="451BBE5B"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w:t>
      </w:r>
      <w:r w:rsidR="00DA60B7">
        <w:rPr>
          <w:rFonts w:eastAsia="Times New Roman"/>
          <w:b/>
          <w:sz w:val="24"/>
          <w:szCs w:val="24"/>
        </w:rPr>
        <w:t>s</w:t>
      </w:r>
      <w:r w:rsidRPr="00ED5647">
        <w:rPr>
          <w:rFonts w:eastAsia="Times New Roman"/>
          <w:b/>
          <w:sz w:val="24"/>
          <w:szCs w:val="24"/>
        </w:rPr>
        <w:t xml:space="preserve"> 6:1, 6:1A, and 6:1B.</w:t>
      </w:r>
    </w:p>
    <w:p w14:paraId="292E88DF" w14:textId="77777777" w:rsidR="00ED5647" w:rsidRDefault="00ED5647" w:rsidP="00ED5647">
      <w:pPr>
        <w:jc w:val="center"/>
        <w:rPr>
          <w:rFonts w:eastAsia="Times New Roman"/>
          <w:sz w:val="24"/>
          <w:szCs w:val="24"/>
        </w:rPr>
      </w:pPr>
    </w:p>
    <w:p w14:paraId="79459253" w14:textId="77777777"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14:paraId="7D0B66A5"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14:paraId="396DC8BE" w14:textId="77777777"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14:paraId="43BB0427" w14:textId="77777777"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69CBE" w14:textId="77777777" w:rsidR="005F2D16" w:rsidRDefault="005F2D16" w:rsidP="0054263B">
      <w:r>
        <w:separator/>
      </w:r>
    </w:p>
    <w:p w14:paraId="6387FAE4" w14:textId="77777777" w:rsidR="005F2D16" w:rsidRDefault="005F2D16"/>
  </w:endnote>
  <w:endnote w:type="continuationSeparator" w:id="0">
    <w:p w14:paraId="0613E531" w14:textId="77777777" w:rsidR="005F2D16" w:rsidRDefault="005F2D16" w:rsidP="0054263B">
      <w:r>
        <w:continuationSeparator/>
      </w:r>
    </w:p>
    <w:p w14:paraId="444C432C" w14:textId="77777777" w:rsidR="005F2D16" w:rsidRDefault="005F2D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461C7365" w14:textId="77777777" w:rsidR="00BE6634" w:rsidRDefault="00BE6634">
        <w:pPr>
          <w:pStyle w:val="Footer"/>
          <w:jc w:val="center"/>
        </w:pPr>
        <w:r>
          <w:fldChar w:fldCharType="begin"/>
        </w:r>
        <w:r>
          <w:instrText xml:space="preserve"> PAGE   \* MERGEFORMAT </w:instrText>
        </w:r>
        <w:r>
          <w:fldChar w:fldCharType="separate"/>
        </w:r>
        <w:r w:rsidR="00E5279C">
          <w:rPr>
            <w:noProof/>
          </w:rPr>
          <w:t>2</w:t>
        </w:r>
        <w:r>
          <w:rPr>
            <w:noProof/>
          </w:rPr>
          <w:fldChar w:fldCharType="end"/>
        </w:r>
      </w:p>
    </w:sdtContent>
  </w:sdt>
  <w:p w14:paraId="4C83C507" w14:textId="77777777" w:rsidR="00BE6634" w:rsidRDefault="00BE6634">
    <w:pPr>
      <w:pStyle w:val="Footer"/>
    </w:pPr>
  </w:p>
  <w:p w14:paraId="762A877D"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EC544" w14:textId="77777777" w:rsidR="005F2D16" w:rsidRDefault="005F2D16" w:rsidP="0054263B">
      <w:r>
        <w:separator/>
      </w:r>
    </w:p>
    <w:p w14:paraId="1C62A450" w14:textId="77777777" w:rsidR="005F2D16" w:rsidRDefault="005F2D16"/>
  </w:footnote>
  <w:footnote w:type="continuationSeparator" w:id="0">
    <w:p w14:paraId="15F9B139" w14:textId="77777777" w:rsidR="005F2D16" w:rsidRDefault="005F2D16" w:rsidP="0054263B">
      <w:r>
        <w:continuationSeparator/>
      </w:r>
    </w:p>
    <w:p w14:paraId="2710850A" w14:textId="77777777" w:rsidR="005F2D16" w:rsidRDefault="005F2D1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E67BC"/>
    <w:multiLevelType w:val="hybridMultilevel"/>
    <w:tmpl w:val="81E2596A"/>
    <w:lvl w:ilvl="0" w:tplc="040A6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700349">
    <w:abstractNumId w:val="0"/>
  </w:num>
  <w:num w:numId="2" w16cid:durableId="1572276218">
    <w:abstractNumId w:val="2"/>
  </w:num>
  <w:num w:numId="3" w16cid:durableId="1478570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59B6"/>
    <w:rsid w:val="00037111"/>
    <w:rsid w:val="0006367C"/>
    <w:rsid w:val="0007611F"/>
    <w:rsid w:val="000824C8"/>
    <w:rsid w:val="00085495"/>
    <w:rsid w:val="00086163"/>
    <w:rsid w:val="0008656E"/>
    <w:rsid w:val="000921F1"/>
    <w:rsid w:val="000962C8"/>
    <w:rsid w:val="000B1B7A"/>
    <w:rsid w:val="000C204E"/>
    <w:rsid w:val="000C503A"/>
    <w:rsid w:val="000C6F97"/>
    <w:rsid w:val="000F5205"/>
    <w:rsid w:val="001117D9"/>
    <w:rsid w:val="00112C8E"/>
    <w:rsid w:val="00112FF9"/>
    <w:rsid w:val="00126B7A"/>
    <w:rsid w:val="00144917"/>
    <w:rsid w:val="0016520C"/>
    <w:rsid w:val="00172674"/>
    <w:rsid w:val="0018388B"/>
    <w:rsid w:val="001903CB"/>
    <w:rsid w:val="001913B1"/>
    <w:rsid w:val="00191498"/>
    <w:rsid w:val="00191C86"/>
    <w:rsid w:val="00196E3B"/>
    <w:rsid w:val="001A2648"/>
    <w:rsid w:val="001E0F3B"/>
    <w:rsid w:val="00200BA5"/>
    <w:rsid w:val="00202B81"/>
    <w:rsid w:val="002065D8"/>
    <w:rsid w:val="002130B3"/>
    <w:rsid w:val="0021368F"/>
    <w:rsid w:val="0021730E"/>
    <w:rsid w:val="0022134E"/>
    <w:rsid w:val="00223286"/>
    <w:rsid w:val="00227D3A"/>
    <w:rsid w:val="0024062B"/>
    <w:rsid w:val="002412A8"/>
    <w:rsid w:val="0024597C"/>
    <w:rsid w:val="002547C3"/>
    <w:rsid w:val="002654B4"/>
    <w:rsid w:val="00273777"/>
    <w:rsid w:val="00293F7E"/>
    <w:rsid w:val="002A23B0"/>
    <w:rsid w:val="002A250B"/>
    <w:rsid w:val="002B296B"/>
    <w:rsid w:val="002B5CE9"/>
    <w:rsid w:val="002D163D"/>
    <w:rsid w:val="002E0970"/>
    <w:rsid w:val="002E259A"/>
    <w:rsid w:val="002F48D6"/>
    <w:rsid w:val="00304398"/>
    <w:rsid w:val="00311703"/>
    <w:rsid w:val="00313959"/>
    <w:rsid w:val="003160B7"/>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828A3"/>
    <w:rsid w:val="0049313F"/>
    <w:rsid w:val="004B4EAA"/>
    <w:rsid w:val="004B753E"/>
    <w:rsid w:val="004C62F9"/>
    <w:rsid w:val="004C723A"/>
    <w:rsid w:val="004E7EF1"/>
    <w:rsid w:val="004F486C"/>
    <w:rsid w:val="00501BBA"/>
    <w:rsid w:val="00504199"/>
    <w:rsid w:val="00505E9A"/>
    <w:rsid w:val="005065E6"/>
    <w:rsid w:val="00516447"/>
    <w:rsid w:val="005242AC"/>
    <w:rsid w:val="0052537F"/>
    <w:rsid w:val="0053059D"/>
    <w:rsid w:val="00530BEC"/>
    <w:rsid w:val="00531F87"/>
    <w:rsid w:val="0054263B"/>
    <w:rsid w:val="0054518B"/>
    <w:rsid w:val="00547D97"/>
    <w:rsid w:val="00550AFD"/>
    <w:rsid w:val="00551538"/>
    <w:rsid w:val="00557FCC"/>
    <w:rsid w:val="005648EF"/>
    <w:rsid w:val="0057771F"/>
    <w:rsid w:val="005953B4"/>
    <w:rsid w:val="005A34C0"/>
    <w:rsid w:val="005B3A78"/>
    <w:rsid w:val="005C56C9"/>
    <w:rsid w:val="005C642F"/>
    <w:rsid w:val="005D1AD3"/>
    <w:rsid w:val="005D3156"/>
    <w:rsid w:val="005E712D"/>
    <w:rsid w:val="005F1017"/>
    <w:rsid w:val="005F19FD"/>
    <w:rsid w:val="005F2D16"/>
    <w:rsid w:val="005F5A94"/>
    <w:rsid w:val="005F6DA9"/>
    <w:rsid w:val="0062204D"/>
    <w:rsid w:val="006272FE"/>
    <w:rsid w:val="00647CC5"/>
    <w:rsid w:val="00651A64"/>
    <w:rsid w:val="00661A36"/>
    <w:rsid w:val="00661D05"/>
    <w:rsid w:val="00670C9E"/>
    <w:rsid w:val="00675252"/>
    <w:rsid w:val="00680119"/>
    <w:rsid w:val="00682B93"/>
    <w:rsid w:val="0068336D"/>
    <w:rsid w:val="00683FA1"/>
    <w:rsid w:val="00684835"/>
    <w:rsid w:val="00687304"/>
    <w:rsid w:val="006A74B6"/>
    <w:rsid w:val="006B2457"/>
    <w:rsid w:val="006B26D7"/>
    <w:rsid w:val="006E0D06"/>
    <w:rsid w:val="006E3575"/>
    <w:rsid w:val="006E62F0"/>
    <w:rsid w:val="006F7DC0"/>
    <w:rsid w:val="00702B5A"/>
    <w:rsid w:val="0070339D"/>
    <w:rsid w:val="007072AD"/>
    <w:rsid w:val="0070752A"/>
    <w:rsid w:val="007119D8"/>
    <w:rsid w:val="0071225B"/>
    <w:rsid w:val="00713866"/>
    <w:rsid w:val="007216DA"/>
    <w:rsid w:val="007303AA"/>
    <w:rsid w:val="00745BFD"/>
    <w:rsid w:val="007532AB"/>
    <w:rsid w:val="00792028"/>
    <w:rsid w:val="0079698A"/>
    <w:rsid w:val="007A3A0E"/>
    <w:rsid w:val="007A612E"/>
    <w:rsid w:val="007B1633"/>
    <w:rsid w:val="007D198E"/>
    <w:rsid w:val="007D2BCE"/>
    <w:rsid w:val="007D39CC"/>
    <w:rsid w:val="007E1675"/>
    <w:rsid w:val="007F7129"/>
    <w:rsid w:val="00801691"/>
    <w:rsid w:val="00813A6B"/>
    <w:rsid w:val="00816F8C"/>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81C04"/>
    <w:rsid w:val="00895065"/>
    <w:rsid w:val="008A475A"/>
    <w:rsid w:val="008A6339"/>
    <w:rsid w:val="008A637B"/>
    <w:rsid w:val="008A7B4A"/>
    <w:rsid w:val="008B1617"/>
    <w:rsid w:val="008C1739"/>
    <w:rsid w:val="008C1F4A"/>
    <w:rsid w:val="008D2D56"/>
    <w:rsid w:val="008D4A28"/>
    <w:rsid w:val="008D609F"/>
    <w:rsid w:val="008D775B"/>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24A32"/>
    <w:rsid w:val="00A36457"/>
    <w:rsid w:val="00A37A3B"/>
    <w:rsid w:val="00A567BB"/>
    <w:rsid w:val="00A632A0"/>
    <w:rsid w:val="00A73AE6"/>
    <w:rsid w:val="00A80C10"/>
    <w:rsid w:val="00A82D0A"/>
    <w:rsid w:val="00A85AAA"/>
    <w:rsid w:val="00A92C18"/>
    <w:rsid w:val="00AB2019"/>
    <w:rsid w:val="00AB71A7"/>
    <w:rsid w:val="00AC78F7"/>
    <w:rsid w:val="00AD4B56"/>
    <w:rsid w:val="00AE1465"/>
    <w:rsid w:val="00AF7D47"/>
    <w:rsid w:val="00B0264D"/>
    <w:rsid w:val="00B04F8C"/>
    <w:rsid w:val="00B16ED2"/>
    <w:rsid w:val="00B25265"/>
    <w:rsid w:val="00B32E46"/>
    <w:rsid w:val="00B37722"/>
    <w:rsid w:val="00B567C1"/>
    <w:rsid w:val="00B579DF"/>
    <w:rsid w:val="00B6275E"/>
    <w:rsid w:val="00B70D68"/>
    <w:rsid w:val="00B719C2"/>
    <w:rsid w:val="00B72D6B"/>
    <w:rsid w:val="00B74DA8"/>
    <w:rsid w:val="00B80FD1"/>
    <w:rsid w:val="00B82413"/>
    <w:rsid w:val="00B937E4"/>
    <w:rsid w:val="00B97801"/>
    <w:rsid w:val="00BA2389"/>
    <w:rsid w:val="00BA27A8"/>
    <w:rsid w:val="00BA510E"/>
    <w:rsid w:val="00BC49BF"/>
    <w:rsid w:val="00BC65EF"/>
    <w:rsid w:val="00BE2B09"/>
    <w:rsid w:val="00BE654D"/>
    <w:rsid w:val="00BE6634"/>
    <w:rsid w:val="00C0335F"/>
    <w:rsid w:val="00C21AFD"/>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CF7ED6"/>
    <w:rsid w:val="00D014AE"/>
    <w:rsid w:val="00D05926"/>
    <w:rsid w:val="00D06D8D"/>
    <w:rsid w:val="00D0749F"/>
    <w:rsid w:val="00D23BD0"/>
    <w:rsid w:val="00D333AA"/>
    <w:rsid w:val="00D347CA"/>
    <w:rsid w:val="00D51E80"/>
    <w:rsid w:val="00D53848"/>
    <w:rsid w:val="00D53AC5"/>
    <w:rsid w:val="00D5484F"/>
    <w:rsid w:val="00D8125F"/>
    <w:rsid w:val="00DA1796"/>
    <w:rsid w:val="00DA2814"/>
    <w:rsid w:val="00DA60B7"/>
    <w:rsid w:val="00DB2C90"/>
    <w:rsid w:val="00DB7473"/>
    <w:rsid w:val="00DC63A9"/>
    <w:rsid w:val="00DC66A6"/>
    <w:rsid w:val="00DC739D"/>
    <w:rsid w:val="00DC7533"/>
    <w:rsid w:val="00DE2930"/>
    <w:rsid w:val="00DF0595"/>
    <w:rsid w:val="00DF2CB7"/>
    <w:rsid w:val="00DF3BF1"/>
    <w:rsid w:val="00E007F8"/>
    <w:rsid w:val="00E03B09"/>
    <w:rsid w:val="00E058BA"/>
    <w:rsid w:val="00E111AA"/>
    <w:rsid w:val="00E11828"/>
    <w:rsid w:val="00E172C8"/>
    <w:rsid w:val="00E24E10"/>
    <w:rsid w:val="00E40195"/>
    <w:rsid w:val="00E50187"/>
    <w:rsid w:val="00E5279C"/>
    <w:rsid w:val="00E54D1B"/>
    <w:rsid w:val="00E55147"/>
    <w:rsid w:val="00E551EB"/>
    <w:rsid w:val="00E67638"/>
    <w:rsid w:val="00E70C9B"/>
    <w:rsid w:val="00E7526A"/>
    <w:rsid w:val="00E87C31"/>
    <w:rsid w:val="00E87FFB"/>
    <w:rsid w:val="00E970B9"/>
    <w:rsid w:val="00EA5C53"/>
    <w:rsid w:val="00EA74E3"/>
    <w:rsid w:val="00EB113C"/>
    <w:rsid w:val="00EC17E3"/>
    <w:rsid w:val="00EC3919"/>
    <w:rsid w:val="00EC7C98"/>
    <w:rsid w:val="00ED5647"/>
    <w:rsid w:val="00ED5E52"/>
    <w:rsid w:val="00ED7176"/>
    <w:rsid w:val="00ED75EA"/>
    <w:rsid w:val="00EE2C7E"/>
    <w:rsid w:val="00EF027F"/>
    <w:rsid w:val="00EF1E2D"/>
    <w:rsid w:val="00EF4043"/>
    <w:rsid w:val="00EF6FBA"/>
    <w:rsid w:val="00F022D4"/>
    <w:rsid w:val="00F062A4"/>
    <w:rsid w:val="00F12DCB"/>
    <w:rsid w:val="00F32AA4"/>
    <w:rsid w:val="00F32CBF"/>
    <w:rsid w:val="00F36654"/>
    <w:rsid w:val="00F573CF"/>
    <w:rsid w:val="00F57A2B"/>
    <w:rsid w:val="00F658E5"/>
    <w:rsid w:val="00F764F4"/>
    <w:rsid w:val="00F77EB0"/>
    <w:rsid w:val="00F86F49"/>
    <w:rsid w:val="00FA333E"/>
    <w:rsid w:val="00FA6D4B"/>
    <w:rsid w:val="00FA7B76"/>
    <w:rsid w:val="00FD2DF4"/>
    <w:rsid w:val="00FD5230"/>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37DED"/>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4828A3"/>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6DE752-5823-4D63-8BE0-596EEDBFB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2787</Words>
  <Characters>15889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dc:title>
  <dc:creator>Ellen Buckley</dc:creator>
  <cp:lastModifiedBy>beck, jeremy</cp:lastModifiedBy>
  <cp:revision>4</cp:revision>
  <cp:lastPrinted>2025-02-11T19:15:00Z</cp:lastPrinted>
  <dcterms:created xsi:type="dcterms:W3CDTF">2025-01-27T20:36:00Z</dcterms:created>
  <dcterms:modified xsi:type="dcterms:W3CDTF">2025-02-11T19:15:00Z</dcterms:modified>
</cp:coreProperties>
</file>