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5931" w14:textId="188DB3E0" w:rsidR="00CA41CC" w:rsidRPr="00914128" w:rsidRDefault="003F736D" w:rsidP="00914128">
      <w:pPr>
        <w:pStyle w:val="Heading1"/>
      </w:pPr>
      <w:r>
        <w:t>CHAPTER 2</w:t>
      </w:r>
    </w:p>
    <w:p w14:paraId="6BE79C11" w14:textId="77777777" w:rsidR="00EC7C98" w:rsidRPr="00914128" w:rsidRDefault="0023522F" w:rsidP="00914128">
      <w:pPr>
        <w:pStyle w:val="Heading1"/>
      </w:pPr>
      <w:r>
        <w:t>statement of the case to be determined</w:t>
      </w:r>
    </w:p>
    <w:p w14:paraId="2F5B2E57" w14:textId="77777777" w:rsidR="00EC7C98" w:rsidRDefault="00E16588" w:rsidP="00914128">
      <w:pPr>
        <w:pStyle w:val="ToC"/>
      </w:pPr>
      <w:hyperlink w:anchor="a2_1" w:history="1">
        <w:r w:rsidR="003E4DA9" w:rsidRPr="008A6164">
          <w:rPr>
            <w:rStyle w:val="Hyperlink"/>
          </w:rPr>
          <w:t>2:1</w:t>
        </w:r>
      </w:hyperlink>
      <w:r w:rsidR="003E4DA9" w:rsidRPr="00EC7C98">
        <w:tab/>
      </w:r>
      <w:r w:rsidR="003E4DA9" w:rsidRPr="008A6164">
        <w:t xml:space="preserve">Liability </w:t>
      </w:r>
      <w:r w:rsidR="003E4DA9">
        <w:t>i</w:t>
      </w:r>
      <w:r w:rsidR="003E4DA9" w:rsidRPr="008A6164">
        <w:t>n Issue — No Counterclaim</w:t>
      </w:r>
    </w:p>
    <w:p w14:paraId="580D8450" w14:textId="77777777" w:rsidR="008A6164" w:rsidRPr="00EC7C98" w:rsidRDefault="00E16588" w:rsidP="008A6164">
      <w:pPr>
        <w:pStyle w:val="ToC"/>
      </w:pPr>
      <w:hyperlink w:anchor="a2_2" w:history="1">
        <w:r w:rsidR="003E4DA9" w:rsidRPr="008A6164">
          <w:rPr>
            <w:rStyle w:val="Hyperlink"/>
          </w:rPr>
          <w:t>2:2</w:t>
        </w:r>
      </w:hyperlink>
      <w:r w:rsidR="003E4DA9">
        <w:tab/>
      </w:r>
      <w:r w:rsidR="003E4DA9" w:rsidRPr="008A6164">
        <w:t xml:space="preserve">Liability </w:t>
      </w:r>
      <w:r w:rsidR="003E4DA9">
        <w:t>i</w:t>
      </w:r>
      <w:r w:rsidR="003E4DA9" w:rsidRPr="008A6164">
        <w:t>n Issue — Counterclaim</w:t>
      </w:r>
    </w:p>
    <w:p w14:paraId="1999E08F" w14:textId="77777777" w:rsidR="008A6164" w:rsidRPr="00EC7C98" w:rsidRDefault="00E16588" w:rsidP="008A6164">
      <w:pPr>
        <w:pStyle w:val="ToC"/>
      </w:pPr>
      <w:hyperlink w:anchor="a2_3" w:history="1">
        <w:r w:rsidR="003E4DA9" w:rsidRPr="008A6164">
          <w:rPr>
            <w:rStyle w:val="Hyperlink"/>
          </w:rPr>
          <w:t>2:3</w:t>
        </w:r>
      </w:hyperlink>
      <w:r w:rsidR="003E4DA9">
        <w:tab/>
        <w:t>Liability i</w:t>
      </w:r>
      <w:r w:rsidR="003E4DA9" w:rsidRPr="008A6164">
        <w:t>n Issue — Third-Party Complaint</w:t>
      </w:r>
    </w:p>
    <w:p w14:paraId="3F488C37" w14:textId="77777777" w:rsidR="008A6164" w:rsidRPr="00EC7C98" w:rsidRDefault="00E16588" w:rsidP="008A6164">
      <w:pPr>
        <w:pStyle w:val="ToC"/>
      </w:pPr>
      <w:hyperlink w:anchor="a2_4" w:history="1">
        <w:r w:rsidR="003E4DA9" w:rsidRPr="008A6164">
          <w:rPr>
            <w:rStyle w:val="Hyperlink"/>
          </w:rPr>
          <w:t>2:4</w:t>
        </w:r>
      </w:hyperlink>
      <w:r w:rsidR="003E4DA9">
        <w:tab/>
      </w:r>
      <w:r w:rsidR="003E4DA9" w:rsidRPr="008A6164">
        <w:t>Admitted Liability</w:t>
      </w:r>
    </w:p>
    <w:p w14:paraId="5D37F1A5" w14:textId="77777777" w:rsidR="008A6164" w:rsidRPr="00EC7C98" w:rsidRDefault="00E16588" w:rsidP="008A6164">
      <w:pPr>
        <w:pStyle w:val="ToC"/>
      </w:pPr>
      <w:hyperlink w:anchor="a2_5" w:history="1">
        <w:r w:rsidR="003E4DA9" w:rsidRPr="008A6164">
          <w:rPr>
            <w:rStyle w:val="Hyperlink"/>
          </w:rPr>
          <w:t>2:5</w:t>
        </w:r>
      </w:hyperlink>
      <w:r w:rsidR="003E4DA9">
        <w:tab/>
      </w:r>
      <w:r w:rsidR="003E4DA9" w:rsidRPr="008A6164">
        <w:t xml:space="preserve">Directed Verdict </w:t>
      </w:r>
      <w:r w:rsidR="003E4DA9">
        <w:t>a</w:t>
      </w:r>
      <w:r w:rsidR="003E4DA9" w:rsidRPr="008A6164">
        <w:t xml:space="preserve">s </w:t>
      </w:r>
      <w:r w:rsidR="003E4DA9">
        <w:t>t</w:t>
      </w:r>
      <w:r w:rsidR="003E4DA9" w:rsidRPr="008A6164">
        <w:t xml:space="preserve">o Liability — Damages Only </w:t>
      </w:r>
      <w:r w:rsidR="003E4DA9">
        <w:t>i</w:t>
      </w:r>
      <w:r w:rsidR="003E4DA9" w:rsidRPr="008A6164">
        <w:t>n Issue — General</w:t>
      </w:r>
    </w:p>
    <w:p w14:paraId="463E34B6" w14:textId="77777777" w:rsidR="008A6164" w:rsidRPr="00EC7C98" w:rsidRDefault="00E16588" w:rsidP="00914128">
      <w:pPr>
        <w:pStyle w:val="ToC"/>
      </w:pPr>
      <w:hyperlink w:anchor="a2_6" w:history="1">
        <w:r w:rsidR="003E4DA9" w:rsidRPr="008A6164">
          <w:rPr>
            <w:rStyle w:val="Hyperlink"/>
          </w:rPr>
          <w:t>2:6</w:t>
        </w:r>
      </w:hyperlink>
      <w:r w:rsidR="003E4DA9">
        <w:tab/>
      </w:r>
      <w:r w:rsidR="003E4DA9" w:rsidRPr="008A6164">
        <w:t xml:space="preserve">Directed Verdict </w:t>
      </w:r>
      <w:r w:rsidR="003E4DA9">
        <w:t>a</w:t>
      </w:r>
      <w:r w:rsidR="003E4DA9" w:rsidRPr="008A6164">
        <w:t xml:space="preserve">s </w:t>
      </w:r>
      <w:r w:rsidR="003E4DA9">
        <w:t>to Liability — Damages Only i</w:t>
      </w:r>
      <w:r w:rsidR="003E4DA9" w:rsidRPr="008A6164">
        <w:t>n Issue — Negligence</w:t>
      </w:r>
    </w:p>
    <w:p w14:paraId="5B7907ED" w14:textId="77777777" w:rsidR="00352111" w:rsidRPr="00352111" w:rsidRDefault="00352111">
      <w:pPr>
        <w:rPr>
          <w:rFonts w:eastAsia="Times New Roman"/>
          <w:sz w:val="24"/>
          <w:szCs w:val="24"/>
        </w:rPr>
      </w:pPr>
      <w:r w:rsidRPr="00352111">
        <w:rPr>
          <w:rFonts w:eastAsia="Times New Roman"/>
          <w:sz w:val="24"/>
          <w:szCs w:val="24"/>
        </w:rPr>
        <w:br w:type="page"/>
      </w:r>
    </w:p>
    <w:p w14:paraId="4D31F8D2" w14:textId="77777777" w:rsidR="009E3DA4" w:rsidRPr="009E3DA4" w:rsidRDefault="0023522F" w:rsidP="00483244">
      <w:pPr>
        <w:spacing w:after="240"/>
        <w:ind w:left="720" w:hanging="720"/>
        <w:rPr>
          <w:rFonts w:eastAsia="Times New Roman"/>
          <w:b/>
          <w:sz w:val="24"/>
          <w:szCs w:val="24"/>
        </w:rPr>
      </w:pPr>
      <w:bookmarkStart w:id="0" w:name="a2_1"/>
      <w:bookmarkEnd w:id="0"/>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14:paraId="11237572"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14:paraId="185D5222"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14:paraId="4F24B346"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23522F">
        <w:rPr>
          <w:rFonts w:eastAsia="Times New Roman"/>
          <w:b/>
          <w:sz w:val="24"/>
          <w:szCs w:val="24"/>
        </w:rPr>
        <w:t>.</w:t>
      </w:r>
    </w:p>
    <w:p w14:paraId="4DFE64DD"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(describe briefly the admitted facts, if any)</w:t>
      </w:r>
      <w:r w:rsidRPr="0023522F">
        <w:rPr>
          <w:rFonts w:eastAsia="Times New Roman"/>
          <w:b/>
          <w:sz w:val="24"/>
          <w:szCs w:val="24"/>
        </w:rPr>
        <w:t xml:space="preserve">. The defendant denies </w:t>
      </w:r>
      <w:r w:rsidRPr="0023522F">
        <w:rPr>
          <w:rFonts w:eastAsia="Times New Roman"/>
          <w:i/>
          <w:sz w:val="24"/>
          <w:szCs w:val="24"/>
        </w:rPr>
        <w:t>(describe briefly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(describe briefly the defendant’s affirmative defense[s])</w:t>
      </w:r>
      <w:r w:rsidRPr="0023522F">
        <w:rPr>
          <w:rFonts w:eastAsia="Times New Roman"/>
          <w:b/>
          <w:sz w:val="24"/>
          <w:szCs w:val="24"/>
        </w:rPr>
        <w:t>.</w:t>
      </w:r>
    </w:p>
    <w:p w14:paraId="3370435C"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14:paraId="74D4E86D" w14:textId="77777777" w:rsidR="00832DB4" w:rsidRDefault="00832DB4" w:rsidP="0054263B">
      <w:pPr>
        <w:jc w:val="center"/>
        <w:rPr>
          <w:rFonts w:eastAsia="Times New Roman"/>
          <w:sz w:val="24"/>
          <w:szCs w:val="24"/>
        </w:rPr>
      </w:pPr>
    </w:p>
    <w:p w14:paraId="26E58CCB"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F571080"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1. This instruction should be appropriately modified or supplemented to comply with C.R.C.P. 47(a)(2)(IV) and (V). </w:t>
      </w:r>
      <w:r w:rsidRPr="0023522F">
        <w:rPr>
          <w:rFonts w:eastAsia="Times New Roman"/>
          <w:i/>
          <w:sz w:val="24"/>
          <w:szCs w:val="24"/>
        </w:rPr>
        <w:t>See also</w:t>
      </w:r>
      <w:r w:rsidRPr="0023522F">
        <w:rPr>
          <w:rFonts w:eastAsia="Times New Roman"/>
          <w:sz w:val="24"/>
          <w:szCs w:val="24"/>
        </w:rPr>
        <w:t xml:space="preserve"> C.R.C.P. 47 cmt. </w:t>
      </w:r>
    </w:p>
    <w:p w14:paraId="5A20E6A6"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amount of damages sought by any party. </w:t>
      </w:r>
      <w:r w:rsidRPr="0023522F">
        <w:rPr>
          <w:rFonts w:eastAsia="Times New Roman"/>
          <w:b/>
          <w:sz w:val="24"/>
          <w:szCs w:val="24"/>
        </w:rPr>
        <w:t>Rodrigue v. Hausman</w:t>
      </w:r>
      <w:r w:rsidRPr="0023522F">
        <w:rPr>
          <w:rFonts w:eastAsia="Times New Roman"/>
          <w:sz w:val="24"/>
          <w:szCs w:val="24"/>
        </w:rPr>
        <w:t xml:space="preserve">, 33 Colo. App. 305, 519 P.2d 1216 (1974). </w:t>
      </w:r>
    </w:p>
    <w:p w14:paraId="3B3D5A94"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3. In a district court case, if the parties have stipulated pursuant to C.R.C.P.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14:paraId="3BC8A54D"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14:paraId="1B7A4408"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14:paraId="3C909E34"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14:paraId="13120CA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367D363E" w14:textId="77777777" w:rsidR="000C6F97" w:rsidRDefault="0023522F" w:rsidP="0023522F">
      <w:pPr>
        <w:spacing w:after="240"/>
        <w:ind w:firstLine="720"/>
        <w:rPr>
          <w:rFonts w:eastAsia="Times New Roman"/>
          <w:sz w:val="24"/>
          <w:szCs w:val="24"/>
        </w:rPr>
      </w:pPr>
      <w:r w:rsidRPr="0023522F">
        <w:rPr>
          <w:rFonts w:eastAsia="Times New Roman"/>
          <w:sz w:val="24"/>
          <w:szCs w:val="24"/>
        </w:rPr>
        <w:t>This instruction is supported by C.R.C.P. 47(a)(2)(IV) and 347(a)(2)(IV).</w:t>
      </w:r>
    </w:p>
    <w:p w14:paraId="7C96C9DA" w14:textId="77777777" w:rsidR="00FA7AB0" w:rsidRDefault="00FA7AB0">
      <w:pPr>
        <w:rPr>
          <w:rFonts w:eastAsia="Times New Roman"/>
          <w:sz w:val="24"/>
          <w:szCs w:val="24"/>
        </w:rPr>
      </w:pPr>
      <w:r>
        <w:rPr>
          <w:rFonts w:eastAsia="Times New Roman"/>
          <w:sz w:val="24"/>
          <w:szCs w:val="24"/>
        </w:rPr>
        <w:br w:type="page"/>
      </w:r>
    </w:p>
    <w:p w14:paraId="3FCAAE86" w14:textId="77777777" w:rsidR="00FA7AB0" w:rsidRPr="009E3DA4" w:rsidRDefault="00FA7AB0" w:rsidP="00483244">
      <w:pPr>
        <w:spacing w:after="240"/>
        <w:ind w:left="720" w:hanging="720"/>
        <w:rPr>
          <w:rFonts w:eastAsia="Times New Roman"/>
          <w:b/>
          <w:sz w:val="24"/>
          <w:szCs w:val="24"/>
        </w:rPr>
      </w:pPr>
      <w:bookmarkStart w:id="1" w:name="a2_2"/>
      <w:bookmarkEnd w:id="1"/>
      <w:r w:rsidRPr="00FA7AB0">
        <w:rPr>
          <w:rFonts w:eastAsia="Times New Roman"/>
          <w:b/>
          <w:sz w:val="24"/>
          <w:szCs w:val="24"/>
        </w:rPr>
        <w:lastRenderedPageBreak/>
        <w:t xml:space="preserve">2:2 </w:t>
      </w:r>
      <w:r w:rsidRPr="00FA7AB0">
        <w:rPr>
          <w:rFonts w:eastAsia="Times New Roman"/>
          <w:b/>
          <w:sz w:val="24"/>
          <w:szCs w:val="24"/>
        </w:rPr>
        <w:tab/>
        <w:t>LIABILITY IN ISSUE — COUNTERCLAIM</w:t>
      </w:r>
    </w:p>
    <w:p w14:paraId="5D962E1C"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14:paraId="6573C36F"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14:paraId="251D5C4E"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14:paraId="726AF426"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(describe briefly the defendant’s affirmative defense[s])</w:t>
      </w:r>
      <w:r w:rsidRPr="00FA7AB0">
        <w:rPr>
          <w:rFonts w:eastAsia="Times New Roman"/>
          <w:b/>
          <w:sz w:val="24"/>
          <w:szCs w:val="24"/>
        </w:rPr>
        <w:t>.</w:t>
      </w:r>
    </w:p>
    <w:p w14:paraId="0C255184"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14:paraId="0EB4E43C"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(describe briefly the admitted facts, if any)</w:t>
      </w:r>
      <w:r w:rsidRPr="00FA7AB0">
        <w:rPr>
          <w:rFonts w:eastAsia="Times New Roman"/>
          <w:b/>
          <w:sz w:val="24"/>
          <w:szCs w:val="24"/>
        </w:rPr>
        <w:t xml:space="preserve">. The plaintiff denies </w:t>
      </w:r>
      <w:r w:rsidRPr="00FA7AB0">
        <w:rPr>
          <w:rFonts w:eastAsia="Times New Roman"/>
          <w:i/>
          <w:sz w:val="24"/>
          <w:szCs w:val="24"/>
        </w:rPr>
        <w:t>(describe briefly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(describe briefly the plaintiff’s affirmative defense[s])</w:t>
      </w:r>
      <w:r w:rsidRPr="00FA7AB0">
        <w:rPr>
          <w:rFonts w:eastAsia="Times New Roman"/>
          <w:b/>
          <w:sz w:val="24"/>
          <w:szCs w:val="24"/>
        </w:rPr>
        <w:t>.</w:t>
      </w:r>
    </w:p>
    <w:p w14:paraId="4CA49CE0"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14:paraId="6223175D" w14:textId="77777777" w:rsidR="00FA7AB0" w:rsidRDefault="00FA7AB0" w:rsidP="00FA7AB0">
      <w:pPr>
        <w:jc w:val="center"/>
        <w:rPr>
          <w:rFonts w:eastAsia="Times New Roman"/>
          <w:sz w:val="24"/>
          <w:szCs w:val="24"/>
        </w:rPr>
      </w:pPr>
    </w:p>
    <w:p w14:paraId="77442A64" w14:textId="77777777"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14:paraId="0D1B35D8" w14:textId="77777777" w:rsidR="00FA7AB0" w:rsidRPr="00FA7AB0" w:rsidRDefault="00FA7AB0" w:rsidP="00FA7AB0">
      <w:pPr>
        <w:spacing w:after="240"/>
        <w:ind w:firstLine="720"/>
        <w:rPr>
          <w:rFonts w:eastAsia="Times New Roman"/>
          <w:sz w:val="24"/>
          <w:szCs w:val="24"/>
        </w:rPr>
      </w:pPr>
      <w:r w:rsidRPr="00FA7AB0">
        <w:rPr>
          <w:rFonts w:eastAsia="Times New Roman"/>
          <w:sz w:val="24"/>
          <w:szCs w:val="24"/>
        </w:rPr>
        <w:t xml:space="preserve">1. This instruction should be appropriately modified or supplemented to comply with C.R.C.P. 47(a)(2)(IV) and (V). </w:t>
      </w:r>
      <w:r w:rsidRPr="00FA7AB0">
        <w:rPr>
          <w:rFonts w:eastAsia="Times New Roman"/>
          <w:i/>
          <w:sz w:val="24"/>
          <w:szCs w:val="24"/>
        </w:rPr>
        <w:t>See also</w:t>
      </w:r>
      <w:r w:rsidRPr="00FA7AB0">
        <w:rPr>
          <w:rFonts w:eastAsia="Times New Roman"/>
          <w:sz w:val="24"/>
          <w:szCs w:val="24"/>
        </w:rPr>
        <w:t xml:space="preserve"> C.R.C.P. 47 cmt.</w:t>
      </w:r>
    </w:p>
    <w:p w14:paraId="67ED4827" w14:textId="77777777"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14:paraId="14F5F236" w14:textId="77777777"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14:paraId="3A59C6A0" w14:textId="77777777" w:rsidR="00FA7AB0" w:rsidRDefault="00FA7AB0" w:rsidP="00FA7AB0">
      <w:pPr>
        <w:spacing w:after="240"/>
        <w:ind w:firstLine="720"/>
        <w:rPr>
          <w:rFonts w:eastAsia="Times New Roman"/>
          <w:sz w:val="24"/>
          <w:szCs w:val="24"/>
        </w:rPr>
      </w:pPr>
      <w:r w:rsidRPr="00FA7AB0">
        <w:rPr>
          <w:rFonts w:eastAsia="Times New Roman"/>
          <w:sz w:val="24"/>
          <w:szCs w:val="24"/>
        </w:rPr>
        <w:t>This instruction is supported by C.R.C.P. 47(a)(2)(IV) and 347(a)(2)(IV).</w:t>
      </w:r>
    </w:p>
    <w:p w14:paraId="2125CD21" w14:textId="77777777" w:rsidR="00890903" w:rsidRDefault="00890903">
      <w:pPr>
        <w:rPr>
          <w:rFonts w:eastAsia="Times New Roman"/>
          <w:sz w:val="24"/>
          <w:szCs w:val="24"/>
        </w:rPr>
      </w:pPr>
      <w:r>
        <w:rPr>
          <w:rFonts w:eastAsia="Times New Roman"/>
          <w:sz w:val="24"/>
          <w:szCs w:val="24"/>
        </w:rPr>
        <w:br w:type="page"/>
      </w:r>
    </w:p>
    <w:p w14:paraId="423B3F22" w14:textId="77777777" w:rsidR="00890903" w:rsidRPr="009E3DA4" w:rsidRDefault="00890903" w:rsidP="00483244">
      <w:pPr>
        <w:spacing w:after="240"/>
        <w:ind w:left="720" w:hanging="720"/>
        <w:rPr>
          <w:rFonts w:eastAsia="Times New Roman"/>
          <w:b/>
          <w:sz w:val="24"/>
          <w:szCs w:val="24"/>
        </w:rPr>
      </w:pPr>
      <w:bookmarkStart w:id="2" w:name="a2_3"/>
      <w:bookmarkEnd w:id="2"/>
      <w:r w:rsidRPr="00890903">
        <w:rPr>
          <w:rFonts w:eastAsia="Times New Roman"/>
          <w:b/>
          <w:sz w:val="24"/>
          <w:szCs w:val="24"/>
        </w:rPr>
        <w:lastRenderedPageBreak/>
        <w:t xml:space="preserve">2:3 </w:t>
      </w:r>
      <w:r w:rsidRPr="00890903">
        <w:rPr>
          <w:rFonts w:eastAsia="Times New Roman"/>
          <w:b/>
          <w:sz w:val="24"/>
          <w:szCs w:val="24"/>
        </w:rPr>
        <w:tab/>
        <w:t>LIABILITY IN ISSUE — THIRD-PARTY COMPLAINT</w:t>
      </w:r>
    </w:p>
    <w:p w14:paraId="75F1D483"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14:paraId="5972ABA3"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14:paraId="1F2F6468"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782BBB9A"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40C8EA46"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76D0457C"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2F069FE2"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14:paraId="2C306211" w14:textId="77777777" w:rsidR="00890903" w:rsidRDefault="00890903" w:rsidP="00890903">
      <w:pPr>
        <w:jc w:val="center"/>
        <w:rPr>
          <w:rFonts w:eastAsia="Times New Roman"/>
          <w:sz w:val="24"/>
          <w:szCs w:val="24"/>
        </w:rPr>
      </w:pPr>
    </w:p>
    <w:p w14:paraId="572EEC28" w14:textId="77777777"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14:paraId="3E26AD66"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C.R.C.P. 47(a)(2)(IV) and (V). </w:t>
      </w:r>
      <w:r w:rsidRPr="00890903">
        <w:rPr>
          <w:rFonts w:eastAsia="Times New Roman"/>
          <w:i/>
          <w:sz w:val="24"/>
          <w:szCs w:val="24"/>
        </w:rPr>
        <w:t>See also</w:t>
      </w:r>
      <w:r w:rsidRPr="00890903">
        <w:rPr>
          <w:rFonts w:eastAsia="Times New Roman"/>
          <w:sz w:val="24"/>
          <w:szCs w:val="24"/>
        </w:rPr>
        <w:t xml:space="preserve"> C.R.C.P. 47 cmt.</w:t>
      </w:r>
    </w:p>
    <w:p w14:paraId="6CD6E6FC"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14:paraId="0B6855F3"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14:paraId="3CB5FD41"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4. This instruction should be used only in district courts where, under C.R.C.P. 14, the joinder of third-party defendants is allowed. There is no comparable rule in county courts.</w:t>
      </w:r>
    </w:p>
    <w:p w14:paraId="2CC18660" w14:textId="77777777" w:rsidR="00890903" w:rsidRPr="0054263B" w:rsidRDefault="00890903" w:rsidP="00890903">
      <w:pPr>
        <w:keepNext/>
        <w:spacing w:after="240"/>
        <w:jc w:val="center"/>
        <w:rPr>
          <w:rFonts w:eastAsia="Times New Roman"/>
          <w:b/>
          <w:sz w:val="24"/>
          <w:szCs w:val="24"/>
        </w:rPr>
      </w:pPr>
      <w:r>
        <w:rPr>
          <w:rFonts w:eastAsia="Times New Roman"/>
          <w:b/>
          <w:sz w:val="24"/>
          <w:szCs w:val="24"/>
        </w:rPr>
        <w:lastRenderedPageBreak/>
        <w:t>Source and Authority</w:t>
      </w:r>
    </w:p>
    <w:p w14:paraId="174CC999"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This instruction is supported by C.R.C.P. 47(a)(2)(IV) and 347(a)(2)(IV).</w:t>
      </w:r>
    </w:p>
    <w:p w14:paraId="77DEB950" w14:textId="77777777" w:rsidR="00455BC4" w:rsidRDefault="00455BC4">
      <w:pPr>
        <w:rPr>
          <w:rFonts w:eastAsia="Times New Roman"/>
          <w:sz w:val="24"/>
          <w:szCs w:val="24"/>
        </w:rPr>
      </w:pPr>
      <w:r>
        <w:rPr>
          <w:rFonts w:eastAsia="Times New Roman"/>
          <w:sz w:val="24"/>
          <w:szCs w:val="24"/>
        </w:rPr>
        <w:br w:type="page"/>
      </w:r>
    </w:p>
    <w:p w14:paraId="36781DE3" w14:textId="77777777" w:rsidR="00455BC4" w:rsidRPr="009E3DA4" w:rsidRDefault="00455BC4" w:rsidP="00483244">
      <w:pPr>
        <w:spacing w:after="240"/>
        <w:ind w:left="720" w:hanging="720"/>
        <w:rPr>
          <w:rFonts w:eastAsia="Times New Roman"/>
          <w:b/>
          <w:sz w:val="24"/>
          <w:szCs w:val="24"/>
        </w:rPr>
      </w:pPr>
      <w:bookmarkStart w:id="3" w:name="a2_4"/>
      <w:bookmarkEnd w:id="3"/>
      <w:r w:rsidRPr="00455BC4">
        <w:rPr>
          <w:rFonts w:eastAsia="Times New Roman"/>
          <w:b/>
          <w:sz w:val="24"/>
          <w:szCs w:val="24"/>
        </w:rPr>
        <w:lastRenderedPageBreak/>
        <w:t xml:space="preserve">2:4 </w:t>
      </w:r>
      <w:r w:rsidRPr="00455BC4">
        <w:rPr>
          <w:rFonts w:eastAsia="Times New Roman"/>
          <w:b/>
          <w:sz w:val="24"/>
          <w:szCs w:val="24"/>
        </w:rPr>
        <w:tab/>
        <w:t>ADMITTED LIABILITY</w:t>
      </w:r>
    </w:p>
    <w:p w14:paraId="391F4FA1" w14:textId="77777777"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14:paraId="013E95E1" w14:textId="3633EF8C"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fact that the defendant has admitted that </w:t>
      </w:r>
      <w:r w:rsidR="00533B7B" w:rsidRPr="00AA267B">
        <w:rPr>
          <w:rFonts w:eastAsia="Times New Roman"/>
          <w:bCs/>
          <w:i/>
          <w:iCs/>
          <w:sz w:val="24"/>
          <w:szCs w:val="24"/>
        </w:rPr>
        <w:t>(</w:t>
      </w:r>
      <w:r w:rsidR="00533B7B">
        <w:rPr>
          <w:rFonts w:eastAsia="Times New Roman"/>
          <w:i/>
          <w:sz w:val="24"/>
          <w:szCs w:val="24"/>
        </w:rPr>
        <w:t>insert applicable pronoun)</w:t>
      </w:r>
      <w:r w:rsidRPr="00455BC4">
        <w:rPr>
          <w:rFonts w:eastAsia="Times New Roman"/>
          <w:b/>
          <w:sz w:val="24"/>
          <w:szCs w:val="24"/>
        </w:rPr>
        <w:t xml:space="preserve"> was (negligent) (at fault) must not influence how you decide the remaining issues.</w:t>
      </w:r>
    </w:p>
    <w:p w14:paraId="590889AA" w14:textId="77777777" w:rsidR="00455BC4" w:rsidRDefault="00455BC4" w:rsidP="00455BC4">
      <w:pPr>
        <w:jc w:val="center"/>
        <w:rPr>
          <w:rFonts w:eastAsia="Times New Roman"/>
          <w:sz w:val="24"/>
          <w:szCs w:val="24"/>
        </w:rPr>
      </w:pPr>
    </w:p>
    <w:p w14:paraId="3796300D" w14:textId="77777777"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14:paraId="17BE3A3E"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14:paraId="77CD15FE"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14:paraId="11D19754"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14:paraId="30A73447"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14:paraId="198D5B91" w14:textId="77777777"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14:paraId="5EFE7FFF" w14:textId="77777777"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14:paraId="64814DEC" w14:textId="77777777" w:rsidR="00483244" w:rsidRDefault="00483244">
      <w:pPr>
        <w:rPr>
          <w:rFonts w:eastAsia="Times New Roman"/>
          <w:sz w:val="24"/>
          <w:szCs w:val="24"/>
        </w:rPr>
      </w:pPr>
      <w:r>
        <w:rPr>
          <w:rFonts w:eastAsia="Times New Roman"/>
          <w:sz w:val="24"/>
          <w:szCs w:val="24"/>
        </w:rPr>
        <w:br w:type="page"/>
      </w:r>
    </w:p>
    <w:p w14:paraId="4F975357" w14:textId="77777777" w:rsidR="00483244" w:rsidRPr="009E3DA4" w:rsidRDefault="00483244" w:rsidP="00483244">
      <w:pPr>
        <w:spacing w:after="240"/>
        <w:ind w:left="720" w:hanging="720"/>
        <w:rPr>
          <w:rFonts w:eastAsia="Times New Roman"/>
          <w:b/>
          <w:sz w:val="24"/>
          <w:szCs w:val="24"/>
        </w:rPr>
      </w:pPr>
      <w:bookmarkStart w:id="4" w:name="a2_5"/>
      <w:bookmarkEnd w:id="4"/>
      <w:r w:rsidRPr="00483244">
        <w:rPr>
          <w:rFonts w:eastAsia="Times New Roman"/>
          <w:b/>
          <w:sz w:val="24"/>
          <w:szCs w:val="24"/>
        </w:rPr>
        <w:lastRenderedPageBreak/>
        <w:t xml:space="preserve">2:5 </w:t>
      </w:r>
      <w:r w:rsidRPr="00483244">
        <w:rPr>
          <w:rFonts w:eastAsia="Times New Roman"/>
          <w:b/>
          <w:sz w:val="24"/>
          <w:szCs w:val="24"/>
        </w:rPr>
        <w:tab/>
        <w:t>DIRECTED VERDICT AS TO LIABILITY — DAMAGES ONLY IN ISSUE — GENERAL</w:t>
      </w:r>
    </w:p>
    <w:p w14:paraId="7B650D10"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14:paraId="6EB3248F"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14:paraId="698E64A1"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14:paraId="16B756DF"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14:paraId="128C6F73"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14:paraId="309C385D"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14:paraId="742B1A5A"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14:paraId="349EF558" w14:textId="77777777" w:rsidR="00483244" w:rsidRDefault="00483244" w:rsidP="00483244">
      <w:pPr>
        <w:jc w:val="center"/>
        <w:rPr>
          <w:rFonts w:eastAsia="Times New Roman"/>
          <w:sz w:val="24"/>
          <w:szCs w:val="24"/>
        </w:rPr>
      </w:pPr>
    </w:p>
    <w:p w14:paraId="5136F42E" w14:textId="77777777"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14:paraId="44425FED"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14:paraId="4166F16C"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14:paraId="25488C69" w14:textId="77777777"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14:paraId="6B3F5941"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1. This instruction is supported by C.R.C.P. 47(a)(2)(IV) and 347(a)(2)(IV).</w:t>
      </w:r>
    </w:p>
    <w:p w14:paraId="78500CE5"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r w:rsidRPr="00892856">
        <w:rPr>
          <w:rFonts w:eastAsia="Times New Roman"/>
          <w:b/>
          <w:sz w:val="24"/>
          <w:szCs w:val="24"/>
        </w:rPr>
        <w:t>CeBuzz, Inc. v. Sniderman</w:t>
      </w:r>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lastRenderedPageBreak/>
        <w:t>Thompson v. Tartler</w:t>
      </w:r>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14:paraId="320B97D1" w14:textId="77777777" w:rsidR="00731DD9" w:rsidRDefault="00731DD9">
      <w:pPr>
        <w:rPr>
          <w:rFonts w:eastAsia="Times New Roman"/>
          <w:sz w:val="24"/>
          <w:szCs w:val="24"/>
        </w:rPr>
      </w:pPr>
      <w:r>
        <w:rPr>
          <w:rFonts w:eastAsia="Times New Roman"/>
          <w:sz w:val="24"/>
          <w:szCs w:val="24"/>
        </w:rPr>
        <w:br w:type="page"/>
      </w:r>
    </w:p>
    <w:p w14:paraId="01CBF2B0" w14:textId="77777777" w:rsidR="00731DD9" w:rsidRPr="009E3DA4" w:rsidRDefault="00731DD9" w:rsidP="00731DD9">
      <w:pPr>
        <w:spacing w:after="240"/>
        <w:ind w:left="720" w:hanging="720"/>
        <w:rPr>
          <w:rFonts w:eastAsia="Times New Roman"/>
          <w:b/>
          <w:sz w:val="24"/>
          <w:szCs w:val="24"/>
        </w:rPr>
      </w:pPr>
      <w:bookmarkStart w:id="5" w:name="a2_6"/>
      <w:bookmarkEnd w:id="5"/>
      <w:r w:rsidRPr="00731DD9">
        <w:rPr>
          <w:rFonts w:eastAsia="Times New Roman"/>
          <w:b/>
          <w:sz w:val="24"/>
          <w:szCs w:val="24"/>
        </w:rPr>
        <w:lastRenderedPageBreak/>
        <w:t xml:space="preserve">2:6 </w:t>
      </w:r>
      <w:r w:rsidRPr="00731DD9">
        <w:rPr>
          <w:rFonts w:eastAsia="Times New Roman"/>
          <w:b/>
          <w:sz w:val="24"/>
          <w:szCs w:val="24"/>
        </w:rPr>
        <w:tab/>
        <w:t>DIRECTED VERDICT AS TO LIABILITY — DAMAGES ONLY IN ISSUE — NEGLIGENCE</w:t>
      </w:r>
    </w:p>
    <w:p w14:paraId="082A018A"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14:paraId="4E89B612"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14:paraId="141A9E15" w14:textId="52B17F9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xml:space="preserve">, </w:t>
      </w:r>
      <w:r w:rsidR="00533B7B" w:rsidRPr="00AA267B">
        <w:rPr>
          <w:rFonts w:eastAsia="Times New Roman"/>
          <w:bCs/>
          <w:i/>
          <w:iCs/>
          <w:sz w:val="24"/>
          <w:szCs w:val="24"/>
        </w:rPr>
        <w:t>(</w:t>
      </w:r>
      <w:r w:rsidR="00533B7B">
        <w:rPr>
          <w:rFonts w:eastAsia="Times New Roman"/>
          <w:i/>
          <w:sz w:val="24"/>
          <w:szCs w:val="24"/>
        </w:rPr>
        <w:t>insert applicable pronoun)</w:t>
      </w:r>
      <w:r w:rsidRPr="00731DD9">
        <w:rPr>
          <w:rFonts w:eastAsia="Times New Roman"/>
          <w:b/>
          <w:sz w:val="24"/>
          <w:szCs w:val="24"/>
        </w:rPr>
        <w:t xml:space="preserve"> had (injuries) (damages) (losses) caused by the negligence of the defendant.</w:t>
      </w:r>
    </w:p>
    <w:p w14:paraId="5C2F561B"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14:paraId="1F0738C8" w14:textId="26DA93C3"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w:t>
      </w:r>
      <w:r w:rsidR="00533B7B" w:rsidRPr="00AA267B">
        <w:rPr>
          <w:rFonts w:eastAsia="Times New Roman"/>
          <w:bCs/>
          <w:i/>
          <w:iCs/>
          <w:sz w:val="24"/>
          <w:szCs w:val="24"/>
        </w:rPr>
        <w:t>(</w:t>
      </w:r>
      <w:r w:rsidR="00533B7B">
        <w:rPr>
          <w:rFonts w:eastAsia="Times New Roman"/>
          <w:i/>
          <w:sz w:val="24"/>
          <w:szCs w:val="24"/>
        </w:rPr>
        <w:t>insert applicable pronoun)</w:t>
      </w:r>
      <w:r w:rsidRPr="00731DD9">
        <w:rPr>
          <w:rFonts w:eastAsia="Times New Roman"/>
          <w:b/>
          <w:sz w:val="24"/>
          <w:szCs w:val="24"/>
        </w:rPr>
        <w:t xml:space="preserve">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14:paraId="731A0481"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14:paraId="482BBD60"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14:paraId="510CF719"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14:paraId="79705125"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14:paraId="64E5FB30" w14:textId="77777777" w:rsidR="00731DD9" w:rsidRDefault="00731DD9" w:rsidP="00731DD9">
      <w:pPr>
        <w:jc w:val="center"/>
        <w:rPr>
          <w:rFonts w:eastAsia="Times New Roman"/>
          <w:sz w:val="24"/>
          <w:szCs w:val="24"/>
        </w:rPr>
      </w:pPr>
    </w:p>
    <w:p w14:paraId="65E25F4A" w14:textId="77777777"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14:paraId="386E8794"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14:paraId="03540F9D"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14:paraId="4AE79B27"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14:paraId="32380BF3"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w:t>
      </w:r>
      <w:r w:rsidRPr="00B23F9B">
        <w:rPr>
          <w:rFonts w:eastAsia="Times New Roman"/>
          <w:sz w:val="24"/>
          <w:szCs w:val="24"/>
        </w:rPr>
        <w:lastRenderedPageBreak/>
        <w:t xml:space="preserve">the conduct on which such finding is based as well as any other conduct the jury could reasonably find constituted negligence, in order to permit the jury to make a proper comparison of such negligence with any negligence of other parties the jury may find. </w:t>
      </w:r>
      <w:r w:rsidRPr="00B23F9B">
        <w:rPr>
          <w:rFonts w:eastAsia="Times New Roman"/>
          <w:b/>
          <w:sz w:val="24"/>
          <w:szCs w:val="24"/>
        </w:rPr>
        <w:t>Ricklin v. Smith</w:t>
      </w:r>
      <w:r w:rsidRPr="00B23F9B">
        <w:rPr>
          <w:rFonts w:eastAsia="Times New Roman"/>
          <w:sz w:val="24"/>
          <w:szCs w:val="24"/>
        </w:rPr>
        <w:t>, 670 P.2d 1239 (Colo. App. 1983).</w:t>
      </w:r>
    </w:p>
    <w:p w14:paraId="2B2F3F85" w14:textId="77777777"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14:paraId="4EA4ADC7" w14:textId="77777777" w:rsidR="00B23F9B" w:rsidRDefault="00B23F9B" w:rsidP="00731DD9">
      <w:pPr>
        <w:spacing w:after="240"/>
        <w:ind w:firstLine="720"/>
        <w:rPr>
          <w:rFonts w:eastAsia="Times New Roman"/>
          <w:sz w:val="24"/>
          <w:szCs w:val="24"/>
        </w:rPr>
      </w:pPr>
      <w:r w:rsidRPr="00B23F9B">
        <w:rPr>
          <w:rFonts w:eastAsia="Times New Roman"/>
          <w:sz w:val="24"/>
          <w:szCs w:val="24"/>
        </w:rPr>
        <w:t>This instruction is supported by C.R.C.P. 47(a)(2)(IV) and 347(a)(2)(IV).</w:t>
      </w:r>
    </w:p>
    <w:sectPr w:rsidR="00B23F9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8C26" w14:textId="77777777" w:rsidR="0062703B" w:rsidRDefault="0062703B" w:rsidP="0054263B">
      <w:r>
        <w:separator/>
      </w:r>
    </w:p>
    <w:p w14:paraId="3C295A4F" w14:textId="77777777" w:rsidR="0062703B" w:rsidRDefault="0062703B"/>
  </w:endnote>
  <w:endnote w:type="continuationSeparator" w:id="0">
    <w:p w14:paraId="04011DE4" w14:textId="77777777" w:rsidR="0062703B" w:rsidRDefault="0062703B" w:rsidP="0054263B">
      <w:r>
        <w:continuationSeparator/>
      </w:r>
    </w:p>
    <w:p w14:paraId="39E465BB" w14:textId="77777777" w:rsidR="0062703B" w:rsidRDefault="00627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6B2E46A4" w14:textId="77777777" w:rsidR="00336CE4" w:rsidRDefault="00336CE4">
        <w:pPr>
          <w:pStyle w:val="Footer"/>
          <w:jc w:val="center"/>
        </w:pPr>
        <w:r>
          <w:fldChar w:fldCharType="begin"/>
        </w:r>
        <w:r>
          <w:instrText xml:space="preserve"> PAGE   \* MERGEFORMAT </w:instrText>
        </w:r>
        <w:r>
          <w:fldChar w:fldCharType="separate"/>
        </w:r>
        <w:r w:rsidR="00C10EB7">
          <w:rPr>
            <w:noProof/>
          </w:rPr>
          <w:t>9</w:t>
        </w:r>
        <w:r>
          <w:rPr>
            <w:noProof/>
          </w:rPr>
          <w:fldChar w:fldCharType="end"/>
        </w:r>
      </w:p>
    </w:sdtContent>
  </w:sdt>
  <w:p w14:paraId="6958E109" w14:textId="77777777" w:rsidR="00336CE4" w:rsidRDefault="00336CE4">
    <w:pPr>
      <w:pStyle w:val="Footer"/>
    </w:pPr>
  </w:p>
  <w:p w14:paraId="11BDFFFF" w14:textId="77777777" w:rsidR="00336CE4" w:rsidRDefault="00336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F0B4" w14:textId="77777777" w:rsidR="0062703B" w:rsidRDefault="0062703B" w:rsidP="0054263B">
      <w:r>
        <w:separator/>
      </w:r>
    </w:p>
    <w:p w14:paraId="3E330B9F" w14:textId="77777777" w:rsidR="0062703B" w:rsidRDefault="0062703B"/>
  </w:footnote>
  <w:footnote w:type="continuationSeparator" w:id="0">
    <w:p w14:paraId="2417F8F4" w14:textId="77777777" w:rsidR="0062703B" w:rsidRDefault="0062703B" w:rsidP="0054263B">
      <w:r>
        <w:continuationSeparator/>
      </w:r>
    </w:p>
    <w:p w14:paraId="46B67A76" w14:textId="77777777" w:rsidR="0062703B" w:rsidRDefault="00627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38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85495"/>
    <w:rsid w:val="000921F1"/>
    <w:rsid w:val="000C6F97"/>
    <w:rsid w:val="001117D9"/>
    <w:rsid w:val="001903CB"/>
    <w:rsid w:val="001A2648"/>
    <w:rsid w:val="001D52DD"/>
    <w:rsid w:val="002065D8"/>
    <w:rsid w:val="0021368F"/>
    <w:rsid w:val="002169C6"/>
    <w:rsid w:val="0022134E"/>
    <w:rsid w:val="00223286"/>
    <w:rsid w:val="0023522F"/>
    <w:rsid w:val="00254241"/>
    <w:rsid w:val="0025490D"/>
    <w:rsid w:val="002A23B0"/>
    <w:rsid w:val="002E0970"/>
    <w:rsid w:val="00336CE4"/>
    <w:rsid w:val="00340F7B"/>
    <w:rsid w:val="00352111"/>
    <w:rsid w:val="003937B8"/>
    <w:rsid w:val="003E4DA9"/>
    <w:rsid w:val="003F736D"/>
    <w:rsid w:val="00455BC4"/>
    <w:rsid w:val="00456038"/>
    <w:rsid w:val="00483244"/>
    <w:rsid w:val="004C62F9"/>
    <w:rsid w:val="004E7EF1"/>
    <w:rsid w:val="00533B7B"/>
    <w:rsid w:val="0054263B"/>
    <w:rsid w:val="00544449"/>
    <w:rsid w:val="0062703B"/>
    <w:rsid w:val="006272FE"/>
    <w:rsid w:val="006421BD"/>
    <w:rsid w:val="00644EC4"/>
    <w:rsid w:val="00661D05"/>
    <w:rsid w:val="00675252"/>
    <w:rsid w:val="006A6D8E"/>
    <w:rsid w:val="006A74B6"/>
    <w:rsid w:val="006E0D06"/>
    <w:rsid w:val="006E3575"/>
    <w:rsid w:val="006E62F0"/>
    <w:rsid w:val="007119D8"/>
    <w:rsid w:val="00731DD9"/>
    <w:rsid w:val="00743059"/>
    <w:rsid w:val="007532AB"/>
    <w:rsid w:val="00753A60"/>
    <w:rsid w:val="007A5D2E"/>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25D56"/>
    <w:rsid w:val="009B6746"/>
    <w:rsid w:val="009E3DA4"/>
    <w:rsid w:val="009E4C76"/>
    <w:rsid w:val="00A36457"/>
    <w:rsid w:val="00A36A3C"/>
    <w:rsid w:val="00A80C10"/>
    <w:rsid w:val="00B23F9B"/>
    <w:rsid w:val="00B37722"/>
    <w:rsid w:val="00B508B4"/>
    <w:rsid w:val="00B567C1"/>
    <w:rsid w:val="00B670CB"/>
    <w:rsid w:val="00B70D68"/>
    <w:rsid w:val="00B72D6B"/>
    <w:rsid w:val="00B937E4"/>
    <w:rsid w:val="00BA7F92"/>
    <w:rsid w:val="00BE2B09"/>
    <w:rsid w:val="00BE654D"/>
    <w:rsid w:val="00C10EB7"/>
    <w:rsid w:val="00C27CE4"/>
    <w:rsid w:val="00C40968"/>
    <w:rsid w:val="00C60E95"/>
    <w:rsid w:val="00C70B67"/>
    <w:rsid w:val="00C84E71"/>
    <w:rsid w:val="00CA41CC"/>
    <w:rsid w:val="00CC1AC8"/>
    <w:rsid w:val="00CC6A95"/>
    <w:rsid w:val="00CC7E17"/>
    <w:rsid w:val="00CD4A7D"/>
    <w:rsid w:val="00CE593D"/>
    <w:rsid w:val="00D06D8D"/>
    <w:rsid w:val="00D333AA"/>
    <w:rsid w:val="00DB2C90"/>
    <w:rsid w:val="00DC63A9"/>
    <w:rsid w:val="00DC66A6"/>
    <w:rsid w:val="00DE2930"/>
    <w:rsid w:val="00DF3BF1"/>
    <w:rsid w:val="00E058BA"/>
    <w:rsid w:val="00E16588"/>
    <w:rsid w:val="00E27ABA"/>
    <w:rsid w:val="00E87C31"/>
    <w:rsid w:val="00E970B9"/>
    <w:rsid w:val="00EC7C98"/>
    <w:rsid w:val="00ED7176"/>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B2F3C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Revision">
    <w:name w:val="Revision"/>
    <w:hidden/>
    <w:uiPriority w:val="99"/>
    <w:semiHidden/>
    <w:rsid w:val="00533B7B"/>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2024-01-09T19:33:00Z</dcterms:created>
  <dcterms:modified xsi:type="dcterms:W3CDTF">2024-01-09T19:34:00Z</dcterms:modified>
</cp:coreProperties>
</file>