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7EBF" w14:textId="799CB8EA" w:rsidR="00CA41CC" w:rsidRPr="00914128" w:rsidRDefault="007A3A0E" w:rsidP="00914128">
      <w:pPr>
        <w:pStyle w:val="Heading1"/>
      </w:pPr>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3D1A6B"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3D1A6B"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3D1A6B"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3D1A6B"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3D1A6B"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3D1A6B" w:rsidP="00914128">
      <w:pPr>
        <w:pStyle w:val="ToC"/>
      </w:pPr>
      <w:hyperlink w:anchor="a5_6" w:history="1">
        <w:r w:rsidR="00CC6103" w:rsidRPr="00CC6103">
          <w:rPr>
            <w:rStyle w:val="Hyperlink"/>
          </w:rPr>
          <w:t>5:6</w:t>
        </w:r>
      </w:hyperlink>
      <w:r w:rsidR="00CC6103" w:rsidRPr="00CC6103">
        <w:t xml:space="preserve"> </w:t>
      </w:r>
      <w:r w:rsidR="00CC6103" w:rsidRPr="00CC6103">
        <w:tab/>
        <w:t xml:space="preserve">Uncertainty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3D1A6B"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0" w:name="a5_1"/>
      <w:bookmarkEnd w:id="0"/>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91711B">
        <w:rPr>
          <w:rFonts w:eastAsia="Times New Roman"/>
          <w:i/>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1" w:name="a5_2"/>
      <w:bookmarkEnd w:id="1"/>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69EF151B"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xml:space="preserve">, has proved </w:t>
      </w:r>
      <w:r w:rsidR="009A5EFC">
        <w:rPr>
          <w:rFonts w:eastAsia="Times New Roman"/>
          <w:bCs/>
          <w:i/>
          <w:iCs/>
          <w:sz w:val="24"/>
          <w:szCs w:val="24"/>
        </w:rPr>
        <w:t>(insert applicable pronoun)</w:t>
      </w:r>
      <w:r w:rsidRPr="00506631">
        <w:rPr>
          <w:rFonts w:eastAsia="Times New Roman"/>
          <w:b/>
          <w:sz w:val="24"/>
          <w:szCs w:val="24"/>
        </w:rPr>
        <w:t xml:space="preserve"> affirmative defense of plaintiff’s failure to mitigate or minimize damages. The plaintiff has the duty to take reasonable steps under the circumstances to mitigate or minimize </w:t>
      </w:r>
      <w:r w:rsidR="009A5EFC">
        <w:rPr>
          <w:rFonts w:eastAsia="Times New Roman"/>
          <w:bCs/>
          <w:i/>
          <w:iCs/>
          <w:sz w:val="24"/>
          <w:szCs w:val="24"/>
        </w:rPr>
        <w:t>(insert applicable pronoun)</w:t>
      </w:r>
      <w:r w:rsidRPr="00506631">
        <w:rPr>
          <w:rFonts w:eastAsia="Times New Roman"/>
          <w:b/>
          <w:sz w:val="24"/>
          <w:szCs w:val="24"/>
        </w:rPr>
        <w:t xml:space="preserve">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3604DF1E"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w:t>
      </w:r>
      <w:r w:rsidR="009A5EFC">
        <w:rPr>
          <w:rFonts w:eastAsia="Times New Roman"/>
          <w:bCs/>
          <w:i/>
          <w:iCs/>
          <w:sz w:val="24"/>
          <w:szCs w:val="24"/>
        </w:rPr>
        <w:t>(insert applicable pronoun)</w:t>
      </w:r>
      <w:r w:rsidRPr="00506631">
        <w:rPr>
          <w:rFonts w:eastAsia="Times New Roman"/>
          <w:b/>
          <w:sz w:val="24"/>
          <w:szCs w:val="24"/>
        </w:rPr>
        <w:t xml:space="preserve">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5EACF94C"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 16</w:t>
      </w:r>
      <w:r w:rsidR="00BB0F06">
        <w:rPr>
          <w:rFonts w:eastAsia="Times New Roman"/>
          <w:sz w:val="24"/>
          <w:szCs w:val="24"/>
        </w:rPr>
        <w:t xml:space="preserve">, </w:t>
      </w:r>
      <w:r w:rsidR="00BB0F06" w:rsidRPr="00672A3E">
        <w:rPr>
          <w:rFonts w:eastAsia="Times New Roman"/>
          <w:sz w:val="24"/>
          <w:szCs w:val="24"/>
        </w:rPr>
        <w:t>420 P.3d</w:t>
      </w:r>
      <w:r w:rsidR="00BB0F06">
        <w:rPr>
          <w:rFonts w:eastAsia="Times New Roman"/>
          <w:sz w:val="24"/>
          <w:szCs w:val="24"/>
        </w:rPr>
        <w:t xml:space="preserve"> at 282</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w:t>
      </w:r>
      <w:r w:rsidRPr="00506631">
        <w:rPr>
          <w:rFonts w:eastAsia="Times New Roman"/>
          <w:sz w:val="24"/>
          <w:szCs w:val="24"/>
        </w:rPr>
        <w:lastRenderedPageBreak/>
        <w:t xml:space="preserve">refusal to consent to 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14:paraId="213BB25D" w14:textId="2CE4C63B"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350 cmt.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xml:space="preserve">. “[E]vidence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Dare v. Sobule</w:t>
      </w:r>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r w:rsidR="00506631" w:rsidRPr="00506631">
        <w:rPr>
          <w:rFonts w:eastAsia="Times New Roman"/>
          <w:b/>
          <w:sz w:val="24"/>
          <w:szCs w:val="24"/>
        </w:rPr>
        <w:t>Gundersons, Inc. v. Tull</w:t>
      </w:r>
      <w:r w:rsidR="00506631" w:rsidRPr="00506631">
        <w:rPr>
          <w:rFonts w:eastAsia="Times New Roman"/>
          <w:sz w:val="24"/>
          <w:szCs w:val="24"/>
        </w:rPr>
        <w:t xml:space="preserve">, 678 P.2d 1061 (Colo. App. 1983), </w:t>
      </w:r>
      <w:r w:rsidR="00506631" w:rsidRPr="00506631">
        <w:rPr>
          <w:rFonts w:eastAsia="Times New Roman"/>
          <w:i/>
          <w:sz w:val="24"/>
          <w:szCs w:val="24"/>
        </w:rPr>
        <w:t>aff’d in part, rev’d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tortfeasor’s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Stone v. Satriana</w:t>
      </w:r>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Pappas–Alstad P’ship</w:t>
      </w:r>
      <w:r w:rsidR="00506631" w:rsidRPr="00506631">
        <w:rPr>
          <w:rFonts w:eastAsia="Times New Roman"/>
          <w:sz w:val="24"/>
          <w:szCs w:val="24"/>
        </w:rPr>
        <w:t xml:space="preserve">, 2015 COA 104, ¶ 30, 370 P.3d 261 (citing </w:t>
      </w:r>
      <w:r w:rsidR="00506631" w:rsidRPr="00506631">
        <w:rPr>
          <w:rFonts w:eastAsia="Times New Roman"/>
          <w:b/>
          <w:sz w:val="24"/>
          <w:szCs w:val="24"/>
        </w:rPr>
        <w:t>Schneiker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Banning v. Prester</w:t>
      </w:r>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2" w:name="a5_3"/>
      <w:bookmarkEnd w:id="2"/>
      <w:r w:rsidRPr="005B122D">
        <w:rPr>
          <w:rFonts w:eastAsia="Times New Roman"/>
          <w:b/>
          <w:sz w:val="24"/>
          <w:szCs w:val="24"/>
        </w:rPr>
        <w:lastRenderedPageBreak/>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lastRenderedPageBreak/>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3" w:name="a5_4"/>
      <w:bookmarkEnd w:id="3"/>
      <w:r w:rsidRPr="00864C8B">
        <w:rPr>
          <w:rFonts w:eastAsia="Times New Roman"/>
          <w:b/>
          <w:sz w:val="24"/>
          <w:szCs w:val="24"/>
        </w:rPr>
        <w:lastRenderedPageBreak/>
        <w:t xml:space="preserve">5:4 </w:t>
      </w:r>
      <w:r w:rsidRPr="00864C8B">
        <w:rPr>
          <w:rFonts w:eastAsia="Times New Roman"/>
          <w:b/>
          <w:sz w:val="24"/>
          <w:szCs w:val="24"/>
        </w:rPr>
        <w:tab/>
        <w:t>EXEMPLARY OR PUNITIVE DAMAGES</w:t>
      </w:r>
    </w:p>
    <w:p w14:paraId="375C9966" w14:textId="5DCB0AA8"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w:t>
      </w:r>
      <w:r w:rsidR="009A5EFC">
        <w:rPr>
          <w:rFonts w:eastAsia="Times New Roman"/>
          <w:bCs/>
          <w:i/>
          <w:iCs/>
          <w:sz w:val="24"/>
          <w:szCs w:val="24"/>
        </w:rPr>
        <w:t>(insert applicable pronoun)</w:t>
      </w:r>
      <w:r w:rsidRPr="00864C8B">
        <w:rPr>
          <w:rFonts w:eastAsia="Times New Roman"/>
          <w:b/>
          <w:sz w:val="24"/>
          <w:szCs w:val="24"/>
        </w:rPr>
        <w:t xml:space="preserve">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w:t>
      </w:r>
      <w:r w:rsidRPr="00452874">
        <w:rPr>
          <w:rFonts w:eastAsia="Times New Roman"/>
          <w:sz w:val="24"/>
          <w:szCs w:val="24"/>
        </w:rPr>
        <w:lastRenderedPageBreak/>
        <w:t xml:space="preserve">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91711B">
        <w:rPr>
          <w:rFonts w:eastAsia="Times New Roman"/>
          <w:i/>
          <w:sz w:val="24"/>
          <w:szCs w:val="24"/>
        </w:rPr>
        <w:t xml:space="preserve">, </w:t>
      </w:r>
      <w:r w:rsidRPr="00522AFB">
        <w:rPr>
          <w:rFonts w:eastAsia="Times New Roman"/>
          <w:i/>
          <w:sz w:val="24"/>
          <w:szCs w:val="24"/>
        </w:rPr>
        <w:t>e.g</w:t>
      </w:r>
      <w:r w:rsidRPr="0091711B">
        <w:rPr>
          <w:rFonts w:eastAsia="Times New Roman"/>
          <w:i/>
          <w:sz w:val="24"/>
          <w:szCs w:val="24"/>
        </w:rPr>
        <w:t>.</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w:t>
      </w:r>
      <w:r w:rsidRPr="00452874">
        <w:rPr>
          <w:rFonts w:eastAsia="Times New Roman"/>
          <w:sz w:val="24"/>
          <w:szCs w:val="24"/>
        </w:rPr>
        <w:lastRenderedPageBreak/>
        <w:t xml:space="preserve">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86E5AF0" w:rsidR="00452874" w:rsidRPr="00452874" w:rsidRDefault="00452874" w:rsidP="00452874">
      <w:pPr>
        <w:spacing w:after="240"/>
        <w:ind w:firstLine="720"/>
        <w:rPr>
          <w:rFonts w:eastAsia="Times New Roman"/>
          <w:sz w:val="24"/>
          <w:szCs w:val="24"/>
        </w:rPr>
      </w:pPr>
      <w:r w:rsidRPr="00452874">
        <w:rPr>
          <w:rFonts w:eastAsia="Times New Roman"/>
          <w:sz w:val="24"/>
          <w:szCs w:val="24"/>
        </w:rPr>
        <w:t>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w:t>
      </w:r>
      <w:r w:rsidR="00A769CC">
        <w:rPr>
          <w:rFonts w:eastAsia="Times New Roman"/>
          <w:sz w:val="24"/>
          <w:szCs w:val="24"/>
        </w:rPr>
        <w:t>f</w:t>
      </w:r>
      <w:r w:rsidRPr="00452874">
        <w:rPr>
          <w:rFonts w:eastAsia="Times New Roman"/>
          <w:sz w:val="24"/>
          <w:szCs w:val="24"/>
        </w:rPr>
        <w:t>)(1) (201</w:t>
      </w:r>
      <w:r w:rsidR="00A769CC">
        <w:rPr>
          <w:rFonts w:eastAsia="Times New Roman"/>
          <w:sz w:val="24"/>
          <w:szCs w:val="24"/>
        </w:rPr>
        <w:t>8</w:t>
      </w:r>
      <w:r w:rsidRPr="00452874">
        <w:rPr>
          <w:rFonts w:eastAsia="Times New Roman"/>
          <w:sz w:val="24"/>
          <w:szCs w:val="24"/>
        </w:rPr>
        <w:t xml:space="preserve">). For the applicable limitations, see 42 U.S.C. §§ 14503(f).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w:t>
      </w:r>
      <w:r w:rsidR="00A769CC">
        <w:rPr>
          <w:rFonts w:eastAsia="Times New Roman"/>
          <w:sz w:val="24"/>
          <w:szCs w:val="24"/>
        </w:rPr>
        <w:t>8</w:t>
      </w:r>
      <w:r w:rsidRPr="00452874">
        <w:rPr>
          <w:rFonts w:eastAsia="Times New Roman"/>
          <w:sz w:val="24"/>
          <w:szCs w:val="24"/>
        </w:rPr>
        <w:t>).</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w:t>
      </w:r>
      <w:r w:rsidRPr="00452874">
        <w:rPr>
          <w:rFonts w:eastAsia="Times New Roman"/>
          <w:sz w:val="24"/>
          <w:szCs w:val="24"/>
        </w:rPr>
        <w:lastRenderedPageBreak/>
        <w:t xml:space="preserve">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w:t>
      </w:r>
      <w:r w:rsidRPr="00452874">
        <w:rPr>
          <w:rFonts w:eastAsia="Times New Roman"/>
          <w:sz w:val="24"/>
          <w:szCs w:val="24"/>
        </w:rPr>
        <w:lastRenderedPageBreak/>
        <w:t xml:space="preserve">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Governmental Immunity</w:t>
      </w:r>
    </w:p>
    <w:p w14:paraId="2DE2FB79" w14:textId="3403F2CB"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r w:rsidR="004B6778">
        <w:rPr>
          <w:rFonts w:eastAsia="Times New Roman"/>
          <w:sz w:val="24"/>
          <w:szCs w:val="24"/>
        </w:rPr>
        <w:t xml:space="preserve"> </w:t>
      </w:r>
      <w:r w:rsidR="00BA750F">
        <w:rPr>
          <w:rFonts w:eastAsia="Times New Roman"/>
          <w:sz w:val="24"/>
          <w:szCs w:val="24"/>
        </w:rPr>
        <w:t xml:space="preserve">In an action for injuries resulting from the operation of a correctional facility or jail, </w:t>
      </w:r>
      <w:r w:rsidR="00BA750F">
        <w:rPr>
          <w:sz w:val="24"/>
          <w:szCs w:val="24"/>
        </w:rPr>
        <w:t xml:space="preserve">because public employees are not immune from liability pursuant to section 24-10-106(1), C.R.S., </w:t>
      </w:r>
      <w:r w:rsidR="00BA750F">
        <w:rPr>
          <w:rFonts w:eastAsia="Times New Roman"/>
          <w:sz w:val="24"/>
          <w:szCs w:val="24"/>
        </w:rPr>
        <w:t>the</w:t>
      </w:r>
      <w:r w:rsidR="004B6778" w:rsidRPr="004B6778">
        <w:rPr>
          <w:sz w:val="24"/>
          <w:szCs w:val="24"/>
        </w:rPr>
        <w:t xml:space="preserve"> question </w:t>
      </w:r>
      <w:r w:rsidR="0086380E">
        <w:rPr>
          <w:sz w:val="24"/>
          <w:szCs w:val="24"/>
        </w:rPr>
        <w:t xml:space="preserve">of </w:t>
      </w:r>
      <w:r w:rsidR="004B6778" w:rsidRPr="004B6778">
        <w:rPr>
          <w:sz w:val="24"/>
          <w:szCs w:val="24"/>
        </w:rPr>
        <w:t>whether a</w:t>
      </w:r>
      <w:r w:rsidR="00BA750F">
        <w:rPr>
          <w:sz w:val="24"/>
          <w:szCs w:val="24"/>
        </w:rPr>
        <w:t>n</w:t>
      </w:r>
      <w:r w:rsidR="004B6778" w:rsidRPr="004B6778">
        <w:rPr>
          <w:sz w:val="24"/>
          <w:szCs w:val="24"/>
        </w:rPr>
        <w:t xml:space="preserve"> employee’s conduct was willful and wanton </w:t>
      </w:r>
      <w:r w:rsidR="00BA750F">
        <w:rPr>
          <w:sz w:val="24"/>
          <w:szCs w:val="24"/>
        </w:rPr>
        <w:t>for purposes of punitive damages is not</w:t>
      </w:r>
      <w:r w:rsidR="004B6778" w:rsidRPr="004B6778">
        <w:rPr>
          <w:sz w:val="24"/>
          <w:szCs w:val="24"/>
        </w:rPr>
        <w:t xml:space="preserve"> for the district court to determine before trial via Rule 12(b)(1) and a </w:t>
      </w:r>
      <w:r w:rsidR="004B6778" w:rsidRPr="004B6778">
        <w:rPr>
          <w:b/>
          <w:sz w:val="24"/>
          <w:szCs w:val="24"/>
        </w:rPr>
        <w:t>Trinity</w:t>
      </w:r>
      <w:r w:rsidR="004B6778" w:rsidRPr="004B6778">
        <w:rPr>
          <w:i/>
          <w:sz w:val="24"/>
          <w:szCs w:val="24"/>
        </w:rPr>
        <w:t xml:space="preserve"> </w:t>
      </w:r>
      <w:r w:rsidR="004B6778" w:rsidRPr="004B6778">
        <w:rPr>
          <w:sz w:val="24"/>
          <w:szCs w:val="24"/>
        </w:rPr>
        <w:t>hearing</w:t>
      </w:r>
      <w:r w:rsidR="00BA750F">
        <w:rPr>
          <w:sz w:val="24"/>
          <w:szCs w:val="24"/>
        </w:rPr>
        <w:t xml:space="preserve">. </w:t>
      </w:r>
      <w:r w:rsidR="004B6778" w:rsidRPr="004B6778">
        <w:rPr>
          <w:b/>
          <w:sz w:val="24"/>
          <w:szCs w:val="24"/>
        </w:rPr>
        <w:t>Hernandez v. City &amp; Cty. of Denver</w:t>
      </w:r>
      <w:r w:rsidR="004B6778" w:rsidRPr="008A149A">
        <w:rPr>
          <w:sz w:val="24"/>
          <w:szCs w:val="24"/>
        </w:rPr>
        <w:t xml:space="preserve">, </w:t>
      </w:r>
      <w:r w:rsidR="004B6778" w:rsidRPr="004B6778">
        <w:rPr>
          <w:sz w:val="24"/>
          <w:szCs w:val="24"/>
        </w:rPr>
        <w:t>2018 COA 151, ¶¶ 26, 30</w:t>
      </w:r>
      <w:r w:rsidR="004B6778">
        <w:rPr>
          <w:sz w:val="24"/>
          <w:szCs w:val="24"/>
        </w:rPr>
        <w:t>, 439 P.3d 57</w:t>
      </w:r>
      <w:r w:rsidR="004B6778" w:rsidRPr="004B6778">
        <w:rPr>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1EDF2D3D"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r w:rsidR="00026100">
        <w:rPr>
          <w:rFonts w:eastAsia="Times New Roman"/>
          <w:sz w:val="24"/>
          <w:szCs w:val="24"/>
        </w:rPr>
        <w:t xml:space="preserve"> </w:t>
      </w:r>
      <w:r w:rsidR="00026100">
        <w:rPr>
          <w:rFonts w:eastAsia="Times New Roman"/>
          <w:iCs/>
          <w:sz w:val="24"/>
          <w:szCs w:val="24"/>
        </w:rPr>
        <w:t>(subsequently abrogated by section 13-21-111.5(1.5), C.R.S., effective for cases filed on or after September 7, 2021)</w:t>
      </w:r>
      <w:r w:rsidRPr="00452874">
        <w:rPr>
          <w:rFonts w:eastAsia="Times New Roman"/>
          <w:sz w:val="24"/>
          <w:szCs w:val="24"/>
        </w:rPr>
        <w:t>.</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4" w:name="a5_5"/>
      <w:bookmarkEnd w:id="4"/>
      <w:r w:rsidRPr="00301CFB">
        <w:rPr>
          <w:rFonts w:eastAsia="Times New Roman"/>
          <w:b/>
          <w:sz w:val="24"/>
          <w:szCs w:val="24"/>
        </w:rPr>
        <w:lastRenderedPageBreak/>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5" w:name="a5_6"/>
      <w:bookmarkEnd w:id="5"/>
      <w:r w:rsidRPr="00BC758C">
        <w:rPr>
          <w:rFonts w:eastAsia="Times New Roman"/>
          <w:b/>
          <w:sz w:val="24"/>
          <w:szCs w:val="24"/>
        </w:rPr>
        <w:lastRenderedPageBreak/>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Co.</w:t>
      </w:r>
      <w:r w:rsidRPr="00BC758C">
        <w:rPr>
          <w:rFonts w:eastAsia="Times New Roman"/>
          <w:sz w:val="24"/>
          <w:szCs w:val="24"/>
        </w:rPr>
        <w:t xml:space="preserve">, 150 Colo.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6" w:name="a5_7"/>
      <w:bookmarkEnd w:id="6"/>
      <w:r w:rsidRPr="00E14212">
        <w:rPr>
          <w:rFonts w:eastAsia="Times New Roman"/>
          <w:b/>
          <w:sz w:val="24"/>
          <w:szCs w:val="24"/>
        </w:rPr>
        <w:lastRenderedPageBreak/>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5164C7F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54C7" w14:textId="77777777" w:rsidR="00297285" w:rsidRDefault="00297285" w:rsidP="0054263B">
      <w:r>
        <w:separator/>
      </w:r>
    </w:p>
    <w:p w14:paraId="1C8410D1" w14:textId="77777777" w:rsidR="00297285" w:rsidRDefault="00297285"/>
  </w:endnote>
  <w:endnote w:type="continuationSeparator" w:id="0">
    <w:p w14:paraId="558C8B45" w14:textId="77777777" w:rsidR="00297285" w:rsidRDefault="00297285" w:rsidP="0054263B">
      <w:r>
        <w:continuationSeparator/>
      </w:r>
    </w:p>
    <w:p w14:paraId="0BC7C783" w14:textId="77777777" w:rsidR="00297285" w:rsidRDefault="0029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B22238">
          <w:rPr>
            <w:noProof/>
          </w:rPr>
          <w:t>5</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FCCA" w14:textId="77777777" w:rsidR="00297285" w:rsidRDefault="00297285" w:rsidP="0054263B">
      <w:r>
        <w:separator/>
      </w:r>
    </w:p>
    <w:p w14:paraId="04ADAB3A" w14:textId="77777777" w:rsidR="00297285" w:rsidRDefault="00297285"/>
  </w:footnote>
  <w:footnote w:type="continuationSeparator" w:id="0">
    <w:p w14:paraId="162011A1" w14:textId="77777777" w:rsidR="00297285" w:rsidRDefault="00297285" w:rsidP="0054263B">
      <w:r>
        <w:continuationSeparator/>
      </w:r>
    </w:p>
    <w:p w14:paraId="67511BB6" w14:textId="77777777" w:rsidR="00297285" w:rsidRDefault="002972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689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26100"/>
    <w:rsid w:val="00037111"/>
    <w:rsid w:val="00052C46"/>
    <w:rsid w:val="00085495"/>
    <w:rsid w:val="000921F1"/>
    <w:rsid w:val="00093931"/>
    <w:rsid w:val="000C0F3E"/>
    <w:rsid w:val="000C6F97"/>
    <w:rsid w:val="001117D9"/>
    <w:rsid w:val="001146FE"/>
    <w:rsid w:val="001305D1"/>
    <w:rsid w:val="00172674"/>
    <w:rsid w:val="00182044"/>
    <w:rsid w:val="001903CB"/>
    <w:rsid w:val="001913B1"/>
    <w:rsid w:val="00191498"/>
    <w:rsid w:val="001A2648"/>
    <w:rsid w:val="001C5769"/>
    <w:rsid w:val="001D3C87"/>
    <w:rsid w:val="001E55E8"/>
    <w:rsid w:val="00200BA5"/>
    <w:rsid w:val="002065D8"/>
    <w:rsid w:val="0021368F"/>
    <w:rsid w:val="0022134E"/>
    <w:rsid w:val="00223286"/>
    <w:rsid w:val="00235B34"/>
    <w:rsid w:val="00297285"/>
    <w:rsid w:val="002A23B0"/>
    <w:rsid w:val="002E0970"/>
    <w:rsid w:val="00301CFB"/>
    <w:rsid w:val="003247EA"/>
    <w:rsid w:val="00336CE4"/>
    <w:rsid w:val="00352111"/>
    <w:rsid w:val="003563DF"/>
    <w:rsid w:val="003613FE"/>
    <w:rsid w:val="00376A34"/>
    <w:rsid w:val="003937B8"/>
    <w:rsid w:val="003B32F5"/>
    <w:rsid w:val="003D1A6B"/>
    <w:rsid w:val="003D731E"/>
    <w:rsid w:val="003F108C"/>
    <w:rsid w:val="00423AA5"/>
    <w:rsid w:val="004255C6"/>
    <w:rsid w:val="004425AA"/>
    <w:rsid w:val="00452874"/>
    <w:rsid w:val="00456038"/>
    <w:rsid w:val="00467B80"/>
    <w:rsid w:val="00471618"/>
    <w:rsid w:val="004B6778"/>
    <w:rsid w:val="004C62F9"/>
    <w:rsid w:val="004D60E5"/>
    <w:rsid w:val="004E18A0"/>
    <w:rsid w:val="004E7EF1"/>
    <w:rsid w:val="00506631"/>
    <w:rsid w:val="00511CB9"/>
    <w:rsid w:val="00522AFB"/>
    <w:rsid w:val="00531E26"/>
    <w:rsid w:val="00531F87"/>
    <w:rsid w:val="0053688F"/>
    <w:rsid w:val="0054263B"/>
    <w:rsid w:val="00557FCC"/>
    <w:rsid w:val="0058333E"/>
    <w:rsid w:val="005917DB"/>
    <w:rsid w:val="005B122D"/>
    <w:rsid w:val="005B3A78"/>
    <w:rsid w:val="005B41A9"/>
    <w:rsid w:val="005C5B4C"/>
    <w:rsid w:val="005D1DD8"/>
    <w:rsid w:val="005D3156"/>
    <w:rsid w:val="005F208B"/>
    <w:rsid w:val="006272FE"/>
    <w:rsid w:val="00645519"/>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55E9A"/>
    <w:rsid w:val="00771A76"/>
    <w:rsid w:val="0078421F"/>
    <w:rsid w:val="007A3A0E"/>
    <w:rsid w:val="007A612E"/>
    <w:rsid w:val="007C5193"/>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380E"/>
    <w:rsid w:val="00864C8B"/>
    <w:rsid w:val="00875064"/>
    <w:rsid w:val="00881C14"/>
    <w:rsid w:val="008A149A"/>
    <w:rsid w:val="008B1617"/>
    <w:rsid w:val="008C05F9"/>
    <w:rsid w:val="008D78F2"/>
    <w:rsid w:val="008E1370"/>
    <w:rsid w:val="008E41F1"/>
    <w:rsid w:val="008F4C42"/>
    <w:rsid w:val="00902A25"/>
    <w:rsid w:val="00914128"/>
    <w:rsid w:val="0091711B"/>
    <w:rsid w:val="00935DA8"/>
    <w:rsid w:val="0095709A"/>
    <w:rsid w:val="009902F2"/>
    <w:rsid w:val="009A5EFC"/>
    <w:rsid w:val="009A6C2E"/>
    <w:rsid w:val="009B6746"/>
    <w:rsid w:val="009D3104"/>
    <w:rsid w:val="009E20C7"/>
    <w:rsid w:val="009E3DA4"/>
    <w:rsid w:val="009F47F0"/>
    <w:rsid w:val="00A35384"/>
    <w:rsid w:val="00A36457"/>
    <w:rsid w:val="00A400B9"/>
    <w:rsid w:val="00A73AE6"/>
    <w:rsid w:val="00A769CC"/>
    <w:rsid w:val="00A80C10"/>
    <w:rsid w:val="00AA25F3"/>
    <w:rsid w:val="00AA6D6E"/>
    <w:rsid w:val="00AB011A"/>
    <w:rsid w:val="00AB6188"/>
    <w:rsid w:val="00B0264D"/>
    <w:rsid w:val="00B06831"/>
    <w:rsid w:val="00B22238"/>
    <w:rsid w:val="00B37722"/>
    <w:rsid w:val="00B4542A"/>
    <w:rsid w:val="00B567C1"/>
    <w:rsid w:val="00B579DF"/>
    <w:rsid w:val="00B6275E"/>
    <w:rsid w:val="00B70D68"/>
    <w:rsid w:val="00B72D6B"/>
    <w:rsid w:val="00B937E4"/>
    <w:rsid w:val="00BA750F"/>
    <w:rsid w:val="00BB0F06"/>
    <w:rsid w:val="00BC49BF"/>
    <w:rsid w:val="00BC758C"/>
    <w:rsid w:val="00BE2B09"/>
    <w:rsid w:val="00BE654D"/>
    <w:rsid w:val="00BF6B6D"/>
    <w:rsid w:val="00C30D59"/>
    <w:rsid w:val="00C40968"/>
    <w:rsid w:val="00C473A2"/>
    <w:rsid w:val="00C60E95"/>
    <w:rsid w:val="00C64E76"/>
    <w:rsid w:val="00C77642"/>
    <w:rsid w:val="00C84E71"/>
    <w:rsid w:val="00C8797B"/>
    <w:rsid w:val="00CA3036"/>
    <w:rsid w:val="00CA41CC"/>
    <w:rsid w:val="00CC0502"/>
    <w:rsid w:val="00CC1AC8"/>
    <w:rsid w:val="00CC6103"/>
    <w:rsid w:val="00CC6A95"/>
    <w:rsid w:val="00CC7E17"/>
    <w:rsid w:val="00CD08C9"/>
    <w:rsid w:val="00CD4A7D"/>
    <w:rsid w:val="00CD4B6C"/>
    <w:rsid w:val="00CE593D"/>
    <w:rsid w:val="00D05926"/>
    <w:rsid w:val="00D06D8D"/>
    <w:rsid w:val="00D121AA"/>
    <w:rsid w:val="00D333AA"/>
    <w:rsid w:val="00D40E5F"/>
    <w:rsid w:val="00D8688D"/>
    <w:rsid w:val="00D97DD0"/>
    <w:rsid w:val="00DB2C90"/>
    <w:rsid w:val="00DC63A9"/>
    <w:rsid w:val="00DC66A6"/>
    <w:rsid w:val="00DD6C4A"/>
    <w:rsid w:val="00DE2930"/>
    <w:rsid w:val="00DE5CC7"/>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EF4E84"/>
    <w:rsid w:val="00F17B86"/>
    <w:rsid w:val="00F32AA4"/>
    <w:rsid w:val="00F764F4"/>
    <w:rsid w:val="00FA7B76"/>
    <w:rsid w:val="00FB760B"/>
    <w:rsid w:val="00FC38E0"/>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B126D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BB0F06"/>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2024-01-09T19:48:00Z</dcterms:created>
  <dcterms:modified xsi:type="dcterms:W3CDTF">2024-01-09T19:49:00Z</dcterms:modified>
</cp:coreProperties>
</file>