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9CB9" w14:textId="627E1822" w:rsidR="00E01A1E" w:rsidRPr="00914128" w:rsidRDefault="00771A51" w:rsidP="00E01A1E">
      <w:pPr>
        <w:pStyle w:val="Heading1"/>
      </w:pPr>
      <w:bookmarkStart w:id="0" w:name="_Hlk122443531"/>
      <w:r>
        <w:t>CHAPTER 8</w:t>
      </w:r>
    </w:p>
    <w:bookmarkEnd w:id="0"/>
    <w:p w14:paraId="0D223C21" w14:textId="77777777" w:rsidR="00E01A1E" w:rsidRPr="00914128" w:rsidRDefault="00771A51" w:rsidP="00E01A1E">
      <w:pPr>
        <w:pStyle w:val="Heading1"/>
      </w:pPr>
      <w:r w:rsidRPr="00C26751">
        <w:t>LIABILITY BASED ON AGENCY AND RESPONDEAT SUPERIOR</w:t>
      </w:r>
    </w:p>
    <w:p w14:paraId="75696612" w14:textId="77777777" w:rsidR="00E01A1E" w:rsidRPr="009B6746" w:rsidRDefault="00771A51" w:rsidP="00E01A1E">
      <w:pPr>
        <w:pStyle w:val="Heading1"/>
        <w:jc w:val="left"/>
        <w:rPr>
          <w:b w:val="0"/>
        </w:rPr>
      </w:pPr>
      <w:r w:rsidRPr="009B6746">
        <w:rPr>
          <w:b w:val="0"/>
        </w:rPr>
        <w:t xml:space="preserve">A. </w:t>
      </w:r>
      <w:r w:rsidRPr="00C26751">
        <w:rPr>
          <w:b w:val="0"/>
        </w:rPr>
        <w:t>DEFINITIONS</w:t>
      </w:r>
    </w:p>
    <w:p w14:paraId="677DC78F" w14:textId="77777777" w:rsidR="00E01A1E" w:rsidRDefault="00635FA4" w:rsidP="00E01A1E">
      <w:pPr>
        <w:pStyle w:val="ToC"/>
      </w:pPr>
      <w:hyperlink w:anchor="a8_1" w:history="1">
        <w:r w:rsidR="00771A51" w:rsidRPr="0006367C">
          <w:rPr>
            <w:rStyle w:val="Hyperlink"/>
          </w:rPr>
          <w:t>8:1</w:t>
        </w:r>
      </w:hyperlink>
      <w:r w:rsidR="00771A51" w:rsidRPr="0006367C">
        <w:t xml:space="preserve"> </w:t>
      </w:r>
      <w:r w:rsidR="00771A51" w:rsidRPr="0006367C">
        <w:tab/>
        <w:t>Agency Relationship — Defined</w:t>
      </w:r>
    </w:p>
    <w:p w14:paraId="5F5D9F13" w14:textId="6573016C" w:rsidR="00E01A1E" w:rsidRDefault="00635FA4" w:rsidP="00E01A1E">
      <w:pPr>
        <w:pStyle w:val="ToC"/>
      </w:pPr>
      <w:hyperlink w:anchor="a8_2" w:history="1">
        <w:r w:rsidR="00771A51" w:rsidRPr="0006367C">
          <w:rPr>
            <w:rStyle w:val="Hyperlink"/>
          </w:rPr>
          <w:t>8:2</w:t>
        </w:r>
      </w:hyperlink>
      <w:r w:rsidR="00771A51" w:rsidRPr="0006367C">
        <w:t xml:space="preserve"> </w:t>
      </w:r>
      <w:r w:rsidR="00771A51" w:rsidRPr="0006367C">
        <w:tab/>
        <w:t xml:space="preserve">Disclosed </w:t>
      </w:r>
      <w:r w:rsidR="00771A51">
        <w:t xml:space="preserve">or </w:t>
      </w:r>
      <w:r w:rsidR="00771A51" w:rsidRPr="0006367C">
        <w:t>Unidentified Principal — Defined</w:t>
      </w:r>
    </w:p>
    <w:p w14:paraId="25AC8BD9" w14:textId="77777777" w:rsidR="00E01A1E" w:rsidRDefault="00635FA4" w:rsidP="00E01A1E">
      <w:pPr>
        <w:pStyle w:val="ToC"/>
      </w:pPr>
      <w:hyperlink w:anchor="a8_3" w:history="1">
        <w:r w:rsidR="00771A51" w:rsidRPr="0006367C">
          <w:rPr>
            <w:rStyle w:val="Hyperlink"/>
          </w:rPr>
          <w:t>8:3</w:t>
        </w:r>
      </w:hyperlink>
      <w:r w:rsidR="00771A51" w:rsidRPr="0006367C">
        <w:t xml:space="preserve"> </w:t>
      </w:r>
      <w:r w:rsidR="00771A51" w:rsidRPr="0006367C">
        <w:tab/>
        <w:t>Undisclosed Principal — Defined</w:t>
      </w:r>
    </w:p>
    <w:p w14:paraId="677DC58B" w14:textId="77777777" w:rsidR="00E01A1E" w:rsidRDefault="00635FA4" w:rsidP="00E01A1E">
      <w:pPr>
        <w:pStyle w:val="ToC"/>
      </w:pPr>
      <w:hyperlink w:anchor="a8_4" w:history="1">
        <w:r w:rsidR="00771A51" w:rsidRPr="0006367C">
          <w:rPr>
            <w:rStyle w:val="Hyperlink"/>
          </w:rPr>
          <w:t>8:4</w:t>
        </w:r>
      </w:hyperlink>
      <w:r w:rsidR="00771A51" w:rsidRPr="0006367C">
        <w:t xml:space="preserve"> </w:t>
      </w:r>
      <w:r w:rsidR="00771A51" w:rsidRPr="0006367C">
        <w:tab/>
        <w:t xml:space="preserve">Employer </w:t>
      </w:r>
      <w:r w:rsidR="00771A51">
        <w:t>and</w:t>
      </w:r>
      <w:r w:rsidR="00771A51" w:rsidRPr="0006367C">
        <w:t xml:space="preserve"> Employee — Defined</w:t>
      </w:r>
    </w:p>
    <w:p w14:paraId="5F104ACC" w14:textId="77777777" w:rsidR="00E01A1E" w:rsidRDefault="00635FA4" w:rsidP="00E01A1E">
      <w:pPr>
        <w:pStyle w:val="ToC"/>
      </w:pPr>
      <w:hyperlink w:anchor="a8_5" w:history="1">
        <w:r w:rsidR="00771A51" w:rsidRPr="00474B1B">
          <w:rPr>
            <w:rStyle w:val="Hyperlink"/>
          </w:rPr>
          <w:t>8:5</w:t>
        </w:r>
      </w:hyperlink>
      <w:r w:rsidR="00771A51" w:rsidRPr="00474B1B">
        <w:t xml:space="preserve"> </w:t>
      </w:r>
      <w:r w:rsidR="00771A51" w:rsidRPr="00474B1B">
        <w:tab/>
        <w:t>Independent Contractor — Definition</w:t>
      </w:r>
    </w:p>
    <w:p w14:paraId="0F126421" w14:textId="77777777" w:rsidR="00E01A1E" w:rsidRDefault="00635FA4" w:rsidP="00E01A1E">
      <w:pPr>
        <w:pStyle w:val="ToC"/>
      </w:pPr>
      <w:hyperlink w:anchor="a8_6" w:history="1">
        <w:r w:rsidR="00771A51" w:rsidRPr="006F7DC0">
          <w:rPr>
            <w:rStyle w:val="Hyperlink"/>
          </w:rPr>
          <w:t>8:6</w:t>
        </w:r>
      </w:hyperlink>
      <w:r w:rsidR="00771A51" w:rsidRPr="006F7DC0">
        <w:t xml:space="preserve"> </w:t>
      </w:r>
      <w:r w:rsidR="00771A51" w:rsidRPr="006F7DC0">
        <w:tab/>
        <w:t>Loaned Employee</w:t>
      </w:r>
    </w:p>
    <w:p w14:paraId="4F980EAB" w14:textId="77777777" w:rsidR="00E01A1E" w:rsidRDefault="00635FA4" w:rsidP="00E01A1E">
      <w:pPr>
        <w:pStyle w:val="ToC"/>
      </w:pPr>
      <w:hyperlink w:anchor="a8_7" w:history="1">
        <w:r w:rsidR="00771A51" w:rsidRPr="006F7DC0">
          <w:rPr>
            <w:rStyle w:val="Hyperlink"/>
          </w:rPr>
          <w:t>8:7</w:t>
        </w:r>
      </w:hyperlink>
      <w:r w:rsidR="00771A51" w:rsidRPr="006F7DC0">
        <w:tab/>
        <w:t>Loaned Employee ― Determination</w:t>
      </w:r>
    </w:p>
    <w:p w14:paraId="1777974E" w14:textId="77777777" w:rsidR="00E01A1E" w:rsidRDefault="00635FA4" w:rsidP="00E01A1E">
      <w:pPr>
        <w:pStyle w:val="ToC"/>
      </w:pPr>
      <w:hyperlink w:anchor="a8_8" w:history="1">
        <w:r w:rsidR="00771A51" w:rsidRPr="006F7DC0">
          <w:rPr>
            <w:rStyle w:val="Hyperlink"/>
          </w:rPr>
          <w:t>8:8</w:t>
        </w:r>
      </w:hyperlink>
      <w:r w:rsidR="00771A51" w:rsidRPr="006F7DC0">
        <w:t xml:space="preserve"> </w:t>
      </w:r>
      <w:r w:rsidR="00771A51" w:rsidRPr="006F7DC0">
        <w:tab/>
        <w:t xml:space="preserve">Scope </w:t>
      </w:r>
      <w:r w:rsidR="00771A51">
        <w:t>of</w:t>
      </w:r>
      <w:r w:rsidR="00771A51" w:rsidRPr="006F7DC0">
        <w:t xml:space="preserve"> Employment </w:t>
      </w:r>
      <w:r w:rsidR="00771A51">
        <w:t>of</w:t>
      </w:r>
      <w:r w:rsidR="00771A51" w:rsidRPr="006F7DC0">
        <w:t xml:space="preserve"> Employee — Defined</w:t>
      </w:r>
    </w:p>
    <w:p w14:paraId="61F4555D" w14:textId="77777777" w:rsidR="00E01A1E" w:rsidRDefault="00635FA4" w:rsidP="00E01A1E">
      <w:pPr>
        <w:pStyle w:val="ToC"/>
      </w:pPr>
      <w:hyperlink w:anchor="a8_9" w:history="1">
        <w:r w:rsidR="00771A51" w:rsidRPr="00273777">
          <w:rPr>
            <w:rStyle w:val="Hyperlink"/>
          </w:rPr>
          <w:t>8:9</w:t>
        </w:r>
      </w:hyperlink>
      <w:r w:rsidR="00771A51" w:rsidRPr="00273777">
        <w:t xml:space="preserve"> </w:t>
      </w:r>
      <w:r w:rsidR="00771A51" w:rsidRPr="00273777">
        <w:tab/>
        <w:t xml:space="preserve">Scope </w:t>
      </w:r>
      <w:r w:rsidR="00771A51">
        <w:t>of</w:t>
      </w:r>
      <w:r w:rsidR="00771A51" w:rsidRPr="00273777">
        <w:t xml:space="preserve"> Authority </w:t>
      </w:r>
      <w:r w:rsidR="00771A51">
        <w:t>of</w:t>
      </w:r>
      <w:r w:rsidR="00771A51" w:rsidRPr="00273777">
        <w:t xml:space="preserve"> Agent — Defined</w:t>
      </w:r>
    </w:p>
    <w:p w14:paraId="757BBC4E" w14:textId="7265680A" w:rsidR="00E01A1E" w:rsidRDefault="00635FA4" w:rsidP="00E01A1E">
      <w:pPr>
        <w:pStyle w:val="ToC"/>
      </w:pPr>
      <w:hyperlink w:anchor="a8_9A" w:history="1">
        <w:r w:rsidR="00771A51" w:rsidRPr="00273777">
          <w:rPr>
            <w:rStyle w:val="Hyperlink"/>
          </w:rPr>
          <w:t>8:9</w:t>
        </w:r>
        <w:r w:rsidR="00771A51">
          <w:rPr>
            <w:rStyle w:val="Hyperlink"/>
          </w:rPr>
          <w:t>A</w:t>
        </w:r>
      </w:hyperlink>
      <w:r w:rsidR="00771A51" w:rsidRPr="00273777">
        <w:tab/>
        <w:t>Actual Authority</w:t>
      </w:r>
      <w:r w:rsidR="00431B98" w:rsidRPr="00273777">
        <w:t xml:space="preserve"> — Defined</w:t>
      </w:r>
    </w:p>
    <w:p w14:paraId="26F3EF47" w14:textId="6D2BFECF" w:rsidR="00E01A1E" w:rsidRDefault="00635FA4" w:rsidP="00E01A1E">
      <w:pPr>
        <w:pStyle w:val="ToC"/>
      </w:pPr>
      <w:hyperlink w:anchor="a8_9B" w:history="1">
        <w:r w:rsidR="00771A51" w:rsidRPr="00273777">
          <w:rPr>
            <w:rStyle w:val="Hyperlink"/>
          </w:rPr>
          <w:t>8:9</w:t>
        </w:r>
        <w:r w:rsidR="00771A51">
          <w:rPr>
            <w:rStyle w:val="Hyperlink"/>
          </w:rPr>
          <w:t>B</w:t>
        </w:r>
      </w:hyperlink>
      <w:r w:rsidR="00771A51">
        <w:tab/>
      </w:r>
      <w:r w:rsidR="00771A51" w:rsidRPr="00273777">
        <w:t>Express Authority</w:t>
      </w:r>
      <w:r w:rsidR="00DA3154" w:rsidRPr="00273777">
        <w:t xml:space="preserve"> — Defined</w:t>
      </w:r>
    </w:p>
    <w:p w14:paraId="772F42D8" w14:textId="77777777" w:rsidR="00E01A1E" w:rsidRDefault="00635FA4" w:rsidP="00E01A1E">
      <w:pPr>
        <w:pStyle w:val="ToC"/>
      </w:pPr>
      <w:hyperlink w:anchor="a8_10" w:history="1">
        <w:r w:rsidR="00771A51" w:rsidRPr="00273777">
          <w:rPr>
            <w:rStyle w:val="Hyperlink"/>
          </w:rPr>
          <w:t>8:10</w:t>
        </w:r>
      </w:hyperlink>
      <w:r w:rsidR="00771A51" w:rsidRPr="00273777">
        <w:t xml:space="preserve"> </w:t>
      </w:r>
      <w:r w:rsidR="00771A51" w:rsidRPr="00273777">
        <w:tab/>
        <w:t>Incidental Authority — Defined</w:t>
      </w:r>
    </w:p>
    <w:p w14:paraId="6B244051" w14:textId="77777777" w:rsidR="00E01A1E" w:rsidRDefault="00635FA4" w:rsidP="00E01A1E">
      <w:pPr>
        <w:pStyle w:val="ToC"/>
      </w:pPr>
      <w:hyperlink w:anchor="a8_11" w:history="1">
        <w:r w:rsidR="00771A51" w:rsidRPr="00273777">
          <w:rPr>
            <w:rStyle w:val="Hyperlink"/>
          </w:rPr>
          <w:t>8:11</w:t>
        </w:r>
      </w:hyperlink>
      <w:r w:rsidR="00771A51" w:rsidRPr="00273777">
        <w:t xml:space="preserve"> </w:t>
      </w:r>
      <w:r w:rsidR="00771A51" w:rsidRPr="00273777">
        <w:tab/>
        <w:t>Implied Authority — Defined</w:t>
      </w:r>
    </w:p>
    <w:p w14:paraId="68C45A56" w14:textId="77777777" w:rsidR="00E01A1E" w:rsidRDefault="00635FA4" w:rsidP="00E01A1E">
      <w:pPr>
        <w:pStyle w:val="ToC"/>
      </w:pPr>
      <w:hyperlink w:anchor="a8_12" w:history="1">
        <w:r w:rsidR="00771A51" w:rsidRPr="00273777">
          <w:rPr>
            <w:rStyle w:val="Hyperlink"/>
          </w:rPr>
          <w:t>8:12</w:t>
        </w:r>
      </w:hyperlink>
      <w:r w:rsidR="00771A51" w:rsidRPr="00273777">
        <w:t xml:space="preserve"> </w:t>
      </w:r>
      <w:r w:rsidR="00771A51" w:rsidRPr="00273777">
        <w:tab/>
        <w:t xml:space="preserve">Apparent Authority (Agency </w:t>
      </w:r>
      <w:r w:rsidR="00771A51">
        <w:t>b</w:t>
      </w:r>
      <w:r w:rsidR="00771A51" w:rsidRPr="00273777">
        <w:t xml:space="preserve">y Estoppel) — Definition </w:t>
      </w:r>
      <w:r w:rsidR="00771A51">
        <w:t>and</w:t>
      </w:r>
      <w:r w:rsidR="00771A51" w:rsidRPr="00273777">
        <w:t xml:space="preserve"> Effect</w:t>
      </w:r>
    </w:p>
    <w:p w14:paraId="4FCA7945" w14:textId="77777777" w:rsidR="00E01A1E" w:rsidRDefault="00635FA4" w:rsidP="00E01A1E">
      <w:pPr>
        <w:pStyle w:val="ToC"/>
      </w:pPr>
      <w:hyperlink w:anchor="a8_13" w:history="1">
        <w:r w:rsidR="00771A51" w:rsidRPr="00273777">
          <w:rPr>
            <w:rStyle w:val="Hyperlink"/>
          </w:rPr>
          <w:t>8:13</w:t>
        </w:r>
      </w:hyperlink>
      <w:r w:rsidR="00771A51" w:rsidRPr="00273777">
        <w:t xml:space="preserve"> </w:t>
      </w:r>
      <w:r w:rsidR="00771A51" w:rsidRPr="00273777">
        <w:tab/>
        <w:t xml:space="preserve">Scope </w:t>
      </w:r>
      <w:r w:rsidR="00771A51">
        <w:t>of</w:t>
      </w:r>
      <w:r w:rsidR="00771A51" w:rsidRPr="00273777">
        <w:t xml:space="preserve"> Authority </w:t>
      </w:r>
      <w:r w:rsidR="00771A51">
        <w:t xml:space="preserve">or </w:t>
      </w:r>
      <w:r w:rsidR="00771A51" w:rsidRPr="00273777">
        <w:t>Employment — Departure</w:t>
      </w:r>
    </w:p>
    <w:p w14:paraId="259B38B7" w14:textId="77777777" w:rsidR="00E01A1E" w:rsidRDefault="00635FA4" w:rsidP="00E01A1E">
      <w:pPr>
        <w:pStyle w:val="ToC"/>
      </w:pPr>
      <w:hyperlink w:anchor="a8_14" w:history="1">
        <w:r w:rsidR="00771A51" w:rsidRPr="00273777">
          <w:rPr>
            <w:rStyle w:val="Hyperlink"/>
          </w:rPr>
          <w:t>8:14</w:t>
        </w:r>
      </w:hyperlink>
      <w:r w:rsidR="00771A51" w:rsidRPr="00273777">
        <w:t xml:space="preserve"> </w:t>
      </w:r>
      <w:r w:rsidR="00771A51" w:rsidRPr="00273777">
        <w:tab/>
        <w:t xml:space="preserve">Ratification — Definition </w:t>
      </w:r>
      <w:r w:rsidR="00771A51">
        <w:t>and</w:t>
      </w:r>
      <w:r w:rsidR="00771A51" w:rsidRPr="00273777">
        <w:t xml:space="preserve"> Effect</w:t>
      </w:r>
    </w:p>
    <w:p w14:paraId="4EDB867E" w14:textId="77777777" w:rsidR="00E01A1E" w:rsidRDefault="00635FA4" w:rsidP="00E01A1E">
      <w:pPr>
        <w:pStyle w:val="ToC"/>
      </w:pPr>
      <w:hyperlink w:anchor="a8_15" w:history="1">
        <w:r w:rsidR="00771A51" w:rsidRPr="00273777">
          <w:rPr>
            <w:rStyle w:val="Hyperlink"/>
          </w:rPr>
          <w:t>8:15</w:t>
        </w:r>
      </w:hyperlink>
      <w:r w:rsidR="00771A51" w:rsidRPr="00273777">
        <w:t xml:space="preserve"> </w:t>
      </w:r>
      <w:r w:rsidR="00771A51" w:rsidRPr="00273777">
        <w:tab/>
        <w:t xml:space="preserve">Knowledge </w:t>
      </w:r>
      <w:r w:rsidR="00771A51">
        <w:t>of</w:t>
      </w:r>
      <w:r w:rsidR="00771A51" w:rsidRPr="00273777">
        <w:t xml:space="preserve"> Agent Imputable </w:t>
      </w:r>
      <w:r w:rsidR="00771A51">
        <w:t>to</w:t>
      </w:r>
      <w:r w:rsidR="00771A51" w:rsidRPr="00273777">
        <w:t xml:space="preserve"> Principal</w:t>
      </w:r>
    </w:p>
    <w:p w14:paraId="56C36A96" w14:textId="77777777" w:rsidR="00E01A1E" w:rsidRDefault="00635FA4" w:rsidP="00E01A1E">
      <w:pPr>
        <w:pStyle w:val="ToC"/>
      </w:pPr>
      <w:hyperlink w:anchor="a8_16" w:history="1">
        <w:r w:rsidR="00771A51" w:rsidRPr="00273777">
          <w:rPr>
            <w:rStyle w:val="Hyperlink"/>
          </w:rPr>
          <w:t>8:16</w:t>
        </w:r>
      </w:hyperlink>
      <w:r w:rsidR="00771A51" w:rsidRPr="00273777">
        <w:t xml:space="preserve"> </w:t>
      </w:r>
      <w:r w:rsidR="00771A51" w:rsidRPr="00273777">
        <w:tab/>
        <w:t xml:space="preserve">Termination </w:t>
      </w:r>
      <w:r w:rsidR="00771A51">
        <w:t>of</w:t>
      </w:r>
      <w:r w:rsidR="00771A51" w:rsidRPr="00273777">
        <w:t xml:space="preserve"> Agent’s Authority</w:t>
      </w:r>
    </w:p>
    <w:p w14:paraId="21DCDC07" w14:textId="77777777" w:rsidR="00E01A1E" w:rsidRDefault="00635FA4" w:rsidP="00E01A1E">
      <w:pPr>
        <w:pStyle w:val="ToC"/>
      </w:pPr>
      <w:hyperlink w:anchor="a8_17" w:history="1">
        <w:r w:rsidR="00771A51" w:rsidRPr="00273777">
          <w:rPr>
            <w:rStyle w:val="Hyperlink"/>
          </w:rPr>
          <w:t>8:17</w:t>
        </w:r>
      </w:hyperlink>
      <w:r w:rsidR="00771A51" w:rsidRPr="00273777">
        <w:t xml:space="preserve"> </w:t>
      </w:r>
      <w:r w:rsidR="00771A51" w:rsidRPr="00273777">
        <w:tab/>
        <w:t xml:space="preserve">Termination </w:t>
      </w:r>
      <w:r w:rsidR="00771A51">
        <w:t>of</w:t>
      </w:r>
      <w:r w:rsidR="00771A51" w:rsidRPr="00273777">
        <w:t xml:space="preserve"> Agent’s Authority — Notice </w:t>
      </w:r>
      <w:r w:rsidR="00771A51">
        <w:t>to</w:t>
      </w:r>
      <w:r w:rsidR="00771A51" w:rsidRPr="00273777">
        <w:t xml:space="preserve"> Third Parties</w:t>
      </w:r>
    </w:p>
    <w:p w14:paraId="30F1C2B9" w14:textId="77777777" w:rsidR="00E01A1E" w:rsidRDefault="00E01A1E" w:rsidP="00E01A1E">
      <w:pPr>
        <w:pStyle w:val="ToC"/>
      </w:pPr>
    </w:p>
    <w:p w14:paraId="45C8064D" w14:textId="77777777" w:rsidR="00E01A1E" w:rsidRPr="009B6746" w:rsidRDefault="00771A51" w:rsidP="00E01A1E">
      <w:pPr>
        <w:pStyle w:val="Heading1"/>
        <w:jc w:val="left"/>
        <w:rPr>
          <w:b w:val="0"/>
        </w:rPr>
      </w:pPr>
      <w:r w:rsidRPr="00973884">
        <w:rPr>
          <w:b w:val="0"/>
        </w:rPr>
        <w:t xml:space="preserve">B. </w:t>
      </w:r>
      <w:r w:rsidRPr="00C26751">
        <w:rPr>
          <w:b w:val="0"/>
        </w:rPr>
        <w:t>LIABILITY ARISING FROM AGENCY</w:t>
      </w:r>
    </w:p>
    <w:p w14:paraId="25A6A2AC" w14:textId="77777777" w:rsidR="00CA7F33" w:rsidRDefault="00635FA4" w:rsidP="00CA7F33">
      <w:pPr>
        <w:pStyle w:val="ToC"/>
      </w:pPr>
      <w:hyperlink w:anchor="a8_IntroB" w:history="1">
        <w:r w:rsidR="00CA7F33" w:rsidRPr="00CA7F33">
          <w:rPr>
            <w:rStyle w:val="Hyperlink"/>
          </w:rPr>
          <w:t>Introductory Note</w:t>
        </w:r>
      </w:hyperlink>
    </w:p>
    <w:p w14:paraId="04BB6D24" w14:textId="77777777" w:rsidR="00E01A1E" w:rsidRDefault="00635FA4" w:rsidP="00E01A1E">
      <w:pPr>
        <w:pStyle w:val="ToC"/>
      </w:pPr>
      <w:hyperlink w:anchor="a8_18" w:history="1">
        <w:r w:rsidR="00771A51" w:rsidRPr="00273777">
          <w:rPr>
            <w:rStyle w:val="Hyperlink"/>
          </w:rPr>
          <w:t>8:18</w:t>
        </w:r>
      </w:hyperlink>
      <w:r w:rsidR="00771A51" w:rsidRPr="00273777">
        <w:t xml:space="preserve"> </w:t>
      </w:r>
      <w:r w:rsidR="00771A51" w:rsidRPr="00273777">
        <w:tab/>
        <w:t xml:space="preserve">Principal </w:t>
      </w:r>
      <w:r w:rsidR="00771A51">
        <w:t>and</w:t>
      </w:r>
      <w:r w:rsidR="00771A51" w:rsidRPr="00273777">
        <w:t xml:space="preserve"> Agent —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w:t>
      </w:r>
      <w:r w:rsidR="00771A51" w:rsidRPr="00273777">
        <w:t xml:space="preserve"> Authority</w:t>
      </w:r>
    </w:p>
    <w:p w14:paraId="2556AA96" w14:textId="77777777" w:rsidR="00E01A1E" w:rsidRDefault="00635FA4" w:rsidP="00E01A1E">
      <w:pPr>
        <w:pStyle w:val="ToC"/>
      </w:pPr>
      <w:hyperlink w:anchor="a8_19" w:history="1">
        <w:r w:rsidR="00771A51" w:rsidRPr="00CC1E15">
          <w:rPr>
            <w:rStyle w:val="Hyperlink"/>
          </w:rPr>
          <w:t>8:19</w:t>
        </w:r>
      </w:hyperlink>
      <w:r w:rsidR="00771A51" w:rsidRPr="00273777">
        <w:t xml:space="preserve"> </w:t>
      </w:r>
      <w:r w:rsidR="00771A51" w:rsidRPr="00273777">
        <w:tab/>
        <w:t xml:space="preserve">Principal </w:t>
      </w:r>
      <w:r w:rsidR="00771A51">
        <w:t>and</w:t>
      </w:r>
      <w:r w:rsidR="00771A51" w:rsidRPr="00273777">
        <w:t xml:space="preserve"> Agent — </w:t>
      </w:r>
      <w:r w:rsidR="00771A51">
        <w:t>Both Parties</w:t>
      </w:r>
      <w:r w:rsidR="00771A51" w:rsidRPr="00273777">
        <w:t xml:space="preserve"> Sued — No Issue </w:t>
      </w:r>
      <w:r w:rsidR="00771A51">
        <w:t>as</w:t>
      </w:r>
      <w:r w:rsidR="00771A51" w:rsidRPr="00273777">
        <w:t xml:space="preserve"> </w:t>
      </w:r>
      <w:r w:rsidR="00771A51">
        <w:t>to</w:t>
      </w:r>
      <w:r w:rsidR="00771A51" w:rsidRPr="00273777">
        <w:t xml:space="preserve"> Relationship</w:t>
      </w:r>
      <w:r w:rsidR="00771A51">
        <w:t xml:space="preserve"> and Scope of Authority</w:t>
      </w:r>
    </w:p>
    <w:p w14:paraId="08DB124A" w14:textId="77777777" w:rsidR="00E01A1E" w:rsidRDefault="00635FA4" w:rsidP="00E01A1E">
      <w:pPr>
        <w:pStyle w:val="ToC"/>
      </w:pPr>
      <w:hyperlink w:anchor="a8_20" w:history="1">
        <w:r w:rsidR="00771A51" w:rsidRPr="001F6414">
          <w:rPr>
            <w:rStyle w:val="Hyperlink"/>
          </w:rPr>
          <w:t>8:20</w:t>
        </w:r>
      </w:hyperlink>
      <w:r w:rsidR="00771A51" w:rsidRPr="00273777">
        <w:t xml:space="preserve"> </w:t>
      </w:r>
      <w:r w:rsidR="00771A51" w:rsidRPr="00273777">
        <w:tab/>
        <w:t xml:space="preserve">Principal </w:t>
      </w:r>
      <w:r w:rsidR="00771A51">
        <w:t>and</w:t>
      </w:r>
      <w:r w:rsidR="00771A51" w:rsidRPr="00273777">
        <w:t xml:space="preserve"> Agent — Only Principal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w:t>
      </w:r>
      <w:r w:rsidR="00771A51" w:rsidRPr="00273777">
        <w:t xml:space="preserve"> Authority</w:t>
      </w:r>
    </w:p>
    <w:p w14:paraId="57595389" w14:textId="77777777" w:rsidR="00E01A1E" w:rsidRDefault="00635FA4" w:rsidP="00E01A1E">
      <w:pPr>
        <w:pStyle w:val="ToC"/>
      </w:pPr>
      <w:hyperlink w:anchor="a8_21" w:history="1">
        <w:r w:rsidR="00771A51" w:rsidRPr="001F6414">
          <w:rPr>
            <w:rStyle w:val="Hyperlink"/>
          </w:rPr>
          <w:t>8:21</w:t>
        </w:r>
      </w:hyperlink>
      <w:r w:rsidR="00771A51" w:rsidRPr="00273777">
        <w:t xml:space="preserve"> </w:t>
      </w:r>
      <w:r w:rsidR="00771A51" w:rsidRPr="00273777">
        <w:tab/>
        <w:t xml:space="preserve">Principal </w:t>
      </w:r>
      <w:r w:rsidR="00771A51">
        <w:t>and</w:t>
      </w:r>
      <w:r w:rsidR="00771A51" w:rsidRPr="00273777">
        <w:t xml:space="preserve"> Agent — </w:t>
      </w:r>
      <w:r w:rsidR="00771A51">
        <w:t>Only Principal</w:t>
      </w:r>
      <w:r w:rsidR="00771A51" w:rsidRPr="00273777">
        <w:t xml:space="preserve"> Sued —No Issue </w:t>
      </w:r>
      <w:r w:rsidR="00771A51">
        <w:t>as</w:t>
      </w:r>
      <w:r w:rsidR="00771A51" w:rsidRPr="00273777">
        <w:t xml:space="preserve"> </w:t>
      </w:r>
      <w:r w:rsidR="00771A51">
        <w:t>to</w:t>
      </w:r>
      <w:r w:rsidR="00771A51" w:rsidRPr="00273777">
        <w:t xml:space="preserve"> Relationship </w:t>
      </w:r>
      <w:r w:rsidR="00771A51">
        <w:t xml:space="preserve">and </w:t>
      </w:r>
      <w:r w:rsidR="00771A51" w:rsidRPr="00273777">
        <w:t xml:space="preserve">Scope </w:t>
      </w:r>
      <w:r w:rsidR="00771A51">
        <w:t>of</w:t>
      </w:r>
      <w:r w:rsidR="00771A51" w:rsidRPr="00273777">
        <w:t xml:space="preserve"> Authority</w:t>
      </w:r>
    </w:p>
    <w:p w14:paraId="18E68085" w14:textId="77777777" w:rsidR="00E01A1E" w:rsidRDefault="00E01A1E" w:rsidP="00E01A1E">
      <w:pPr>
        <w:pStyle w:val="ToC"/>
      </w:pPr>
    </w:p>
    <w:p w14:paraId="5DDD284F" w14:textId="77777777" w:rsidR="00E01A1E" w:rsidRDefault="00771A51" w:rsidP="00E01A1E">
      <w:pPr>
        <w:pStyle w:val="ToC"/>
        <w:keepNext/>
        <w:spacing w:after="240"/>
      </w:pPr>
      <w:r>
        <w:lastRenderedPageBreak/>
        <w:t>C</w:t>
      </w:r>
      <w:r w:rsidRPr="00973884">
        <w:t xml:space="preserve">. </w:t>
      </w:r>
      <w:r w:rsidRPr="00C26751">
        <w:t xml:space="preserve">LIABILITY </w:t>
      </w:r>
      <w:r>
        <w:t>ARISING FROM RESPONDEAT SUPERIOR</w:t>
      </w:r>
    </w:p>
    <w:p w14:paraId="08604F2C" w14:textId="77777777" w:rsidR="00E01A1E" w:rsidRDefault="00635FA4" w:rsidP="00E01A1E">
      <w:pPr>
        <w:pStyle w:val="ToC"/>
      </w:pPr>
      <w:hyperlink w:anchor="a8_22" w:history="1">
        <w:r w:rsidR="00771A51" w:rsidRPr="001F6414">
          <w:rPr>
            <w:rStyle w:val="Hyperlink"/>
          </w:rPr>
          <w:t>8:22</w:t>
        </w:r>
      </w:hyperlink>
      <w:r w:rsidR="00771A51" w:rsidRPr="00273777">
        <w:tab/>
      </w:r>
      <w:r w:rsidR="00771A51">
        <w:t xml:space="preserve">Employer and Employee </w:t>
      </w:r>
      <w:r w:rsidR="00771A51" w:rsidRPr="00273777">
        <w:t xml:space="preserve">—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 Employment</w:t>
      </w:r>
    </w:p>
    <w:p w14:paraId="71C9F0BF" w14:textId="77777777" w:rsidR="00E01A1E" w:rsidRDefault="00635FA4" w:rsidP="00E01A1E">
      <w:pPr>
        <w:pStyle w:val="ToC"/>
      </w:pPr>
      <w:hyperlink w:anchor="a8_23" w:history="1">
        <w:r w:rsidR="00771A51" w:rsidRPr="001F6414">
          <w:rPr>
            <w:rStyle w:val="Hyperlink"/>
          </w:rPr>
          <w:t>8:23</w:t>
        </w:r>
      </w:hyperlink>
      <w:r w:rsidR="00771A51" w:rsidRPr="00273777">
        <w:t xml:space="preserve"> </w:t>
      </w:r>
      <w:r w:rsidR="00771A51" w:rsidRPr="00273777">
        <w:tab/>
      </w:r>
      <w:r w:rsidR="00771A51">
        <w:t>Employer and Employee</w:t>
      </w:r>
      <w:r w:rsidR="00771A51" w:rsidRPr="00273777">
        <w:t xml:space="preserve"> — Both Parties Sued — No Issue </w:t>
      </w:r>
      <w:r w:rsidR="00771A51">
        <w:t>as</w:t>
      </w:r>
      <w:r w:rsidR="00771A51" w:rsidRPr="00273777">
        <w:t xml:space="preserve"> </w:t>
      </w:r>
      <w:r w:rsidR="00771A51">
        <w:t>to</w:t>
      </w:r>
      <w:r w:rsidR="00771A51" w:rsidRPr="00273777">
        <w:t xml:space="preserve"> Relationship </w:t>
      </w:r>
      <w:r w:rsidR="00771A51">
        <w:t>and Scope of Employment</w:t>
      </w:r>
    </w:p>
    <w:p w14:paraId="6B25BE34" w14:textId="77777777" w:rsidR="00E01A1E" w:rsidRDefault="00635FA4" w:rsidP="00E01A1E">
      <w:pPr>
        <w:pStyle w:val="ToC"/>
      </w:pPr>
      <w:hyperlink w:anchor="a8_24" w:history="1">
        <w:r w:rsidR="00771A51" w:rsidRPr="001F6414">
          <w:rPr>
            <w:rStyle w:val="Hyperlink"/>
          </w:rPr>
          <w:t>8:24</w:t>
        </w:r>
      </w:hyperlink>
      <w:r w:rsidR="00771A51" w:rsidRPr="00273777">
        <w:t xml:space="preserve"> </w:t>
      </w:r>
      <w:r w:rsidR="00771A51" w:rsidRPr="00273777">
        <w:tab/>
      </w:r>
      <w:r w:rsidR="00771A51">
        <w:t>Employer and Employee — Only Employer</w:t>
      </w:r>
      <w:r w:rsidR="00771A51" w:rsidRPr="00273777">
        <w:t xml:space="preserve">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 Employment</w:t>
      </w:r>
    </w:p>
    <w:p w14:paraId="21FEC39C" w14:textId="77777777" w:rsidR="00E01A1E" w:rsidRDefault="00635FA4" w:rsidP="00E01A1E">
      <w:pPr>
        <w:pStyle w:val="ToC"/>
      </w:pPr>
      <w:hyperlink w:anchor="a8_25" w:history="1">
        <w:r w:rsidR="00771A51" w:rsidRPr="001F6414">
          <w:rPr>
            <w:rStyle w:val="Hyperlink"/>
          </w:rPr>
          <w:t>8:25</w:t>
        </w:r>
      </w:hyperlink>
      <w:r w:rsidR="00771A51" w:rsidRPr="00273777">
        <w:t xml:space="preserve"> </w:t>
      </w:r>
      <w:r w:rsidR="00771A51" w:rsidRPr="00273777">
        <w:tab/>
      </w:r>
      <w:r w:rsidR="00771A51">
        <w:t>Employer and Employee</w:t>
      </w:r>
      <w:r w:rsidR="00771A51" w:rsidRPr="00273777">
        <w:t xml:space="preserve"> — Only </w:t>
      </w:r>
      <w:r w:rsidR="00771A51">
        <w:t>Employer</w:t>
      </w:r>
      <w:r w:rsidR="00771A51" w:rsidRPr="00273777">
        <w:t xml:space="preserve"> Sued — No Issue </w:t>
      </w:r>
      <w:r w:rsidR="00771A51">
        <w:t>as</w:t>
      </w:r>
      <w:r w:rsidR="00771A51" w:rsidRPr="00273777">
        <w:t xml:space="preserve"> </w:t>
      </w:r>
      <w:r w:rsidR="00771A51">
        <w:t>to</w:t>
      </w:r>
      <w:r w:rsidR="00771A51" w:rsidRPr="00273777">
        <w:t xml:space="preserve"> Relationship </w:t>
      </w:r>
      <w:r w:rsidR="00771A51">
        <w:t>and Scope of Employment</w:t>
      </w:r>
    </w:p>
    <w:p w14:paraId="45A2EEBF" w14:textId="77777777" w:rsidR="00E01A1E" w:rsidRPr="00352111" w:rsidRDefault="00771A51">
      <w:pPr>
        <w:rPr>
          <w:rFonts w:eastAsia="Times New Roman"/>
          <w:sz w:val="24"/>
          <w:szCs w:val="24"/>
        </w:rPr>
      </w:pPr>
      <w:r w:rsidRPr="00352111">
        <w:rPr>
          <w:rFonts w:eastAsia="Times New Roman"/>
          <w:sz w:val="24"/>
          <w:szCs w:val="24"/>
        </w:rPr>
        <w:br w:type="page"/>
      </w:r>
    </w:p>
    <w:p w14:paraId="16ADDC46" w14:textId="77777777" w:rsidR="00E01A1E" w:rsidRDefault="00771A51" w:rsidP="00E01A1E">
      <w:pPr>
        <w:spacing w:after="240"/>
        <w:jc w:val="center"/>
        <w:rPr>
          <w:rFonts w:eastAsia="Times New Roman"/>
          <w:b/>
          <w:sz w:val="24"/>
          <w:szCs w:val="24"/>
        </w:rPr>
      </w:pPr>
      <w:r w:rsidRPr="00C26751">
        <w:rPr>
          <w:rFonts w:eastAsia="Times New Roman"/>
          <w:b/>
          <w:sz w:val="24"/>
          <w:szCs w:val="24"/>
        </w:rPr>
        <w:lastRenderedPageBreak/>
        <w:t>A. DEFINITIONS</w:t>
      </w:r>
    </w:p>
    <w:p w14:paraId="26E81677" w14:textId="77777777" w:rsidR="00E01A1E" w:rsidRPr="009E3DA4" w:rsidRDefault="00771A51" w:rsidP="00E01A1E">
      <w:pPr>
        <w:spacing w:after="240"/>
        <w:ind w:left="720" w:hanging="720"/>
        <w:rPr>
          <w:rFonts w:eastAsia="Times New Roman"/>
          <w:b/>
          <w:sz w:val="24"/>
          <w:szCs w:val="24"/>
        </w:rPr>
      </w:pPr>
      <w:bookmarkStart w:id="1" w:name="a8_1"/>
      <w:bookmarkEnd w:id="1"/>
      <w:r w:rsidRPr="00C26751">
        <w:rPr>
          <w:rFonts w:eastAsia="Times New Roman"/>
          <w:b/>
          <w:sz w:val="24"/>
          <w:szCs w:val="24"/>
        </w:rPr>
        <w:t xml:space="preserve">8:1 </w:t>
      </w:r>
      <w:r w:rsidRPr="00C26751">
        <w:rPr>
          <w:rFonts w:eastAsia="Times New Roman"/>
          <w:b/>
          <w:sz w:val="24"/>
          <w:szCs w:val="24"/>
        </w:rPr>
        <w:tab/>
        <w:t>AGENCY RELATIONSHIP — DEFINED</w:t>
      </w:r>
    </w:p>
    <w:p w14:paraId="30B28D14" w14:textId="77777777" w:rsidR="00E01A1E" w:rsidRPr="00C26751" w:rsidRDefault="00771A51" w:rsidP="00E01A1E">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4CDAF46F" w14:textId="77777777" w:rsidR="00E01A1E" w:rsidRDefault="00E01A1E" w:rsidP="00E01A1E">
      <w:pPr>
        <w:jc w:val="center"/>
        <w:rPr>
          <w:rFonts w:eastAsia="Times New Roman"/>
          <w:sz w:val="24"/>
          <w:szCs w:val="24"/>
        </w:rPr>
      </w:pPr>
    </w:p>
    <w:p w14:paraId="06E01AB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6CE65E" w14:textId="39FF27A4" w:rsidR="00E01A1E" w:rsidRPr="00C26751" w:rsidRDefault="00771A51" w:rsidP="00E01A1E">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r w:rsidR="00C5367C">
        <w:rPr>
          <w:rFonts w:eastAsia="Times New Roman"/>
          <w:b/>
          <w:bCs/>
          <w:sz w:val="24"/>
          <w:szCs w:val="24"/>
        </w:rPr>
        <w:t>Fresquez v. Trinidad Inn, Inc.</w:t>
      </w:r>
      <w:r w:rsidR="00C5367C">
        <w:rPr>
          <w:rFonts w:eastAsia="Times New Roman"/>
          <w:sz w:val="24"/>
          <w:szCs w:val="24"/>
        </w:rPr>
        <w:t>, 2022 COA 96, ¶ 14</w:t>
      </w:r>
      <w:r w:rsidR="0000701C">
        <w:rPr>
          <w:rFonts w:eastAsia="Times New Roman"/>
          <w:sz w:val="24"/>
          <w:szCs w:val="24"/>
        </w:rPr>
        <w:t>, 521 P.3d 399</w:t>
      </w:r>
      <w:r w:rsidR="00C5367C">
        <w:rPr>
          <w:rFonts w:eastAsia="Times New Roman"/>
          <w:sz w:val="24"/>
          <w:szCs w:val="24"/>
        </w:rPr>
        <w:t>;</w:t>
      </w:r>
      <w:r w:rsidR="00C5367C">
        <w:rPr>
          <w:rFonts w:eastAsia="Times New Roman"/>
          <w:b/>
          <w:bCs/>
          <w:sz w:val="24"/>
          <w:szCs w:val="24"/>
        </w:rPr>
        <w:t xml:space="preserve"> </w:t>
      </w:r>
      <w:r w:rsidRPr="00AD62E0">
        <w:rPr>
          <w:rFonts w:eastAsia="Times New Roman"/>
          <w:b/>
          <w:sz w:val="24"/>
          <w:szCs w:val="24"/>
        </w:rPr>
        <w:t>Digital Landscape Inc. v. Media Kings LLC</w:t>
      </w:r>
      <w:r w:rsidRPr="00AD62E0">
        <w:rPr>
          <w:rFonts w:eastAsia="Times New Roman"/>
          <w:sz w:val="24"/>
          <w:szCs w:val="24"/>
        </w:rPr>
        <w:t>, 2018 COA 142, ¶ 81, 440 P.3d 1200;</w:t>
      </w:r>
      <w:r>
        <w:rPr>
          <w:rFonts w:eastAsia="Times New Roman"/>
          <w:sz w:val="24"/>
          <w:szCs w:val="24"/>
        </w:rPr>
        <w:t xml:space="preserve"> </w:t>
      </w:r>
      <w:r w:rsidRPr="00C26751">
        <w:rPr>
          <w:rFonts w:eastAsia="Times New Roman"/>
          <w:b/>
          <w:sz w:val="24"/>
          <w:szCs w:val="24"/>
        </w:rPr>
        <w:t>Christoph v. Colo. Commc’ns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Pr="00645071">
        <w:rPr>
          <w:rFonts w:eastAsia="Times New Roman"/>
          <w:b/>
          <w:sz w:val="24"/>
          <w:szCs w:val="24"/>
        </w:rPr>
        <w:t>Olsen v. Vail Assocs. Real Estate, Inc.</w:t>
      </w:r>
      <w:r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w:t>
      </w:r>
      <w:r w:rsidR="005840CD">
        <w:rPr>
          <w:rFonts w:eastAsia="Times New Roman"/>
          <w:b/>
          <w:sz w:val="24"/>
          <w:szCs w:val="24"/>
        </w:rPr>
        <w:t>Fresquez</w:t>
      </w:r>
      <w:r w:rsidR="005840CD">
        <w:rPr>
          <w:rFonts w:eastAsia="Times New Roman"/>
          <w:bCs/>
          <w:sz w:val="24"/>
          <w:szCs w:val="24"/>
        </w:rPr>
        <w:t xml:space="preserve">, ¶ 14; </w:t>
      </w:r>
      <w:r w:rsidRPr="00C26751">
        <w:rPr>
          <w:rFonts w:eastAsia="Times New Roman"/>
          <w:b/>
          <w:sz w:val="24"/>
          <w:szCs w:val="24"/>
        </w:rPr>
        <w:t>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r w:rsidRPr="00C26751">
        <w:rPr>
          <w:rFonts w:eastAsia="Times New Roman"/>
          <w:b/>
          <w:sz w:val="24"/>
          <w:szCs w:val="24"/>
        </w:rPr>
        <w:t>Filho</w:t>
      </w:r>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 xml:space="preserve">199 (Colo. App. 2001); </w:t>
      </w:r>
      <w:r w:rsidRPr="00C26751">
        <w:rPr>
          <w:rFonts w:eastAsia="Times New Roman"/>
          <w:b/>
          <w:sz w:val="24"/>
          <w:szCs w:val="24"/>
        </w:rPr>
        <w:t>Victorio Realty Grp</w:t>
      </w:r>
      <w:r>
        <w:rPr>
          <w:rFonts w:eastAsia="Times New Roman"/>
          <w:b/>
          <w:sz w:val="24"/>
          <w:szCs w:val="24"/>
        </w:rPr>
        <w:t>.</w:t>
      </w:r>
      <w:r w:rsidRPr="00C26751">
        <w:rPr>
          <w:rFonts w:eastAsia="Times New Roman"/>
          <w:b/>
          <w:sz w:val="24"/>
          <w:szCs w:val="24"/>
        </w:rPr>
        <w:t>,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713 P.2d 424 (Colo. App. 1985).</w:t>
      </w:r>
    </w:p>
    <w:p w14:paraId="12CE9DD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B89CD9F"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Pr>
          <w:rFonts w:eastAsia="Times New Roman"/>
          <w:sz w:val="24"/>
          <w:szCs w:val="24"/>
        </w:rPr>
        <w:t xml:space="preserve">and </w:t>
      </w:r>
      <w:r w:rsidRPr="00C26751">
        <w:rPr>
          <w:rFonts w:eastAsia="Times New Roman"/>
          <w:b/>
          <w:sz w:val="24"/>
          <w:szCs w:val="24"/>
        </w:rPr>
        <w:t>Stortroen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Pr>
          <w:rFonts w:eastAsia="Times New Roman"/>
          <w:sz w:val="24"/>
          <w:szCs w:val="24"/>
        </w:rPr>
        <w:t>.</w:t>
      </w:r>
      <w:r w:rsidRPr="00C26751">
        <w:rPr>
          <w:rFonts w:eastAsia="Times New Roman"/>
          <w:b/>
          <w:sz w:val="24"/>
          <w:szCs w:val="24"/>
        </w:rPr>
        <w:t xml:space="preserve"> </w:t>
      </w:r>
      <w:r w:rsidRPr="00F40C8E">
        <w:rPr>
          <w:rFonts w:eastAsia="Times New Roman"/>
          <w:i/>
          <w:sz w:val="24"/>
          <w:szCs w:val="24"/>
        </w:rPr>
        <w:t>See also</w:t>
      </w:r>
      <w:r>
        <w:rPr>
          <w:rFonts w:eastAsia="Times New Roman"/>
          <w:b/>
          <w:sz w:val="24"/>
          <w:szCs w:val="24"/>
        </w:rPr>
        <w:t xml:space="preserve"> </w:t>
      </w:r>
      <w:r w:rsidRPr="00C26751">
        <w:rPr>
          <w:rFonts w:eastAsia="Times New Roman"/>
          <w:b/>
          <w:sz w:val="24"/>
          <w:szCs w:val="24"/>
        </w:rPr>
        <w:t>Rohauer v. Little</w:t>
      </w:r>
      <w:r w:rsidRPr="00C26751">
        <w:rPr>
          <w:rFonts w:eastAsia="Times New Roman"/>
          <w:sz w:val="24"/>
          <w:szCs w:val="24"/>
        </w:rPr>
        <w:t>, 736 P.2d 403 (Colo. 1987) (in a multiple listing real estate transaction</w:t>
      </w:r>
      <w:r>
        <w:rPr>
          <w:rFonts w:eastAsia="Times New Roman"/>
          <w:sz w:val="24"/>
          <w:szCs w:val="24"/>
        </w:rPr>
        <w:t xml:space="preserve"> involving residential property</w:t>
      </w:r>
      <w:r w:rsidRPr="00C26751">
        <w:rPr>
          <w:rFonts w:eastAsia="Times New Roman"/>
          <w:sz w:val="24"/>
          <w:szCs w:val="24"/>
        </w:rPr>
        <w:t xml:space="preserve">, the selling broker or salesperson </w:t>
      </w:r>
      <w:r>
        <w:rPr>
          <w:rFonts w:eastAsia="Times New Roman"/>
          <w:sz w:val="24"/>
          <w:szCs w:val="24"/>
        </w:rPr>
        <w:t>is an</w:t>
      </w:r>
      <w:r w:rsidRPr="00C26751">
        <w:rPr>
          <w:rFonts w:eastAsia="Times New Roman"/>
          <w:sz w:val="24"/>
          <w:szCs w:val="24"/>
        </w:rPr>
        <w:t xml:space="preserve"> agent of the listing broker and consequently </w:t>
      </w:r>
      <w:r>
        <w:rPr>
          <w:rFonts w:eastAsia="Times New Roman"/>
          <w:sz w:val="24"/>
          <w:szCs w:val="24"/>
        </w:rPr>
        <w:t xml:space="preserve">stands </w:t>
      </w:r>
      <w:r w:rsidRPr="00C26751">
        <w:rPr>
          <w:rFonts w:eastAsia="Times New Roman"/>
          <w:sz w:val="24"/>
          <w:szCs w:val="24"/>
        </w:rPr>
        <w:t>in a</w:t>
      </w:r>
      <w:r>
        <w:rPr>
          <w:rFonts w:eastAsia="Times New Roman"/>
          <w:sz w:val="24"/>
          <w:szCs w:val="24"/>
        </w:rPr>
        <w:t>n</w:t>
      </w:r>
      <w:r w:rsidRPr="00C26751">
        <w:rPr>
          <w:rFonts w:eastAsia="Times New Roman"/>
          <w:sz w:val="24"/>
          <w:szCs w:val="24"/>
        </w:rPr>
        <w:t xml:space="preserve"> agency relationship with the seller</w:t>
      </w:r>
      <w:r>
        <w:rPr>
          <w:rFonts w:eastAsia="Times New Roman"/>
          <w:sz w:val="24"/>
          <w:szCs w:val="24"/>
        </w:rPr>
        <w:t>, but</w:t>
      </w:r>
      <w:r w:rsidRPr="00C26751">
        <w:rPr>
          <w:rFonts w:eastAsia="Times New Roman"/>
          <w:sz w:val="24"/>
          <w:szCs w:val="24"/>
        </w:rPr>
        <w:t xml:space="preserve"> the selling broker is not an agent of the buyer); </w:t>
      </w:r>
      <w:r w:rsidRPr="00C26751">
        <w:rPr>
          <w:rFonts w:eastAsia="Times New Roman"/>
          <w:b/>
          <w:sz w:val="24"/>
          <w:szCs w:val="24"/>
        </w:rPr>
        <w:t>Villalpando v. Denver Health &amp; Hosp</w:t>
      </w:r>
      <w:r>
        <w:rPr>
          <w:rFonts w:eastAsia="Times New Roman"/>
          <w:b/>
          <w:sz w:val="24"/>
          <w:szCs w:val="24"/>
        </w:rPr>
        <w:t>.</w:t>
      </w:r>
      <w:r w:rsidRPr="00C26751">
        <w:rPr>
          <w:rFonts w:eastAsia="Times New Roman"/>
          <w:b/>
          <w:sz w:val="24"/>
          <w:szCs w:val="24"/>
        </w:rPr>
        <w:t xml:space="preserve"> Auth</w:t>
      </w:r>
      <w:r>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r w:rsidRPr="00C26751">
        <w:rPr>
          <w:rFonts w:eastAsia="Times New Roman"/>
          <w:b/>
          <w:sz w:val="24"/>
          <w:szCs w:val="24"/>
        </w:rPr>
        <w:t>Filho</w:t>
      </w:r>
      <w:r w:rsidRPr="00C26751">
        <w:rPr>
          <w:rFonts w:eastAsia="Times New Roman"/>
          <w:sz w:val="24"/>
          <w:szCs w:val="24"/>
        </w:rPr>
        <w:t xml:space="preserve">, 36 P.3d </w:t>
      </w:r>
      <w:r>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r w:rsidRPr="00C26751">
        <w:rPr>
          <w:rFonts w:eastAsia="Times New Roman"/>
          <w:b/>
          <w:sz w:val="24"/>
          <w:szCs w:val="24"/>
        </w:rPr>
        <w:t>Gorsich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Pr>
          <w:rFonts w:eastAsia="Times New Roman"/>
          <w:b/>
          <w:sz w:val="24"/>
          <w:szCs w:val="24"/>
        </w:rPr>
        <w:t>.</w:t>
      </w:r>
      <w:r w:rsidRPr="00C26751">
        <w:rPr>
          <w:rFonts w:eastAsia="Times New Roman"/>
          <w:b/>
          <w:sz w:val="24"/>
          <w:szCs w:val="24"/>
        </w:rPr>
        <w:t xml:space="preserve"> Grp</w:t>
      </w:r>
      <w:r>
        <w:rPr>
          <w:rFonts w:eastAsia="Times New Roman"/>
          <w:b/>
          <w:sz w:val="24"/>
          <w:szCs w:val="24"/>
        </w:rPr>
        <w:t>.</w:t>
      </w:r>
      <w:r w:rsidRPr="00C26751">
        <w:rPr>
          <w:rFonts w:eastAsia="Times New Roman"/>
          <w:b/>
          <w:sz w:val="24"/>
          <w:szCs w:val="24"/>
        </w:rPr>
        <w:t>, Inc. v. Fults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Governor’s Ranch Prof</w:t>
      </w:r>
      <w:r>
        <w:rPr>
          <w:rFonts w:eastAsia="Times New Roman"/>
          <w:b/>
          <w:sz w:val="24"/>
          <w:szCs w:val="24"/>
        </w:rPr>
        <w:t>’</w:t>
      </w:r>
      <w:r w:rsidRPr="00C26751">
        <w:rPr>
          <w:rFonts w:eastAsia="Times New Roman"/>
          <w:b/>
          <w:sz w:val="24"/>
          <w:szCs w:val="24"/>
        </w:rPr>
        <w:t>l Ctr</w:t>
      </w:r>
      <w:r>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w:t>
      </w:r>
      <w:r w:rsidRPr="00C26751">
        <w:rPr>
          <w:rFonts w:eastAsia="Times New Roman"/>
          <w:sz w:val="24"/>
          <w:szCs w:val="24"/>
        </w:rPr>
        <w:lastRenderedPageBreak/>
        <w:t xml:space="preserve">to so act.”); </w:t>
      </w:r>
      <w:r w:rsidRPr="00C26751">
        <w:rPr>
          <w:rFonts w:eastAsia="Times New Roman"/>
          <w:b/>
          <w:sz w:val="24"/>
          <w:szCs w:val="24"/>
        </w:rPr>
        <w:t>Real Equity Diversification, Inc. v. Coville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Pr>
          <w:rFonts w:eastAsia="Times New Roman"/>
          <w:sz w:val="24"/>
          <w:szCs w:val="24"/>
        </w:rPr>
        <w:t xml:space="preserve">mere </w:t>
      </w:r>
      <w:r w:rsidRPr="00C26751">
        <w:rPr>
          <w:rFonts w:eastAsia="Times New Roman"/>
          <w:sz w:val="24"/>
          <w:szCs w:val="24"/>
        </w:rPr>
        <w:t xml:space="preserve">existence of an agreement between a seller’s broker and a buyer’s broker to share a real estate commission does not make the buyer’s broker an agent of the seller); </w:t>
      </w:r>
      <w:r w:rsidRPr="00C26751">
        <w:rPr>
          <w:rFonts w:eastAsia="Times New Roman"/>
          <w:b/>
          <w:sz w:val="24"/>
          <w:szCs w:val="24"/>
        </w:rPr>
        <w:t>Victorio Realty Grp</w:t>
      </w:r>
      <w:r>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Pr>
          <w:rFonts w:eastAsia="Times New Roman"/>
          <w:sz w:val="24"/>
          <w:szCs w:val="24"/>
        </w:rPr>
        <w:t xml:space="preserve">at </w:t>
      </w:r>
      <w:r w:rsidRPr="00C26751">
        <w:rPr>
          <w:rFonts w:eastAsia="Times New Roman"/>
          <w:sz w:val="24"/>
          <w:szCs w:val="24"/>
        </w:rPr>
        <w:t>42</w:t>
      </w:r>
      <w:r>
        <w:rPr>
          <w:rFonts w:eastAsia="Times New Roman"/>
          <w:sz w:val="24"/>
          <w:szCs w:val="24"/>
        </w:rPr>
        <w:t>5</w:t>
      </w:r>
      <w:r w:rsidRPr="00C26751">
        <w:rPr>
          <w:rFonts w:eastAsia="Times New Roman"/>
          <w:sz w:val="24"/>
          <w:szCs w:val="24"/>
        </w:rPr>
        <w:t xml:space="preserve"> (agency</w:t>
      </w:r>
      <w:r>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Pr>
          <w:rFonts w:eastAsia="Times New Roman"/>
          <w:b/>
          <w:sz w:val="24"/>
          <w:szCs w:val="24"/>
        </w:rPr>
        <w:t>.</w:t>
      </w:r>
      <w:r w:rsidRPr="00C26751">
        <w:rPr>
          <w:rFonts w:eastAsia="Times New Roman"/>
          <w:b/>
          <w:sz w:val="24"/>
          <w:szCs w:val="24"/>
        </w:rPr>
        <w:t xml:space="preserve"> Real Estate Comm</w:t>
      </w:r>
      <w:r>
        <w:rPr>
          <w:rFonts w:eastAsia="Times New Roman"/>
          <w:b/>
          <w:sz w:val="24"/>
          <w:szCs w:val="24"/>
        </w:rPr>
        <w:t>’</w:t>
      </w:r>
      <w:r w:rsidRPr="00C26751">
        <w:rPr>
          <w:rFonts w:eastAsia="Times New Roman"/>
          <w:b/>
          <w:sz w:val="24"/>
          <w:szCs w:val="24"/>
        </w:rPr>
        <w:t>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10A20D0E" w14:textId="77777777" w:rsidR="00E01A1E" w:rsidRPr="00C26751" w:rsidRDefault="00771A51" w:rsidP="00E01A1E">
      <w:pPr>
        <w:shd w:val="clear" w:color="auto" w:fill="FFFFFF"/>
        <w:spacing w:after="240"/>
        <w:ind w:firstLine="720"/>
        <w:rPr>
          <w:rFonts w:eastAsia="Times New Roman"/>
          <w:sz w:val="24"/>
          <w:szCs w:val="24"/>
        </w:rPr>
      </w:pPr>
      <w:r w:rsidRPr="00AD62E0">
        <w:rPr>
          <w:rFonts w:eastAsia="Times New Roman"/>
          <w:sz w:val="24"/>
          <w:szCs w:val="24"/>
        </w:rPr>
        <w:t xml:space="preserve">2.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r w:rsidRPr="00AD62E0">
        <w:rPr>
          <w:rFonts w:eastAsia="Times New Roman"/>
          <w:i/>
          <w:sz w:val="24"/>
          <w:szCs w:val="24"/>
        </w:rPr>
        <w:t>See</w:t>
      </w:r>
      <w:r w:rsidRPr="00AD62E0">
        <w:rPr>
          <w:rFonts w:eastAsia="Times New Roman"/>
          <w:sz w:val="24"/>
          <w:szCs w:val="24"/>
        </w:rPr>
        <w:t xml:space="preserve"> </w:t>
      </w:r>
      <w:r w:rsidRPr="00AD62E0">
        <w:rPr>
          <w:rFonts w:eastAsia="Times New Roman"/>
          <w:b/>
          <w:sz w:val="24"/>
          <w:szCs w:val="24"/>
        </w:rPr>
        <w:t>Grease Monkey Int’l, Inc. v. Montoya</w:t>
      </w:r>
      <w:r w:rsidRPr="00AD62E0">
        <w:rPr>
          <w:rFonts w:eastAsia="Times New Roman"/>
          <w:sz w:val="24"/>
          <w:szCs w:val="24"/>
        </w:rPr>
        <w:t>, 904 P.2d 468 (Colo. 1995).</w:t>
      </w:r>
    </w:p>
    <w:p w14:paraId="33DB7FB8"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r w:rsidRPr="00C26751">
        <w:rPr>
          <w:rFonts w:eastAsia="Times New Roman"/>
          <w:b/>
          <w:sz w:val="24"/>
          <w:szCs w:val="24"/>
        </w:rPr>
        <w:t>Gorsich</w:t>
      </w:r>
      <w:r w:rsidRPr="00C26751">
        <w:rPr>
          <w:rFonts w:eastAsia="Times New Roman"/>
          <w:sz w:val="24"/>
          <w:szCs w:val="24"/>
        </w:rPr>
        <w:t>, 893 P.2d at 1361.</w:t>
      </w:r>
    </w:p>
    <w:p w14:paraId="06BF8113"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Pr>
          <w:rFonts w:eastAsia="Times New Roman"/>
          <w:sz w:val="24"/>
          <w:szCs w:val="24"/>
        </w:rPr>
        <w:t xml:space="preserve">; </w:t>
      </w:r>
      <w:r w:rsidRPr="00602DE7">
        <w:rPr>
          <w:rFonts w:eastAsia="Times New Roman"/>
          <w:i/>
          <w:color w:val="000000"/>
          <w:sz w:val="24"/>
          <w:szCs w:val="24"/>
        </w:rPr>
        <w:t>see</w:t>
      </w:r>
      <w:r w:rsidRPr="00602DE7">
        <w:rPr>
          <w:rFonts w:eastAsia="Times New Roman"/>
          <w:color w:val="000000"/>
          <w:sz w:val="24"/>
          <w:szCs w:val="24"/>
        </w:rPr>
        <w:t xml:space="preserve"> </w:t>
      </w:r>
      <w:r w:rsidRPr="00602DE7">
        <w:rPr>
          <w:rFonts w:eastAsia="Times New Roman"/>
          <w:b/>
          <w:iCs/>
          <w:color w:val="000000"/>
          <w:sz w:val="24"/>
          <w:szCs w:val="24"/>
        </w:rPr>
        <w:t>Stortroen</w:t>
      </w:r>
      <w:r w:rsidRPr="00B33387">
        <w:rPr>
          <w:rFonts w:eastAsia="Times New Roman"/>
          <w:iCs/>
          <w:color w:val="000000"/>
          <w:sz w:val="24"/>
          <w:szCs w:val="24"/>
        </w:rPr>
        <w:t>,</w:t>
      </w:r>
      <w:r w:rsidRPr="00602DE7">
        <w:rPr>
          <w:rFonts w:eastAsia="Times New Roman"/>
          <w:color w:val="000000"/>
          <w:sz w:val="24"/>
          <w:szCs w:val="24"/>
        </w:rPr>
        <w:t xml:space="preserve"> 736 P.2d at 395; </w:t>
      </w:r>
      <w:r w:rsidRPr="00602DE7">
        <w:rPr>
          <w:rFonts w:eastAsia="Times New Roman"/>
          <w:b/>
          <w:color w:val="000000"/>
          <w:sz w:val="24"/>
          <w:szCs w:val="24"/>
        </w:rPr>
        <w:t>Cole</w:t>
      </w:r>
      <w:r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7BC77776" w14:textId="77777777" w:rsidR="00E01A1E" w:rsidRPr="00C26751" w:rsidRDefault="00771A51" w:rsidP="00E01A1E">
      <w:pPr>
        <w:spacing w:after="240"/>
        <w:ind w:firstLine="720"/>
        <w:rPr>
          <w:rFonts w:eastAsia="Times New Roman"/>
          <w:sz w:val="24"/>
          <w:szCs w:val="24"/>
        </w:rPr>
      </w:pPr>
      <w:r>
        <w:rPr>
          <w:rFonts w:eastAsia="Times New Roman"/>
          <w:sz w:val="24"/>
          <w:szCs w:val="24"/>
        </w:rPr>
        <w:t>5</w:t>
      </w:r>
      <w:r w:rsidRPr="00C26751">
        <w:rPr>
          <w:rFonts w:eastAsia="Times New Roman"/>
          <w:sz w:val="24"/>
          <w:szCs w:val="24"/>
        </w:rPr>
        <w:t xml:space="preserve">. Generally, an agent is entitled to indemnification from the principal for losses incurred because of the agency relationship if such losses should </w:t>
      </w:r>
      <w:r>
        <w:rPr>
          <w:rFonts w:eastAsia="Times New Roman"/>
          <w:sz w:val="24"/>
          <w:szCs w:val="24"/>
        </w:rPr>
        <w:t xml:space="preserve">fairly </w:t>
      </w:r>
      <w:r w:rsidRPr="00C26751">
        <w:rPr>
          <w:rFonts w:eastAsia="Times New Roman"/>
          <w:sz w:val="24"/>
          <w:szCs w:val="24"/>
        </w:rPr>
        <w:t xml:space="preserve">be borne by the principal. </w:t>
      </w:r>
      <w:r w:rsidRPr="00C26751">
        <w:rPr>
          <w:rFonts w:eastAsia="Times New Roman"/>
          <w:b/>
          <w:sz w:val="24"/>
          <w:szCs w:val="24"/>
        </w:rPr>
        <w:t>Johnson Realty</w:t>
      </w:r>
      <w:r w:rsidRPr="00C26751">
        <w:rPr>
          <w:rFonts w:eastAsia="Times New Roman"/>
          <w:sz w:val="24"/>
          <w:szCs w:val="24"/>
        </w:rPr>
        <w:t>, 39 P.3d at 1218.</w:t>
      </w:r>
    </w:p>
    <w:p w14:paraId="2E3EE799" w14:textId="77777777" w:rsidR="00E01A1E" w:rsidRDefault="00771A51" w:rsidP="00E01A1E">
      <w:pPr>
        <w:spacing w:after="240"/>
        <w:ind w:firstLine="720"/>
        <w:rPr>
          <w:rFonts w:eastAsia="Times New Roman"/>
          <w:sz w:val="24"/>
          <w:szCs w:val="24"/>
        </w:rPr>
      </w:pPr>
      <w:r>
        <w:rPr>
          <w:rFonts w:eastAsia="Times New Roman"/>
          <w:sz w:val="24"/>
          <w:szCs w:val="24"/>
        </w:rPr>
        <w:t>6</w:t>
      </w:r>
      <w:r w:rsidRPr="00C26751">
        <w:rPr>
          <w:rFonts w:eastAsia="Times New Roman"/>
          <w:sz w:val="24"/>
          <w:szCs w:val="24"/>
        </w:rPr>
        <w:t xml:space="preserve">. In most circumstances, an agent owes a fiduciary duty to the principal. </w:t>
      </w:r>
      <w:r w:rsidRPr="00A33351">
        <w:rPr>
          <w:rFonts w:eastAsia="Times New Roman"/>
          <w:i/>
          <w:sz w:val="24"/>
          <w:szCs w:val="24"/>
        </w:rPr>
        <w:t>See</w:t>
      </w:r>
      <w:r w:rsidRPr="00A33351">
        <w:rPr>
          <w:rFonts w:eastAsia="Times New Roman"/>
          <w:sz w:val="24"/>
          <w:szCs w:val="24"/>
        </w:rPr>
        <w:t xml:space="preserve"> </w:t>
      </w:r>
      <w:r w:rsidRPr="00A33351">
        <w:rPr>
          <w:rFonts w:eastAsia="Times New Roman"/>
          <w:b/>
          <w:sz w:val="24"/>
          <w:szCs w:val="24"/>
        </w:rPr>
        <w:t>Digital Landscape</w:t>
      </w:r>
      <w:r w:rsidRPr="00A33351">
        <w:rPr>
          <w:rFonts w:eastAsia="Times New Roman"/>
          <w:sz w:val="24"/>
          <w:szCs w:val="24"/>
        </w:rPr>
        <w:t xml:space="preserve">, 2018 COA 142, ¶ 76, 440 P.3d </w:t>
      </w:r>
      <w:r>
        <w:rPr>
          <w:rFonts w:eastAsia="Times New Roman"/>
          <w:sz w:val="24"/>
          <w:szCs w:val="24"/>
        </w:rPr>
        <w:t xml:space="preserve">at </w:t>
      </w:r>
      <w:r w:rsidRPr="00A33351">
        <w:rPr>
          <w:rFonts w:eastAsia="Times New Roman"/>
          <w:sz w:val="24"/>
          <w:szCs w:val="24"/>
        </w:rPr>
        <w:t>12</w:t>
      </w:r>
      <w:r>
        <w:rPr>
          <w:rFonts w:eastAsia="Times New Roman"/>
          <w:sz w:val="24"/>
          <w:szCs w:val="24"/>
        </w:rPr>
        <w:t>12</w:t>
      </w:r>
      <w:r w:rsidRPr="00AD62E0">
        <w:rPr>
          <w:rFonts w:eastAsia="Times New Roman"/>
          <w:sz w:val="24"/>
          <w:szCs w:val="24"/>
        </w:rPr>
        <w:t xml:space="preserve"> (</w:t>
      </w:r>
      <w:r w:rsidRPr="00A33351">
        <w:rPr>
          <w:rFonts w:eastAsia="Times New Roman"/>
          <w:sz w:val="24"/>
          <w:szCs w:val="24"/>
        </w:rPr>
        <w:t>duty of loyalty to not compete with the principal concerning the agency’s subject matter);</w:t>
      </w:r>
      <w:r>
        <w:rPr>
          <w:rFonts w:eastAsia="Times New Roman"/>
          <w:sz w:val="24"/>
          <w:szCs w:val="24"/>
        </w:rPr>
        <w:t xml:space="preserve"> </w:t>
      </w:r>
      <w:r w:rsidRPr="00C26751">
        <w:rPr>
          <w:rFonts w:eastAsia="Times New Roman"/>
          <w:b/>
          <w:sz w:val="24"/>
          <w:szCs w:val="24"/>
        </w:rPr>
        <w:t>DA Mountain Rentals, LLC v. Lodge at Lionshead Phase III Condo. Ass’n</w:t>
      </w:r>
      <w:r w:rsidRPr="00C26751">
        <w:rPr>
          <w:rFonts w:eastAsia="Times New Roman"/>
          <w:sz w:val="24"/>
          <w:szCs w:val="24"/>
        </w:rPr>
        <w:t>, 2016 COA 141, ¶ 43</w:t>
      </w:r>
      <w:r>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Smith v. Mehaffy</w:t>
      </w:r>
      <w:r w:rsidRPr="00C26751">
        <w:rPr>
          <w:rFonts w:eastAsia="Times New Roman"/>
          <w:sz w:val="24"/>
          <w:szCs w:val="24"/>
        </w:rPr>
        <w:t>, 30 P.3d 727 (Colo. App. 2000) (in context of attorney-client relationship). For breach of fiduciary duty jury instructions, see Chapter 26.</w:t>
      </w:r>
    </w:p>
    <w:p w14:paraId="3E47AAA1" w14:textId="77777777" w:rsidR="00E01A1E" w:rsidRDefault="00771A51" w:rsidP="00E01A1E">
      <w:pPr>
        <w:spacing w:after="240"/>
        <w:ind w:firstLine="720"/>
        <w:rPr>
          <w:rFonts w:eastAsia="Times New Roman"/>
          <w:sz w:val="24"/>
          <w:szCs w:val="24"/>
        </w:rPr>
      </w:pPr>
      <w:r>
        <w:rPr>
          <w:sz w:val="24"/>
          <w:szCs w:val="24"/>
        </w:rPr>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Pr>
          <w:sz w:val="24"/>
          <w:szCs w:val="24"/>
        </w:rPr>
        <w:t xml:space="preserve"> § 2(3) cmt. b (1958)).</w:t>
      </w:r>
      <w:r>
        <w:rPr>
          <w:rFonts w:eastAsia="Times New Roman"/>
          <w:sz w:val="24"/>
          <w:szCs w:val="24"/>
        </w:rPr>
        <w:br w:type="page"/>
      </w:r>
    </w:p>
    <w:p w14:paraId="5E69B85B" w14:textId="77777777" w:rsidR="00E01A1E" w:rsidRPr="009E3DA4" w:rsidRDefault="00771A51" w:rsidP="00E01A1E">
      <w:pPr>
        <w:spacing w:after="240"/>
        <w:ind w:left="720" w:hanging="720"/>
        <w:rPr>
          <w:rFonts w:eastAsia="Times New Roman"/>
          <w:b/>
          <w:sz w:val="24"/>
          <w:szCs w:val="24"/>
        </w:rPr>
      </w:pPr>
      <w:bookmarkStart w:id="2" w:name="a8_2"/>
      <w:bookmarkEnd w:id="2"/>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18D25B0B" w14:textId="73106A8B" w:rsidR="00E01A1E" w:rsidRPr="00E24E10" w:rsidRDefault="00771A51" w:rsidP="00E01A1E">
      <w:pPr>
        <w:spacing w:after="240"/>
        <w:ind w:firstLine="720"/>
        <w:rPr>
          <w:rFonts w:eastAsia="Times New Roman"/>
          <w:b/>
          <w:sz w:val="24"/>
          <w:szCs w:val="24"/>
        </w:rPr>
      </w:pPr>
      <w:r w:rsidRPr="00E24E10">
        <w:rPr>
          <w:rFonts w:eastAsia="Times New Roman"/>
          <w:b/>
          <w:sz w:val="24"/>
          <w:szCs w:val="24"/>
        </w:rPr>
        <w:t xml:space="preserve">When a person knows or has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the agent of a principal and knows or has notice of who the principal is, the principal is a “disclosed principal.”</w:t>
      </w:r>
    </w:p>
    <w:p w14:paraId="58FB829F" w14:textId="7A78E4A2" w:rsidR="00E01A1E" w:rsidRDefault="00771A51" w:rsidP="00E01A1E">
      <w:pPr>
        <w:spacing w:after="240"/>
        <w:ind w:firstLine="720"/>
        <w:rPr>
          <w:rFonts w:eastAsia="Times New Roman"/>
          <w:b/>
          <w:sz w:val="24"/>
          <w:szCs w:val="24"/>
        </w:rPr>
      </w:pPr>
      <w:r w:rsidRPr="00E24E10">
        <w:rPr>
          <w:rFonts w:eastAsia="Times New Roman"/>
          <w:b/>
          <w:sz w:val="24"/>
          <w:szCs w:val="24"/>
        </w:rPr>
        <w:t xml:space="preserve">When a person knows or has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the agent of a principal, but does not know who the principal is, the principal is an “unidentified principal.”</w:t>
      </w:r>
    </w:p>
    <w:p w14:paraId="43CEEE7F"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74A044B7" w14:textId="77777777" w:rsidR="00E01A1E" w:rsidRDefault="00E01A1E" w:rsidP="00E01A1E">
      <w:pPr>
        <w:jc w:val="center"/>
        <w:rPr>
          <w:rFonts w:eastAsia="Times New Roman"/>
          <w:sz w:val="24"/>
          <w:szCs w:val="24"/>
        </w:rPr>
      </w:pPr>
    </w:p>
    <w:p w14:paraId="437924B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982E457"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4D7E9F3E" w14:textId="77777777" w:rsidR="00E01A1E" w:rsidRDefault="00771A51" w:rsidP="00E01A1E">
      <w:pPr>
        <w:spacing w:after="240"/>
        <w:ind w:firstLine="720"/>
        <w:rPr>
          <w:rFonts w:eastAsia="Times New Roman"/>
          <w:sz w:val="24"/>
          <w:szCs w:val="24"/>
        </w:rPr>
      </w:pPr>
      <w:r w:rsidRPr="00E24E10">
        <w:rPr>
          <w:rFonts w:eastAsia="Times New Roman"/>
          <w:sz w:val="24"/>
          <w:szCs w:val="24"/>
        </w:rPr>
        <w:t xml:space="preserve">2. As a result of the </w:t>
      </w:r>
      <w:r>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0DAFEBDD" w14:textId="77777777" w:rsidR="00E01A1E" w:rsidRPr="00E24E10" w:rsidRDefault="00771A51" w:rsidP="00E01A1E">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Pr>
          <w:rFonts w:eastAsia="Times New Roman"/>
          <w:sz w:val="24"/>
          <w:szCs w:val="24"/>
        </w:rPr>
        <w:t xml:space="preserve"> a</w:t>
      </w:r>
      <w:r w:rsidRPr="00E24E10">
        <w:rPr>
          <w:rFonts w:eastAsia="Times New Roman"/>
          <w:sz w:val="24"/>
          <w:szCs w:val="24"/>
        </w:rPr>
        <w:t xml:space="preserve"> principal is partially or completely disclosed is </w:t>
      </w:r>
      <w:r>
        <w:rPr>
          <w:rFonts w:eastAsia="Times New Roman"/>
          <w:sz w:val="24"/>
          <w:szCs w:val="24"/>
        </w:rPr>
        <w:t xml:space="preserve">a </w:t>
      </w:r>
      <w:r w:rsidRPr="00E24E10">
        <w:rPr>
          <w:rFonts w:eastAsia="Times New Roman"/>
          <w:sz w:val="24"/>
          <w:szCs w:val="24"/>
        </w:rPr>
        <w:t xml:space="preserve">question of fact. </w:t>
      </w:r>
      <w:r w:rsidRPr="00E24E10">
        <w:rPr>
          <w:rFonts w:eastAsia="Times New Roman"/>
          <w:b/>
          <w:sz w:val="24"/>
          <w:szCs w:val="24"/>
        </w:rPr>
        <w:t>Water, Waste &amp; Land, Inc. v. Lanham</w:t>
      </w:r>
      <w:r w:rsidRPr="00E24E10">
        <w:rPr>
          <w:rFonts w:eastAsia="Times New Roman"/>
          <w:sz w:val="24"/>
          <w:szCs w:val="24"/>
        </w:rPr>
        <w:t>, 955 P.2d 997 (Colo. 1998).</w:t>
      </w:r>
    </w:p>
    <w:p w14:paraId="30F824B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A4AF55"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(a</w:t>
      </w:r>
      <w:r>
        <w:rPr>
          <w:rFonts w:eastAsia="Times New Roman"/>
          <w:sz w:val="24"/>
          <w:szCs w:val="24"/>
        </w:rPr>
        <w:t>pplying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a 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smallCaps/>
          <w:sz w:val="24"/>
          <w:szCs w:val="24"/>
        </w:rPr>
        <w:t>Restatement (Second) of Agency</w:t>
      </w:r>
      <w:r w:rsidRPr="00E24E10">
        <w:rPr>
          <w:rFonts w:eastAsia="Times New Roman"/>
          <w:sz w:val="24"/>
          <w:szCs w:val="24"/>
        </w:rPr>
        <w:t xml:space="preserve"> § 4 (1958)</w:t>
      </w:r>
      <w:r>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Pr="00FA5507">
        <w:rPr>
          <w:rFonts w:eastAsia="Times New Roman"/>
          <w:i/>
          <w:sz w:val="24"/>
          <w:szCs w:val="24"/>
        </w:rPr>
        <w:t>see also</w:t>
      </w:r>
      <w:r>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5AE73495" w14:textId="77777777" w:rsidR="00E01A1E" w:rsidRPr="00E24E10" w:rsidRDefault="00771A51" w:rsidP="00E01A1E">
      <w:pPr>
        <w:spacing w:after="240"/>
        <w:ind w:firstLine="720"/>
        <w:rPr>
          <w:rFonts w:eastAsia="Times New Roman"/>
          <w:sz w:val="24"/>
          <w:szCs w:val="24"/>
        </w:rPr>
      </w:pPr>
      <w:r>
        <w:rPr>
          <w:rFonts w:eastAsia="Times New Roman"/>
          <w:sz w:val="24"/>
          <w:szCs w:val="24"/>
        </w:rPr>
        <w:t>2</w:t>
      </w:r>
      <w:r w:rsidRPr="00E24E10">
        <w:rPr>
          <w:rFonts w:eastAsia="Times New Roman"/>
          <w:sz w:val="24"/>
          <w:szCs w:val="24"/>
        </w:rPr>
        <w:t xml:space="preserve">. An officer of a corporation is not individually liable for debts of the corporation unless the corporate principal is undisclosed. </w:t>
      </w:r>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
    <w:p w14:paraId="72D916C3" w14:textId="0C1F50B9" w:rsidR="00E01A1E" w:rsidRPr="00E24E10" w:rsidRDefault="00771A51" w:rsidP="00E01A1E">
      <w:pPr>
        <w:spacing w:after="240"/>
        <w:ind w:firstLine="720"/>
        <w:rPr>
          <w:rFonts w:eastAsia="Times New Roman"/>
          <w:sz w:val="24"/>
          <w:szCs w:val="24"/>
        </w:rPr>
      </w:pPr>
      <w:r>
        <w:rPr>
          <w:rFonts w:eastAsia="Times New Roman"/>
          <w:sz w:val="24"/>
          <w:szCs w:val="24"/>
        </w:rPr>
        <w:lastRenderedPageBreak/>
        <w:t>3</w:t>
      </w:r>
      <w:r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Rocky Mountain Expl., Inc.</w:t>
      </w:r>
      <w:r w:rsidRPr="00E24E10">
        <w:rPr>
          <w:rFonts w:eastAsia="Times New Roman"/>
          <w:sz w:val="24"/>
          <w:szCs w:val="24"/>
        </w:rPr>
        <w:t xml:space="preserve">, ¶ </w:t>
      </w:r>
      <w:r>
        <w:rPr>
          <w:rFonts w:eastAsia="Times New Roman"/>
          <w:sz w:val="24"/>
          <w:szCs w:val="24"/>
        </w:rPr>
        <w:t>33</w:t>
      </w:r>
      <w:r w:rsidR="0090551B">
        <w:rPr>
          <w:rFonts w:eastAsia="Times New Roman"/>
          <w:sz w:val="24"/>
          <w:szCs w:val="24"/>
        </w:rPr>
        <w:t>, 420 P.3d at 230-31</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0D4B207E" w14:textId="77777777" w:rsidR="00E01A1E" w:rsidRDefault="00771A51">
      <w:pPr>
        <w:rPr>
          <w:rFonts w:eastAsia="Times New Roman"/>
          <w:sz w:val="24"/>
          <w:szCs w:val="24"/>
        </w:rPr>
      </w:pPr>
      <w:r>
        <w:rPr>
          <w:rFonts w:eastAsia="Times New Roman"/>
          <w:sz w:val="24"/>
          <w:szCs w:val="24"/>
        </w:rPr>
        <w:br w:type="page"/>
      </w:r>
    </w:p>
    <w:p w14:paraId="162A39BF" w14:textId="77777777" w:rsidR="00E01A1E" w:rsidRPr="009E3DA4" w:rsidRDefault="00771A51" w:rsidP="00E01A1E">
      <w:pPr>
        <w:spacing w:after="240"/>
        <w:ind w:left="720" w:hanging="720"/>
        <w:rPr>
          <w:rFonts w:eastAsia="Times New Roman"/>
          <w:b/>
          <w:sz w:val="24"/>
          <w:szCs w:val="24"/>
        </w:rPr>
      </w:pPr>
      <w:bookmarkStart w:id="3" w:name="a8_3"/>
      <w:bookmarkEnd w:id="3"/>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6CF62229" w14:textId="51CA679D" w:rsidR="00E01A1E" w:rsidRDefault="00771A51" w:rsidP="00E01A1E">
      <w:pPr>
        <w:spacing w:after="240"/>
        <w:ind w:firstLine="720"/>
        <w:rPr>
          <w:rFonts w:eastAsia="Times New Roman"/>
          <w:b/>
          <w:sz w:val="24"/>
          <w:szCs w:val="24"/>
        </w:rPr>
      </w:pPr>
      <w:r w:rsidRPr="00E24E10">
        <w:rPr>
          <w:rFonts w:eastAsia="Times New Roman"/>
          <w:b/>
          <w:sz w:val="24"/>
          <w:szCs w:val="24"/>
        </w:rPr>
        <w:t xml:space="preserve">When a person does not know or have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an agent for a principal, the principal is an “undisclosed principal.”</w:t>
      </w:r>
    </w:p>
    <w:p w14:paraId="39896D90"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683D1217" w14:textId="77777777" w:rsidR="00E01A1E" w:rsidRDefault="00E01A1E" w:rsidP="00E01A1E">
      <w:pPr>
        <w:jc w:val="center"/>
        <w:rPr>
          <w:rFonts w:eastAsia="Times New Roman"/>
          <w:sz w:val="24"/>
          <w:szCs w:val="24"/>
        </w:rPr>
      </w:pPr>
    </w:p>
    <w:p w14:paraId="09EBE1F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9485988"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None. </w:t>
      </w:r>
    </w:p>
    <w:p w14:paraId="279F94F8"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022AA6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420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a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16 Colo. 143, 26 P. 131 (1891)</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r w:rsidRPr="00E24E10">
        <w:rPr>
          <w:rFonts w:eastAsia="Times New Roman"/>
          <w:b/>
          <w:sz w:val="24"/>
          <w:szCs w:val="24"/>
        </w:rPr>
        <w:t>Hott v. Tillotson-Lewis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Pr>
          <w:rFonts w:eastAsia="Times New Roman"/>
          <w:sz w:val="24"/>
          <w:szCs w:val="24"/>
        </w:rPr>
        <w:t>;</w:t>
      </w:r>
      <w:r w:rsidRPr="003D4122">
        <w:rPr>
          <w:rFonts w:eastAsia="Times New Roman"/>
          <w:smallCaps/>
          <w:sz w:val="24"/>
          <w:szCs w:val="24"/>
        </w:rPr>
        <w:t xml:space="preserve"> </w:t>
      </w:r>
      <w:r w:rsidRPr="00E24E10">
        <w:rPr>
          <w:rFonts w:eastAsia="Times New Roman"/>
          <w:smallCaps/>
          <w:sz w:val="24"/>
          <w:szCs w:val="24"/>
        </w:rPr>
        <w:t>Restatement (Second) of Agency</w:t>
      </w:r>
      <w:r w:rsidRPr="00E24E10">
        <w:rPr>
          <w:rFonts w:eastAsia="Times New Roman"/>
          <w:sz w:val="24"/>
          <w:szCs w:val="24"/>
        </w:rPr>
        <w:t xml:space="preserve"> § 4(3) (1958).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3CF06073" w14:textId="4ABDC02B"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Rocky Mountain Expl., Inc.</w:t>
      </w:r>
      <w:r w:rsidRPr="00E24E10">
        <w:rPr>
          <w:rFonts w:eastAsia="Times New Roman"/>
          <w:sz w:val="24"/>
          <w:szCs w:val="24"/>
        </w:rPr>
        <w:t xml:space="preserve">, ¶¶ </w:t>
      </w:r>
      <w:r>
        <w:rPr>
          <w:rFonts w:eastAsia="Times New Roman"/>
          <w:sz w:val="24"/>
          <w:szCs w:val="24"/>
        </w:rPr>
        <w:t>31-33</w:t>
      </w:r>
      <w:r w:rsidR="0090551B">
        <w:rPr>
          <w:rFonts w:eastAsia="Times New Roman"/>
          <w:sz w:val="24"/>
          <w:szCs w:val="24"/>
        </w:rPr>
        <w:t>, 420 P.3d at 230</w:t>
      </w:r>
      <w:r w:rsidRPr="00E24E10">
        <w:rPr>
          <w:rFonts w:eastAsia="Times New Roman"/>
          <w:sz w:val="24"/>
          <w:szCs w:val="24"/>
        </w:rPr>
        <w:t>.</w:t>
      </w:r>
    </w:p>
    <w:p w14:paraId="6CB1019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5D976B60" w14:textId="564BC507" w:rsidR="00E01A1E" w:rsidRDefault="00771A51" w:rsidP="00E01A1E">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Rocky Mountain Expl., Inc.</w:t>
      </w:r>
      <w:r w:rsidRPr="00431B98">
        <w:rPr>
          <w:rFonts w:eastAsia="Times New Roman"/>
          <w:sz w:val="24"/>
          <w:szCs w:val="24"/>
        </w:rPr>
        <w:t xml:space="preserve">, </w:t>
      </w:r>
      <w:r w:rsidRPr="00E24E10">
        <w:rPr>
          <w:rFonts w:eastAsia="Times New Roman"/>
          <w:sz w:val="24"/>
          <w:szCs w:val="24"/>
        </w:rPr>
        <w:t>¶</w:t>
      </w:r>
      <w:r>
        <w:rPr>
          <w:rFonts w:eastAsia="Times New Roman"/>
          <w:sz w:val="24"/>
          <w:szCs w:val="24"/>
        </w:rPr>
        <w:t xml:space="preserve"> 33</w:t>
      </w:r>
      <w:r w:rsidR="0090551B">
        <w:rPr>
          <w:rFonts w:eastAsia="Times New Roman"/>
          <w:sz w:val="24"/>
          <w:szCs w:val="24"/>
        </w:rPr>
        <w:t>, 420 P.3d at 230</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14FF3A96" w14:textId="77777777" w:rsidR="00E01A1E" w:rsidRDefault="00771A51">
      <w:pPr>
        <w:rPr>
          <w:rFonts w:eastAsia="Times New Roman"/>
          <w:sz w:val="24"/>
          <w:szCs w:val="24"/>
        </w:rPr>
      </w:pPr>
      <w:r>
        <w:rPr>
          <w:rFonts w:eastAsia="Times New Roman"/>
          <w:sz w:val="24"/>
          <w:szCs w:val="24"/>
        </w:rPr>
        <w:br w:type="page"/>
      </w:r>
    </w:p>
    <w:p w14:paraId="1E7757DF" w14:textId="77777777" w:rsidR="00E01A1E" w:rsidRPr="009E3DA4" w:rsidRDefault="00771A51" w:rsidP="00E01A1E">
      <w:pPr>
        <w:spacing w:after="240"/>
        <w:ind w:left="720" w:hanging="720"/>
        <w:rPr>
          <w:rFonts w:eastAsia="Times New Roman"/>
          <w:b/>
          <w:sz w:val="24"/>
          <w:szCs w:val="24"/>
        </w:rPr>
      </w:pPr>
      <w:bookmarkStart w:id="4" w:name="a8_4"/>
      <w:bookmarkEnd w:id="4"/>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6372D58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4775D1B7"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0DFB2C21" w14:textId="1CC68636"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w:t>
      </w:r>
      <w:r w:rsidR="003E686C" w:rsidRPr="003E686C">
        <w:rPr>
          <w:rFonts w:eastAsia="Times New Roman"/>
          <w:bCs/>
          <w:i/>
          <w:iCs/>
          <w:sz w:val="24"/>
          <w:szCs w:val="24"/>
        </w:rPr>
        <w:t>(insert applicable pronoun)</w:t>
      </w:r>
      <w:r w:rsidRPr="00E7526A">
        <w:rPr>
          <w:rFonts w:eastAsia="Times New Roman"/>
          <w:b/>
          <w:sz w:val="24"/>
          <w:szCs w:val="24"/>
        </w:rPr>
        <w:t xml:space="preserve"> may have had.</w:t>
      </w:r>
    </w:p>
    <w:p w14:paraId="77D8AEE0" w14:textId="77777777" w:rsidR="00E01A1E" w:rsidRDefault="00E01A1E" w:rsidP="00E01A1E">
      <w:pPr>
        <w:jc w:val="center"/>
        <w:rPr>
          <w:rFonts w:eastAsia="Times New Roman"/>
          <w:sz w:val="24"/>
          <w:szCs w:val="24"/>
        </w:rPr>
      </w:pPr>
    </w:p>
    <w:p w14:paraId="4EB9ACC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42538D0"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63014F17" w14:textId="77777777" w:rsidR="00E01A1E" w:rsidRDefault="00771A51" w:rsidP="00E01A1E">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444402CB" w14:textId="77777777" w:rsidR="00E01A1E" w:rsidRDefault="00771A51" w:rsidP="00E01A1E">
      <w:pPr>
        <w:ind w:firstLine="720"/>
        <w:rPr>
          <w:sz w:val="24"/>
          <w:szCs w:val="24"/>
        </w:rPr>
      </w:pPr>
      <w:r>
        <w:rPr>
          <w:rFonts w:eastAsia="Times New Roman"/>
          <w:sz w:val="24"/>
          <w:szCs w:val="24"/>
        </w:rPr>
        <w:t xml:space="preserve">3. These definitions of employee and employer differ from those used in the Colorado Revised Statutes. </w:t>
      </w:r>
      <w:r w:rsidRPr="00171264">
        <w:rPr>
          <w:rFonts w:eastAsia="Times New Roman"/>
          <w:i/>
          <w:sz w:val="24"/>
          <w:szCs w:val="24"/>
        </w:rPr>
        <w:t>See</w:t>
      </w:r>
      <w:r w:rsidRPr="002B2CBC">
        <w:rPr>
          <w:rFonts w:eastAsia="Times New Roman"/>
          <w:i/>
          <w:sz w:val="24"/>
          <w:szCs w:val="24"/>
        </w:rPr>
        <w:t xml:space="preserve">, </w:t>
      </w:r>
      <w:r w:rsidRPr="00171264">
        <w:rPr>
          <w:rFonts w:eastAsia="Times New Roman"/>
          <w:i/>
          <w:sz w:val="24"/>
          <w:szCs w:val="24"/>
        </w:rPr>
        <w:t>e.g.</w:t>
      </w:r>
      <w:r>
        <w:rPr>
          <w:rFonts w:eastAsia="Times New Roman"/>
          <w:sz w:val="24"/>
          <w:szCs w:val="24"/>
        </w:rPr>
        <w:t>, Colorado Wage Act, §§ 8-4-101 to -123, C.R.S.; Colorado Wage Equality Regardless of Sex Act, §§ 8-5-101 to -105, C.R.S.;</w:t>
      </w:r>
      <w:r w:rsidRPr="00171264">
        <w:rPr>
          <w:sz w:val="24"/>
          <w:szCs w:val="24"/>
        </w:rPr>
        <w:t xml:space="preserve"> </w:t>
      </w:r>
      <w:r>
        <w:rPr>
          <w:sz w:val="24"/>
          <w:szCs w:val="24"/>
        </w:rPr>
        <w:t xml:space="preserve">Workers’ Compensation Act of Colorado, §§ 8-40-101 to -302, C.R.S.; Colorado Employment Security Act, §§ 8-70-101 to -143, C.R.S.; </w:t>
      </w:r>
      <w:r>
        <w:rPr>
          <w:rFonts w:eastAsia="Times New Roman"/>
          <w:sz w:val="24"/>
          <w:szCs w:val="24"/>
        </w:rPr>
        <w:t>Colorado Anti-Discrimination Act, §§ 24-34-401 to -403, C.R.S.</w:t>
      </w:r>
    </w:p>
    <w:p w14:paraId="002BECA2" w14:textId="77777777" w:rsidR="00E01A1E" w:rsidRPr="00E7526A" w:rsidRDefault="00E01A1E" w:rsidP="00E01A1E">
      <w:pPr>
        <w:spacing w:after="240"/>
        <w:ind w:firstLine="720"/>
        <w:rPr>
          <w:rFonts w:eastAsia="Times New Roman"/>
          <w:sz w:val="24"/>
          <w:szCs w:val="24"/>
        </w:rPr>
      </w:pPr>
    </w:p>
    <w:p w14:paraId="3021AFE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7655150" w14:textId="77777777" w:rsidR="00E01A1E" w:rsidRDefault="00771A51" w:rsidP="00E01A1E">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Pr>
          <w:rFonts w:eastAsia="Times New Roman"/>
          <w:sz w:val="24"/>
          <w:szCs w:val="24"/>
        </w:rPr>
        <w:t>, 325</w:t>
      </w:r>
      <w:r w:rsidRPr="00E7526A">
        <w:rPr>
          <w:rFonts w:eastAsia="Times New Roman"/>
          <w:sz w:val="24"/>
          <w:szCs w:val="24"/>
        </w:rPr>
        <w:t xml:space="preserve"> (Colo. 1993) (</w:t>
      </w:r>
      <w:r>
        <w:rPr>
          <w:rFonts w:eastAsia="Times New Roman"/>
          <w:sz w:val="24"/>
          <w:szCs w:val="24"/>
        </w:rPr>
        <w:t>Bishop and Diocese “h</w:t>
      </w:r>
      <w:r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r w:rsidRPr="00E7526A">
        <w:rPr>
          <w:rFonts w:eastAsia="Times New Roman"/>
          <w:b/>
          <w:sz w:val="24"/>
          <w:szCs w:val="24"/>
        </w:rPr>
        <w:t>Tunget v. Board of County Commissioners</w:t>
      </w:r>
      <w:r w:rsidRPr="00E7526A">
        <w:rPr>
          <w:rFonts w:eastAsia="Times New Roman"/>
          <w:sz w:val="24"/>
          <w:szCs w:val="24"/>
        </w:rPr>
        <w:t xml:space="preserve">, 992 P.2d 650 (Colo. App. 1999) (right to control is determinative factor in deciding whether employer-employee relationship exists); </w:t>
      </w:r>
      <w:r w:rsidRPr="00E7526A">
        <w:rPr>
          <w:rFonts w:eastAsia="Times New Roman"/>
          <w:b/>
          <w:sz w:val="24"/>
          <w:szCs w:val="24"/>
        </w:rPr>
        <w:t>Veintimilla v. Dobyanski</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rPr>
        <w:t>Koontz v. Rosener</w:t>
      </w:r>
      <w:r w:rsidRPr="00E7526A">
        <w:rPr>
          <w:rFonts w:eastAsia="Times New Roman"/>
          <w:sz w:val="24"/>
          <w:szCs w:val="24"/>
        </w:rPr>
        <w:t xml:space="preserve">, 787 P.2d 192 (Colo. App. 1989) (dismissing the lost compensation claims of employees of a licensed real estate brokerage </w:t>
      </w:r>
      <w:r w:rsidRPr="00E7526A">
        <w:rPr>
          <w:rFonts w:eastAsia="Times New Roman"/>
          <w:sz w:val="24"/>
          <w:szCs w:val="24"/>
        </w:rPr>
        <w:lastRenderedPageBreak/>
        <w:t xml:space="preserve">against the majority shareholder of the brokerage because the employees’ claims lay against the brokerage as the employer). </w:t>
      </w:r>
      <w:r w:rsidRPr="00E7526A">
        <w:rPr>
          <w:rFonts w:eastAsia="Times New Roman"/>
          <w:i/>
          <w:sz w:val="24"/>
          <w:szCs w:val="24"/>
        </w:rPr>
        <w:t>See</w:t>
      </w:r>
      <w:r w:rsidRPr="00E7526A">
        <w:rPr>
          <w:rFonts w:eastAsia="Times New Roman"/>
          <w:b/>
          <w:i/>
          <w:sz w:val="24"/>
          <w:szCs w:val="24"/>
        </w:rPr>
        <w:t xml:space="preserve"> </w:t>
      </w:r>
      <w:r w:rsidRPr="00E7526A">
        <w:rPr>
          <w:rFonts w:eastAsia="Times New Roman"/>
          <w:b/>
          <w:sz w:val="24"/>
          <w:szCs w:val="24"/>
        </w:rPr>
        <w:t>Mulberger v. People</w:t>
      </w:r>
      <w:r w:rsidRPr="00E7526A">
        <w:rPr>
          <w:rFonts w:eastAsia="Times New Roman"/>
          <w:sz w:val="24"/>
          <w:szCs w:val="24"/>
        </w:rPr>
        <w:t xml:space="preserve">, 2016 CO 10, ¶ 15, 366 P.3d 143 (using definition of employee to interpret section 16-10-103(1)(k),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24ED349E"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r w:rsidRPr="00E7526A">
        <w:rPr>
          <w:rFonts w:eastAsia="Times New Roman"/>
          <w:b/>
          <w:sz w:val="24"/>
          <w:szCs w:val="24"/>
        </w:rPr>
        <w:t>Olsen v. Bondurant &amp; Co.</w:t>
      </w:r>
      <w:r w:rsidRPr="00E7526A">
        <w:rPr>
          <w:rFonts w:eastAsia="Times New Roman"/>
          <w:sz w:val="24"/>
          <w:szCs w:val="24"/>
        </w:rPr>
        <w:t>, 759 P.2d 861 (Colo. App. 1988).</w:t>
      </w:r>
    </w:p>
    <w:p w14:paraId="3B0860F9" w14:textId="77777777" w:rsidR="00E01A1E" w:rsidRPr="00AB140A" w:rsidRDefault="00E01A1E" w:rsidP="00E01A1E">
      <w:pPr>
        <w:spacing w:after="240"/>
        <w:ind w:firstLine="720"/>
        <w:rPr>
          <w:rFonts w:eastAsia="Times New Roman"/>
          <w:sz w:val="24"/>
          <w:szCs w:val="24"/>
        </w:rPr>
      </w:pPr>
    </w:p>
    <w:p w14:paraId="4B7D068D" w14:textId="77777777" w:rsidR="00E01A1E" w:rsidRDefault="00771A51">
      <w:pPr>
        <w:rPr>
          <w:rFonts w:eastAsia="Times New Roman"/>
          <w:sz w:val="24"/>
          <w:szCs w:val="24"/>
        </w:rPr>
      </w:pPr>
      <w:r>
        <w:rPr>
          <w:rFonts w:eastAsia="Times New Roman"/>
          <w:sz w:val="24"/>
          <w:szCs w:val="24"/>
        </w:rPr>
        <w:br w:type="page"/>
      </w:r>
    </w:p>
    <w:p w14:paraId="16711DC0" w14:textId="77777777" w:rsidR="00E01A1E" w:rsidRPr="009E3DA4" w:rsidRDefault="00771A51" w:rsidP="00E01A1E">
      <w:pPr>
        <w:spacing w:after="240"/>
        <w:ind w:left="720" w:hanging="720"/>
        <w:rPr>
          <w:rFonts w:eastAsia="Times New Roman"/>
          <w:b/>
          <w:sz w:val="24"/>
          <w:szCs w:val="24"/>
        </w:rPr>
      </w:pPr>
      <w:bookmarkStart w:id="5" w:name="a8_5"/>
      <w:bookmarkEnd w:id="5"/>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0C8F1004" w14:textId="65462902"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w:t>
      </w:r>
      <w:r w:rsidR="003E686C" w:rsidRPr="003E686C">
        <w:rPr>
          <w:rFonts w:eastAsia="Times New Roman"/>
          <w:bCs/>
          <w:i/>
          <w:iCs/>
          <w:sz w:val="24"/>
          <w:szCs w:val="24"/>
        </w:rPr>
        <w:t>(insert applicable pronoun)</w:t>
      </w:r>
      <w:r w:rsidRPr="00E7526A">
        <w:rPr>
          <w:rFonts w:eastAsia="Times New Roman"/>
          <w:b/>
          <w:sz w:val="24"/>
          <w:szCs w:val="24"/>
        </w:rPr>
        <w:t xml:space="preserve"> own, rather than the other’s,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w:t>
      </w:r>
      <w:r w:rsidR="003E686C" w:rsidRPr="003E686C">
        <w:rPr>
          <w:rFonts w:eastAsia="Times New Roman"/>
          <w:bCs/>
          <w:i/>
          <w:iCs/>
          <w:sz w:val="24"/>
          <w:szCs w:val="24"/>
        </w:rPr>
        <w:t>(insert applicable pronoun)</w:t>
      </w:r>
      <w:r w:rsidRPr="00E7526A">
        <w:rPr>
          <w:rFonts w:eastAsia="Times New Roman"/>
          <w:b/>
          <w:sz w:val="24"/>
          <w:szCs w:val="24"/>
        </w:rPr>
        <w:t>.</w:t>
      </w:r>
    </w:p>
    <w:p w14:paraId="676624F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54A43A4B"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3B5D3C0B" w14:textId="77777777" w:rsidR="00E01A1E" w:rsidRDefault="00E01A1E" w:rsidP="00E01A1E">
      <w:pPr>
        <w:jc w:val="center"/>
        <w:rPr>
          <w:rFonts w:eastAsia="Times New Roman"/>
          <w:sz w:val="24"/>
          <w:szCs w:val="24"/>
        </w:rPr>
      </w:pPr>
    </w:p>
    <w:p w14:paraId="02D541F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A4FB37C"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Pr>
          <w:rFonts w:eastAsia="Times New Roman"/>
          <w:sz w:val="24"/>
          <w:szCs w:val="24"/>
        </w:rPr>
        <w:t>listed</w:t>
      </w:r>
      <w:r w:rsidRPr="00E7526A">
        <w:rPr>
          <w:rFonts w:eastAsia="Times New Roman"/>
          <w:sz w:val="24"/>
          <w:szCs w:val="24"/>
        </w:rPr>
        <w:t xml:space="preserve"> in the second </w:t>
      </w:r>
      <w:r>
        <w:rPr>
          <w:rFonts w:eastAsia="Times New Roman"/>
          <w:sz w:val="24"/>
          <w:szCs w:val="24"/>
        </w:rPr>
        <w:t xml:space="preserve">and third </w:t>
      </w:r>
      <w:r w:rsidRPr="00E7526A">
        <w:rPr>
          <w:rFonts w:eastAsia="Times New Roman"/>
          <w:sz w:val="24"/>
          <w:szCs w:val="24"/>
        </w:rPr>
        <w:t>paragraph</w:t>
      </w:r>
      <w:r>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6EA57C54"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5D9FA30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3DBE13"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 xml:space="preserve">This instruction is supported by </w:t>
      </w:r>
      <w:r w:rsidRPr="003D4122">
        <w:rPr>
          <w:rFonts w:eastAsia="Times New Roman"/>
          <w:b/>
          <w:sz w:val="24"/>
          <w:szCs w:val="24"/>
        </w:rPr>
        <w:t>Digital Landscape Inc. v. Media Kings LLC</w:t>
      </w:r>
      <w:r w:rsidRPr="003D4122">
        <w:rPr>
          <w:rFonts w:eastAsia="Times New Roman"/>
          <w:sz w:val="24"/>
          <w:szCs w:val="24"/>
        </w:rPr>
        <w:t>, 2018 COA 142, ¶ 78, 440 P.3d 1200 (an independent contractor engages to perform services for another utilizing his or her own methods and free from direction and control of the employer, and is accountable only for the result to be accomplished);</w:t>
      </w:r>
      <w:r w:rsidRPr="00E7526A">
        <w:rPr>
          <w:rFonts w:eastAsia="Times New Roman"/>
          <w:b/>
          <w:sz w:val="24"/>
          <w:szCs w:val="24"/>
        </w:rPr>
        <w:t xml:space="preserve"> Dumont v. Teets</w:t>
      </w:r>
      <w:r w:rsidRPr="00E7526A">
        <w:rPr>
          <w:rFonts w:eastAsia="Times New Roman"/>
          <w:sz w:val="24"/>
          <w:szCs w:val="24"/>
        </w:rPr>
        <w:t xml:space="preserve">, 128 Colo. 395, 262 P.2d 734 (1953);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Brush Hay &amp; Mill Co. v. Small</w:t>
      </w:r>
      <w:r w:rsidRPr="00E7526A">
        <w:rPr>
          <w:rFonts w:eastAsia="Times New Roman"/>
          <w:sz w:val="24"/>
          <w:szCs w:val="24"/>
        </w:rPr>
        <w:t>, 154 Colo. 11, 388 P.2d 84 (1963)</w:t>
      </w:r>
      <w:r>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7.07(3)(a) (2006) (defining employee).</w:t>
      </w:r>
    </w:p>
    <w:p w14:paraId="6BB1AEC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Pr>
          <w:rFonts w:eastAsia="Times New Roman"/>
          <w:sz w:val="24"/>
          <w:szCs w:val="24"/>
        </w:rPr>
        <w:t>includes</w:t>
      </w:r>
      <w:r w:rsidRPr="00E7526A">
        <w:rPr>
          <w:rFonts w:eastAsia="Times New Roman"/>
          <w:sz w:val="24"/>
          <w:szCs w:val="24"/>
        </w:rPr>
        <w:t xml:space="preserve"> control</w:t>
      </w:r>
      <w:r>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r w:rsidRPr="0085365B">
        <w:rPr>
          <w:rFonts w:eastAsia="Times New Roman"/>
          <w:b/>
          <w:sz w:val="24"/>
          <w:szCs w:val="24"/>
        </w:rPr>
        <w:t>Perkins v. Reg'l Transp. Dist.</w:t>
      </w:r>
      <w:r w:rsidRPr="0085365B">
        <w:rPr>
          <w:rFonts w:eastAsia="Times New Roman"/>
          <w:sz w:val="24"/>
          <w:szCs w:val="24"/>
        </w:rPr>
        <w:t>, 907 P.2d 672, 675 (Colo. App. 1995) (“control over the means and methods of accomplishing the contracted-for result is inconsistent with ‘independent contractor’ status”).</w:t>
      </w:r>
      <w:r>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w:t>
      </w:r>
      <w:r w:rsidRPr="00E7526A">
        <w:rPr>
          <w:rFonts w:eastAsia="Times New Roman"/>
          <w:sz w:val="24"/>
          <w:szCs w:val="24"/>
        </w:rPr>
        <w:lastRenderedPageBreak/>
        <w:t xml:space="preserve">the work will be done and is subject to the control of the other essentially only in terms of being 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Pr>
          <w:rFonts w:eastAsia="Times New Roman"/>
          <w:sz w:val="24"/>
          <w:szCs w:val="24"/>
        </w:rPr>
        <w:t xml:space="preserve">at </w:t>
      </w:r>
      <w:r w:rsidRPr="00E7526A">
        <w:rPr>
          <w:rFonts w:eastAsia="Times New Roman"/>
          <w:sz w:val="24"/>
          <w:szCs w:val="24"/>
        </w:rPr>
        <w:t>39</w:t>
      </w:r>
      <w:r>
        <w:rPr>
          <w:rFonts w:eastAsia="Times New Roman"/>
          <w:sz w:val="24"/>
          <w:szCs w:val="24"/>
        </w:rPr>
        <w:t>7</w:t>
      </w:r>
      <w:r w:rsidRPr="00E7526A">
        <w:rPr>
          <w:rFonts w:eastAsia="Times New Roman"/>
          <w:sz w:val="24"/>
          <w:szCs w:val="24"/>
        </w:rPr>
        <w:t xml:space="preserve">, 262 P.2d </w:t>
      </w:r>
      <w:r>
        <w:rPr>
          <w:rFonts w:eastAsia="Times New Roman"/>
          <w:sz w:val="24"/>
          <w:szCs w:val="24"/>
        </w:rPr>
        <w:t xml:space="preserve">at </w:t>
      </w:r>
      <w:r w:rsidRPr="00E7526A">
        <w:rPr>
          <w:rFonts w:eastAsia="Times New Roman"/>
          <w:sz w:val="24"/>
          <w:szCs w:val="24"/>
        </w:rPr>
        <w:t>73</w:t>
      </w:r>
      <w:r>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Pr>
          <w:rFonts w:eastAsia="Times New Roman"/>
          <w:sz w:val="24"/>
          <w:szCs w:val="24"/>
        </w:rPr>
        <w:t>at 71-72</w:t>
      </w:r>
      <w:r w:rsidRPr="00E7526A">
        <w:rPr>
          <w:rFonts w:eastAsia="Times New Roman"/>
          <w:sz w:val="24"/>
          <w:szCs w:val="24"/>
        </w:rPr>
        <w:t xml:space="preserve">, 255 P. </w:t>
      </w:r>
      <w:r>
        <w:rPr>
          <w:rFonts w:eastAsia="Times New Roman"/>
          <w:sz w:val="24"/>
          <w:szCs w:val="24"/>
        </w:rPr>
        <w:t xml:space="preserve">at </w:t>
      </w:r>
      <w:r w:rsidRPr="00E7526A">
        <w:rPr>
          <w:rFonts w:eastAsia="Times New Roman"/>
          <w:sz w:val="24"/>
          <w:szCs w:val="24"/>
        </w:rPr>
        <w:t>449</w:t>
      </w:r>
      <w:r>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Pr>
          <w:rFonts w:eastAsia="Times New Roman"/>
          <w:sz w:val="24"/>
          <w:szCs w:val="24"/>
        </w:rPr>
        <w:t xml:space="preserve">at </w:t>
      </w:r>
      <w:r w:rsidRPr="00E7526A">
        <w:rPr>
          <w:rFonts w:eastAsia="Times New Roman"/>
          <w:sz w:val="24"/>
          <w:szCs w:val="24"/>
        </w:rPr>
        <w:t>12</w:t>
      </w:r>
      <w:r>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cmt. c &amp; 7.07(3) (2006).</w:t>
      </w:r>
    </w:p>
    <w:p w14:paraId="1A8AD3E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3. The </w:t>
      </w:r>
      <w:r>
        <w:rPr>
          <w:rFonts w:eastAsia="Times New Roman"/>
          <w:sz w:val="24"/>
          <w:szCs w:val="24"/>
        </w:rPr>
        <w:t>factors</w:t>
      </w:r>
      <w:r w:rsidRPr="00E7526A">
        <w:rPr>
          <w:rFonts w:eastAsia="Times New Roman"/>
          <w:sz w:val="24"/>
          <w:szCs w:val="24"/>
        </w:rPr>
        <w:t xml:space="preserve"> for determining the nature of the relationship </w:t>
      </w:r>
      <w:r>
        <w:rPr>
          <w:rFonts w:eastAsia="Times New Roman"/>
          <w:sz w:val="24"/>
          <w:szCs w:val="24"/>
        </w:rPr>
        <w:t>listed</w:t>
      </w:r>
      <w:r w:rsidRPr="00E7526A">
        <w:rPr>
          <w:rFonts w:eastAsia="Times New Roman"/>
          <w:sz w:val="24"/>
          <w:szCs w:val="24"/>
        </w:rPr>
        <w:t xml:space="preserve"> in the </w:t>
      </w:r>
      <w:r>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Pr>
          <w:rFonts w:eastAsia="Times New Roman"/>
          <w:sz w:val="24"/>
          <w:szCs w:val="24"/>
        </w:rPr>
        <w:t xml:space="preserve">at </w:t>
      </w:r>
      <w:r w:rsidRPr="00E7526A">
        <w:rPr>
          <w:rFonts w:eastAsia="Times New Roman"/>
          <w:sz w:val="24"/>
          <w:szCs w:val="24"/>
        </w:rPr>
        <w:t>5</w:t>
      </w:r>
      <w:r>
        <w:rPr>
          <w:rFonts w:eastAsia="Times New Roman"/>
          <w:sz w:val="24"/>
          <w:szCs w:val="24"/>
        </w:rPr>
        <w:t>30</w:t>
      </w:r>
      <w:r w:rsidRPr="00E7526A">
        <w:rPr>
          <w:rFonts w:eastAsia="Times New Roman"/>
          <w:sz w:val="24"/>
          <w:szCs w:val="24"/>
        </w:rPr>
        <w:t xml:space="preserve">, 213 P. </w:t>
      </w:r>
      <w:r>
        <w:rPr>
          <w:rFonts w:eastAsia="Times New Roman"/>
          <w:sz w:val="24"/>
          <w:szCs w:val="24"/>
        </w:rPr>
        <w:t xml:space="preserve">at </w:t>
      </w:r>
      <w:r w:rsidRPr="00E7526A">
        <w:rPr>
          <w:rFonts w:eastAsia="Times New Roman"/>
          <w:sz w:val="24"/>
          <w:szCs w:val="24"/>
        </w:rPr>
        <w:t>1</w:t>
      </w:r>
      <w:r>
        <w:rPr>
          <w:rFonts w:eastAsia="Times New Roman"/>
          <w:sz w:val="24"/>
          <w:szCs w:val="24"/>
        </w:rPr>
        <w:t>30</w:t>
      </w:r>
      <w:r w:rsidRPr="00E7526A">
        <w:rPr>
          <w:rFonts w:eastAsia="Times New Roman"/>
          <w:sz w:val="24"/>
          <w:szCs w:val="24"/>
        </w:rPr>
        <w:t>.</w:t>
      </w:r>
    </w:p>
    <w:p w14:paraId="5AEFDCAB"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4. </w:t>
      </w:r>
      <w:r w:rsidRPr="00CC559B">
        <w:rPr>
          <w:sz w:val="24"/>
          <w:szCs w:val="24"/>
        </w:rPr>
        <w:t>A</w:t>
      </w:r>
      <w:r>
        <w:rPr>
          <w:sz w:val="24"/>
          <w:szCs w:val="24"/>
        </w:rPr>
        <w:t>n employer</w:t>
      </w:r>
      <w:r w:rsidRPr="00CC559B">
        <w:rPr>
          <w:sz w:val="24"/>
          <w:szCs w:val="24"/>
        </w:rPr>
        <w:t xml:space="preserve"> is generally not liable for the torts of a non-agent independent contractor</w:t>
      </w:r>
      <w:r w:rsidRPr="00D80FC7">
        <w:rPr>
          <w:sz w:val="24"/>
          <w:szCs w:val="24"/>
        </w:rPr>
        <w:t xml:space="preserve">, except in limited circumstances. </w:t>
      </w:r>
      <w:r w:rsidRPr="00D80FC7">
        <w:rPr>
          <w:i/>
          <w:iCs/>
          <w:sz w:val="24"/>
          <w:szCs w:val="24"/>
        </w:rPr>
        <w:t>See</w:t>
      </w:r>
      <w:r>
        <w:rPr>
          <w:iCs/>
          <w:sz w:val="24"/>
          <w:szCs w:val="24"/>
        </w:rPr>
        <w:t xml:space="preserve"> </w:t>
      </w:r>
      <w:r w:rsidRPr="00D80FC7">
        <w:rPr>
          <w:b/>
          <w:bCs/>
          <w:sz w:val="24"/>
          <w:szCs w:val="24"/>
        </w:rPr>
        <w:t>Springer v. City &amp; Cty. of Denver</w:t>
      </w:r>
      <w:r w:rsidRPr="00D80FC7">
        <w:rPr>
          <w:sz w:val="24"/>
          <w:szCs w:val="24"/>
        </w:rPr>
        <w:t>, 13 P.3d 794 (Colo. 2000) (nondelegable duty under Premises Liability Act);</w:t>
      </w:r>
      <w:r w:rsidRPr="00D80FC7">
        <w:rPr>
          <w:b/>
          <w:bCs/>
          <w:sz w:val="24"/>
          <w:szCs w:val="24"/>
        </w:rPr>
        <w:t xml:space="preserve"> Huddleston v. Union Rural Elec. Ass’n</w:t>
      </w:r>
      <w:r w:rsidRPr="00D80FC7">
        <w:rPr>
          <w:sz w:val="24"/>
          <w:szCs w:val="24"/>
        </w:rPr>
        <w:t xml:space="preserve">, 841 P.2d 282 (Colo. 1992) (inherently dangerous activities); </w:t>
      </w:r>
      <w:r w:rsidRPr="00D80FC7">
        <w:rPr>
          <w:b/>
          <w:bCs/>
          <w:sz w:val="24"/>
          <w:szCs w:val="24"/>
        </w:rPr>
        <w:t>Garden of the Gods Vill., Inc. v. Hellman</w:t>
      </w:r>
      <w:r w:rsidRPr="00D80FC7">
        <w:rPr>
          <w:sz w:val="24"/>
          <w:szCs w:val="24"/>
        </w:rPr>
        <w:t>, 133 Colo. 286, 294 P.2d 597</w:t>
      </w:r>
      <w:r>
        <w:rPr>
          <w:sz w:val="24"/>
          <w:szCs w:val="24"/>
        </w:rPr>
        <w:t xml:space="preserve"> (1956)</w:t>
      </w:r>
      <w:r w:rsidRPr="00D80FC7">
        <w:rPr>
          <w:sz w:val="24"/>
          <w:szCs w:val="24"/>
        </w:rPr>
        <w:t xml:space="preserve"> (ultrahazardous</w:t>
      </w:r>
      <w:r w:rsidR="00541166">
        <w:rPr>
          <w:sz w:val="24"/>
          <w:szCs w:val="24"/>
        </w:rPr>
        <w:t xml:space="preserve"> activities</w:t>
      </w:r>
      <w:r w:rsidRPr="00D80FC7">
        <w:rPr>
          <w:sz w:val="24"/>
          <w:szCs w:val="24"/>
        </w:rPr>
        <w:t>).</w:t>
      </w:r>
      <w:r w:rsidRPr="00E7526A">
        <w:rPr>
          <w:rFonts w:eastAsia="Times New Roman"/>
          <w:sz w:val="24"/>
          <w:szCs w:val="24"/>
        </w:rPr>
        <w:t xml:space="preserve"> </w:t>
      </w:r>
    </w:p>
    <w:p w14:paraId="3EF17C37"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5. An employer may also be liable for negligence if it fails to follow the recommendations of its independent contractors. </w:t>
      </w:r>
      <w:r w:rsidRPr="00E7526A">
        <w:rPr>
          <w:rFonts w:eastAsia="Times New Roman"/>
          <w:b/>
          <w:sz w:val="24"/>
          <w:szCs w:val="24"/>
        </w:rPr>
        <w:t>Hildebrand v. New Vista Homes II, LLC</w:t>
      </w:r>
      <w:r w:rsidRPr="00E7526A">
        <w:rPr>
          <w:rFonts w:eastAsia="Times New Roman"/>
          <w:sz w:val="24"/>
          <w:szCs w:val="24"/>
        </w:rPr>
        <w:t>, 252 P.3d 1159 (Colo. App. 2010).</w:t>
      </w:r>
    </w:p>
    <w:p w14:paraId="513719A1"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Pr>
          <w:rFonts w:eastAsia="Times New Roman"/>
          <w:b/>
          <w:sz w:val="24"/>
          <w:szCs w:val="24"/>
        </w:rPr>
        <w:t>.</w:t>
      </w:r>
      <w:r w:rsidRPr="00E7526A">
        <w:rPr>
          <w:rFonts w:eastAsia="Times New Roman"/>
          <w:b/>
          <w:sz w:val="24"/>
          <w:szCs w:val="24"/>
        </w:rPr>
        <w:t xml:space="preserve"> Stock Ctr., Inc. v. Sevit, Inc.</w:t>
      </w:r>
      <w:r w:rsidRPr="00E7526A">
        <w:rPr>
          <w:rFonts w:eastAsia="Times New Roman"/>
          <w:sz w:val="24"/>
          <w:szCs w:val="24"/>
        </w:rPr>
        <w:t>, 195 Colo. 372, 578 P.2d 1045 (1978).</w:t>
      </w:r>
    </w:p>
    <w:p w14:paraId="49DF128D" w14:textId="7BF38FA6"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7. </w:t>
      </w:r>
      <w:r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Pr="00421454">
        <w:rPr>
          <w:rFonts w:eastAsia="Times New Roman"/>
          <w:b/>
          <w:sz w:val="24"/>
          <w:szCs w:val="24"/>
        </w:rPr>
        <w:t>Cheney v. Hailey</w:t>
      </w:r>
      <w:r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Pr="00421454">
        <w:rPr>
          <w:rFonts w:eastAsia="Times New Roman"/>
          <w:i/>
          <w:sz w:val="24"/>
          <w:szCs w:val="24"/>
        </w:rPr>
        <w:t>see</w:t>
      </w:r>
      <w:r w:rsidRPr="00421454">
        <w:rPr>
          <w:rFonts w:eastAsia="Times New Roman"/>
          <w:sz w:val="24"/>
          <w:szCs w:val="24"/>
        </w:rPr>
        <w:t xml:space="preserve"> </w:t>
      </w:r>
      <w:r w:rsidRPr="00D754A1">
        <w:rPr>
          <w:rFonts w:eastAsia="Times New Roman"/>
          <w:smallCaps/>
          <w:sz w:val="24"/>
          <w:szCs w:val="24"/>
        </w:rPr>
        <w:t>Restatement (Second) of Agency</w:t>
      </w:r>
      <w:r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Pr="00421454">
        <w:rPr>
          <w:rFonts w:eastAsia="Times New Roman"/>
          <w:b/>
          <w:sz w:val="24"/>
          <w:szCs w:val="24"/>
        </w:rPr>
        <w:t>Digital Landscape</w:t>
      </w:r>
      <w:r w:rsidRPr="00421454">
        <w:rPr>
          <w:rFonts w:eastAsia="Times New Roman"/>
          <w:sz w:val="24"/>
          <w:szCs w:val="24"/>
        </w:rPr>
        <w:t xml:space="preserve">, ¶ 79, 440 P.3d </w:t>
      </w:r>
      <w:r>
        <w:rPr>
          <w:rFonts w:eastAsia="Times New Roman"/>
          <w:sz w:val="24"/>
          <w:szCs w:val="24"/>
        </w:rPr>
        <w:t xml:space="preserve">at </w:t>
      </w:r>
      <w:r w:rsidRPr="00421454">
        <w:rPr>
          <w:rFonts w:eastAsia="Times New Roman"/>
          <w:sz w:val="24"/>
          <w:szCs w:val="24"/>
        </w:rPr>
        <w:t xml:space="preserve">1212 (quoting </w:t>
      </w:r>
      <w:r w:rsidRPr="00D754A1">
        <w:rPr>
          <w:rFonts w:eastAsia="Times New Roman"/>
          <w:smallCaps/>
          <w:sz w:val="24"/>
          <w:szCs w:val="24"/>
        </w:rPr>
        <w:t xml:space="preserve">Restatement (Second) </w:t>
      </w:r>
      <w:r>
        <w:rPr>
          <w:rFonts w:eastAsia="Times New Roman"/>
          <w:smallCaps/>
          <w:sz w:val="24"/>
          <w:szCs w:val="24"/>
        </w:rPr>
        <w:t>o</w:t>
      </w:r>
      <w:r w:rsidRPr="00D754A1">
        <w:rPr>
          <w:rFonts w:eastAsia="Times New Roman"/>
          <w:smallCaps/>
          <w:sz w:val="24"/>
          <w:szCs w:val="24"/>
        </w:rPr>
        <w:t>f Agency</w:t>
      </w:r>
      <w:r w:rsidRPr="00421454">
        <w:rPr>
          <w:rFonts w:eastAsia="Times New Roman"/>
          <w:sz w:val="24"/>
          <w:szCs w:val="24"/>
        </w:rPr>
        <w:t xml:space="preserve"> § </w:t>
      </w:r>
      <w:r>
        <w:rPr>
          <w:rFonts w:eastAsia="Times New Roman"/>
          <w:sz w:val="24"/>
          <w:szCs w:val="24"/>
        </w:rPr>
        <w:t>2(3)</w:t>
      </w:r>
      <w:r w:rsidRPr="00421454">
        <w:rPr>
          <w:rFonts w:eastAsia="Times New Roman"/>
          <w:sz w:val="24"/>
          <w:szCs w:val="24"/>
        </w:rPr>
        <w:t xml:space="preserve"> cmt. b (1958))</w:t>
      </w:r>
      <w:r>
        <w:rPr>
          <w:rFonts w:eastAsia="Times New Roman"/>
          <w:sz w:val="24"/>
          <w:szCs w:val="24"/>
        </w:rPr>
        <w:t>.</w:t>
      </w:r>
    </w:p>
    <w:p w14:paraId="0DD775A1" w14:textId="77777777" w:rsidR="00E01A1E" w:rsidRDefault="00771A51">
      <w:pPr>
        <w:rPr>
          <w:rFonts w:eastAsia="Times New Roman"/>
          <w:sz w:val="24"/>
          <w:szCs w:val="24"/>
        </w:rPr>
      </w:pPr>
      <w:r>
        <w:rPr>
          <w:rFonts w:eastAsia="Times New Roman"/>
          <w:sz w:val="24"/>
          <w:szCs w:val="24"/>
        </w:rPr>
        <w:br w:type="page"/>
      </w:r>
    </w:p>
    <w:p w14:paraId="1DC86321" w14:textId="77777777" w:rsidR="00E01A1E" w:rsidRPr="009E3DA4" w:rsidRDefault="00771A51" w:rsidP="00E01A1E">
      <w:pPr>
        <w:spacing w:after="240"/>
        <w:ind w:left="720" w:hanging="720"/>
        <w:rPr>
          <w:rFonts w:eastAsia="Times New Roman"/>
          <w:b/>
          <w:sz w:val="24"/>
          <w:szCs w:val="24"/>
        </w:rPr>
      </w:pPr>
      <w:bookmarkStart w:id="6" w:name="a8_6"/>
      <w:bookmarkEnd w:id="6"/>
      <w:r w:rsidRPr="00AB71A7">
        <w:rPr>
          <w:rFonts w:eastAsia="Times New Roman"/>
          <w:b/>
          <w:sz w:val="24"/>
          <w:szCs w:val="24"/>
        </w:rPr>
        <w:lastRenderedPageBreak/>
        <w:t xml:space="preserve">8:6 </w:t>
      </w:r>
      <w:r w:rsidRPr="00AB71A7">
        <w:rPr>
          <w:rFonts w:eastAsia="Times New Roman"/>
          <w:b/>
          <w:sz w:val="24"/>
          <w:szCs w:val="24"/>
        </w:rPr>
        <w:tab/>
        <w:t>LOANED EMPLOYEE</w:t>
      </w:r>
    </w:p>
    <w:p w14:paraId="2B8FA0F6" w14:textId="425B43C0" w:rsidR="00E01A1E" w:rsidRPr="00AB71A7" w:rsidRDefault="00771A51" w:rsidP="00E01A1E">
      <w:pPr>
        <w:spacing w:after="240"/>
        <w:ind w:firstLine="720"/>
        <w:rPr>
          <w:rFonts w:eastAsia="Times New Roman"/>
          <w:b/>
          <w:sz w:val="24"/>
          <w:szCs w:val="24"/>
        </w:rPr>
      </w:pPr>
      <w:r w:rsidRPr="00AB71A7">
        <w:rPr>
          <w:rFonts w:eastAsia="Times New Roman"/>
          <w:b/>
          <w:sz w:val="24"/>
          <w:szCs w:val="24"/>
        </w:rPr>
        <w:t xml:space="preserve">When an employee is loaned out by </w:t>
      </w:r>
      <w:r w:rsidR="003E686C" w:rsidRPr="003E686C">
        <w:rPr>
          <w:rFonts w:eastAsia="Times New Roman"/>
          <w:bCs/>
          <w:i/>
          <w:iCs/>
          <w:sz w:val="24"/>
          <w:szCs w:val="24"/>
        </w:rPr>
        <w:t>(insert applicable pronoun)</w:t>
      </w:r>
      <w:r w:rsidRPr="00AB71A7">
        <w:rPr>
          <w:rFonts w:eastAsia="Times New Roman"/>
          <w:b/>
          <w:sz w:val="24"/>
          <w:szCs w:val="24"/>
        </w:rPr>
        <w:t xml:space="preserve"> employer to another person for some special service or project and the other person has the exclusive right to control the employee, the employee becomes the employee of that other person.</w:t>
      </w:r>
    </w:p>
    <w:p w14:paraId="401ECB25" w14:textId="77777777" w:rsidR="00E01A1E" w:rsidRDefault="00E01A1E" w:rsidP="00E01A1E">
      <w:pPr>
        <w:jc w:val="center"/>
        <w:rPr>
          <w:rFonts w:eastAsia="Times New Roman"/>
          <w:sz w:val="24"/>
          <w:szCs w:val="24"/>
        </w:rPr>
      </w:pPr>
    </w:p>
    <w:p w14:paraId="786412B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2300E17"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789966FD"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2. When necessary, Instruction 8:4 </w:t>
      </w:r>
      <w:r>
        <w:rPr>
          <w:rFonts w:eastAsia="Times New Roman"/>
          <w:sz w:val="24"/>
          <w:szCs w:val="24"/>
        </w:rPr>
        <w:t xml:space="preserve">(defining employer and employee) </w:t>
      </w:r>
      <w:r w:rsidRPr="00AB71A7">
        <w:rPr>
          <w:rFonts w:eastAsia="Times New Roman"/>
          <w:sz w:val="24"/>
          <w:szCs w:val="24"/>
        </w:rPr>
        <w:t>should be given with this instruction.</w:t>
      </w:r>
    </w:p>
    <w:p w14:paraId="3010E18F"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Pr>
          <w:rFonts w:eastAsia="Times New Roman"/>
          <w:sz w:val="24"/>
          <w:szCs w:val="24"/>
        </w:rPr>
        <w:t>for example</w:t>
      </w:r>
      <w:r w:rsidRPr="00AB71A7">
        <w:rPr>
          <w:rFonts w:eastAsia="Times New Roman"/>
          <w:sz w:val="24"/>
          <w:szCs w:val="24"/>
        </w:rPr>
        <w:t>, “corporation,” may be substituted for the word “person.”</w:t>
      </w:r>
    </w:p>
    <w:p w14:paraId="12AA0949"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033034C" w14:textId="77777777" w:rsidR="00E01A1E" w:rsidRDefault="00771A51" w:rsidP="00E01A1E">
      <w:pPr>
        <w:spacing w:after="240"/>
        <w:ind w:firstLine="720"/>
        <w:rPr>
          <w:rFonts w:eastAsia="Times New Roman"/>
          <w:sz w:val="24"/>
          <w:szCs w:val="24"/>
        </w:rPr>
      </w:pPr>
      <w:r>
        <w:rPr>
          <w:rFonts w:eastAsia="Times New Roman"/>
          <w:sz w:val="24"/>
          <w:szCs w:val="24"/>
        </w:rPr>
        <w:t>T</w:t>
      </w:r>
      <w:r w:rsidRPr="00AB71A7">
        <w:rPr>
          <w:rFonts w:eastAsia="Times New Roman"/>
          <w:sz w:val="24"/>
          <w:szCs w:val="24"/>
        </w:rPr>
        <w:t>his instruction is supported by</w:t>
      </w:r>
      <w:r w:rsidRPr="00AB71A7">
        <w:rPr>
          <w:rFonts w:eastAsia="Times New Roman"/>
          <w:b/>
          <w:sz w:val="24"/>
          <w:szCs w:val="24"/>
        </w:rPr>
        <w:t xml:space="preserve"> Bernardi v. C</w:t>
      </w:r>
      <w:r>
        <w:rPr>
          <w:rFonts w:eastAsia="Times New Roman"/>
          <w:b/>
          <w:sz w:val="24"/>
          <w:szCs w:val="24"/>
        </w:rPr>
        <w:t>om</w:t>
      </w:r>
      <w:r w:rsidRPr="00AB71A7">
        <w:rPr>
          <w:rFonts w:eastAsia="Times New Roman"/>
          <w:b/>
          <w:sz w:val="24"/>
          <w:szCs w:val="24"/>
        </w:rPr>
        <w:t>m</w:t>
      </w:r>
      <w:r>
        <w:rPr>
          <w:rFonts w:eastAsia="Times New Roman"/>
          <w:b/>
          <w:sz w:val="24"/>
          <w:szCs w:val="24"/>
        </w:rPr>
        <w:t>uni</w:t>
      </w:r>
      <w:r w:rsidRPr="00AB71A7">
        <w:rPr>
          <w:rFonts w:eastAsia="Times New Roman"/>
          <w:b/>
          <w:sz w:val="24"/>
          <w:szCs w:val="24"/>
        </w:rPr>
        <w:t>ty Hosp</w:t>
      </w:r>
      <w:r>
        <w:rPr>
          <w:rFonts w:eastAsia="Times New Roman"/>
          <w:b/>
          <w:sz w:val="24"/>
          <w:szCs w:val="24"/>
        </w:rPr>
        <w:t>ital</w:t>
      </w:r>
      <w:r w:rsidRPr="00AB71A7">
        <w:rPr>
          <w:rFonts w:eastAsia="Times New Roman"/>
          <w:b/>
          <w:sz w:val="24"/>
          <w:szCs w:val="24"/>
        </w:rPr>
        <w:t xml:space="preserve"> Ass’n</w:t>
      </w:r>
      <w:r w:rsidRPr="00AB71A7">
        <w:rPr>
          <w:rFonts w:eastAsia="Times New Roman"/>
          <w:sz w:val="24"/>
          <w:szCs w:val="24"/>
        </w:rPr>
        <w:t xml:space="preserve">, 166 Colo. 280, 443 P.2d 708 (1968); </w:t>
      </w:r>
      <w:r w:rsidRPr="00AB71A7">
        <w:rPr>
          <w:rFonts w:eastAsia="Times New Roman"/>
          <w:b/>
          <w:sz w:val="24"/>
          <w:szCs w:val="24"/>
        </w:rPr>
        <w:t>Chartier v. Winslow Crane Serv</w:t>
      </w:r>
      <w:r>
        <w:rPr>
          <w:rFonts w:eastAsia="Times New Roman"/>
          <w:b/>
          <w:sz w:val="24"/>
          <w:szCs w:val="24"/>
        </w:rPr>
        <w:t>ice</w:t>
      </w:r>
      <w:r w:rsidRPr="00AB71A7">
        <w:rPr>
          <w:rFonts w:eastAsia="Times New Roman"/>
          <w:b/>
          <w:sz w:val="24"/>
          <w:szCs w:val="24"/>
        </w:rPr>
        <w:t xml:space="preserve">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w:t>
      </w:r>
      <w:r w:rsidRPr="00AB71A7">
        <w:rPr>
          <w:rFonts w:eastAsia="Times New Roman"/>
          <w:b/>
          <w:sz w:val="24"/>
          <w:szCs w:val="24"/>
        </w:rPr>
        <w:t>Thayer v. Kirchhof</w:t>
      </w:r>
      <w:r w:rsidRPr="00AB71A7">
        <w:rPr>
          <w:rFonts w:eastAsia="Times New Roman"/>
          <w:sz w:val="24"/>
          <w:szCs w:val="24"/>
        </w:rPr>
        <w:t>, 83 Colo. 480, 266 P. 225 (1928)</w:t>
      </w:r>
      <w:r>
        <w:rPr>
          <w:rFonts w:eastAsia="Times New Roman"/>
          <w:sz w:val="24"/>
          <w:szCs w:val="24"/>
        </w:rPr>
        <w:t xml:space="preserve">; 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AB71A7">
        <w:rPr>
          <w:rFonts w:eastAsia="Times New Roman"/>
          <w:sz w:val="24"/>
          <w:szCs w:val="24"/>
        </w:rPr>
        <w:t xml:space="preserve">. </w:t>
      </w:r>
      <w:r w:rsidRPr="00D0016D">
        <w:rPr>
          <w:rFonts w:eastAsia="Times New Roman"/>
          <w:i/>
          <w:sz w:val="24"/>
          <w:szCs w:val="24"/>
        </w:rPr>
        <w:t>See also</w:t>
      </w:r>
      <w:r w:rsidRPr="00D0016D">
        <w:rPr>
          <w:rFonts w:eastAsia="Times New Roman"/>
          <w:b/>
          <w:sz w:val="24"/>
          <w:szCs w:val="24"/>
        </w:rPr>
        <w:t xml:space="preserve"> </w:t>
      </w:r>
      <w:r w:rsidRPr="00AB71A7">
        <w:rPr>
          <w:rFonts w:eastAsia="Times New Roman"/>
          <w:b/>
          <w:sz w:val="24"/>
          <w:szCs w:val="24"/>
        </w:rPr>
        <w:t>Kiefer Concrete, Inc. v. Hoffman</w:t>
      </w:r>
      <w:r w:rsidRPr="00AB71A7">
        <w:rPr>
          <w:rFonts w:eastAsia="Times New Roman"/>
          <w:sz w:val="24"/>
          <w:szCs w:val="24"/>
        </w:rPr>
        <w:t>, 193 Colo. 15, 562 P.2d 745 (1977)</w:t>
      </w:r>
      <w:r>
        <w:rPr>
          <w:rFonts w:eastAsia="Times New Roman"/>
          <w:sz w:val="24"/>
          <w:szCs w:val="24"/>
        </w:rPr>
        <w:t xml:space="preserve">; </w:t>
      </w:r>
      <w:r w:rsidRPr="00AB71A7">
        <w:rPr>
          <w:rFonts w:eastAsia="Times New Roman"/>
          <w:b/>
          <w:sz w:val="24"/>
          <w:szCs w:val="24"/>
        </w:rPr>
        <w:t>Jacobson v. Doan</w:t>
      </w:r>
      <w:r w:rsidRPr="00AB71A7">
        <w:rPr>
          <w:rFonts w:eastAsia="Times New Roman"/>
          <w:sz w:val="24"/>
          <w:szCs w:val="24"/>
        </w:rPr>
        <w:t xml:space="preserve">, 136 Colo. 496, 319 P.2d 975 (1957); </w:t>
      </w:r>
      <w:r w:rsidRPr="00AB71A7">
        <w:rPr>
          <w:rFonts w:eastAsia="Times New Roman"/>
          <w:b/>
          <w:sz w:val="24"/>
          <w:szCs w:val="24"/>
        </w:rPr>
        <w:t>Morphew v. Ridge Crane Serv</w:t>
      </w:r>
      <w:r w:rsidRPr="00AB71A7">
        <w:rPr>
          <w:rFonts w:eastAsia="Times New Roman"/>
          <w:i/>
          <w:sz w:val="24"/>
          <w:szCs w:val="24"/>
        </w:rPr>
        <w:t>.</w:t>
      </w:r>
      <w:r w:rsidRPr="00AB71A7">
        <w:rPr>
          <w:rFonts w:eastAsia="Times New Roman"/>
          <w:sz w:val="24"/>
          <w:szCs w:val="24"/>
        </w:rPr>
        <w:t>, 902 P.2d 848 (Colo.</w:t>
      </w:r>
      <w:r>
        <w:rPr>
          <w:rFonts w:eastAsia="Times New Roman"/>
          <w:sz w:val="24"/>
          <w:szCs w:val="24"/>
        </w:rPr>
        <w:t xml:space="preserve"> </w:t>
      </w:r>
      <w:r w:rsidRPr="00AB71A7">
        <w:rPr>
          <w:rFonts w:eastAsia="Times New Roman"/>
          <w:sz w:val="24"/>
          <w:szCs w:val="24"/>
        </w:rPr>
        <w:t>App. 1995)</w:t>
      </w:r>
      <w:r>
        <w:rPr>
          <w:rFonts w:eastAsia="Times New Roman"/>
          <w:sz w:val="24"/>
          <w:szCs w:val="24"/>
        </w:rPr>
        <w:t>;</w:t>
      </w:r>
      <w:r w:rsidRPr="00AB71A7">
        <w:rPr>
          <w:rFonts w:eastAsia="Times New Roman"/>
          <w:i/>
          <w:sz w:val="24"/>
          <w:szCs w:val="24"/>
        </w:rPr>
        <w:t xml:space="preserve"> </w:t>
      </w:r>
      <w:r w:rsidRPr="00AB71A7">
        <w:rPr>
          <w:rFonts w:eastAsia="Times New Roman"/>
          <w:b/>
          <w:sz w:val="24"/>
          <w:szCs w:val="24"/>
        </w:rPr>
        <w:t>Colwell v. Oatman</w:t>
      </w:r>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(Third) of Agency</w:t>
      </w:r>
      <w:r w:rsidRPr="00AB71A7">
        <w:rPr>
          <w:rFonts w:eastAsia="Times New Roman"/>
          <w:sz w:val="24"/>
          <w:szCs w:val="24"/>
        </w:rPr>
        <w:t xml:space="preserve"> § 7.03 cmt. d(2) (2006) (addressing “lent employees” or “borrowed servants”)</w:t>
      </w:r>
      <w:r>
        <w:rPr>
          <w:rFonts w:eastAsia="Times New Roman"/>
          <w:sz w:val="24"/>
          <w:szCs w:val="24"/>
        </w:rPr>
        <w:t xml:space="preserve">; </w:t>
      </w:r>
      <w:r w:rsidRPr="0018388B">
        <w:rPr>
          <w:rFonts w:eastAsia="Times New Roman"/>
          <w:smallCaps/>
          <w:sz w:val="24"/>
          <w:szCs w:val="24"/>
        </w:rPr>
        <w:t>Restatement (Second) of Agency</w:t>
      </w:r>
      <w:r w:rsidRPr="00AB71A7">
        <w:rPr>
          <w:rFonts w:eastAsia="Times New Roman"/>
          <w:sz w:val="24"/>
          <w:szCs w:val="24"/>
        </w:rPr>
        <w:t xml:space="preserve"> § 227 (1958)</w:t>
      </w:r>
      <w:r>
        <w:rPr>
          <w:rFonts w:eastAsia="Times New Roman"/>
          <w:sz w:val="24"/>
          <w:szCs w:val="24"/>
        </w:rPr>
        <w:t>.</w:t>
      </w:r>
    </w:p>
    <w:p w14:paraId="601242EA" w14:textId="77777777" w:rsidR="00E01A1E" w:rsidRDefault="00771A51">
      <w:pPr>
        <w:rPr>
          <w:rFonts w:eastAsia="Times New Roman"/>
          <w:sz w:val="24"/>
          <w:szCs w:val="24"/>
        </w:rPr>
      </w:pPr>
      <w:r>
        <w:rPr>
          <w:rFonts w:eastAsia="Times New Roman"/>
          <w:sz w:val="24"/>
          <w:szCs w:val="24"/>
        </w:rPr>
        <w:br w:type="page"/>
      </w:r>
    </w:p>
    <w:p w14:paraId="379DEFB6" w14:textId="77777777" w:rsidR="00E01A1E" w:rsidRPr="009E3DA4" w:rsidRDefault="00771A51" w:rsidP="00E01A1E">
      <w:pPr>
        <w:spacing w:after="240"/>
        <w:ind w:left="720" w:hanging="720"/>
        <w:rPr>
          <w:rFonts w:eastAsia="Times New Roman"/>
          <w:b/>
          <w:sz w:val="24"/>
          <w:szCs w:val="24"/>
        </w:rPr>
      </w:pPr>
      <w:bookmarkStart w:id="7" w:name="a8_7"/>
      <w:bookmarkEnd w:id="7"/>
      <w:r w:rsidRPr="00E111AA">
        <w:rPr>
          <w:rFonts w:eastAsia="Times New Roman"/>
          <w:b/>
          <w:sz w:val="24"/>
          <w:szCs w:val="24"/>
        </w:rPr>
        <w:lastRenderedPageBreak/>
        <w:t>8:7</w:t>
      </w:r>
      <w:r w:rsidRPr="00E111AA">
        <w:rPr>
          <w:rFonts w:eastAsia="Times New Roman"/>
          <w:b/>
          <w:sz w:val="24"/>
          <w:szCs w:val="24"/>
        </w:rPr>
        <w:tab/>
        <w:t>LOANED EMPLOYEE ― DETERMINATION</w:t>
      </w:r>
    </w:p>
    <w:p w14:paraId="4101F7C0"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038A6A67"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7020A93D" w14:textId="77777777" w:rsidR="00E01A1E" w:rsidRDefault="00E01A1E" w:rsidP="00E01A1E">
      <w:pPr>
        <w:jc w:val="center"/>
        <w:rPr>
          <w:rFonts w:eastAsia="Times New Roman"/>
          <w:sz w:val="24"/>
          <w:szCs w:val="24"/>
        </w:rPr>
      </w:pPr>
    </w:p>
    <w:p w14:paraId="30096F5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502135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6BAC87D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When necessary, Instruction 8:4 </w:t>
      </w:r>
      <w:r>
        <w:rPr>
          <w:rFonts w:eastAsia="Times New Roman"/>
          <w:sz w:val="24"/>
          <w:szCs w:val="24"/>
        </w:rPr>
        <w:t xml:space="preserve">(defining employer and employee) </w:t>
      </w:r>
      <w:r w:rsidRPr="00E111AA">
        <w:rPr>
          <w:rFonts w:eastAsia="Times New Roman"/>
          <w:sz w:val="24"/>
          <w:szCs w:val="24"/>
        </w:rPr>
        <w:t>should be given with this instruction.</w:t>
      </w:r>
    </w:p>
    <w:p w14:paraId="54E3DC3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4483B16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B396F3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r w:rsidRPr="00E111AA">
        <w:rPr>
          <w:rFonts w:eastAsia="Times New Roman"/>
          <w:b/>
          <w:sz w:val="24"/>
          <w:szCs w:val="24"/>
        </w:rPr>
        <w:t>Bernardi v. C</w:t>
      </w:r>
      <w:r>
        <w:rPr>
          <w:rFonts w:eastAsia="Times New Roman"/>
          <w:b/>
          <w:sz w:val="24"/>
          <w:szCs w:val="24"/>
        </w:rPr>
        <w:t>om</w:t>
      </w:r>
      <w:r w:rsidRPr="00E111AA">
        <w:rPr>
          <w:rFonts w:eastAsia="Times New Roman"/>
          <w:b/>
          <w:sz w:val="24"/>
          <w:szCs w:val="24"/>
        </w:rPr>
        <w:t>m</w:t>
      </w:r>
      <w:r>
        <w:rPr>
          <w:rFonts w:eastAsia="Times New Roman"/>
          <w:b/>
          <w:sz w:val="24"/>
          <w:szCs w:val="24"/>
        </w:rPr>
        <w:t>uni</w:t>
      </w:r>
      <w:r w:rsidRPr="00E111AA">
        <w:rPr>
          <w:rFonts w:eastAsia="Times New Roman"/>
          <w:b/>
          <w:sz w:val="24"/>
          <w:szCs w:val="24"/>
        </w:rPr>
        <w:t>ty Hosp</w:t>
      </w:r>
      <w:r>
        <w:rPr>
          <w:rFonts w:eastAsia="Times New Roman"/>
          <w:b/>
          <w:sz w:val="24"/>
          <w:szCs w:val="24"/>
        </w:rPr>
        <w:t>ital</w:t>
      </w:r>
      <w:r w:rsidRPr="00E111AA">
        <w:rPr>
          <w:rFonts w:eastAsia="Times New Roman"/>
          <w:b/>
          <w:sz w:val="24"/>
          <w:szCs w:val="24"/>
        </w:rPr>
        <w:t xml:space="preserve"> Ass’n</w:t>
      </w:r>
      <w:r w:rsidRPr="00E111AA">
        <w:rPr>
          <w:rFonts w:eastAsia="Times New Roman"/>
          <w:sz w:val="24"/>
          <w:szCs w:val="24"/>
        </w:rPr>
        <w:t xml:space="preserve">, 166 Colo. 280, 443 P.2d 708 (1968); </w:t>
      </w:r>
      <w:r w:rsidRPr="00E111AA">
        <w:rPr>
          <w:rFonts w:eastAsia="Times New Roman"/>
          <w:b/>
          <w:sz w:val="24"/>
          <w:szCs w:val="24"/>
        </w:rPr>
        <w:t>Chartier v. Winslow Crane Serv</w:t>
      </w:r>
      <w:r>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Thayer v. Kirchhof</w:t>
      </w:r>
      <w:r w:rsidRPr="00E111AA">
        <w:rPr>
          <w:rFonts w:eastAsia="Times New Roman"/>
          <w:sz w:val="24"/>
          <w:szCs w:val="24"/>
        </w:rPr>
        <w:t>, 83 Colo. 480, 266 P. 225 (1928)</w:t>
      </w:r>
      <w:r>
        <w:rPr>
          <w:rFonts w:eastAsia="Times New Roman"/>
          <w:sz w:val="24"/>
          <w:szCs w:val="24"/>
        </w:rPr>
        <w:t>;</w:t>
      </w:r>
      <w:r w:rsidRPr="0069285D">
        <w:rPr>
          <w:rFonts w:eastAsia="Times New Roman"/>
          <w:b/>
          <w:sz w:val="24"/>
          <w:szCs w:val="24"/>
        </w:rPr>
        <w:t xml:space="preserve"> </w:t>
      </w:r>
      <w:r w:rsidRPr="00D0016D">
        <w:rPr>
          <w:rFonts w:eastAsia="Times New Roman"/>
          <w:sz w:val="24"/>
          <w:szCs w:val="24"/>
        </w:rPr>
        <w:t xml:space="preserve">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E111AA">
        <w:rPr>
          <w:rFonts w:eastAsia="Times New Roman"/>
          <w:sz w:val="24"/>
          <w:szCs w:val="24"/>
        </w:rPr>
        <w:t xml:space="preserve">. </w:t>
      </w:r>
      <w:r w:rsidRPr="00D0016D">
        <w:rPr>
          <w:rFonts w:eastAsia="Times New Roman"/>
          <w:i/>
          <w:sz w:val="24"/>
          <w:szCs w:val="24"/>
        </w:rPr>
        <w:t>See also</w:t>
      </w:r>
      <w:r>
        <w:rPr>
          <w:rFonts w:eastAsia="Times New Roman"/>
          <w:sz w:val="24"/>
          <w:szCs w:val="24"/>
        </w:rPr>
        <w:t xml:space="preserve"> </w:t>
      </w:r>
      <w:r w:rsidRPr="00E111AA">
        <w:rPr>
          <w:rFonts w:eastAsia="Times New Roman"/>
          <w:b/>
          <w:sz w:val="24"/>
          <w:szCs w:val="24"/>
        </w:rPr>
        <w:t>Morphew v. Ridge Crane Serv</w:t>
      </w:r>
      <w:r w:rsidRPr="00E111AA">
        <w:rPr>
          <w:rFonts w:eastAsia="Times New Roman"/>
          <w:i/>
          <w:sz w:val="24"/>
          <w:szCs w:val="24"/>
        </w:rPr>
        <w:t>.</w:t>
      </w:r>
      <w:r w:rsidRPr="00E111AA">
        <w:rPr>
          <w:rFonts w:eastAsia="Times New Roman"/>
          <w:sz w:val="24"/>
          <w:szCs w:val="24"/>
        </w:rPr>
        <w:t>, 902 P.2d 848 (Colo.</w:t>
      </w:r>
      <w:r>
        <w:rPr>
          <w:rFonts w:eastAsia="Times New Roman"/>
          <w:sz w:val="24"/>
          <w:szCs w:val="24"/>
        </w:rPr>
        <w:t xml:space="preserve"> </w:t>
      </w:r>
      <w:r w:rsidRPr="00E111AA">
        <w:rPr>
          <w:rFonts w:eastAsia="Times New Roman"/>
          <w:sz w:val="24"/>
          <w:szCs w:val="24"/>
        </w:rPr>
        <w:t>App. 1995)</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Colwell v. Oatman</w:t>
      </w:r>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cmt. d(2) (2006) (addressing “lent employees” or “borrowed servants”).</w:t>
      </w:r>
      <w:r w:rsidRPr="00D0016D">
        <w:rPr>
          <w:rFonts w:eastAsia="Times New Roman"/>
          <w:sz w:val="24"/>
          <w:szCs w:val="24"/>
        </w:rPr>
        <w:t xml:space="preserve"> </w:t>
      </w:r>
      <w:r w:rsidRPr="00E111AA">
        <w:rPr>
          <w:rFonts w:eastAsia="Times New Roman"/>
          <w:sz w:val="24"/>
          <w:szCs w:val="24"/>
        </w:rPr>
        <w:t>Control was found to exist in some, but not all, of the above cases.</w:t>
      </w:r>
    </w:p>
    <w:p w14:paraId="356C9707"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pay the employee; and (9) whether the original employer terminated its relationship with the employee.” </w:t>
      </w:r>
      <w:r w:rsidRPr="00E111AA">
        <w:rPr>
          <w:rFonts w:eastAsia="Times New Roman"/>
          <w:b/>
          <w:sz w:val="24"/>
          <w:szCs w:val="24"/>
        </w:rPr>
        <w:t>Morphew</w:t>
      </w:r>
      <w:r w:rsidRPr="00E111AA">
        <w:rPr>
          <w:rFonts w:eastAsia="Times New Roman"/>
          <w:sz w:val="24"/>
          <w:szCs w:val="24"/>
        </w:rPr>
        <w:t xml:space="preserve">, 902 P.2d </w:t>
      </w:r>
      <w:r>
        <w:rPr>
          <w:rFonts w:eastAsia="Times New Roman"/>
          <w:sz w:val="24"/>
          <w:szCs w:val="24"/>
        </w:rPr>
        <w:t>at</w:t>
      </w:r>
      <w:r w:rsidRPr="00E111AA">
        <w:rPr>
          <w:rFonts w:eastAsia="Times New Roman"/>
          <w:sz w:val="24"/>
          <w:szCs w:val="24"/>
        </w:rPr>
        <w:t xml:space="preserve"> 850.</w:t>
      </w:r>
    </w:p>
    <w:p w14:paraId="21EABFA9" w14:textId="77777777" w:rsidR="00E01A1E" w:rsidRDefault="00771A51" w:rsidP="00E01A1E">
      <w:pPr>
        <w:ind w:firstLine="720"/>
        <w:rPr>
          <w:rFonts w:eastAsia="Times New Roman"/>
          <w:sz w:val="24"/>
          <w:szCs w:val="24"/>
        </w:rPr>
      </w:pPr>
      <w:r w:rsidRPr="00E111AA">
        <w:rPr>
          <w:rFonts w:eastAsia="Times New Roman"/>
          <w:sz w:val="24"/>
          <w:szCs w:val="24"/>
        </w:rPr>
        <w:lastRenderedPageBreak/>
        <w:t xml:space="preserve">3. “The element of control necessary to establish a borrowed employment relationship need not extend to directing the technical details of a skilled employee’s activity. What is essential is the right to control the time and place of services, the person for whom rendered, and the degree and amount of services.” </w:t>
      </w:r>
      <w:r w:rsidRPr="00946BCF">
        <w:rPr>
          <w:rFonts w:eastAsia="Times New Roman"/>
          <w:i/>
          <w:sz w:val="24"/>
          <w:szCs w:val="24"/>
        </w:rPr>
        <w:t>Id.</w:t>
      </w:r>
      <w:r>
        <w:rPr>
          <w:rFonts w:eastAsia="Times New Roman"/>
          <w:sz w:val="24"/>
          <w:szCs w:val="24"/>
        </w:rPr>
        <w:t xml:space="preserve"> at </w:t>
      </w:r>
      <w:r w:rsidRPr="00E111AA">
        <w:rPr>
          <w:rFonts w:eastAsia="Times New Roman"/>
          <w:sz w:val="24"/>
          <w:szCs w:val="24"/>
        </w:rPr>
        <w:t>851.</w:t>
      </w:r>
    </w:p>
    <w:p w14:paraId="45C7813F" w14:textId="77777777" w:rsidR="00E01A1E" w:rsidRDefault="00E01A1E" w:rsidP="00E01A1E">
      <w:pPr>
        <w:ind w:firstLine="720"/>
        <w:rPr>
          <w:rFonts w:eastAsia="Times New Roman"/>
          <w:sz w:val="24"/>
          <w:szCs w:val="24"/>
        </w:rPr>
      </w:pPr>
    </w:p>
    <w:p w14:paraId="11B63956" w14:textId="77777777" w:rsidR="00E01A1E" w:rsidRPr="00E111AA" w:rsidRDefault="00771A51" w:rsidP="00E01A1E">
      <w:pPr>
        <w:spacing w:after="240"/>
        <w:ind w:firstLine="720"/>
        <w:rPr>
          <w:rFonts w:eastAsia="Times New Roman"/>
          <w:sz w:val="24"/>
          <w:szCs w:val="24"/>
        </w:rPr>
      </w:pPr>
      <w:r>
        <w:rPr>
          <w:rFonts w:eastAsia="Times New Roman"/>
          <w:sz w:val="24"/>
          <w:szCs w:val="24"/>
        </w:rPr>
        <w:t xml:space="preserve">4. An employer’s liability for a loaned employee depends on the claim asserted. </w:t>
      </w:r>
      <w:r>
        <w:rPr>
          <w:rFonts w:eastAsia="Times New Roman"/>
          <w:i/>
          <w:sz w:val="24"/>
          <w:szCs w:val="24"/>
        </w:rPr>
        <w:t xml:space="preserve">See </w:t>
      </w:r>
      <w:r>
        <w:rPr>
          <w:rFonts w:eastAsia="Times New Roman"/>
          <w:b/>
          <w:sz w:val="24"/>
          <w:szCs w:val="24"/>
        </w:rPr>
        <w:t>Kiefer Concrete, Inc.</w:t>
      </w:r>
      <w:r>
        <w:rPr>
          <w:rFonts w:eastAsia="Times New Roman"/>
          <w:sz w:val="24"/>
          <w:szCs w:val="24"/>
        </w:rPr>
        <w:t xml:space="preserve">, 193 Colo. at 18, 562 P.2d at 746 (“The employer under whose exclusive control the loaned employee operates may then be held vicariously liable for the acts of the employee under ordinary principles of Respondeat superior.”); </w:t>
      </w:r>
      <w:r>
        <w:rPr>
          <w:rFonts w:eastAsia="Times New Roman"/>
          <w:b/>
          <w:sz w:val="24"/>
          <w:szCs w:val="24"/>
        </w:rPr>
        <w:t>Morphew</w:t>
      </w:r>
      <w:r>
        <w:rPr>
          <w:rFonts w:eastAsia="Times New Roman"/>
          <w:sz w:val="24"/>
          <w:szCs w:val="24"/>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16C25DDA" w14:textId="77777777" w:rsidR="00E01A1E" w:rsidRDefault="00771A51" w:rsidP="00E01A1E">
      <w:pPr>
        <w:ind w:firstLine="720"/>
        <w:rPr>
          <w:rFonts w:eastAsia="Times New Roman"/>
          <w:sz w:val="24"/>
          <w:szCs w:val="24"/>
        </w:rPr>
      </w:pPr>
      <w:r>
        <w:rPr>
          <w:rFonts w:eastAsia="Times New Roman"/>
          <w:sz w:val="24"/>
          <w:szCs w:val="24"/>
        </w:rPr>
        <w:br w:type="page"/>
      </w:r>
    </w:p>
    <w:p w14:paraId="39974438" w14:textId="77777777" w:rsidR="00E01A1E" w:rsidRPr="009E3DA4" w:rsidRDefault="00771A51" w:rsidP="00E01A1E">
      <w:pPr>
        <w:spacing w:after="240"/>
        <w:ind w:left="720" w:hanging="720"/>
        <w:rPr>
          <w:rFonts w:eastAsia="Times New Roman"/>
          <w:b/>
          <w:sz w:val="24"/>
          <w:szCs w:val="24"/>
        </w:rPr>
      </w:pPr>
      <w:bookmarkStart w:id="8" w:name="a8_8"/>
      <w:bookmarkEnd w:id="8"/>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7B20F1E1" w14:textId="69652976"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An employee is acting within the scope of </w:t>
      </w:r>
      <w:r w:rsidR="003E686C" w:rsidRPr="003E686C">
        <w:rPr>
          <w:rFonts w:eastAsia="Times New Roman"/>
          <w:bCs/>
          <w:i/>
          <w:iCs/>
          <w:sz w:val="24"/>
          <w:szCs w:val="24"/>
        </w:rPr>
        <w:t>(insert applicable pronoun)</w:t>
      </w:r>
      <w:r w:rsidRPr="00E111AA">
        <w:rPr>
          <w:rFonts w:eastAsia="Times New Roman"/>
          <w:b/>
          <w:sz w:val="24"/>
          <w:szCs w:val="24"/>
        </w:rPr>
        <w:t xml:space="preserve"> employment when the employee is doing work that is:</w:t>
      </w:r>
    </w:p>
    <w:p w14:paraId="39EC4744" w14:textId="5F35126A"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1. Assigned by </w:t>
      </w:r>
      <w:r w:rsidR="003E686C" w:rsidRPr="003E686C">
        <w:rPr>
          <w:rFonts w:eastAsia="Times New Roman"/>
          <w:bCs/>
          <w:i/>
          <w:iCs/>
          <w:sz w:val="24"/>
          <w:szCs w:val="24"/>
        </w:rPr>
        <w:t>(insert applicable pronoun)</w:t>
      </w:r>
      <w:r w:rsidRPr="00E111AA">
        <w:rPr>
          <w:rFonts w:eastAsia="Times New Roman"/>
          <w:b/>
          <w:sz w:val="24"/>
          <w:szCs w:val="24"/>
        </w:rPr>
        <w:t xml:space="preserve"> employer; or</w:t>
      </w:r>
    </w:p>
    <w:p w14:paraId="3876BF5D"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3E982D73"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6F14665F" w14:textId="77777777" w:rsidR="00E01A1E" w:rsidRDefault="00E01A1E" w:rsidP="00E01A1E">
      <w:pPr>
        <w:jc w:val="center"/>
        <w:rPr>
          <w:rFonts w:eastAsia="Times New Roman"/>
          <w:sz w:val="24"/>
          <w:szCs w:val="24"/>
        </w:rPr>
      </w:pPr>
    </w:p>
    <w:p w14:paraId="7CA8434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2A8CF4"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respondeat superior. </w:t>
      </w:r>
      <w:r w:rsidRPr="00E111AA">
        <w:rPr>
          <w:rFonts w:eastAsia="Times New Roman"/>
          <w:i/>
          <w:sz w:val="24"/>
          <w:szCs w:val="24"/>
        </w:rPr>
        <w:t xml:space="preserve">See </w:t>
      </w:r>
      <w:r w:rsidRPr="00E111AA">
        <w:rPr>
          <w:rFonts w:eastAsia="Times New Roman"/>
          <w:sz w:val="24"/>
          <w:szCs w:val="24"/>
        </w:rPr>
        <w:t>Instruction 8:18.</w:t>
      </w:r>
    </w:p>
    <w:p w14:paraId="216E5E7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2A84F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r w:rsidRPr="00E111AA">
        <w:rPr>
          <w:rFonts w:eastAsia="Times New Roman"/>
          <w:b/>
          <w:sz w:val="24"/>
          <w:szCs w:val="24"/>
        </w:rPr>
        <w:t>Connes v. Molalla Transp</w:t>
      </w:r>
      <w:r>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r w:rsidRPr="00E111AA">
        <w:rPr>
          <w:rFonts w:eastAsia="Times New Roman"/>
          <w:b/>
          <w:sz w:val="24"/>
          <w:szCs w:val="24"/>
        </w:rPr>
        <w:t>Destefano v. Grabrian</w:t>
      </w:r>
      <w:r w:rsidRPr="00E111AA">
        <w:rPr>
          <w:rFonts w:eastAsia="Times New Roman"/>
          <w:sz w:val="24"/>
          <w:szCs w:val="24"/>
        </w:rPr>
        <w:t xml:space="preserve">, 763 P.2d 275 (Colo. 1988); </w:t>
      </w:r>
      <w:r w:rsidRPr="00E111AA">
        <w:rPr>
          <w:rFonts w:eastAsia="Times New Roman"/>
          <w:b/>
          <w:sz w:val="24"/>
          <w:szCs w:val="24"/>
        </w:rPr>
        <w:t>Spencer v. United Mortg. Co.</w:t>
      </w:r>
      <w:r w:rsidRPr="00E111AA">
        <w:rPr>
          <w:rFonts w:eastAsia="Times New Roman"/>
          <w:sz w:val="24"/>
          <w:szCs w:val="24"/>
        </w:rPr>
        <w:t xml:space="preserve">, 857 P.2d 1342 (Colo. App. 1993) (theft by employee outside scope of employment); </w:t>
      </w:r>
      <w:r w:rsidRPr="00E111AA">
        <w:rPr>
          <w:rFonts w:eastAsia="Times New Roman"/>
          <w:b/>
          <w:sz w:val="24"/>
          <w:szCs w:val="24"/>
        </w:rPr>
        <w:t>Goettman v. North Fork Valley Rest</w:t>
      </w:r>
      <w:r w:rsidRPr="002B303A">
        <w:rPr>
          <w:rFonts w:eastAsia="Times New Roman"/>
          <w:sz w:val="24"/>
          <w:szCs w:val="24"/>
        </w:rPr>
        <w:t>,</w:t>
      </w:r>
      <w:r w:rsidRPr="00FC6C94">
        <w:rPr>
          <w:rFonts w:eastAsia="Times New Roman"/>
          <w:sz w:val="24"/>
          <w:szCs w:val="24"/>
        </w:rPr>
        <w:t xml:space="preserve"> 176 P.3d 60</w:t>
      </w:r>
      <w:r w:rsidRPr="00D81278">
        <w:rPr>
          <w:rFonts w:eastAsia="Times New Roman"/>
          <w:sz w:val="24"/>
          <w:szCs w:val="24"/>
        </w:rPr>
        <w:t>, 70 (Colo. 2007) (“a traveling employee need not be engaged in the actual performance of work to be considered engaged in the course of his employment”</w:t>
      </w:r>
      <w:r w:rsidRPr="00E111AA">
        <w:rPr>
          <w:rFonts w:eastAsia="Times New Roman"/>
          <w:sz w:val="24"/>
          <w:szCs w:val="24"/>
        </w:rPr>
        <w:t xml:space="preserve">). </w:t>
      </w:r>
      <w:r w:rsidRPr="00E111AA">
        <w:rPr>
          <w:rFonts w:eastAsia="Times New Roman"/>
          <w:i/>
          <w:sz w:val="24"/>
          <w:szCs w:val="24"/>
        </w:rPr>
        <w:t xml:space="preserve">See </w:t>
      </w:r>
      <w:r w:rsidRPr="00191C86">
        <w:rPr>
          <w:rFonts w:eastAsia="Times New Roman"/>
          <w:smallCaps/>
          <w:sz w:val="24"/>
          <w:szCs w:val="24"/>
        </w:rPr>
        <w:t>Restatement (Third) of Agency</w:t>
      </w:r>
      <w:r w:rsidRPr="00E111AA">
        <w:rPr>
          <w:rFonts w:eastAsia="Times New Roman"/>
          <w:sz w:val="24"/>
          <w:szCs w:val="24"/>
        </w:rPr>
        <w:t xml:space="preserve"> § 7.07(2) (2006) (defining when employee acts outside of scope).</w:t>
      </w:r>
    </w:p>
    <w:p w14:paraId="543C0F76"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Pham v. OSP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1F29F4E4" w14:textId="77777777" w:rsidR="00E01A1E" w:rsidRDefault="00771A51" w:rsidP="00E01A1E">
      <w:pPr>
        <w:spacing w:after="240"/>
        <w:ind w:firstLine="720"/>
        <w:rPr>
          <w:rFonts w:eastAsia="Times New Roman"/>
          <w:sz w:val="24"/>
          <w:szCs w:val="24"/>
        </w:rPr>
      </w:pPr>
      <w:r w:rsidRPr="00E111AA">
        <w:rPr>
          <w:rFonts w:eastAsia="Times New Roman"/>
          <w:sz w:val="24"/>
          <w:szCs w:val="24"/>
        </w:rPr>
        <w:t xml:space="preserve">3. “The question of whether an employee is acting within the scope of the employment is a question of fact.” </w:t>
      </w:r>
      <w:r w:rsidRPr="00E111AA">
        <w:rPr>
          <w:rFonts w:eastAsia="Times New Roman"/>
          <w:b/>
          <w:sz w:val="24"/>
          <w:szCs w:val="24"/>
        </w:rPr>
        <w:t>Raleigh v. Performance Plumbing &amp; Heating</w:t>
      </w:r>
      <w:r w:rsidRPr="00E111AA">
        <w:rPr>
          <w:rFonts w:eastAsia="Times New Roman"/>
          <w:sz w:val="24"/>
          <w:szCs w:val="24"/>
        </w:rPr>
        <w:t>, 130 P.3d 1011, 1019 (Colo. 2006).</w:t>
      </w:r>
    </w:p>
    <w:p w14:paraId="27A48C32" w14:textId="413013F3" w:rsidR="00E01A1E" w:rsidRDefault="00771A51" w:rsidP="00E01A1E">
      <w:pPr>
        <w:spacing w:after="240"/>
        <w:ind w:firstLine="720"/>
        <w:rPr>
          <w:rFonts w:eastAsia="Times New Roman"/>
          <w:sz w:val="24"/>
          <w:szCs w:val="24"/>
        </w:rPr>
      </w:pPr>
      <w:r>
        <w:rPr>
          <w:rFonts w:eastAsia="Times New Roman"/>
          <w:sz w:val="24"/>
          <w:szCs w:val="24"/>
        </w:rPr>
        <w:t xml:space="preserve">4. The “going-and-coming rule” defines the scope of the employment relationship when the employee was commuting between work and home or another personal destination at the time of the plaintiff’s injury. </w:t>
      </w:r>
      <w:r>
        <w:rPr>
          <w:rFonts w:eastAsia="Times New Roman"/>
          <w:b/>
          <w:bCs/>
          <w:sz w:val="24"/>
          <w:szCs w:val="24"/>
        </w:rPr>
        <w:t>Suydam v. LFI Fort Pierce, Inc.</w:t>
      </w:r>
      <w:r>
        <w:rPr>
          <w:rFonts w:eastAsia="Times New Roman"/>
          <w:sz w:val="24"/>
          <w:szCs w:val="24"/>
        </w:rPr>
        <w:t>, 2020 COA 144M, ¶¶ 17, 26</w:t>
      </w:r>
      <w:r w:rsidR="0090551B">
        <w:rPr>
          <w:rFonts w:eastAsia="Times New Roman"/>
          <w:sz w:val="24"/>
          <w:szCs w:val="24"/>
        </w:rPr>
        <w:t>, 490 P.3d 930</w:t>
      </w:r>
      <w:r>
        <w:rPr>
          <w:rFonts w:eastAsia="Times New Roman"/>
          <w:sz w:val="24"/>
          <w:szCs w:val="24"/>
        </w:rPr>
        <w:t xml:space="preserve"> (approving this instruction). Colorado’s version of that rule provides that “an employee traveling from . . . work to his home or another personal destination, after completing his day’s work, cannot ordinarily be regarded as acting in the scope of his employment so as to charge the </w:t>
      </w:r>
      <w:r>
        <w:rPr>
          <w:rFonts w:eastAsia="Times New Roman"/>
          <w:sz w:val="24"/>
          <w:szCs w:val="24"/>
        </w:rPr>
        <w:lastRenderedPageBreak/>
        <w:t xml:space="preserve">employer for the employee’s negligence in the operation of the [employee’s] car.”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18 (quoting </w:t>
      </w:r>
      <w:r>
        <w:rPr>
          <w:rFonts w:eastAsia="Times New Roman"/>
          <w:b/>
          <w:bCs/>
          <w:sz w:val="24"/>
          <w:szCs w:val="24"/>
        </w:rPr>
        <w:t>Beeson v. Kelran Constructors, Inc.</w:t>
      </w:r>
      <w:r>
        <w:rPr>
          <w:rFonts w:eastAsia="Times New Roman"/>
          <w:sz w:val="24"/>
          <w:szCs w:val="24"/>
        </w:rPr>
        <w:t xml:space="preserve">, 43 Colo. App. 505, 507, 608 P.2d 369, 371 (1979)). The rule has several exceptions. These include when the employee was engaged in an act connected to his work or was furthering the employer’s interests at the time of the conduct that caused the injury.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19; </w:t>
      </w:r>
      <w:r>
        <w:rPr>
          <w:rFonts w:eastAsia="Times New Roman"/>
          <w:i/>
          <w:iCs/>
          <w:sz w:val="24"/>
          <w:szCs w:val="24"/>
        </w:rPr>
        <w:t xml:space="preserve">see also </w:t>
      </w:r>
      <w:r>
        <w:rPr>
          <w:rFonts w:eastAsia="Times New Roman"/>
          <w:b/>
          <w:bCs/>
          <w:sz w:val="24"/>
          <w:szCs w:val="24"/>
        </w:rPr>
        <w:t>Stokes v. Denver Newspaper Agency, LLP</w:t>
      </w:r>
      <w:r>
        <w:rPr>
          <w:rFonts w:eastAsia="Times New Roman"/>
          <w:sz w:val="24"/>
          <w:szCs w:val="24"/>
        </w:rPr>
        <w:t>, 159 P.3d 691, 693 (Colo. App. 2006).</w:t>
      </w:r>
    </w:p>
    <w:p w14:paraId="6EA32AEF" w14:textId="77777777" w:rsidR="00E01A1E" w:rsidRDefault="00771A51" w:rsidP="00E01A1E">
      <w:pPr>
        <w:spacing w:after="240"/>
        <w:ind w:firstLine="720"/>
        <w:rPr>
          <w:rFonts w:eastAsia="Times New Roman"/>
          <w:sz w:val="24"/>
          <w:szCs w:val="24"/>
        </w:rPr>
      </w:pPr>
      <w:r>
        <w:rPr>
          <w:rFonts w:eastAsia="Times New Roman"/>
          <w:sz w:val="24"/>
          <w:szCs w:val="24"/>
        </w:rPr>
        <w:br w:type="page"/>
      </w:r>
    </w:p>
    <w:p w14:paraId="04B30BB0" w14:textId="77777777" w:rsidR="00E01A1E" w:rsidRPr="009E3DA4" w:rsidRDefault="00771A51" w:rsidP="00E01A1E">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63D411F6" w14:textId="44EFA517" w:rsidR="00E01A1E" w:rsidRPr="00BA27A8" w:rsidRDefault="00771A51" w:rsidP="00E01A1E">
      <w:pPr>
        <w:spacing w:after="240"/>
        <w:ind w:firstLine="720"/>
        <w:rPr>
          <w:rFonts w:eastAsia="Times New Roman"/>
          <w:b/>
          <w:sz w:val="24"/>
          <w:szCs w:val="24"/>
        </w:rPr>
      </w:pPr>
      <w:r w:rsidRPr="00BA27A8">
        <w:rPr>
          <w:rFonts w:eastAsia="Times New Roman"/>
          <w:b/>
          <w:sz w:val="24"/>
          <w:szCs w:val="24"/>
        </w:rPr>
        <w:t xml:space="preserve">An agent is acting within the scope of </w:t>
      </w:r>
      <w:r w:rsidR="003E686C" w:rsidRPr="003E686C">
        <w:rPr>
          <w:rFonts w:eastAsia="Times New Roman"/>
          <w:bCs/>
          <w:i/>
          <w:iCs/>
          <w:sz w:val="24"/>
          <w:szCs w:val="24"/>
        </w:rPr>
        <w:t>(insert applicable pronoun)</w:t>
      </w:r>
      <w:r w:rsidRPr="00BA27A8">
        <w:rPr>
          <w:rFonts w:eastAsia="Times New Roman"/>
          <w:b/>
          <w:sz w:val="24"/>
          <w:szCs w:val="24"/>
        </w:rPr>
        <w:t xml:space="preserve"> authority when the agent is carrying (on business) (out a business transaction) for </w:t>
      </w:r>
      <w:r w:rsidR="003E686C" w:rsidRPr="003E686C">
        <w:rPr>
          <w:rFonts w:eastAsia="Times New Roman"/>
          <w:bCs/>
          <w:i/>
          <w:iCs/>
          <w:sz w:val="24"/>
          <w:szCs w:val="24"/>
        </w:rPr>
        <w:t>(insert applicable pronoun)</w:t>
      </w:r>
      <w:r w:rsidRPr="00BA27A8">
        <w:rPr>
          <w:rFonts w:eastAsia="Times New Roman"/>
          <w:b/>
          <w:sz w:val="24"/>
          <w:szCs w:val="24"/>
        </w:rPr>
        <w:t xml:space="preserve"> principal which the principal has expressly authorized </w:t>
      </w:r>
      <w:r w:rsidR="00627001">
        <w:rPr>
          <w:rFonts w:eastAsia="Times New Roman"/>
          <w:b/>
          <w:sz w:val="24"/>
          <w:szCs w:val="24"/>
        </w:rPr>
        <w:t>[and] [or][</w:t>
      </w:r>
      <w:r w:rsidRPr="00BA27A8">
        <w:rPr>
          <w:rFonts w:eastAsia="Times New Roman"/>
          <w:b/>
          <w:sz w:val="24"/>
          <w:szCs w:val="24"/>
        </w:rPr>
        <w:t>which is within the (incidental) (implied) (apparent) authority of the agent</w:t>
      </w:r>
      <w:r w:rsidR="00627001">
        <w:rPr>
          <w:rFonts w:eastAsia="Times New Roman"/>
          <w:b/>
          <w:sz w:val="24"/>
          <w:szCs w:val="24"/>
        </w:rPr>
        <w:t>]</w:t>
      </w:r>
      <w:r w:rsidRPr="00BA27A8">
        <w:rPr>
          <w:rFonts w:eastAsia="Times New Roman"/>
          <w:b/>
          <w:sz w:val="24"/>
          <w:szCs w:val="24"/>
        </w:rPr>
        <w:t>.</w:t>
      </w:r>
    </w:p>
    <w:p w14:paraId="59C1FEF4" w14:textId="77777777" w:rsidR="00E01A1E" w:rsidRDefault="00E01A1E" w:rsidP="00E01A1E">
      <w:pPr>
        <w:jc w:val="center"/>
        <w:rPr>
          <w:rFonts w:eastAsia="Times New Roman"/>
          <w:sz w:val="24"/>
          <w:szCs w:val="24"/>
        </w:rPr>
      </w:pPr>
    </w:p>
    <w:p w14:paraId="025EC8C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9488675"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3E5AF107" w14:textId="1294ABD4" w:rsidR="00E01A1E" w:rsidRPr="00BA27A8" w:rsidRDefault="00771A51" w:rsidP="00E01A1E">
      <w:pPr>
        <w:spacing w:after="240"/>
        <w:ind w:firstLine="720"/>
        <w:rPr>
          <w:rFonts w:eastAsia="Times New Roman"/>
          <w:sz w:val="24"/>
          <w:szCs w:val="24"/>
        </w:rPr>
      </w:pPr>
      <w:r w:rsidRPr="00BA27A8">
        <w:rPr>
          <w:rFonts w:eastAsia="Times New Roman"/>
          <w:sz w:val="24"/>
          <w:szCs w:val="24"/>
        </w:rPr>
        <w:t>2. For the definitions of “incidental,” “implied,” and “apparent” authority, see Instructions 8:10, 8:11, and 8:12, respectively.</w:t>
      </w:r>
    </w:p>
    <w:p w14:paraId="41DD5EB1" w14:textId="77777777" w:rsidR="00E01A1E" w:rsidRPr="00BA27A8" w:rsidRDefault="00771A51" w:rsidP="00E01A1E">
      <w:pPr>
        <w:spacing w:after="240"/>
        <w:ind w:firstLine="720"/>
        <w:rPr>
          <w:rFonts w:eastAsia="Times New Roman"/>
          <w:sz w:val="24"/>
          <w:szCs w:val="24"/>
        </w:rPr>
      </w:pPr>
      <w:r w:rsidRPr="003D4122">
        <w:rPr>
          <w:rFonts w:eastAsia="Times New Roman"/>
          <w:sz w:val="24"/>
          <w:szCs w:val="24"/>
        </w:rPr>
        <w:t>3. This instruction is for use in contract cases</w:t>
      </w:r>
      <w:r w:rsidRPr="003D4122">
        <w:t xml:space="preserve"> </w:t>
      </w:r>
      <w:r w:rsidRPr="003D4122">
        <w:rPr>
          <w:rFonts w:eastAsia="Times New Roman"/>
          <w:sz w:val="24"/>
          <w:szCs w:val="24"/>
        </w:rPr>
        <w:t>involving a principal and agent (rather than an employer and employee). When the plaintiff is seeking to hold a defendant</w:t>
      </w:r>
      <w:r>
        <w:rPr>
          <w:rFonts w:eastAsia="Times New Roman"/>
          <w:sz w:val="24"/>
          <w:szCs w:val="24"/>
        </w:rPr>
        <w:t>-</w:t>
      </w:r>
      <w:r w:rsidRPr="003D4122">
        <w:rPr>
          <w:rFonts w:eastAsia="Times New Roman"/>
          <w:sz w:val="24"/>
          <w:szCs w:val="24"/>
        </w:rPr>
        <w:t>employer liable in tort under the doctrine of respondeat superior, Instruction 8:8 should be used.</w:t>
      </w:r>
    </w:p>
    <w:p w14:paraId="64868FF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194D73D0"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H. Reuschlein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4B60A2D1"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r w:rsidRPr="00BA27A8">
        <w:rPr>
          <w:rFonts w:eastAsia="Times New Roman"/>
          <w:b/>
          <w:sz w:val="24"/>
          <w:szCs w:val="24"/>
        </w:rPr>
        <w:t>Fey Concert Co. v. City &amp; Cty</w:t>
      </w:r>
      <w:r>
        <w:rPr>
          <w:rFonts w:eastAsia="Times New Roman"/>
          <w:b/>
          <w:sz w:val="24"/>
          <w:szCs w:val="24"/>
        </w:rPr>
        <w:t>.</w:t>
      </w:r>
      <w:r w:rsidRPr="00BA27A8">
        <w:rPr>
          <w:rFonts w:eastAsia="Times New Roman"/>
          <w:b/>
          <w:sz w:val="24"/>
          <w:szCs w:val="24"/>
        </w:rPr>
        <w:t xml:space="preserve"> of Denver</w:t>
      </w:r>
      <w:r w:rsidRPr="00BA27A8">
        <w:rPr>
          <w:rFonts w:eastAsia="Times New Roman"/>
          <w:sz w:val="24"/>
          <w:szCs w:val="24"/>
        </w:rPr>
        <w:t xml:space="preserve">, 940 P.2d 972 (Colo. App. 1996), </w:t>
      </w:r>
      <w:r w:rsidRPr="00BA27A8">
        <w:rPr>
          <w:rFonts w:eastAsia="Times New Roman"/>
          <w:i/>
          <w:sz w:val="24"/>
          <w:szCs w:val="24"/>
        </w:rPr>
        <w:t>rev’d on other grounds</w:t>
      </w:r>
      <w:r w:rsidRPr="00BA27A8">
        <w:rPr>
          <w:rFonts w:eastAsia="Times New Roman"/>
          <w:sz w:val="24"/>
          <w:szCs w:val="24"/>
        </w:rPr>
        <w:t xml:space="preserve">, 960 P.2d 657 (Colo. 1998). An attorney does not have the authority to settle a case without his client’s knowledge and consent. </w:t>
      </w:r>
      <w:r w:rsidRPr="00BA27A8">
        <w:rPr>
          <w:rFonts w:eastAsia="Times New Roman"/>
          <w:b/>
          <w:sz w:val="24"/>
          <w:szCs w:val="24"/>
        </w:rPr>
        <w:t>Siener v. Zeff</w:t>
      </w:r>
      <w:r w:rsidRPr="00BA27A8">
        <w:rPr>
          <w:rFonts w:eastAsia="Times New Roman"/>
          <w:sz w:val="24"/>
          <w:szCs w:val="24"/>
        </w:rPr>
        <w:t>, 194 P.3d 467 (Colo. App. 2008).</w:t>
      </w:r>
    </w:p>
    <w:p w14:paraId="555304D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Pr>
          <w:rFonts w:eastAsia="Times New Roman"/>
          <w:sz w:val="24"/>
          <w:szCs w:val="24"/>
        </w:rPr>
        <w:t>,</w:t>
      </w:r>
      <w:r w:rsidRPr="00BA27A8">
        <w:rPr>
          <w:rFonts w:eastAsia="Times New Roman"/>
          <w:sz w:val="24"/>
          <w:szCs w:val="24"/>
        </w:rPr>
        <w:t xml:space="preserve">” by which a principal confers express authority on an agent, is governed by </w:t>
      </w:r>
      <w:r>
        <w:rPr>
          <w:rFonts w:eastAsia="Times New Roman"/>
          <w:sz w:val="24"/>
          <w:szCs w:val="24"/>
        </w:rPr>
        <w:t>sections</w:t>
      </w:r>
      <w:r w:rsidRPr="00BA27A8">
        <w:rPr>
          <w:rFonts w:eastAsia="Times New Roman"/>
          <w:sz w:val="24"/>
          <w:szCs w:val="24"/>
        </w:rPr>
        <w:t xml:space="preserve"> 15-14-500.3</w:t>
      </w:r>
      <w:r>
        <w:rPr>
          <w:rFonts w:eastAsia="Times New Roman"/>
          <w:sz w:val="24"/>
          <w:szCs w:val="24"/>
        </w:rPr>
        <w:t xml:space="preserve"> to -509</w:t>
      </w:r>
      <w:r w:rsidRPr="00BA27A8">
        <w:rPr>
          <w:rFonts w:eastAsia="Times New Roman"/>
          <w:sz w:val="24"/>
          <w:szCs w:val="24"/>
        </w:rPr>
        <w:t xml:space="preserve">, C.R.S. </w:t>
      </w:r>
      <w:r w:rsidRPr="00135E83">
        <w:rPr>
          <w:rFonts w:eastAsia="Times New Roman"/>
          <w:i/>
          <w:sz w:val="24"/>
          <w:szCs w:val="24"/>
        </w:rPr>
        <w:t>See</w:t>
      </w:r>
      <w:r>
        <w:rPr>
          <w:rFonts w:eastAsia="Times New Roman"/>
          <w:sz w:val="24"/>
          <w:szCs w:val="24"/>
        </w:rPr>
        <w:t xml:space="preserve"> </w:t>
      </w:r>
      <w:r w:rsidRPr="00BA27A8">
        <w:rPr>
          <w:rFonts w:eastAsia="Times New Roman"/>
          <w:b/>
          <w:sz w:val="24"/>
          <w:szCs w:val="24"/>
        </w:rPr>
        <w:t>In re Trust of Franzen</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Pr>
          <w:rFonts w:eastAsia="Times New Roman"/>
          <w:sz w:val="24"/>
          <w:szCs w:val="24"/>
        </w:rPr>
        <w:t>;</w:t>
      </w:r>
      <w:r w:rsidRPr="00BA27A8">
        <w:rPr>
          <w:rFonts w:eastAsia="Times New Roman"/>
          <w:sz w:val="24"/>
          <w:szCs w:val="24"/>
        </w:rPr>
        <w:t xml:space="preserve"> </w:t>
      </w:r>
      <w:r>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Pr>
          <w:rFonts w:eastAsia="Times New Roman"/>
          <w:sz w:val="24"/>
          <w:szCs w:val="24"/>
        </w:rPr>
        <w:t xml:space="preserve"> to -509</w:t>
      </w:r>
      <w:r w:rsidRPr="00BA27A8">
        <w:rPr>
          <w:rFonts w:eastAsia="Times New Roman"/>
          <w:sz w:val="24"/>
          <w:szCs w:val="24"/>
        </w:rPr>
        <w:t>, C.R.S. (Colorado Patient Autonomy Act); §§ 15-18.5-10</w:t>
      </w:r>
      <w:r>
        <w:rPr>
          <w:rFonts w:eastAsia="Times New Roman"/>
          <w:sz w:val="24"/>
          <w:szCs w:val="24"/>
        </w:rPr>
        <w:t>1 to -</w:t>
      </w:r>
      <w:r w:rsidRPr="00BA27A8">
        <w:rPr>
          <w:rFonts w:eastAsia="Times New Roman"/>
          <w:sz w:val="24"/>
          <w:szCs w:val="24"/>
        </w:rPr>
        <w:t>10</w:t>
      </w:r>
      <w:r>
        <w:rPr>
          <w:rFonts w:eastAsia="Times New Roman"/>
          <w:sz w:val="24"/>
          <w:szCs w:val="24"/>
        </w:rPr>
        <w:t>5</w:t>
      </w:r>
      <w:r w:rsidRPr="00BA27A8">
        <w:rPr>
          <w:rFonts w:eastAsia="Times New Roman"/>
          <w:sz w:val="24"/>
          <w:szCs w:val="24"/>
        </w:rPr>
        <w:t>, C.R.S. (health care proxy); §§ 15-18-101</w:t>
      </w:r>
      <w:r>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Moffett v. Life Care Ctrs.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Lujan v. Life Care Ctrs.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6CEE836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r w:rsidRPr="00BA27A8">
        <w:rPr>
          <w:rFonts w:eastAsia="Times New Roman"/>
          <w:b/>
          <w:sz w:val="24"/>
          <w:szCs w:val="24"/>
        </w:rPr>
        <w:t>Colo</w:t>
      </w:r>
      <w:r>
        <w:rPr>
          <w:rFonts w:eastAsia="Times New Roman"/>
          <w:b/>
          <w:sz w:val="24"/>
          <w:szCs w:val="24"/>
        </w:rPr>
        <w:t>.</w:t>
      </w:r>
      <w:r w:rsidRPr="00BA27A8">
        <w:rPr>
          <w:rFonts w:eastAsia="Times New Roman"/>
          <w:b/>
          <w:sz w:val="24"/>
          <w:szCs w:val="24"/>
        </w:rPr>
        <w:t xml:space="preserve"> Coffee Bean, LLC v. Peaberry Coffee Inc.</w:t>
      </w:r>
      <w:r w:rsidRPr="00BA27A8">
        <w:rPr>
          <w:rFonts w:eastAsia="Times New Roman"/>
          <w:sz w:val="24"/>
          <w:szCs w:val="24"/>
        </w:rPr>
        <w:t>, 251 P.3d 9 (Colo. App. 2010).</w:t>
      </w:r>
    </w:p>
    <w:p w14:paraId="1534D114"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In re Estate of Sandstead</w:t>
      </w:r>
      <w:r w:rsidRPr="00BA27A8">
        <w:rPr>
          <w:rFonts w:eastAsia="Times New Roman"/>
          <w:sz w:val="24"/>
          <w:szCs w:val="24"/>
        </w:rPr>
        <w:t>, 2016 COA 49, ¶¶ 38-39</w:t>
      </w:r>
      <w:r>
        <w:rPr>
          <w:rFonts w:eastAsia="Times New Roman"/>
          <w:sz w:val="24"/>
          <w:szCs w:val="24"/>
        </w:rPr>
        <w:t>, 412 P.3d 799,</w:t>
      </w:r>
      <w:r w:rsidRPr="00245A23">
        <w:rPr>
          <w:rFonts w:eastAsia="Times New Roman"/>
          <w:i/>
          <w:iCs/>
          <w:sz w:val="24"/>
          <w:szCs w:val="24"/>
        </w:rPr>
        <w:t xml:space="preserve"> </w:t>
      </w:r>
      <w:r w:rsidRPr="00665968">
        <w:rPr>
          <w:rFonts w:eastAsia="Times New Roman"/>
          <w:i/>
          <w:iCs/>
          <w:sz w:val="24"/>
          <w:szCs w:val="24"/>
        </w:rPr>
        <w:t>rev’d on other grounds</w:t>
      </w:r>
      <w:r>
        <w:rPr>
          <w:rFonts w:eastAsia="Times New Roman"/>
          <w:iCs/>
          <w:sz w:val="24"/>
          <w:szCs w:val="24"/>
        </w:rPr>
        <w:t xml:space="preserve"> </w:t>
      </w:r>
      <w:r w:rsidRPr="00665968">
        <w:rPr>
          <w:rFonts w:eastAsia="Times New Roman"/>
          <w:i/>
          <w:iCs/>
          <w:sz w:val="24"/>
          <w:szCs w:val="24"/>
        </w:rPr>
        <w:t>sub nom</w:t>
      </w:r>
      <w:r>
        <w:rPr>
          <w:rFonts w:eastAsia="Times New Roman"/>
          <w:iCs/>
          <w:sz w:val="24"/>
          <w:szCs w:val="24"/>
        </w:rPr>
        <w:t xml:space="preserve">. </w:t>
      </w:r>
      <w:r w:rsidRPr="00665968">
        <w:rPr>
          <w:rFonts w:eastAsia="Times New Roman"/>
          <w:b/>
          <w:iCs/>
          <w:sz w:val="24"/>
          <w:szCs w:val="24"/>
        </w:rPr>
        <w:t>Sandstead-Corona v. Sandstead</w:t>
      </w:r>
      <w:r>
        <w:rPr>
          <w:rFonts w:eastAsia="Times New Roman"/>
          <w:iCs/>
          <w:sz w:val="24"/>
          <w:szCs w:val="24"/>
        </w:rPr>
        <w:t>, 2018 CO 26, 415 P.3d 310</w:t>
      </w:r>
      <w:r>
        <w:rPr>
          <w:rFonts w:eastAsia="Times New Roman"/>
          <w:sz w:val="24"/>
          <w:szCs w:val="24"/>
        </w:rPr>
        <w:t>.</w:t>
      </w:r>
    </w:p>
    <w:p w14:paraId="2645B612" w14:textId="77777777" w:rsidR="00E01A1E" w:rsidRDefault="00771A51">
      <w:pPr>
        <w:rPr>
          <w:rFonts w:eastAsia="Times New Roman"/>
          <w:sz w:val="24"/>
          <w:szCs w:val="24"/>
        </w:rPr>
      </w:pPr>
      <w:r>
        <w:rPr>
          <w:rFonts w:eastAsia="Times New Roman"/>
          <w:sz w:val="24"/>
          <w:szCs w:val="24"/>
        </w:rPr>
        <w:br w:type="page"/>
      </w:r>
    </w:p>
    <w:p w14:paraId="5B66A728" w14:textId="3105ACAA" w:rsidR="00E01A1E" w:rsidRPr="009E3DA4" w:rsidRDefault="00771A51" w:rsidP="00E01A1E">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r w:rsidR="002F72BA">
        <w:rPr>
          <w:rFonts w:eastAsia="Times New Roman"/>
          <w:b/>
          <w:sz w:val="24"/>
          <w:szCs w:val="24"/>
        </w:rPr>
        <w:t xml:space="preserve"> </w:t>
      </w:r>
      <w:r w:rsidR="00A77123" w:rsidRPr="00BA27A8">
        <w:rPr>
          <w:rFonts w:eastAsia="Times New Roman"/>
          <w:b/>
          <w:sz w:val="24"/>
          <w:szCs w:val="24"/>
        </w:rPr>
        <w:t>—</w:t>
      </w:r>
      <w:r w:rsidR="002F72BA">
        <w:rPr>
          <w:rFonts w:eastAsia="Times New Roman"/>
          <w:b/>
          <w:sz w:val="24"/>
          <w:szCs w:val="24"/>
        </w:rPr>
        <w:t xml:space="preserve"> DEFINED</w:t>
      </w:r>
    </w:p>
    <w:p w14:paraId="5649CB61" w14:textId="19C017EA" w:rsidR="003967D6" w:rsidRDefault="00771A51" w:rsidP="00E01A1E">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w:t>
      </w:r>
      <w:r w:rsidR="003967D6">
        <w:rPr>
          <w:rFonts w:eastAsia="Times New Roman"/>
          <w:b/>
          <w:sz w:val="24"/>
          <w:szCs w:val="24"/>
        </w:rPr>
        <w:t>:</w:t>
      </w:r>
    </w:p>
    <w:p w14:paraId="224BA7CA" w14:textId="26F4EDCA" w:rsidR="003967D6" w:rsidRDefault="003967D6" w:rsidP="00E01A1E">
      <w:pPr>
        <w:spacing w:after="240"/>
        <w:ind w:firstLine="720"/>
        <w:rPr>
          <w:rFonts w:eastAsia="Times New Roman"/>
          <w:b/>
          <w:sz w:val="24"/>
          <w:szCs w:val="24"/>
        </w:rPr>
      </w:pPr>
      <w:r>
        <w:rPr>
          <w:rFonts w:eastAsia="Times New Roman"/>
          <w:b/>
          <w:sz w:val="24"/>
          <w:szCs w:val="24"/>
        </w:rPr>
        <w:t>1.</w:t>
      </w:r>
      <w:r w:rsidR="00771A51" w:rsidRPr="007216DA">
        <w:rPr>
          <w:rFonts w:eastAsia="Times New Roman"/>
          <w:b/>
          <w:sz w:val="24"/>
          <w:szCs w:val="24"/>
        </w:rPr>
        <w:t xml:space="preserve"> </w:t>
      </w:r>
      <w:r>
        <w:rPr>
          <w:rFonts w:eastAsia="Times New Roman"/>
          <w:b/>
          <w:sz w:val="24"/>
          <w:szCs w:val="24"/>
        </w:rPr>
        <w:t>The agent b</w:t>
      </w:r>
      <w:r w:rsidR="00771A51" w:rsidRPr="007216DA">
        <w:rPr>
          <w:rFonts w:eastAsia="Times New Roman"/>
          <w:b/>
          <w:sz w:val="24"/>
          <w:szCs w:val="24"/>
        </w:rPr>
        <w:t xml:space="preserve">elieves </w:t>
      </w:r>
      <w:r w:rsidR="003E686C" w:rsidRPr="003E686C">
        <w:rPr>
          <w:rFonts w:eastAsia="Times New Roman"/>
          <w:bCs/>
          <w:i/>
          <w:iCs/>
          <w:sz w:val="24"/>
          <w:szCs w:val="24"/>
        </w:rPr>
        <w:t>(insert applicable pronoun)</w:t>
      </w:r>
      <w:r w:rsidR="00771A51" w:rsidRPr="007216DA">
        <w:rPr>
          <w:rFonts w:eastAsia="Times New Roman"/>
          <w:b/>
          <w:sz w:val="24"/>
          <w:szCs w:val="24"/>
        </w:rPr>
        <w:t xml:space="preserve"> actions are consistent with the way the principal wishes the agent to act</w:t>
      </w:r>
      <w:r>
        <w:rPr>
          <w:rFonts w:eastAsia="Times New Roman"/>
          <w:b/>
          <w:sz w:val="24"/>
          <w:szCs w:val="24"/>
        </w:rPr>
        <w:t>; and</w:t>
      </w:r>
    </w:p>
    <w:p w14:paraId="49FC5E90" w14:textId="569354E1" w:rsidR="003967D6" w:rsidRDefault="003967D6" w:rsidP="00E01A1E">
      <w:pPr>
        <w:spacing w:after="240"/>
        <w:ind w:firstLine="720"/>
        <w:rPr>
          <w:rFonts w:eastAsia="Times New Roman"/>
          <w:b/>
          <w:sz w:val="24"/>
          <w:szCs w:val="24"/>
        </w:rPr>
      </w:pPr>
      <w:r>
        <w:rPr>
          <w:rFonts w:eastAsia="Times New Roman"/>
          <w:b/>
          <w:sz w:val="24"/>
          <w:szCs w:val="24"/>
        </w:rPr>
        <w:t>2. The agent’s belief is reasonable.</w:t>
      </w:r>
    </w:p>
    <w:p w14:paraId="0C27827A" w14:textId="03DB08DF" w:rsidR="00E01A1E" w:rsidRPr="007216DA" w:rsidRDefault="00771A51" w:rsidP="0037602F">
      <w:pPr>
        <w:spacing w:after="240"/>
        <w:ind w:firstLine="720"/>
        <w:rPr>
          <w:rFonts w:eastAsia="Times New Roman"/>
          <w:b/>
          <w:sz w:val="24"/>
          <w:szCs w:val="24"/>
        </w:rPr>
      </w:pPr>
      <w:r w:rsidRPr="007216DA">
        <w:rPr>
          <w:rFonts w:eastAsia="Times New Roman"/>
          <w:b/>
          <w:sz w:val="24"/>
          <w:szCs w:val="24"/>
        </w:rPr>
        <w:t>In determining whether the agent’s belief is reasonable, you should consider the principal’s words (and) (or) conduct directed to the agent</w:t>
      </w:r>
      <w:r w:rsidR="004C41DD" w:rsidRPr="004C41DD">
        <w:rPr>
          <w:rFonts w:eastAsia="Times New Roman"/>
          <w:b/>
          <w:sz w:val="24"/>
          <w:szCs w:val="24"/>
        </w:rPr>
        <w:t xml:space="preserve"> </w:t>
      </w:r>
      <w:r w:rsidR="004C41DD">
        <w:rPr>
          <w:rFonts w:eastAsia="Times New Roman"/>
          <w:b/>
          <w:sz w:val="24"/>
          <w:szCs w:val="24"/>
        </w:rPr>
        <w:t>and the agent’s understanding of the principal’s wishes</w:t>
      </w:r>
      <w:r w:rsidRPr="007216DA">
        <w:rPr>
          <w:rFonts w:eastAsia="Times New Roman"/>
          <w:b/>
          <w:sz w:val="24"/>
          <w:szCs w:val="24"/>
        </w:rPr>
        <w:t>.</w:t>
      </w:r>
    </w:p>
    <w:p w14:paraId="62C526BC" w14:textId="77777777" w:rsidR="00E01A1E" w:rsidRDefault="00E01A1E" w:rsidP="00E01A1E">
      <w:pPr>
        <w:jc w:val="center"/>
        <w:rPr>
          <w:rFonts w:eastAsia="Times New Roman"/>
          <w:sz w:val="24"/>
          <w:szCs w:val="24"/>
        </w:rPr>
      </w:pPr>
    </w:p>
    <w:p w14:paraId="406BDEC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54E4207"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Pr>
          <w:rFonts w:eastAsia="Times New Roman"/>
          <w:sz w:val="24"/>
          <w:szCs w:val="24"/>
        </w:rPr>
        <w:t>s</w:t>
      </w:r>
      <w:r w:rsidRPr="007216DA">
        <w:rPr>
          <w:rFonts w:eastAsia="Times New Roman"/>
          <w:sz w:val="24"/>
          <w:szCs w:val="24"/>
        </w:rPr>
        <w:t xml:space="preserve"> 8:9B and 8:11. </w:t>
      </w:r>
    </w:p>
    <w:p w14:paraId="2647AFD5"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2731351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5CE0AAC" w14:textId="2B4DD187" w:rsidR="00E01A1E" w:rsidRDefault="005840CD" w:rsidP="00E01A1E">
      <w:pPr>
        <w:spacing w:after="240"/>
        <w:ind w:firstLine="720"/>
        <w:rPr>
          <w:rFonts w:eastAsia="Times New Roman"/>
          <w:sz w:val="24"/>
          <w:szCs w:val="24"/>
        </w:rPr>
      </w:pPr>
      <w:r>
        <w:rPr>
          <w:rFonts w:eastAsia="Times New Roman"/>
          <w:sz w:val="24"/>
          <w:szCs w:val="24"/>
        </w:rPr>
        <w:t xml:space="preserve">1. </w:t>
      </w:r>
      <w:r w:rsidR="00771A51" w:rsidRPr="007216DA">
        <w:rPr>
          <w:rFonts w:eastAsia="Times New Roman"/>
          <w:sz w:val="24"/>
          <w:szCs w:val="24"/>
        </w:rPr>
        <w:t xml:space="preserve">This instruction is supported by </w:t>
      </w:r>
      <w:r w:rsidR="00771A51" w:rsidRPr="007216DA">
        <w:rPr>
          <w:rFonts w:eastAsia="Times New Roman"/>
          <w:b/>
          <w:sz w:val="24"/>
          <w:szCs w:val="24"/>
        </w:rPr>
        <w:t>State Farm Mutual Automobile Insurance Co. v. Johnson</w:t>
      </w:r>
      <w:r w:rsidR="00771A51" w:rsidRPr="007216DA">
        <w:rPr>
          <w:rFonts w:eastAsia="Times New Roman"/>
          <w:sz w:val="24"/>
          <w:szCs w:val="24"/>
        </w:rPr>
        <w:t xml:space="preserve">, 2017 CO 68, ¶ 21, 396 P.3d 651 (citing </w:t>
      </w:r>
      <w:r w:rsidR="00771A51" w:rsidRPr="007216DA">
        <w:rPr>
          <w:rFonts w:eastAsia="Times New Roman"/>
          <w:smallCaps/>
          <w:sz w:val="24"/>
          <w:szCs w:val="24"/>
        </w:rPr>
        <w:t>Restatement (Third) of Agency</w:t>
      </w:r>
      <w:r w:rsidR="00771A51" w:rsidRPr="007216DA">
        <w:rPr>
          <w:rFonts w:eastAsia="Times New Roman"/>
          <w:sz w:val="24"/>
          <w:szCs w:val="24"/>
        </w:rPr>
        <w:t xml:space="preserve"> § 2.01 (2006)); </w:t>
      </w:r>
      <w:r w:rsidR="00771A51" w:rsidRPr="007216DA">
        <w:rPr>
          <w:rFonts w:eastAsia="Times New Roman"/>
          <w:b/>
          <w:sz w:val="24"/>
          <w:szCs w:val="24"/>
        </w:rPr>
        <w:t>Willey v. Mayer</w:t>
      </w:r>
      <w:r w:rsidR="00771A51" w:rsidRPr="007216DA">
        <w:rPr>
          <w:rFonts w:eastAsia="Times New Roman"/>
          <w:sz w:val="24"/>
          <w:szCs w:val="24"/>
        </w:rPr>
        <w:t>, 876 P.2d 1260 (Colo. 1994)</w:t>
      </w:r>
      <w:r>
        <w:rPr>
          <w:rFonts w:eastAsia="Times New Roman"/>
          <w:sz w:val="24"/>
          <w:szCs w:val="24"/>
        </w:rPr>
        <w:t xml:space="preserve">; and </w:t>
      </w:r>
      <w:r>
        <w:rPr>
          <w:rFonts w:eastAsia="Times New Roman"/>
          <w:b/>
          <w:bCs/>
          <w:sz w:val="24"/>
          <w:szCs w:val="24"/>
        </w:rPr>
        <w:t>Fresquez v. Trinidad Inn, Inc.</w:t>
      </w:r>
      <w:r>
        <w:rPr>
          <w:rFonts w:eastAsia="Times New Roman"/>
          <w:sz w:val="24"/>
          <w:szCs w:val="24"/>
        </w:rPr>
        <w:t>, 2022 COA 96, ¶¶ 18, 32, 37</w:t>
      </w:r>
      <w:r w:rsidR="0000701C">
        <w:rPr>
          <w:rFonts w:eastAsia="Times New Roman"/>
          <w:sz w:val="24"/>
          <w:szCs w:val="24"/>
        </w:rPr>
        <w:t>, 521 P.3d 399</w:t>
      </w:r>
      <w:r>
        <w:rPr>
          <w:rFonts w:eastAsia="Times New Roman"/>
          <w:sz w:val="24"/>
          <w:szCs w:val="24"/>
        </w:rPr>
        <w:t xml:space="preserve"> (</w:t>
      </w:r>
      <w:r w:rsidRPr="002F0478">
        <w:rPr>
          <w:rFonts w:eastAsia="Times New Roman"/>
          <w:sz w:val="24"/>
          <w:szCs w:val="24"/>
        </w:rPr>
        <w:t xml:space="preserve">citing </w:t>
      </w:r>
      <w:r w:rsidRPr="002F0478">
        <w:rPr>
          <w:rFonts w:eastAsia="Times New Roman"/>
          <w:smallCaps/>
          <w:sz w:val="24"/>
          <w:szCs w:val="24"/>
        </w:rPr>
        <w:t>Restatement (Third) of Agency</w:t>
      </w:r>
      <w:r w:rsidRPr="002F0478">
        <w:rPr>
          <w:rFonts w:eastAsia="Times New Roman"/>
          <w:sz w:val="24"/>
          <w:szCs w:val="24"/>
        </w:rPr>
        <w:t xml:space="preserve"> § 2.0</w:t>
      </w:r>
      <w:r>
        <w:rPr>
          <w:rFonts w:eastAsia="Times New Roman"/>
          <w:sz w:val="24"/>
          <w:szCs w:val="24"/>
        </w:rPr>
        <w:t>2</w:t>
      </w:r>
      <w:r w:rsidRPr="002F0478">
        <w:rPr>
          <w:rFonts w:eastAsia="Times New Roman"/>
          <w:sz w:val="24"/>
          <w:szCs w:val="24"/>
        </w:rPr>
        <w:t xml:space="preserve"> (2006)</w:t>
      </w:r>
      <w:r>
        <w:rPr>
          <w:rFonts w:eastAsia="Times New Roman"/>
          <w:sz w:val="24"/>
          <w:szCs w:val="24"/>
        </w:rPr>
        <w:t>)</w:t>
      </w:r>
      <w:r w:rsidR="00771A51" w:rsidRPr="007216DA">
        <w:rPr>
          <w:rFonts w:eastAsia="Times New Roman"/>
          <w:sz w:val="24"/>
          <w:szCs w:val="24"/>
        </w:rPr>
        <w:t>.</w:t>
      </w:r>
    </w:p>
    <w:p w14:paraId="3AF90C6A" w14:textId="77777777" w:rsidR="005840CD" w:rsidRDefault="005840CD" w:rsidP="005840CD">
      <w:pPr>
        <w:spacing w:after="240"/>
        <w:ind w:firstLine="720"/>
        <w:rPr>
          <w:rFonts w:eastAsia="Times New Roman"/>
          <w:sz w:val="24"/>
          <w:szCs w:val="24"/>
        </w:rPr>
      </w:pPr>
      <w:r>
        <w:rPr>
          <w:rFonts w:eastAsia="Times New Roman"/>
          <w:sz w:val="24"/>
          <w:szCs w:val="24"/>
        </w:rPr>
        <w:t xml:space="preserve">2. “Actual authority is premised on ‘a principal’s expressive conduct toward an agent, through which the principal manifests assent to be affected by the agent’s action, and the agent’s reasonable understanding of the principal’s manifestation.’” </w:t>
      </w:r>
      <w:r>
        <w:rPr>
          <w:rFonts w:eastAsia="Times New Roman"/>
          <w:b/>
          <w:bCs/>
          <w:sz w:val="24"/>
          <w:szCs w:val="24"/>
        </w:rPr>
        <w:t>Fresquez</w:t>
      </w:r>
      <w:r>
        <w:rPr>
          <w:rFonts w:eastAsia="Times New Roman"/>
          <w:sz w:val="24"/>
          <w:szCs w:val="24"/>
        </w:rPr>
        <w:t xml:space="preserve">, ¶ 18 (quoting </w:t>
      </w:r>
      <w:r w:rsidRPr="002F0478">
        <w:rPr>
          <w:rFonts w:eastAsia="Times New Roman"/>
          <w:smallCaps/>
          <w:sz w:val="24"/>
          <w:szCs w:val="24"/>
        </w:rPr>
        <w:t>Restatement (Third) of Agency</w:t>
      </w:r>
      <w:r>
        <w:rPr>
          <w:rFonts w:eastAsia="Times New Roman"/>
          <w:sz w:val="24"/>
          <w:szCs w:val="24"/>
        </w:rPr>
        <w:t xml:space="preserve">, § 2.01 cmt. c)). </w:t>
      </w:r>
    </w:p>
    <w:p w14:paraId="7F5E20E3" w14:textId="3CD7E1D9" w:rsidR="005840CD" w:rsidRDefault="005840CD" w:rsidP="005840CD">
      <w:pPr>
        <w:spacing w:after="240"/>
        <w:ind w:firstLine="720"/>
        <w:rPr>
          <w:rFonts w:eastAsia="Times New Roman"/>
          <w:i/>
          <w:iCs/>
          <w:sz w:val="24"/>
          <w:szCs w:val="24"/>
        </w:rPr>
      </w:pPr>
      <w:r>
        <w:rPr>
          <w:rFonts w:eastAsia="Times New Roman"/>
          <w:sz w:val="24"/>
          <w:szCs w:val="24"/>
        </w:rPr>
        <w:t xml:space="preserve">3. </w:t>
      </w:r>
      <w:r w:rsidRPr="003A5012">
        <w:rPr>
          <w:rFonts w:eastAsia="Times New Roman"/>
          <w:sz w:val="24"/>
          <w:szCs w:val="24"/>
        </w:rPr>
        <w:t>“The focal point for determining whether an agent acted with actual authority is the agent</w:t>
      </w:r>
      <w:r>
        <w:rPr>
          <w:rFonts w:eastAsia="Times New Roman"/>
          <w:sz w:val="24"/>
          <w:szCs w:val="24"/>
        </w:rPr>
        <w:t>’</w:t>
      </w:r>
      <w:r w:rsidRPr="003A5012">
        <w:rPr>
          <w:rFonts w:eastAsia="Times New Roman"/>
          <w:sz w:val="24"/>
          <w:szCs w:val="24"/>
        </w:rPr>
        <w:t xml:space="preserve">s reasonable understanding at the time the agent takes action.” </w:t>
      </w:r>
      <w:r>
        <w:rPr>
          <w:rFonts w:eastAsia="Times New Roman"/>
          <w:b/>
          <w:bCs/>
          <w:sz w:val="24"/>
          <w:szCs w:val="24"/>
        </w:rPr>
        <w:t>Fresquez</w:t>
      </w:r>
      <w:r>
        <w:rPr>
          <w:rFonts w:eastAsia="Times New Roman"/>
          <w:sz w:val="24"/>
          <w:szCs w:val="24"/>
        </w:rPr>
        <w:t>, ¶ 19 (quoting § 2.01 cmt. c.).</w:t>
      </w:r>
      <w:r w:rsidRPr="003A5012">
        <w:rPr>
          <w:rFonts w:eastAsia="Times New Roman"/>
          <w:sz w:val="24"/>
          <w:szCs w:val="24"/>
        </w:rPr>
        <w:t xml:space="preserve"> “An agent has actual authority to take action designated or implied in the principal</w:t>
      </w:r>
      <w:r>
        <w:rPr>
          <w:rFonts w:eastAsia="Times New Roman"/>
          <w:sz w:val="24"/>
          <w:szCs w:val="24"/>
        </w:rPr>
        <w:t>’</w:t>
      </w:r>
      <w:r w:rsidRPr="003A5012">
        <w:rPr>
          <w:rFonts w:eastAsia="Times New Roman"/>
          <w:sz w:val="24"/>
          <w:szCs w:val="24"/>
        </w:rPr>
        <w:t>s manifestations to the agent and acts necessary or incidental to achieving the principal</w:t>
      </w:r>
      <w:r>
        <w:rPr>
          <w:rFonts w:eastAsia="Times New Roman"/>
          <w:sz w:val="24"/>
          <w:szCs w:val="24"/>
        </w:rPr>
        <w:t>’</w:t>
      </w:r>
      <w:r w:rsidRPr="003A5012">
        <w:rPr>
          <w:rFonts w:eastAsia="Times New Roman"/>
          <w:sz w:val="24"/>
          <w:szCs w:val="24"/>
        </w:rPr>
        <w:t>s objectives, as the agent reasonably understands the principal</w:t>
      </w:r>
      <w:r>
        <w:rPr>
          <w:rFonts w:eastAsia="Times New Roman"/>
          <w:sz w:val="24"/>
          <w:szCs w:val="24"/>
        </w:rPr>
        <w:t>’</w:t>
      </w:r>
      <w:r w:rsidRPr="003A5012">
        <w:rPr>
          <w:rFonts w:eastAsia="Times New Roman"/>
          <w:sz w:val="24"/>
          <w:szCs w:val="24"/>
        </w:rPr>
        <w:t xml:space="preserve">s manifestations and objectives when the agent determines how to act.” </w:t>
      </w:r>
      <w:r w:rsidRPr="00F34203">
        <w:rPr>
          <w:rFonts w:eastAsia="Times New Roman"/>
          <w:i/>
          <w:iCs/>
          <w:sz w:val="24"/>
          <w:szCs w:val="24"/>
        </w:rPr>
        <w:t>Id</w:t>
      </w:r>
      <w:r w:rsidRPr="00DA3154">
        <w:rPr>
          <w:rFonts w:eastAsia="Times New Roman"/>
          <w:i/>
          <w:sz w:val="24"/>
          <w:szCs w:val="24"/>
        </w:rPr>
        <w:t>.</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2.02(1)</w:t>
      </w:r>
      <w:r>
        <w:rPr>
          <w:rFonts w:eastAsia="Times New Roman"/>
          <w:sz w:val="24"/>
          <w:szCs w:val="24"/>
        </w:rPr>
        <w:t>)</w:t>
      </w:r>
      <w:r w:rsidRPr="003A5012">
        <w:rPr>
          <w:rFonts w:eastAsia="Times New Roman"/>
          <w:sz w:val="24"/>
          <w:szCs w:val="24"/>
        </w:rPr>
        <w:t>. “The context in which principal and agent interact, including the nature of the principal</w:t>
      </w:r>
      <w:r>
        <w:rPr>
          <w:rFonts w:eastAsia="Times New Roman"/>
          <w:sz w:val="24"/>
          <w:szCs w:val="24"/>
        </w:rPr>
        <w:t>’</w:t>
      </w:r>
      <w:r w:rsidRPr="003A5012">
        <w:rPr>
          <w:rFonts w:eastAsia="Times New Roman"/>
          <w:sz w:val="24"/>
          <w:szCs w:val="24"/>
        </w:rPr>
        <w:t>s</w:t>
      </w:r>
      <w:r>
        <w:rPr>
          <w:rFonts w:eastAsia="Times New Roman"/>
          <w:sz w:val="24"/>
          <w:szCs w:val="24"/>
        </w:rPr>
        <w:t xml:space="preserve"> . . .</w:t>
      </w:r>
      <w:r w:rsidRPr="003A5012">
        <w:rPr>
          <w:rFonts w:eastAsia="Times New Roman"/>
          <w:sz w:val="24"/>
          <w:szCs w:val="24"/>
        </w:rPr>
        <w:t xml:space="preserve"> personal situation, frames the reasonableness of an agent</w:t>
      </w:r>
      <w:r>
        <w:rPr>
          <w:rFonts w:eastAsia="Times New Roman"/>
          <w:sz w:val="24"/>
          <w:szCs w:val="24"/>
        </w:rPr>
        <w:t>’</w:t>
      </w:r>
      <w:r w:rsidRPr="003A5012">
        <w:rPr>
          <w:rFonts w:eastAsia="Times New Roman"/>
          <w:sz w:val="24"/>
          <w:szCs w:val="24"/>
        </w:rPr>
        <w:t>s understanding of the principal</w:t>
      </w:r>
      <w:r>
        <w:rPr>
          <w:rFonts w:eastAsia="Times New Roman"/>
          <w:sz w:val="24"/>
          <w:szCs w:val="24"/>
        </w:rPr>
        <w:t>’</w:t>
      </w:r>
      <w:r w:rsidRPr="003A5012">
        <w:rPr>
          <w:rFonts w:eastAsia="Times New Roman"/>
          <w:sz w:val="24"/>
          <w:szCs w:val="24"/>
        </w:rPr>
        <w:t xml:space="preserve">s objectives.” </w:t>
      </w:r>
      <w:r w:rsidRPr="00F34203">
        <w:rPr>
          <w:rFonts w:eastAsia="Times New Roman"/>
          <w:i/>
          <w:iCs/>
          <w:sz w:val="24"/>
          <w:szCs w:val="24"/>
        </w:rPr>
        <w:t>Id</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2.02 cmt. e</w:t>
      </w:r>
      <w:r>
        <w:rPr>
          <w:rFonts w:eastAsia="Times New Roman"/>
          <w:sz w:val="24"/>
          <w:szCs w:val="24"/>
        </w:rPr>
        <w:t>)</w:t>
      </w:r>
      <w:r w:rsidRPr="003A5012">
        <w:rPr>
          <w:rFonts w:eastAsia="Times New Roman"/>
          <w:sz w:val="24"/>
          <w:szCs w:val="24"/>
        </w:rPr>
        <w:t>. “An agent</w:t>
      </w:r>
      <w:r>
        <w:rPr>
          <w:rFonts w:eastAsia="Times New Roman"/>
          <w:sz w:val="24"/>
          <w:szCs w:val="24"/>
        </w:rPr>
        <w:t>’</w:t>
      </w:r>
      <w:r w:rsidRPr="003A5012">
        <w:rPr>
          <w:rFonts w:eastAsia="Times New Roman"/>
          <w:sz w:val="24"/>
          <w:szCs w:val="24"/>
        </w:rPr>
        <w:t xml:space="preserve">s actual authority encompasses acts necessary to accomplish the end the principal has directed that the agent achieve.” </w:t>
      </w:r>
      <w:r w:rsidRPr="00F34203">
        <w:rPr>
          <w:rFonts w:eastAsia="Times New Roman"/>
          <w:i/>
          <w:iCs/>
          <w:sz w:val="24"/>
          <w:szCs w:val="24"/>
        </w:rPr>
        <w:t>Id.</w:t>
      </w:r>
    </w:p>
    <w:p w14:paraId="59209142" w14:textId="66CDAF1B" w:rsidR="005840CD" w:rsidRPr="002D4CF1" w:rsidRDefault="005840CD" w:rsidP="005840CD">
      <w:pPr>
        <w:spacing w:after="240"/>
        <w:ind w:firstLine="720"/>
        <w:rPr>
          <w:rFonts w:eastAsia="Times New Roman"/>
          <w:sz w:val="24"/>
          <w:szCs w:val="24"/>
        </w:rPr>
      </w:pPr>
      <w:r>
        <w:rPr>
          <w:rFonts w:eastAsia="Times New Roman"/>
          <w:sz w:val="24"/>
          <w:szCs w:val="24"/>
        </w:rPr>
        <w:lastRenderedPageBreak/>
        <w:t xml:space="preserve">4. Actual authority incorporates concepts of express and implied authority. </w:t>
      </w:r>
      <w:r>
        <w:rPr>
          <w:rFonts w:eastAsia="Times New Roman"/>
          <w:b/>
          <w:bCs/>
          <w:sz w:val="24"/>
          <w:szCs w:val="24"/>
        </w:rPr>
        <w:t>State Farm</w:t>
      </w:r>
      <w:r>
        <w:rPr>
          <w:rFonts w:eastAsia="Times New Roman"/>
          <w:sz w:val="24"/>
          <w:szCs w:val="24"/>
        </w:rPr>
        <w:t>, ¶ 21, 39</w:t>
      </w:r>
      <w:r w:rsidR="00687633">
        <w:rPr>
          <w:rFonts w:eastAsia="Times New Roman"/>
          <w:sz w:val="24"/>
          <w:szCs w:val="24"/>
        </w:rPr>
        <w:t>6</w:t>
      </w:r>
      <w:r>
        <w:rPr>
          <w:rFonts w:eastAsia="Times New Roman"/>
          <w:sz w:val="24"/>
          <w:szCs w:val="24"/>
        </w:rPr>
        <w:t xml:space="preserve"> P.</w:t>
      </w:r>
      <w:r w:rsidR="00687633">
        <w:rPr>
          <w:rFonts w:eastAsia="Times New Roman"/>
          <w:sz w:val="24"/>
          <w:szCs w:val="24"/>
        </w:rPr>
        <w:t>3</w:t>
      </w:r>
      <w:r>
        <w:rPr>
          <w:rFonts w:eastAsia="Times New Roman"/>
          <w:sz w:val="24"/>
          <w:szCs w:val="24"/>
        </w:rPr>
        <w:t xml:space="preserve">d at 656; </w:t>
      </w:r>
      <w:r>
        <w:rPr>
          <w:rFonts w:eastAsia="Times New Roman"/>
          <w:b/>
          <w:bCs/>
          <w:sz w:val="24"/>
          <w:szCs w:val="24"/>
        </w:rPr>
        <w:t>Willey</w:t>
      </w:r>
      <w:r>
        <w:rPr>
          <w:rFonts w:eastAsia="Times New Roman"/>
          <w:sz w:val="24"/>
          <w:szCs w:val="24"/>
        </w:rPr>
        <w:t>, 876 P.2d at 1264;</w:t>
      </w:r>
      <w:r>
        <w:rPr>
          <w:rFonts w:eastAsia="Times New Roman"/>
          <w:b/>
          <w:bCs/>
          <w:sz w:val="24"/>
          <w:szCs w:val="24"/>
        </w:rPr>
        <w:t xml:space="preserve"> Fresquez</w:t>
      </w:r>
      <w:r>
        <w:rPr>
          <w:rFonts w:eastAsia="Times New Roman"/>
          <w:sz w:val="24"/>
          <w:szCs w:val="24"/>
        </w:rPr>
        <w:t>, ¶ 21.</w:t>
      </w:r>
    </w:p>
    <w:p w14:paraId="2B59E94B" w14:textId="7BC388FB" w:rsidR="00687633" w:rsidRDefault="005840CD" w:rsidP="005840CD">
      <w:pPr>
        <w:spacing w:after="240"/>
        <w:ind w:firstLine="720"/>
        <w:rPr>
          <w:rFonts w:eastAsia="Times New Roman"/>
          <w:sz w:val="24"/>
          <w:szCs w:val="24"/>
        </w:rPr>
      </w:pPr>
      <w:r>
        <w:rPr>
          <w:rFonts w:eastAsia="Times New Roman"/>
          <w:sz w:val="24"/>
          <w:szCs w:val="24"/>
        </w:rPr>
        <w:t xml:space="preserve">5. Whether an agent has actual authority to execute a document on the principal’s behalf requires both an objective and subjective inquiry: the agent must subjectively believe </w:t>
      </w:r>
      <w:r w:rsidR="003B2BAE">
        <w:rPr>
          <w:rFonts w:eastAsia="Times New Roman"/>
          <w:sz w:val="24"/>
          <w:szCs w:val="24"/>
        </w:rPr>
        <w:t>the agent</w:t>
      </w:r>
      <w:r>
        <w:rPr>
          <w:rFonts w:eastAsia="Times New Roman"/>
          <w:sz w:val="24"/>
          <w:szCs w:val="24"/>
        </w:rPr>
        <w:t xml:space="preserve"> possess</w:t>
      </w:r>
      <w:r w:rsidR="003B2BAE">
        <w:rPr>
          <w:rFonts w:eastAsia="Times New Roman"/>
          <w:sz w:val="24"/>
          <w:szCs w:val="24"/>
        </w:rPr>
        <w:t>es</w:t>
      </w:r>
      <w:r>
        <w:rPr>
          <w:rFonts w:eastAsia="Times New Roman"/>
          <w:sz w:val="24"/>
          <w:szCs w:val="24"/>
        </w:rPr>
        <w:t xml:space="preserve"> authority, and that belief must be objectively reasonable in light of the principal’s actions. </w:t>
      </w:r>
      <w:r>
        <w:rPr>
          <w:rFonts w:eastAsia="Times New Roman"/>
          <w:b/>
          <w:bCs/>
          <w:sz w:val="24"/>
          <w:szCs w:val="24"/>
        </w:rPr>
        <w:t xml:space="preserve">Fresquez, </w:t>
      </w:r>
      <w:r>
        <w:rPr>
          <w:rFonts w:eastAsia="Times New Roman"/>
          <w:sz w:val="24"/>
          <w:szCs w:val="24"/>
        </w:rPr>
        <w:t xml:space="preserve">¶ 20 (citing § 2.02, cmt. e). </w:t>
      </w:r>
    </w:p>
    <w:p w14:paraId="5171874A" w14:textId="7C31015F" w:rsidR="005840CD" w:rsidRPr="00432092" w:rsidRDefault="005840CD" w:rsidP="005840CD">
      <w:pPr>
        <w:spacing w:after="240"/>
        <w:ind w:firstLine="720"/>
        <w:rPr>
          <w:rFonts w:eastAsia="Times New Roman"/>
          <w:sz w:val="24"/>
          <w:szCs w:val="24"/>
        </w:rPr>
      </w:pPr>
      <w:r>
        <w:rPr>
          <w:rFonts w:eastAsia="Times New Roman"/>
          <w:sz w:val="24"/>
          <w:szCs w:val="24"/>
        </w:rPr>
        <w:t xml:space="preserve">6. An agent has a duty to take action only within the scope of the agent’s actual authority. </w:t>
      </w:r>
      <w:r>
        <w:rPr>
          <w:rFonts w:eastAsia="Times New Roman"/>
          <w:b/>
          <w:bCs/>
          <w:sz w:val="24"/>
          <w:szCs w:val="24"/>
        </w:rPr>
        <w:t>Fresquez</w:t>
      </w:r>
      <w:r>
        <w:rPr>
          <w:rFonts w:eastAsia="Times New Roman"/>
          <w:sz w:val="24"/>
          <w:szCs w:val="24"/>
        </w:rPr>
        <w:t xml:space="preserve">, ¶ 37 (citing </w:t>
      </w:r>
      <w:r w:rsidRPr="0096412F">
        <w:rPr>
          <w:rFonts w:eastAsia="Times New Roman"/>
          <w:smallCaps/>
          <w:sz w:val="24"/>
          <w:szCs w:val="24"/>
        </w:rPr>
        <w:t>Restatement (Third) of Agency</w:t>
      </w:r>
      <w:r>
        <w:rPr>
          <w:rFonts w:eastAsia="Times New Roman"/>
          <w:sz w:val="24"/>
          <w:szCs w:val="24"/>
        </w:rPr>
        <w:t xml:space="preserve"> § 8.09 &amp; cmt. b). </w:t>
      </w:r>
    </w:p>
    <w:p w14:paraId="43620388" w14:textId="77777777" w:rsidR="005840CD" w:rsidRDefault="005840CD" w:rsidP="00E01A1E">
      <w:pPr>
        <w:spacing w:after="240"/>
        <w:ind w:firstLine="720"/>
        <w:rPr>
          <w:rFonts w:eastAsia="Times New Roman"/>
          <w:sz w:val="24"/>
          <w:szCs w:val="24"/>
        </w:rPr>
      </w:pPr>
    </w:p>
    <w:p w14:paraId="6C7C2A1F" w14:textId="77777777" w:rsidR="00E01A1E" w:rsidRDefault="00771A51">
      <w:pPr>
        <w:rPr>
          <w:rFonts w:eastAsia="Times New Roman"/>
          <w:sz w:val="24"/>
          <w:szCs w:val="24"/>
        </w:rPr>
      </w:pPr>
      <w:r>
        <w:rPr>
          <w:rFonts w:eastAsia="Times New Roman"/>
          <w:sz w:val="24"/>
          <w:szCs w:val="24"/>
        </w:rPr>
        <w:br w:type="page"/>
      </w:r>
    </w:p>
    <w:p w14:paraId="7268C598" w14:textId="7F0E930B" w:rsidR="00E01A1E" w:rsidRPr="009E3DA4" w:rsidRDefault="00771A51" w:rsidP="00E01A1E">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r w:rsidR="002F72BA">
        <w:rPr>
          <w:rFonts w:eastAsia="Times New Roman"/>
          <w:b/>
          <w:sz w:val="24"/>
          <w:szCs w:val="24"/>
        </w:rPr>
        <w:t xml:space="preserve"> </w:t>
      </w:r>
      <w:r w:rsidR="009231F0" w:rsidRPr="005F1017">
        <w:rPr>
          <w:rFonts w:eastAsia="Times New Roman"/>
          <w:b/>
          <w:sz w:val="24"/>
          <w:szCs w:val="24"/>
        </w:rPr>
        <w:t>—</w:t>
      </w:r>
      <w:r w:rsidR="002F72BA">
        <w:rPr>
          <w:rFonts w:eastAsia="Times New Roman"/>
          <w:b/>
          <w:sz w:val="24"/>
          <w:szCs w:val="24"/>
        </w:rPr>
        <w:t xml:space="preserve"> DEFINED</w:t>
      </w:r>
    </w:p>
    <w:p w14:paraId="38714C6F" w14:textId="77777777" w:rsidR="00E01A1E" w:rsidRPr="006B2457" w:rsidRDefault="00771A51" w:rsidP="00E01A1E">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6D8E0DAC" w14:textId="77777777" w:rsidR="00E01A1E" w:rsidRDefault="00E01A1E" w:rsidP="00E01A1E">
      <w:pPr>
        <w:jc w:val="center"/>
        <w:rPr>
          <w:rFonts w:eastAsia="Times New Roman"/>
          <w:sz w:val="24"/>
          <w:szCs w:val="24"/>
        </w:rPr>
      </w:pPr>
    </w:p>
    <w:p w14:paraId="7DAF6708"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D109F4F" w14:textId="77777777"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11BC67DA"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03E8DAFC" w14:textId="744266FA"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w:t>
      </w:r>
      <w:r w:rsidRPr="006B2457">
        <w:rPr>
          <w:rFonts w:eastAsia="Times New Roman"/>
          <w:b/>
          <w:sz w:val="24"/>
          <w:szCs w:val="24"/>
        </w:rPr>
        <w:t>Willey v. Mayer</w:t>
      </w:r>
      <w:r>
        <w:rPr>
          <w:rFonts w:eastAsia="Times New Roman"/>
          <w:sz w:val="24"/>
          <w:szCs w:val="24"/>
        </w:rPr>
        <w:t>, 876 P.2d 1260 (Colo. 1994)</w:t>
      </w:r>
      <w:r w:rsidR="005B6EF1">
        <w:rPr>
          <w:rFonts w:eastAsia="Times New Roman"/>
          <w:sz w:val="24"/>
          <w:szCs w:val="24"/>
        </w:rPr>
        <w:t xml:space="preserve">; and </w:t>
      </w:r>
      <w:r w:rsidR="005B6EF1">
        <w:rPr>
          <w:rFonts w:eastAsia="Times New Roman"/>
          <w:b/>
          <w:bCs/>
          <w:sz w:val="24"/>
          <w:szCs w:val="24"/>
        </w:rPr>
        <w:t>Fresquez v. Trinidad Inn, Inc.</w:t>
      </w:r>
      <w:r w:rsidR="005B6EF1">
        <w:rPr>
          <w:rFonts w:eastAsia="Times New Roman"/>
          <w:sz w:val="24"/>
          <w:szCs w:val="24"/>
        </w:rPr>
        <w:t>, 2022 COA 96, ¶ 21</w:t>
      </w:r>
      <w:r w:rsidR="0000701C">
        <w:rPr>
          <w:rFonts w:eastAsia="Times New Roman"/>
          <w:sz w:val="24"/>
          <w:szCs w:val="24"/>
        </w:rPr>
        <w:t>, 521 P.3d 399</w:t>
      </w:r>
      <w:r>
        <w:rPr>
          <w:rFonts w:eastAsia="Times New Roman"/>
          <w:sz w:val="24"/>
          <w:szCs w:val="24"/>
        </w:rPr>
        <w:t>.</w:t>
      </w:r>
    </w:p>
    <w:p w14:paraId="17259F49" w14:textId="77777777" w:rsidR="00E01A1E" w:rsidRDefault="00771A51">
      <w:pPr>
        <w:rPr>
          <w:rFonts w:eastAsia="Times New Roman"/>
          <w:sz w:val="24"/>
          <w:szCs w:val="24"/>
        </w:rPr>
      </w:pPr>
      <w:r>
        <w:rPr>
          <w:rFonts w:eastAsia="Times New Roman"/>
          <w:sz w:val="24"/>
          <w:szCs w:val="24"/>
        </w:rPr>
        <w:br w:type="page"/>
      </w:r>
    </w:p>
    <w:p w14:paraId="195C6DAB" w14:textId="77777777" w:rsidR="00E01A1E" w:rsidRPr="009E3DA4" w:rsidRDefault="00771A51" w:rsidP="00E01A1E">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09E7EACD" w14:textId="79319030" w:rsidR="00E01A1E" w:rsidRPr="005F1017" w:rsidRDefault="00771A51" w:rsidP="00E01A1E">
      <w:pPr>
        <w:spacing w:after="240"/>
        <w:ind w:firstLine="720"/>
        <w:rPr>
          <w:rFonts w:eastAsia="Times New Roman"/>
          <w:b/>
          <w:sz w:val="24"/>
          <w:szCs w:val="24"/>
        </w:rPr>
      </w:pPr>
      <w:r w:rsidRPr="005F1017">
        <w:rPr>
          <w:rFonts w:eastAsia="Times New Roman"/>
          <w:b/>
          <w:sz w:val="24"/>
          <w:szCs w:val="24"/>
        </w:rPr>
        <w:t xml:space="preserve">In addition to any express authority given by a principal to an agent, an agent has the incidental authority to do those acts that </w:t>
      </w:r>
      <w:r w:rsidR="00107FE8">
        <w:rPr>
          <w:rFonts w:eastAsia="Times New Roman"/>
          <w:b/>
          <w:sz w:val="24"/>
          <w:szCs w:val="24"/>
        </w:rPr>
        <w:t>are necessary, usual, and proper</w:t>
      </w:r>
      <w:r w:rsidRPr="005F1017">
        <w:rPr>
          <w:rFonts w:eastAsia="Times New Roman"/>
          <w:b/>
          <w:sz w:val="24"/>
          <w:szCs w:val="24"/>
        </w:rPr>
        <w:t xml:space="preserve"> to accomplish the express authority.</w:t>
      </w:r>
    </w:p>
    <w:p w14:paraId="21277E5C" w14:textId="77777777" w:rsidR="00E01A1E" w:rsidRDefault="00E01A1E" w:rsidP="00E01A1E">
      <w:pPr>
        <w:jc w:val="center"/>
        <w:rPr>
          <w:rFonts w:eastAsia="Times New Roman"/>
          <w:sz w:val="24"/>
          <w:szCs w:val="24"/>
        </w:rPr>
      </w:pPr>
    </w:p>
    <w:p w14:paraId="032758A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7FDDBA" w14:textId="77777777" w:rsidR="00E01A1E" w:rsidRDefault="00771A51" w:rsidP="00E01A1E">
      <w:pPr>
        <w:spacing w:after="240"/>
        <w:ind w:firstLine="720"/>
        <w:rPr>
          <w:rFonts w:eastAsia="Times New Roman"/>
          <w:sz w:val="24"/>
          <w:szCs w:val="24"/>
        </w:rPr>
      </w:pPr>
      <w:r>
        <w:rPr>
          <w:rFonts w:eastAsia="Times New Roman"/>
          <w:sz w:val="24"/>
          <w:szCs w:val="24"/>
        </w:rPr>
        <w:t xml:space="preserve">1. </w:t>
      </w:r>
      <w:r w:rsidRPr="005F1017">
        <w:rPr>
          <w:rFonts w:eastAsia="Times New Roman"/>
          <w:sz w:val="24"/>
          <w:szCs w:val="24"/>
        </w:rPr>
        <w:t>When applicable, this instruction should be used with Instructions 8:9 and 8:11.</w:t>
      </w:r>
    </w:p>
    <w:p w14:paraId="1F69D5C2" w14:textId="77777777" w:rsidR="00E01A1E" w:rsidRPr="005F1017" w:rsidRDefault="00771A51" w:rsidP="00E01A1E">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r w:rsidRPr="00C87463">
        <w:rPr>
          <w:rFonts w:eastAsia="Times New Roman"/>
          <w:smallCaps/>
          <w:sz w:val="24"/>
          <w:szCs w:val="24"/>
        </w:rPr>
        <w:t>Restatement (Second) of Agency</w:t>
      </w:r>
      <w:r w:rsidRPr="005F1017">
        <w:rPr>
          <w:rFonts w:eastAsia="Times New Roman"/>
          <w:sz w:val="24"/>
          <w:szCs w:val="24"/>
        </w:rPr>
        <w:t xml:space="preserve"> § 35 (1958).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Indem. 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cmt. g (2006) (stating that a “principal may direct an agent to do or refrain from doing a specific act”).</w:t>
      </w:r>
    </w:p>
    <w:p w14:paraId="3A3A2BE6"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64B2E7C6" w14:textId="77777777" w:rsidR="00E01A1E" w:rsidRPr="005F1017" w:rsidRDefault="00771A51" w:rsidP="00E01A1E">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State Farm Mut. Auto. 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Indem.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at 10</w:t>
      </w:r>
      <w:r w:rsidRPr="005F1017">
        <w:rPr>
          <w:rFonts w:eastAsia="Times New Roman"/>
          <w:sz w:val="24"/>
          <w:szCs w:val="24"/>
        </w:rPr>
        <w:t xml:space="preserve">2, 39 P.2d </w:t>
      </w:r>
      <w:r>
        <w:rPr>
          <w:rFonts w:eastAsia="Times New Roman"/>
          <w:sz w:val="24"/>
          <w:szCs w:val="24"/>
        </w:rPr>
        <w:t xml:space="preserve">at </w:t>
      </w:r>
      <w:r w:rsidRPr="005F1017">
        <w:rPr>
          <w:rFonts w:eastAsia="Times New Roman"/>
          <w:sz w:val="24"/>
          <w:szCs w:val="24"/>
        </w:rPr>
        <w:t>78</w:t>
      </w:r>
      <w:r>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cmt.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3E72933C" w14:textId="77777777" w:rsidR="00E01A1E" w:rsidRPr="005F1017" w:rsidRDefault="00771A51" w:rsidP="00E01A1E">
      <w:pPr>
        <w:spacing w:after="240"/>
        <w:ind w:firstLine="720"/>
        <w:rPr>
          <w:rFonts w:eastAsia="Times New Roman"/>
          <w:sz w:val="24"/>
          <w:szCs w:val="24"/>
        </w:rPr>
      </w:pPr>
      <w:r>
        <w:rPr>
          <w:rFonts w:eastAsia="Times New Roman"/>
          <w:sz w:val="24"/>
          <w:szCs w:val="24"/>
        </w:rPr>
        <w:t>2</w:t>
      </w:r>
      <w:r w:rsidRPr="005F1017">
        <w:rPr>
          <w:rFonts w:eastAsia="Times New Roman"/>
          <w:sz w:val="24"/>
          <w:szCs w:val="24"/>
        </w:rPr>
        <w:t xml:space="preserve">. The Third Restatement provides that an agent’s interpretation of the principal’s manifestations must be reasonable. </w:t>
      </w:r>
      <w:r w:rsidRPr="00C87463">
        <w:rPr>
          <w:rFonts w:eastAsia="Times New Roman"/>
          <w:smallCaps/>
          <w:sz w:val="24"/>
          <w:szCs w:val="24"/>
        </w:rPr>
        <w:t>Restatement (Third) of Agency</w:t>
      </w:r>
      <w:r w:rsidRPr="005F1017">
        <w:rPr>
          <w:rFonts w:eastAsia="Times New Roman"/>
          <w:sz w:val="24"/>
          <w:szCs w:val="24"/>
        </w:rPr>
        <w:t xml:space="preserve"> § 2.02(2), (3) (2006).</w:t>
      </w:r>
    </w:p>
    <w:p w14:paraId="4C874BBF" w14:textId="77777777" w:rsidR="00E01A1E" w:rsidRDefault="00771A51">
      <w:pPr>
        <w:rPr>
          <w:rFonts w:eastAsia="Times New Roman"/>
          <w:sz w:val="24"/>
          <w:szCs w:val="24"/>
        </w:rPr>
      </w:pPr>
      <w:r>
        <w:rPr>
          <w:rFonts w:eastAsia="Times New Roman"/>
          <w:sz w:val="24"/>
          <w:szCs w:val="24"/>
        </w:rPr>
        <w:br w:type="page"/>
      </w:r>
    </w:p>
    <w:p w14:paraId="7D71CE40" w14:textId="77777777" w:rsidR="00E01A1E" w:rsidRPr="009E3DA4" w:rsidRDefault="00771A51" w:rsidP="00E01A1E">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120274B9" w14:textId="77777777"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0344A046" w14:textId="19DA4450"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(1. </w:t>
      </w:r>
      <w:r>
        <w:rPr>
          <w:rFonts w:eastAsia="Times New Roman"/>
          <w:b/>
          <w:sz w:val="24"/>
          <w:szCs w:val="24"/>
        </w:rPr>
        <w:t>O</w:t>
      </w:r>
      <w:r w:rsidRPr="00647CC5">
        <w:rPr>
          <w:rFonts w:eastAsia="Times New Roman"/>
          <w:b/>
          <w:sz w:val="24"/>
          <w:szCs w:val="24"/>
        </w:rPr>
        <w:t xml:space="preserve">n behalf of </w:t>
      </w:r>
      <w:r w:rsidR="003E686C" w:rsidRPr="003E686C">
        <w:rPr>
          <w:rFonts w:eastAsia="Times New Roman"/>
          <w:bCs/>
          <w:i/>
          <w:iCs/>
          <w:sz w:val="24"/>
          <w:szCs w:val="24"/>
        </w:rPr>
        <w:t>(insert applicable pronoun)</w:t>
      </w:r>
      <w:r w:rsidR="004C41DD">
        <w:rPr>
          <w:rFonts w:eastAsia="Times New Roman"/>
          <w:b/>
          <w:sz w:val="24"/>
          <w:szCs w:val="24"/>
        </w:rPr>
        <w:t xml:space="preserve"> </w:t>
      </w:r>
      <w:r w:rsidRPr="00647CC5">
        <w:rPr>
          <w:rFonts w:eastAsia="Times New Roman"/>
          <w:b/>
          <w:sz w:val="24"/>
          <w:szCs w:val="24"/>
        </w:rPr>
        <w:t>principal that are customary in the trade or business involved, if the principal knew or should have known of such practices;) (and)</w:t>
      </w:r>
      <w:r w:rsidR="00A77123">
        <w:rPr>
          <w:rFonts w:eastAsia="Times New Roman"/>
          <w:b/>
          <w:sz w:val="24"/>
          <w:szCs w:val="24"/>
        </w:rPr>
        <w:t xml:space="preserve"> (or)</w:t>
      </w:r>
    </w:p>
    <w:p w14:paraId="7AC54058" w14:textId="5D6A2490" w:rsidR="00E01A1E" w:rsidRDefault="00771A51" w:rsidP="00E01A1E">
      <w:pPr>
        <w:spacing w:after="240"/>
        <w:ind w:firstLine="720"/>
        <w:rPr>
          <w:rFonts w:eastAsia="Times New Roman"/>
          <w:b/>
          <w:sz w:val="24"/>
          <w:szCs w:val="24"/>
        </w:rPr>
      </w:pPr>
      <w:r w:rsidRPr="00647CC5">
        <w:rPr>
          <w:rFonts w:eastAsia="Times New Roman"/>
          <w:b/>
          <w:sz w:val="24"/>
          <w:szCs w:val="24"/>
        </w:rPr>
        <w:t xml:space="preserve">(2. </w:t>
      </w:r>
      <w:r>
        <w:rPr>
          <w:rFonts w:eastAsia="Times New Roman"/>
          <w:b/>
          <w:sz w:val="24"/>
          <w:szCs w:val="24"/>
        </w:rPr>
        <w:t>T</w:t>
      </w:r>
      <w:r w:rsidRPr="00647CC5">
        <w:rPr>
          <w:rFonts w:eastAsia="Times New Roman"/>
          <w:b/>
          <w:sz w:val="24"/>
          <w:szCs w:val="24"/>
        </w:rPr>
        <w:t xml:space="preserve">hat the agent had taken before on behalf of </w:t>
      </w:r>
      <w:r w:rsidR="003E686C" w:rsidRPr="003E686C">
        <w:rPr>
          <w:rFonts w:eastAsia="Times New Roman"/>
          <w:bCs/>
          <w:i/>
          <w:iCs/>
          <w:sz w:val="24"/>
          <w:szCs w:val="24"/>
        </w:rPr>
        <w:t>(insert applicable pronoun)</w:t>
      </w:r>
      <w:r w:rsidRPr="00647CC5">
        <w:rPr>
          <w:rFonts w:eastAsia="Times New Roman"/>
          <w:b/>
          <w:sz w:val="24"/>
          <w:szCs w:val="24"/>
        </w:rPr>
        <w:t xml:space="preserve"> principal that the principal knew of and by </w:t>
      </w:r>
      <w:r w:rsidR="003E686C" w:rsidRPr="003E686C">
        <w:rPr>
          <w:rFonts w:eastAsia="Times New Roman"/>
          <w:bCs/>
          <w:i/>
          <w:iCs/>
          <w:sz w:val="24"/>
          <w:szCs w:val="24"/>
        </w:rPr>
        <w:t>(insert applicable pronoun)</w:t>
      </w:r>
      <w:r w:rsidRPr="00647CC5">
        <w:rPr>
          <w:rFonts w:eastAsia="Times New Roman"/>
          <w:b/>
          <w:sz w:val="24"/>
          <w:szCs w:val="24"/>
        </w:rPr>
        <w:t xml:space="preserve"> conduct or lack of conduct impliedly approved</w:t>
      </w:r>
      <w:r w:rsidR="00487FF9">
        <w:rPr>
          <w:rFonts w:eastAsia="Times New Roman"/>
          <w:b/>
          <w:sz w:val="24"/>
          <w:szCs w:val="24"/>
        </w:rPr>
        <w:t>;</w:t>
      </w:r>
      <w:r>
        <w:rPr>
          <w:rFonts w:eastAsia="Times New Roman"/>
          <w:b/>
          <w:sz w:val="24"/>
          <w:szCs w:val="24"/>
        </w:rPr>
        <w:t>)</w:t>
      </w:r>
      <w:r w:rsidR="00487FF9">
        <w:rPr>
          <w:rFonts w:eastAsia="Times New Roman"/>
          <w:b/>
          <w:sz w:val="24"/>
          <w:szCs w:val="24"/>
        </w:rPr>
        <w:t xml:space="preserve"> </w:t>
      </w:r>
      <w:r w:rsidR="00A77123">
        <w:rPr>
          <w:rFonts w:eastAsia="Times New Roman"/>
          <w:b/>
          <w:sz w:val="24"/>
          <w:szCs w:val="24"/>
        </w:rPr>
        <w:t>(and) (or)</w:t>
      </w:r>
    </w:p>
    <w:p w14:paraId="35F22EF7" w14:textId="767A81F2" w:rsidR="004C41DD" w:rsidRPr="00647CC5" w:rsidRDefault="004C41DD" w:rsidP="00E01A1E">
      <w:pPr>
        <w:spacing w:after="240"/>
        <w:ind w:firstLine="720"/>
        <w:rPr>
          <w:rFonts w:eastAsia="Times New Roman"/>
          <w:b/>
          <w:sz w:val="24"/>
          <w:szCs w:val="24"/>
        </w:rPr>
      </w:pPr>
      <w:r>
        <w:rPr>
          <w:rFonts w:eastAsia="Times New Roman"/>
          <w:b/>
          <w:sz w:val="24"/>
          <w:szCs w:val="24"/>
        </w:rPr>
        <w:t xml:space="preserve">(3. That the </w:t>
      </w:r>
      <w:r w:rsidRPr="005F1017">
        <w:rPr>
          <w:rFonts w:eastAsia="Times New Roman"/>
          <w:b/>
          <w:sz w:val="24"/>
          <w:szCs w:val="24"/>
        </w:rPr>
        <w:t>agent ha</w:t>
      </w:r>
      <w:r>
        <w:rPr>
          <w:rFonts w:eastAsia="Times New Roman"/>
          <w:b/>
          <w:sz w:val="24"/>
          <w:szCs w:val="24"/>
        </w:rPr>
        <w:t>d</w:t>
      </w:r>
      <w:r w:rsidRPr="005F1017">
        <w:rPr>
          <w:rFonts w:eastAsia="Times New Roman"/>
          <w:b/>
          <w:sz w:val="24"/>
          <w:szCs w:val="24"/>
        </w:rPr>
        <w:t xml:space="preserve"> the incidental authority </w:t>
      </w:r>
      <w:r>
        <w:rPr>
          <w:rFonts w:eastAsia="Times New Roman"/>
          <w:b/>
          <w:sz w:val="24"/>
          <w:szCs w:val="24"/>
        </w:rPr>
        <w:t>to perform on the principal’s behalf</w:t>
      </w:r>
      <w:r w:rsidRPr="005F1017">
        <w:rPr>
          <w:rFonts w:eastAsia="Times New Roman"/>
          <w:b/>
          <w:sz w:val="24"/>
          <w:szCs w:val="24"/>
        </w:rPr>
        <w:t>.</w:t>
      </w:r>
      <w:r>
        <w:rPr>
          <w:rFonts w:eastAsia="Times New Roman"/>
          <w:b/>
          <w:sz w:val="24"/>
          <w:szCs w:val="24"/>
        </w:rPr>
        <w:t>)</w:t>
      </w:r>
    </w:p>
    <w:p w14:paraId="7C426288" w14:textId="77777777" w:rsidR="00E01A1E" w:rsidRDefault="00E01A1E" w:rsidP="00E01A1E">
      <w:pPr>
        <w:jc w:val="center"/>
        <w:rPr>
          <w:rFonts w:eastAsia="Times New Roman"/>
          <w:sz w:val="24"/>
          <w:szCs w:val="24"/>
        </w:rPr>
      </w:pPr>
    </w:p>
    <w:p w14:paraId="19CB083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D064BB2"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1592A3DD" w14:textId="4DC96D91" w:rsidR="00E01A1E" w:rsidRDefault="00771A51" w:rsidP="00E01A1E">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r w:rsidR="00326311">
        <w:rPr>
          <w:rFonts w:eastAsia="Times New Roman"/>
          <w:sz w:val="24"/>
          <w:szCs w:val="24"/>
        </w:rPr>
        <w:t xml:space="preserve"> The word “customary” is used </w:t>
      </w:r>
      <w:r w:rsidR="00314BA0">
        <w:rPr>
          <w:rFonts w:eastAsia="Times New Roman"/>
          <w:sz w:val="24"/>
          <w:szCs w:val="24"/>
        </w:rPr>
        <w:t xml:space="preserve">in accordance with </w:t>
      </w:r>
      <w:r w:rsidR="00314BA0">
        <w:rPr>
          <w:rFonts w:eastAsia="Times New Roman"/>
          <w:b/>
          <w:bCs/>
          <w:sz w:val="24"/>
          <w:szCs w:val="24"/>
        </w:rPr>
        <w:t>Montoya v. Grease Monkey Holding Corp.</w:t>
      </w:r>
      <w:r w:rsidR="00314BA0">
        <w:rPr>
          <w:rFonts w:eastAsia="Times New Roman"/>
          <w:sz w:val="24"/>
          <w:szCs w:val="24"/>
        </w:rPr>
        <w:t xml:space="preserve">, 883 P.2d 486, 488 (Colo. App. 1994), </w:t>
      </w:r>
      <w:r w:rsidR="00314BA0" w:rsidRPr="009D0F94">
        <w:rPr>
          <w:rFonts w:eastAsia="Times New Roman"/>
          <w:i/>
          <w:iCs/>
          <w:sz w:val="24"/>
          <w:szCs w:val="24"/>
        </w:rPr>
        <w:t>aff’d sub nom.</w:t>
      </w:r>
      <w:r w:rsidR="00314BA0">
        <w:rPr>
          <w:rFonts w:eastAsia="Times New Roman"/>
          <w:sz w:val="24"/>
          <w:szCs w:val="24"/>
        </w:rPr>
        <w:t xml:space="preserve"> </w:t>
      </w:r>
      <w:r w:rsidR="00314BA0" w:rsidRPr="009D0F94">
        <w:rPr>
          <w:rFonts w:eastAsia="Times New Roman"/>
          <w:b/>
          <w:bCs/>
          <w:sz w:val="24"/>
          <w:szCs w:val="24"/>
        </w:rPr>
        <w:t>Grease Monkey Int</w:t>
      </w:r>
      <w:r w:rsidR="009D0F94">
        <w:rPr>
          <w:rFonts w:eastAsia="Times New Roman"/>
          <w:b/>
          <w:bCs/>
          <w:sz w:val="24"/>
          <w:szCs w:val="24"/>
        </w:rPr>
        <w:t>ernationa</w:t>
      </w:r>
      <w:r w:rsidR="00314BA0" w:rsidRPr="009D0F94">
        <w:rPr>
          <w:rFonts w:eastAsia="Times New Roman"/>
          <w:b/>
          <w:bCs/>
          <w:sz w:val="24"/>
          <w:szCs w:val="24"/>
        </w:rPr>
        <w:t>l, Inc. v. Montoya</w:t>
      </w:r>
      <w:r w:rsidR="00314BA0">
        <w:rPr>
          <w:rFonts w:eastAsia="Times New Roman"/>
          <w:sz w:val="24"/>
          <w:szCs w:val="24"/>
        </w:rPr>
        <w:t>, 904 P.2d 468 (Colo. 1995)</w:t>
      </w:r>
      <w:r w:rsidR="009D0F94">
        <w:rPr>
          <w:rFonts w:eastAsia="Times New Roman"/>
          <w:sz w:val="24"/>
          <w:szCs w:val="24"/>
        </w:rPr>
        <w:t>;</w:t>
      </w:r>
      <w:r w:rsidR="00314BA0">
        <w:rPr>
          <w:rFonts w:eastAsia="Times New Roman"/>
          <w:sz w:val="24"/>
          <w:szCs w:val="24"/>
        </w:rPr>
        <w:t xml:space="preserve"> and </w:t>
      </w:r>
      <w:r w:rsidR="00314BA0">
        <w:rPr>
          <w:rFonts w:eastAsia="Times New Roman"/>
          <w:b/>
          <w:bCs/>
          <w:sz w:val="24"/>
          <w:szCs w:val="24"/>
        </w:rPr>
        <w:t>Dyer v. Johnson</w:t>
      </w:r>
      <w:r w:rsidR="00314BA0">
        <w:rPr>
          <w:rFonts w:eastAsia="Times New Roman"/>
          <w:sz w:val="24"/>
          <w:szCs w:val="24"/>
        </w:rPr>
        <w:t xml:space="preserve">, 757 P.2d 178, 180 (Colo. App. 1988). </w:t>
      </w:r>
    </w:p>
    <w:p w14:paraId="4FDD2EFC" w14:textId="437D420C" w:rsidR="00720933" w:rsidRPr="00647CC5" w:rsidRDefault="00771A51" w:rsidP="009D0F94">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cmt. g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r w:rsidRPr="00647CC5">
        <w:rPr>
          <w:rFonts w:eastAsia="Times New Roman"/>
          <w:b/>
          <w:sz w:val="24"/>
          <w:szCs w:val="24"/>
        </w:rPr>
        <w:t>Indep</w:t>
      </w:r>
      <w:r>
        <w:rPr>
          <w:rFonts w:eastAsia="Times New Roman"/>
          <w:b/>
          <w:sz w:val="24"/>
          <w:szCs w:val="24"/>
        </w:rPr>
        <w:t>.</w:t>
      </w:r>
      <w:r w:rsidRPr="00647CC5">
        <w:rPr>
          <w:rFonts w:eastAsia="Times New Roman"/>
          <w:b/>
          <w:sz w:val="24"/>
          <w:szCs w:val="24"/>
        </w:rPr>
        <w:t xml:space="preserve"> Indem. 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 When there is sufficient evidence of such limitation or exclusion, this instruction and, if applicable, Instruction 8:12 should be appropriately modified.</w:t>
      </w:r>
    </w:p>
    <w:p w14:paraId="18A12341"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8D23413" w14:textId="1973F305" w:rsidR="00E01A1E" w:rsidRPr="00647CC5" w:rsidRDefault="00771A51" w:rsidP="004B7CD3">
      <w:pPr>
        <w:spacing w:after="240"/>
        <w:ind w:firstLine="720"/>
        <w:rPr>
          <w:rFonts w:eastAsia="Times New Roman"/>
          <w:sz w:val="24"/>
          <w:szCs w:val="24"/>
        </w:rPr>
      </w:pPr>
      <w:r w:rsidRPr="00647CC5">
        <w:rPr>
          <w:rFonts w:eastAsia="Times New Roman"/>
          <w:sz w:val="24"/>
          <w:szCs w:val="24"/>
        </w:rPr>
        <w:t xml:space="preserve">1. </w:t>
      </w:r>
      <w:r w:rsidRPr="004B7CD3">
        <w:rPr>
          <w:rFonts w:eastAsia="Times New Roman"/>
          <w:sz w:val="24"/>
          <w:szCs w:val="24"/>
        </w:rPr>
        <w:t>The first numbered paragraph of this instruction is supported by</w:t>
      </w:r>
      <w:r w:rsidR="009D0F94">
        <w:rPr>
          <w:rFonts w:eastAsia="Times New Roman"/>
          <w:sz w:val="24"/>
          <w:szCs w:val="24"/>
        </w:rPr>
        <w:t xml:space="preserve"> </w:t>
      </w:r>
      <w:r w:rsidR="009D0F94" w:rsidRPr="009D0F94">
        <w:rPr>
          <w:rFonts w:eastAsia="Times New Roman"/>
          <w:b/>
          <w:bCs/>
          <w:sz w:val="24"/>
          <w:szCs w:val="24"/>
        </w:rPr>
        <w:t>Montoya</w:t>
      </w:r>
      <w:r w:rsidR="009D0F94">
        <w:rPr>
          <w:rFonts w:eastAsia="Times New Roman"/>
          <w:sz w:val="24"/>
          <w:szCs w:val="24"/>
        </w:rPr>
        <w:t>, 883 P.2d at 488;</w:t>
      </w:r>
      <w:r w:rsidRPr="004B7CD3">
        <w:rPr>
          <w:rFonts w:eastAsia="Times New Roman"/>
          <w:sz w:val="24"/>
          <w:szCs w:val="24"/>
        </w:rPr>
        <w:t xml:space="preserve"> </w:t>
      </w:r>
      <w:r w:rsidRPr="004B7CD3">
        <w:rPr>
          <w:rFonts w:eastAsia="Times New Roman"/>
          <w:b/>
          <w:sz w:val="24"/>
          <w:szCs w:val="24"/>
        </w:rPr>
        <w:t>Dyer</w:t>
      </w:r>
      <w:r w:rsidRPr="004B7CD3">
        <w:rPr>
          <w:rFonts w:eastAsia="Times New Roman"/>
          <w:sz w:val="24"/>
          <w:szCs w:val="24"/>
        </w:rPr>
        <w:t xml:space="preserve">, 757 P.2d </w:t>
      </w:r>
      <w:r w:rsidR="009D0F94">
        <w:rPr>
          <w:rFonts w:eastAsia="Times New Roman"/>
          <w:sz w:val="24"/>
          <w:szCs w:val="24"/>
        </w:rPr>
        <w:t>at 180</w:t>
      </w:r>
      <w:r w:rsidRPr="004B7CD3">
        <w:rPr>
          <w:rFonts w:eastAsia="Times New Roman"/>
          <w:sz w:val="24"/>
          <w:szCs w:val="24"/>
        </w:rPr>
        <w:t xml:space="preserve">; and </w:t>
      </w:r>
      <w:r w:rsidRPr="004B7CD3">
        <w:rPr>
          <w:rFonts w:eastAsia="Times New Roman"/>
          <w:b/>
          <w:sz w:val="24"/>
          <w:szCs w:val="24"/>
        </w:rPr>
        <w:t>Gates Iron Works v. Denver Engineering Works Co.</w:t>
      </w:r>
      <w:r w:rsidRPr="004B7CD3">
        <w:rPr>
          <w:rFonts w:eastAsia="Times New Roman"/>
          <w:sz w:val="24"/>
          <w:szCs w:val="24"/>
        </w:rPr>
        <w:t xml:space="preserve">, 17 Colo. App. 15, 67 P. 173 (1901). </w:t>
      </w:r>
      <w:r w:rsidRPr="004B7CD3">
        <w:rPr>
          <w:rFonts w:eastAsia="Times New Roman"/>
          <w:i/>
          <w:sz w:val="24"/>
          <w:szCs w:val="24"/>
        </w:rPr>
        <w:t>See also</w:t>
      </w:r>
      <w:r w:rsidRPr="004B7CD3">
        <w:rPr>
          <w:rFonts w:eastAsia="Times New Roman"/>
          <w:sz w:val="24"/>
          <w:szCs w:val="24"/>
        </w:rPr>
        <w:t xml:space="preserve"> </w:t>
      </w:r>
      <w:r w:rsidRPr="004B7CD3">
        <w:rPr>
          <w:rFonts w:eastAsia="Times New Roman"/>
          <w:b/>
          <w:sz w:val="24"/>
          <w:szCs w:val="24"/>
        </w:rPr>
        <w:t>Russell v. First Am. Mortg. Co.</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39 Colo. App. 360, 565 P.2d 972 (1977); </w:t>
      </w:r>
      <w:r w:rsidRPr="004B7CD3">
        <w:rPr>
          <w:rFonts w:eastAsia="Times New Roman"/>
          <w:b/>
          <w:sz w:val="24"/>
          <w:szCs w:val="24"/>
        </w:rPr>
        <w:t>Savage v. Pelton</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1 Colo. App. 148, 27 P. 948 (1891); </w:t>
      </w:r>
      <w:r w:rsidRPr="004B7CD3">
        <w:rPr>
          <w:rFonts w:eastAsia="Times New Roman"/>
          <w:smallCaps/>
          <w:sz w:val="24"/>
          <w:szCs w:val="24"/>
        </w:rPr>
        <w:t>Restatement (Second) of Agency</w:t>
      </w:r>
      <w:r w:rsidRPr="004B7CD3">
        <w:rPr>
          <w:rFonts w:eastAsia="Times New Roman"/>
          <w:sz w:val="24"/>
          <w:szCs w:val="24"/>
        </w:rPr>
        <w:t xml:space="preserve"> § 36 (1958).</w:t>
      </w:r>
    </w:p>
    <w:p w14:paraId="3324B756"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229A3097" w14:textId="77777777" w:rsidR="00E01A1E" w:rsidRPr="00647CC5" w:rsidRDefault="00771A51" w:rsidP="00E01A1E">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Pr>
          <w:rFonts w:eastAsia="Times New Roman"/>
          <w:sz w:val="24"/>
          <w:szCs w:val="24"/>
        </w:rPr>
        <w:t xml:space="preserve">that </w:t>
      </w:r>
      <w:r w:rsidRPr="00647CC5">
        <w:rPr>
          <w:rFonts w:eastAsia="Times New Roman"/>
          <w:sz w:val="24"/>
          <w:szCs w:val="24"/>
        </w:rPr>
        <w:t xml:space="preserve">the agent had actual authority to do what he did. This may be proved by evidence of acquiescence with </w:t>
      </w:r>
      <w:r w:rsidRPr="00647CC5">
        <w:rPr>
          <w:rFonts w:eastAsia="Times New Roman"/>
          <w:sz w:val="24"/>
          <w:szCs w:val="24"/>
        </w:rPr>
        <w:lastRenderedPageBreak/>
        <w:t>knowledge of the agent’s acts</w:t>
      </w:r>
      <w:r>
        <w:rPr>
          <w:rFonts w:eastAsia="Times New Roman"/>
          <w:sz w:val="24"/>
          <w:szCs w:val="24"/>
        </w:rPr>
        <w:t>,</w:t>
      </w:r>
      <w:r w:rsidRPr="00647CC5">
        <w:rPr>
          <w:rFonts w:eastAsia="Times New Roman"/>
          <w:sz w:val="24"/>
          <w:szCs w:val="24"/>
        </w:rPr>
        <w:t xml:space="preserve"> and such knowledge and acquiescence may be shown by evidence of the agent’s course of dealing for so long a time that knowledge and acquiescence may be presumed. Knowledge of this course of conduct by </w:t>
      </w:r>
      <w:r>
        <w:rPr>
          <w:rFonts w:eastAsia="Times New Roman"/>
          <w:sz w:val="24"/>
          <w:szCs w:val="24"/>
        </w:rPr>
        <w:t xml:space="preserve">one </w:t>
      </w:r>
      <w:r w:rsidRPr="00647CC5">
        <w:rPr>
          <w:rFonts w:eastAsia="Times New Roman"/>
          <w:sz w:val="24"/>
          <w:szCs w:val="24"/>
        </w:rPr>
        <w:t>dealing with the agent is irrelevant, but knowledge thereof by the principal is</w:t>
      </w:r>
      <w:r>
        <w:rPr>
          <w:rFonts w:eastAsia="Times New Roman"/>
          <w:sz w:val="24"/>
          <w:szCs w:val="24"/>
        </w:rPr>
        <w:t>,</w:t>
      </w:r>
      <w:r w:rsidRPr="00647CC5">
        <w:rPr>
          <w:rFonts w:eastAsia="Times New Roman"/>
          <w:sz w:val="24"/>
          <w:szCs w:val="24"/>
        </w:rPr>
        <w:t xml:space="preserve"> not only relevant</w:t>
      </w:r>
      <w:r>
        <w:rPr>
          <w:rFonts w:eastAsia="Times New Roman"/>
          <w:sz w:val="24"/>
          <w:szCs w:val="24"/>
        </w:rPr>
        <w:t>,</w:t>
      </w:r>
      <w:r w:rsidRPr="00647CC5">
        <w:rPr>
          <w:rFonts w:eastAsia="Times New Roman"/>
          <w:sz w:val="24"/>
          <w:szCs w:val="24"/>
        </w:rPr>
        <w:t xml:space="preserve"> but essential</w:t>
      </w:r>
      <w:r>
        <w:rPr>
          <w:rFonts w:eastAsia="Times New Roman"/>
          <w:sz w:val="24"/>
          <w:szCs w:val="24"/>
        </w:rPr>
        <w:t>,</w:t>
      </w:r>
      <w:r w:rsidRPr="00647CC5">
        <w:rPr>
          <w:rFonts w:eastAsia="Times New Roman"/>
          <w:sz w:val="24"/>
          <w:szCs w:val="24"/>
        </w:rPr>
        <w:t xml:space="preserve"> and must be proved either directly or indirectly as above.</w:t>
      </w:r>
    </w:p>
    <w:p w14:paraId="1046DC3D" w14:textId="61181668" w:rsidR="00E01A1E" w:rsidRPr="00647CC5" w:rsidRDefault="00771A51" w:rsidP="008F5428">
      <w:pPr>
        <w:spacing w:after="240"/>
        <w:rPr>
          <w:rFonts w:eastAsia="Times New Roman"/>
          <w:sz w:val="24"/>
          <w:szCs w:val="24"/>
        </w:rPr>
      </w:pPr>
      <w:r w:rsidRPr="00776FFB">
        <w:rPr>
          <w:rFonts w:eastAsia="Times New Roman"/>
          <w:i/>
          <w:sz w:val="24"/>
          <w:szCs w:val="24"/>
        </w:rPr>
        <w:t xml:space="preserve">See also </w:t>
      </w:r>
      <w:r w:rsidR="008F5428" w:rsidRPr="008F5428">
        <w:rPr>
          <w:rFonts w:eastAsia="Times New Roman"/>
          <w:b/>
          <w:bCs/>
          <w:iCs/>
          <w:sz w:val="24"/>
          <w:szCs w:val="24"/>
        </w:rPr>
        <w:t>Cooley v. Eskridge</w:t>
      </w:r>
      <w:r w:rsidR="008F5428" w:rsidRPr="008F5428">
        <w:rPr>
          <w:rFonts w:eastAsia="Times New Roman"/>
          <w:iCs/>
          <w:sz w:val="24"/>
          <w:szCs w:val="24"/>
        </w:rPr>
        <w:t>, 125 Colo. 102, 241 P.2d 851 (1952)</w:t>
      </w:r>
      <w:r w:rsidR="008F5428">
        <w:rPr>
          <w:rFonts w:eastAsia="Times New Roman"/>
          <w:iCs/>
          <w:sz w:val="24"/>
          <w:szCs w:val="24"/>
        </w:rPr>
        <w:t xml:space="preserve">; </w:t>
      </w:r>
      <w:r w:rsidRPr="00647CC5">
        <w:rPr>
          <w:rFonts w:eastAsia="Times New Roman"/>
          <w:b/>
          <w:sz w:val="24"/>
          <w:szCs w:val="24"/>
        </w:rPr>
        <w:t>Citywide Banks v. Armijo</w:t>
      </w:r>
      <w:r w:rsidRPr="00647CC5">
        <w:rPr>
          <w:rFonts w:eastAsia="Times New Roman"/>
          <w:sz w:val="24"/>
          <w:szCs w:val="24"/>
        </w:rPr>
        <w:t>, 313 P.3d 647 (Colo. App. 2011).</w:t>
      </w:r>
    </w:p>
    <w:p w14:paraId="238670D6" w14:textId="73C2EAB7" w:rsidR="009231F0" w:rsidRDefault="00771A51" w:rsidP="00E01A1E">
      <w:pPr>
        <w:spacing w:after="240"/>
        <w:ind w:firstLine="720"/>
        <w:rPr>
          <w:rFonts w:eastAsia="Times New Roman"/>
          <w:sz w:val="24"/>
          <w:szCs w:val="24"/>
        </w:rPr>
      </w:pPr>
      <w:r>
        <w:rPr>
          <w:rFonts w:eastAsia="Times New Roman"/>
          <w:sz w:val="24"/>
          <w:szCs w:val="24"/>
        </w:rPr>
        <w:t>3</w:t>
      </w:r>
      <w:r w:rsidRPr="00647CC5">
        <w:rPr>
          <w:rFonts w:eastAsia="Times New Roman"/>
          <w:sz w:val="24"/>
          <w:szCs w:val="24"/>
        </w:rPr>
        <w:t xml:space="preserve">. </w:t>
      </w:r>
      <w:r w:rsidR="009231F0" w:rsidRPr="00647CC5">
        <w:rPr>
          <w:rFonts w:eastAsia="Times New Roman"/>
          <w:sz w:val="24"/>
          <w:szCs w:val="24"/>
        </w:rPr>
        <w:t xml:space="preserve">The </w:t>
      </w:r>
      <w:r w:rsidR="009231F0">
        <w:rPr>
          <w:rFonts w:eastAsia="Times New Roman"/>
          <w:sz w:val="24"/>
          <w:szCs w:val="24"/>
        </w:rPr>
        <w:t>third</w:t>
      </w:r>
      <w:r w:rsidR="009231F0" w:rsidRPr="00647CC5">
        <w:rPr>
          <w:rFonts w:eastAsia="Times New Roman"/>
          <w:sz w:val="24"/>
          <w:szCs w:val="24"/>
        </w:rPr>
        <w:t xml:space="preserve"> numbered paragraph of this instruction is supported by</w:t>
      </w:r>
      <w:r w:rsidR="0011469E">
        <w:rPr>
          <w:rFonts w:eastAsia="Times New Roman"/>
          <w:sz w:val="24"/>
          <w:szCs w:val="24"/>
        </w:rPr>
        <w:t xml:space="preserve"> </w:t>
      </w:r>
      <w:r w:rsidR="0011469E" w:rsidRPr="00647CC5">
        <w:rPr>
          <w:rFonts w:eastAsia="Times New Roman"/>
          <w:b/>
          <w:sz w:val="24"/>
          <w:szCs w:val="24"/>
        </w:rPr>
        <w:t>State Farm Mutual Automobile Insurance Co. v. Johnson</w:t>
      </w:r>
      <w:r w:rsidR="0011469E" w:rsidRPr="00647CC5">
        <w:rPr>
          <w:rFonts w:eastAsia="Times New Roman"/>
          <w:sz w:val="24"/>
          <w:szCs w:val="24"/>
        </w:rPr>
        <w:t xml:space="preserve">, 2017 CO 68, ¶ 22, 396 P.3d 651 (citing </w:t>
      </w:r>
      <w:r w:rsidR="0011469E" w:rsidRPr="00647CC5">
        <w:rPr>
          <w:rFonts w:eastAsia="Times New Roman"/>
          <w:smallCaps/>
          <w:sz w:val="24"/>
          <w:szCs w:val="24"/>
        </w:rPr>
        <w:t>Restatement (Third) of Agency</w:t>
      </w:r>
      <w:r w:rsidR="0011469E" w:rsidRPr="00647CC5">
        <w:rPr>
          <w:rFonts w:eastAsia="Times New Roman"/>
          <w:sz w:val="24"/>
          <w:szCs w:val="24"/>
        </w:rPr>
        <w:t xml:space="preserve"> § 2.01 cmt. b);</w:t>
      </w:r>
      <w:r w:rsidR="0011469E" w:rsidRPr="0011469E">
        <w:rPr>
          <w:rFonts w:eastAsia="Times New Roman"/>
          <w:b/>
          <w:sz w:val="24"/>
          <w:szCs w:val="24"/>
        </w:rPr>
        <w:t xml:space="preserve"> </w:t>
      </w:r>
      <w:r w:rsidR="0011469E" w:rsidRPr="00647CC5">
        <w:rPr>
          <w:rFonts w:eastAsia="Times New Roman"/>
          <w:b/>
          <w:sz w:val="24"/>
          <w:szCs w:val="24"/>
        </w:rPr>
        <w:t>Willey v. Mayer</w:t>
      </w:r>
      <w:r w:rsidR="0011469E" w:rsidRPr="00647CC5">
        <w:rPr>
          <w:rFonts w:eastAsia="Times New Roman"/>
          <w:sz w:val="24"/>
          <w:szCs w:val="24"/>
        </w:rPr>
        <w:t>, 876 P.2d 1260 (Colo. 1994);</w:t>
      </w:r>
      <w:r w:rsidR="0011469E" w:rsidRPr="00647CC5">
        <w:rPr>
          <w:rFonts w:eastAsia="Times New Roman"/>
          <w:b/>
          <w:sz w:val="24"/>
          <w:szCs w:val="24"/>
        </w:rPr>
        <w:t xml:space="preserve"> </w:t>
      </w:r>
      <w:r w:rsidR="0011469E">
        <w:rPr>
          <w:rFonts w:eastAsia="Times New Roman"/>
          <w:b/>
          <w:bCs/>
          <w:sz w:val="24"/>
          <w:szCs w:val="24"/>
        </w:rPr>
        <w:t>Fresquez v. Trinidad Inn, Inc.</w:t>
      </w:r>
      <w:r w:rsidR="0011469E">
        <w:rPr>
          <w:rFonts w:eastAsia="Times New Roman"/>
          <w:sz w:val="24"/>
          <w:szCs w:val="24"/>
        </w:rPr>
        <w:t>, 2022 COA 96, ¶ 21</w:t>
      </w:r>
      <w:r w:rsidR="0000701C">
        <w:rPr>
          <w:rFonts w:eastAsia="Times New Roman"/>
          <w:sz w:val="24"/>
          <w:szCs w:val="24"/>
        </w:rPr>
        <w:t>, 521 P.3d 399</w:t>
      </w:r>
      <w:r w:rsidR="006E6DDB">
        <w:rPr>
          <w:rFonts w:eastAsia="Times New Roman"/>
          <w:sz w:val="24"/>
          <w:szCs w:val="24"/>
        </w:rPr>
        <w:t>.</w:t>
      </w:r>
      <w:r w:rsidR="006E6DDB">
        <w:rPr>
          <w:rFonts w:eastAsia="Times New Roman"/>
          <w:smallCaps/>
          <w:sz w:val="24"/>
          <w:szCs w:val="24"/>
        </w:rPr>
        <w:t xml:space="preserve"> </w:t>
      </w:r>
      <w:r w:rsidR="003C1DF1" w:rsidRPr="00647CC5">
        <w:rPr>
          <w:rFonts w:eastAsia="Times New Roman"/>
          <w:i/>
          <w:sz w:val="24"/>
          <w:szCs w:val="24"/>
        </w:rPr>
        <w:t>See also</w:t>
      </w:r>
      <w:r w:rsidR="003C1DF1" w:rsidRPr="00647CC5">
        <w:rPr>
          <w:rFonts w:eastAsia="Times New Roman"/>
          <w:sz w:val="24"/>
          <w:szCs w:val="24"/>
        </w:rPr>
        <w:t xml:space="preserve"> </w:t>
      </w:r>
      <w:r w:rsidR="00247A98" w:rsidRPr="00647CC5">
        <w:rPr>
          <w:rFonts w:eastAsia="Times New Roman"/>
          <w:smallCaps/>
          <w:sz w:val="24"/>
          <w:szCs w:val="24"/>
        </w:rPr>
        <w:t>Restatement (Third) of Agency</w:t>
      </w:r>
      <w:r w:rsidR="00247A98" w:rsidRPr="00647CC5">
        <w:rPr>
          <w:rFonts w:eastAsia="Times New Roman"/>
          <w:sz w:val="24"/>
          <w:szCs w:val="24"/>
        </w:rPr>
        <w:t xml:space="preserve"> § 2.02(1) (2006) (stating that agent has “actual authority to take action designated or implied in the principal’s manifestations”)</w:t>
      </w:r>
      <w:r w:rsidR="006E6DDB">
        <w:rPr>
          <w:rFonts w:eastAsia="Times New Roman"/>
          <w:sz w:val="24"/>
          <w:szCs w:val="24"/>
        </w:rPr>
        <w:t>.</w:t>
      </w:r>
    </w:p>
    <w:p w14:paraId="097BB94D" w14:textId="55A0B6C9" w:rsidR="00E01A1E" w:rsidRPr="00647CC5" w:rsidRDefault="009231F0" w:rsidP="00E01A1E">
      <w:pPr>
        <w:spacing w:after="240"/>
        <w:ind w:firstLine="720"/>
        <w:rPr>
          <w:rFonts w:eastAsia="Times New Roman"/>
          <w:sz w:val="24"/>
          <w:szCs w:val="24"/>
        </w:rPr>
      </w:pPr>
      <w:r>
        <w:rPr>
          <w:rFonts w:eastAsia="Times New Roman"/>
          <w:sz w:val="24"/>
          <w:szCs w:val="24"/>
        </w:rPr>
        <w:t xml:space="preserve">4. </w:t>
      </w:r>
      <w:r w:rsidR="00771A51" w:rsidRPr="00647CC5">
        <w:rPr>
          <w:rFonts w:eastAsia="Times New Roman"/>
          <w:sz w:val="24"/>
          <w:szCs w:val="24"/>
        </w:rPr>
        <w:t xml:space="preserve">“Implied authority” has also been defined as the authority to do “those acts which are incidental to, or are necessary, usual, and proper to accomplish or perform, the main authority expressly delegated to the agent.” </w:t>
      </w:r>
      <w:r w:rsidR="00771A51" w:rsidRPr="00647CC5">
        <w:rPr>
          <w:rFonts w:eastAsia="Times New Roman"/>
          <w:b/>
          <w:sz w:val="24"/>
          <w:szCs w:val="24"/>
        </w:rPr>
        <w:t>Willey</w:t>
      </w:r>
      <w:r w:rsidR="00771A51" w:rsidRPr="00647CC5">
        <w:rPr>
          <w:rFonts w:eastAsia="Times New Roman"/>
          <w:sz w:val="24"/>
          <w:szCs w:val="24"/>
        </w:rPr>
        <w:t xml:space="preserve">, 876 P.2d </w:t>
      </w:r>
      <w:r w:rsidR="00771A51">
        <w:rPr>
          <w:rFonts w:eastAsia="Times New Roman"/>
          <w:sz w:val="24"/>
          <w:szCs w:val="24"/>
        </w:rPr>
        <w:t>at</w:t>
      </w:r>
      <w:r w:rsidR="00771A51" w:rsidRPr="00647CC5">
        <w:rPr>
          <w:rFonts w:eastAsia="Times New Roman"/>
          <w:sz w:val="24"/>
          <w:szCs w:val="24"/>
        </w:rPr>
        <w:t xml:space="preserve"> 1264; </w:t>
      </w:r>
      <w:r w:rsidR="00771A51" w:rsidRPr="00647CC5">
        <w:rPr>
          <w:rFonts w:eastAsia="Times New Roman"/>
          <w:i/>
          <w:sz w:val="24"/>
          <w:szCs w:val="24"/>
        </w:rPr>
        <w:t xml:space="preserve">see </w:t>
      </w:r>
      <w:r w:rsidR="00771A51" w:rsidRPr="00647CC5">
        <w:rPr>
          <w:rFonts w:eastAsia="Times New Roman"/>
          <w:b/>
          <w:sz w:val="24"/>
          <w:szCs w:val="24"/>
        </w:rPr>
        <w:t>Johnson</w:t>
      </w:r>
      <w:r w:rsidR="00771A51" w:rsidRPr="00647CC5">
        <w:rPr>
          <w:rFonts w:eastAsia="Times New Roman"/>
          <w:sz w:val="24"/>
          <w:szCs w:val="24"/>
        </w:rPr>
        <w:t>, ¶ 22</w:t>
      </w:r>
      <w:r w:rsidR="0090551B">
        <w:rPr>
          <w:rFonts w:eastAsia="Times New Roman"/>
          <w:sz w:val="24"/>
          <w:szCs w:val="24"/>
        </w:rPr>
        <w:t>, 396 P.3d at 656</w:t>
      </w:r>
      <w:r w:rsidR="00771A51" w:rsidRPr="00647CC5">
        <w:rPr>
          <w:rFonts w:eastAsia="Times New Roman"/>
          <w:sz w:val="24"/>
          <w:szCs w:val="24"/>
        </w:rPr>
        <w:t xml:space="preserve">; </w:t>
      </w:r>
      <w:r w:rsidR="00771A51" w:rsidRPr="00647CC5">
        <w:rPr>
          <w:rFonts w:eastAsia="Times New Roman"/>
          <w:b/>
          <w:sz w:val="24"/>
          <w:szCs w:val="24"/>
        </w:rPr>
        <w:t>Villalpando v. Denver Health &amp; Hosp. Auth.</w:t>
      </w:r>
      <w:r w:rsidR="00771A51" w:rsidRPr="00647CC5">
        <w:rPr>
          <w:rFonts w:eastAsia="Times New Roman"/>
          <w:sz w:val="24"/>
          <w:szCs w:val="24"/>
        </w:rPr>
        <w:t xml:space="preserve">, 181 P.3d 357 (Colo. App. 2007); </w:t>
      </w:r>
      <w:r w:rsidR="00771A51" w:rsidRPr="00647CC5">
        <w:rPr>
          <w:rFonts w:eastAsia="Times New Roman"/>
          <w:i/>
          <w:sz w:val="24"/>
          <w:szCs w:val="24"/>
        </w:rPr>
        <w:t>see also</w:t>
      </w:r>
      <w:r w:rsidR="00771A51" w:rsidRPr="00647CC5">
        <w:rPr>
          <w:rFonts w:eastAsia="Times New Roman"/>
          <w:sz w:val="24"/>
          <w:szCs w:val="24"/>
        </w:rPr>
        <w:t xml:space="preserve"> Instruction 8:10.</w:t>
      </w:r>
    </w:p>
    <w:p w14:paraId="252AEE73" w14:textId="513F5C7E" w:rsidR="004C41DD" w:rsidRPr="00561CD9" w:rsidRDefault="009231F0" w:rsidP="004C41DD">
      <w:pPr>
        <w:spacing w:after="240"/>
        <w:ind w:firstLine="720"/>
        <w:rPr>
          <w:rFonts w:eastAsia="Times New Roman"/>
          <w:sz w:val="24"/>
          <w:szCs w:val="24"/>
        </w:rPr>
      </w:pPr>
      <w:r>
        <w:rPr>
          <w:rFonts w:eastAsia="Times New Roman"/>
          <w:sz w:val="24"/>
          <w:szCs w:val="24"/>
        </w:rPr>
        <w:t>5</w:t>
      </w:r>
      <w:r w:rsidR="00FD5ADE">
        <w:rPr>
          <w:rFonts w:eastAsia="Times New Roman"/>
          <w:sz w:val="24"/>
          <w:szCs w:val="24"/>
        </w:rPr>
        <w:t xml:space="preserve">. </w:t>
      </w:r>
      <w:r w:rsidR="004C41DD">
        <w:rPr>
          <w:rFonts w:eastAsia="Times New Roman"/>
          <w:sz w:val="24"/>
          <w:szCs w:val="24"/>
        </w:rPr>
        <w:t xml:space="preserve">“Implied authority is actual authority circumstantially proved.” </w:t>
      </w:r>
      <w:r w:rsidR="004C41DD">
        <w:rPr>
          <w:rFonts w:eastAsia="Times New Roman"/>
          <w:b/>
          <w:bCs/>
          <w:sz w:val="24"/>
          <w:szCs w:val="24"/>
        </w:rPr>
        <w:t>Trinidad</w:t>
      </w:r>
      <w:r w:rsidR="004C41DD">
        <w:rPr>
          <w:rFonts w:eastAsia="Times New Roman"/>
          <w:sz w:val="24"/>
          <w:szCs w:val="24"/>
        </w:rPr>
        <w:t xml:space="preserve">, ¶ 21; </w:t>
      </w:r>
      <w:r w:rsidR="004C41DD" w:rsidRPr="002D5677">
        <w:rPr>
          <w:rFonts w:eastAsia="Times New Roman"/>
          <w:i/>
          <w:iCs/>
          <w:sz w:val="24"/>
          <w:szCs w:val="24"/>
        </w:rPr>
        <w:t>accord</w:t>
      </w:r>
      <w:r w:rsidR="004C41DD">
        <w:rPr>
          <w:rFonts w:eastAsia="Times New Roman"/>
          <w:sz w:val="24"/>
          <w:szCs w:val="24"/>
        </w:rPr>
        <w:t xml:space="preserve"> </w:t>
      </w:r>
      <w:r w:rsidR="004C41DD">
        <w:rPr>
          <w:rFonts w:eastAsia="Times New Roman"/>
          <w:b/>
          <w:bCs/>
          <w:sz w:val="24"/>
          <w:szCs w:val="24"/>
        </w:rPr>
        <w:t>Citywide Banks</w:t>
      </w:r>
      <w:r w:rsidR="004C41DD">
        <w:rPr>
          <w:rFonts w:eastAsia="Times New Roman"/>
          <w:sz w:val="24"/>
          <w:szCs w:val="24"/>
        </w:rPr>
        <w:t>, 313 P.3d at 652.</w:t>
      </w:r>
    </w:p>
    <w:p w14:paraId="6A8067BB" w14:textId="077158BA" w:rsidR="00E01A1E" w:rsidRPr="00647CC5" w:rsidRDefault="009231F0" w:rsidP="004C41DD">
      <w:pPr>
        <w:spacing w:after="240"/>
        <w:ind w:firstLine="720"/>
        <w:rPr>
          <w:rFonts w:eastAsia="Times New Roman"/>
          <w:sz w:val="24"/>
          <w:szCs w:val="24"/>
        </w:rPr>
      </w:pPr>
      <w:r>
        <w:rPr>
          <w:rFonts w:eastAsia="Times New Roman"/>
          <w:sz w:val="24"/>
          <w:szCs w:val="24"/>
        </w:rPr>
        <w:t>6</w:t>
      </w:r>
      <w:r w:rsidR="00FD5ADE">
        <w:rPr>
          <w:rFonts w:eastAsia="Times New Roman"/>
          <w:sz w:val="24"/>
          <w:szCs w:val="24"/>
        </w:rPr>
        <w:t xml:space="preserve">. </w:t>
      </w:r>
      <w:r w:rsidR="00771A51" w:rsidRPr="00647CC5">
        <w:rPr>
          <w:rFonts w:eastAsia="Times New Roman"/>
          <w:sz w:val="24"/>
          <w:szCs w:val="24"/>
        </w:rPr>
        <w:t>A co-named insured on</w:t>
      </w:r>
      <w:r w:rsidR="00CF7AE3">
        <w:rPr>
          <w:rFonts w:eastAsia="Times New Roman"/>
          <w:sz w:val="24"/>
          <w:szCs w:val="24"/>
        </w:rPr>
        <w:t xml:space="preserve"> an</w:t>
      </w:r>
      <w:r w:rsidR="00771A51" w:rsidRPr="00647CC5">
        <w:rPr>
          <w:rFonts w:eastAsia="Times New Roman"/>
          <w:sz w:val="24"/>
          <w:szCs w:val="24"/>
        </w:rPr>
        <w:t xml:space="preserve"> automobile insurance policy has implied authority to waive UM/UIM benefits as result of express authority to purchase </w:t>
      </w:r>
      <w:r w:rsidR="00CF7AE3">
        <w:rPr>
          <w:rFonts w:eastAsia="Times New Roman"/>
          <w:sz w:val="24"/>
          <w:szCs w:val="24"/>
        </w:rPr>
        <w:t xml:space="preserve">the </w:t>
      </w:r>
      <w:r w:rsidR="00771A51" w:rsidRPr="00647CC5">
        <w:rPr>
          <w:rFonts w:eastAsia="Times New Roman"/>
          <w:sz w:val="24"/>
          <w:szCs w:val="24"/>
        </w:rPr>
        <w:t xml:space="preserve">insurance policy on behalf of </w:t>
      </w:r>
      <w:r w:rsidR="00CF7AE3">
        <w:rPr>
          <w:rFonts w:eastAsia="Times New Roman"/>
          <w:sz w:val="24"/>
          <w:szCs w:val="24"/>
        </w:rPr>
        <w:t xml:space="preserve">another </w:t>
      </w:r>
      <w:r w:rsidR="00771A51" w:rsidRPr="00647CC5">
        <w:rPr>
          <w:rFonts w:eastAsia="Times New Roman"/>
          <w:sz w:val="24"/>
          <w:szCs w:val="24"/>
        </w:rPr>
        <w:t xml:space="preserve">co-named insured. </w:t>
      </w:r>
      <w:r w:rsidR="00771A51" w:rsidRPr="00647CC5">
        <w:rPr>
          <w:rFonts w:eastAsia="Times New Roman"/>
          <w:b/>
          <w:sz w:val="24"/>
          <w:szCs w:val="24"/>
        </w:rPr>
        <w:t>Johnson</w:t>
      </w:r>
      <w:r w:rsidR="00771A51" w:rsidRPr="00647CC5">
        <w:rPr>
          <w:rFonts w:eastAsia="Times New Roman"/>
          <w:sz w:val="24"/>
          <w:szCs w:val="24"/>
        </w:rPr>
        <w:t>, ¶¶ 22-24</w:t>
      </w:r>
      <w:r w:rsidR="0090551B">
        <w:rPr>
          <w:rFonts w:eastAsia="Times New Roman"/>
          <w:sz w:val="24"/>
          <w:szCs w:val="24"/>
        </w:rPr>
        <w:t>, 396 P.3d at 656</w:t>
      </w:r>
      <w:r w:rsidR="00771A51" w:rsidRPr="00647CC5">
        <w:rPr>
          <w:rFonts w:eastAsia="Times New Roman"/>
          <w:sz w:val="24"/>
          <w:szCs w:val="24"/>
        </w:rPr>
        <w:t>.</w:t>
      </w:r>
    </w:p>
    <w:p w14:paraId="5B1869F1" w14:textId="22657D09" w:rsidR="00E01A1E" w:rsidRDefault="009231F0" w:rsidP="00E01A1E">
      <w:pPr>
        <w:spacing w:after="240"/>
        <w:ind w:firstLine="720"/>
        <w:rPr>
          <w:rFonts w:eastAsia="Times New Roman"/>
          <w:sz w:val="24"/>
          <w:szCs w:val="24"/>
        </w:rPr>
      </w:pPr>
      <w:r>
        <w:rPr>
          <w:rFonts w:eastAsia="Times New Roman"/>
          <w:sz w:val="24"/>
          <w:szCs w:val="24"/>
        </w:rPr>
        <w:t>7</w:t>
      </w:r>
      <w:r w:rsidR="00771A51" w:rsidRPr="00647CC5">
        <w:rPr>
          <w:rFonts w:eastAsia="Times New Roman"/>
          <w:sz w:val="24"/>
          <w:szCs w:val="24"/>
        </w:rPr>
        <w:t xml:space="preserve">. The Third Restatement provides that an agent’s interpretation of the principal’s manifestations must be reasonable. </w:t>
      </w:r>
      <w:r w:rsidR="00771A51" w:rsidRPr="00647CC5">
        <w:rPr>
          <w:rFonts w:eastAsia="Times New Roman"/>
          <w:smallCaps/>
          <w:sz w:val="24"/>
          <w:szCs w:val="24"/>
        </w:rPr>
        <w:t>Restatement (Third) of Agency</w:t>
      </w:r>
      <w:r w:rsidR="00771A51" w:rsidRPr="00647CC5">
        <w:rPr>
          <w:rFonts w:eastAsia="Times New Roman"/>
          <w:sz w:val="24"/>
          <w:szCs w:val="24"/>
        </w:rPr>
        <w:t xml:space="preserve"> § 2.02(2), (3) (2006).</w:t>
      </w:r>
    </w:p>
    <w:p w14:paraId="52A529CD" w14:textId="77777777" w:rsidR="00E01A1E" w:rsidRDefault="00771A51">
      <w:pPr>
        <w:rPr>
          <w:rFonts w:eastAsia="Times New Roman"/>
          <w:sz w:val="24"/>
          <w:szCs w:val="24"/>
        </w:rPr>
      </w:pPr>
      <w:r>
        <w:rPr>
          <w:rFonts w:eastAsia="Times New Roman"/>
          <w:sz w:val="24"/>
          <w:szCs w:val="24"/>
        </w:rPr>
        <w:br w:type="page"/>
      </w:r>
    </w:p>
    <w:p w14:paraId="254182DA" w14:textId="77777777" w:rsidR="00E01A1E" w:rsidRPr="009E3DA4" w:rsidRDefault="00771A51" w:rsidP="00E01A1E">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5D45B5D1" w14:textId="77777777" w:rsidR="00E01A1E" w:rsidRPr="00D8125F" w:rsidRDefault="00771A51" w:rsidP="00E01A1E">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565CFDD9" w14:textId="77777777" w:rsidR="00E01A1E" w:rsidRDefault="00E01A1E" w:rsidP="00E01A1E">
      <w:pPr>
        <w:jc w:val="center"/>
        <w:rPr>
          <w:rFonts w:eastAsia="Times New Roman"/>
          <w:sz w:val="24"/>
          <w:szCs w:val="24"/>
        </w:rPr>
      </w:pPr>
    </w:p>
    <w:p w14:paraId="48834F6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08975D5"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Pr>
          <w:rFonts w:eastAsia="Times New Roman"/>
          <w:sz w:val="24"/>
          <w:szCs w:val="24"/>
        </w:rPr>
        <w:t>because</w:t>
      </w:r>
      <w:r w:rsidRPr="00D8125F">
        <w:rPr>
          <w:rFonts w:eastAsia="Times New Roman"/>
          <w:sz w:val="24"/>
          <w:szCs w:val="24"/>
        </w:rPr>
        <w:t xml:space="preserve"> by definition</w:t>
      </w:r>
      <w:r>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647A69A8"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473446D8"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B8EAD20" w14:textId="25A74526"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Pr>
          <w:rFonts w:eastAsia="Times New Roman"/>
          <w:sz w:val="24"/>
          <w:szCs w:val="24"/>
        </w:rPr>
        <w:t>)</w:t>
      </w:r>
      <w:r w:rsidRPr="00D8125F">
        <w:rPr>
          <w:rFonts w:eastAsia="Times New Roman"/>
          <w:sz w:val="24"/>
          <w:szCs w:val="24"/>
        </w:rPr>
        <w:t>)</w:t>
      </w:r>
      <w:r w:rsidR="004C41DD">
        <w:rPr>
          <w:rFonts w:eastAsia="Times New Roman"/>
          <w:sz w:val="24"/>
          <w:szCs w:val="24"/>
        </w:rPr>
        <w:t>;</w:t>
      </w:r>
      <w:r w:rsidR="004C41DD" w:rsidRPr="004C41DD">
        <w:rPr>
          <w:rFonts w:eastAsia="Times New Roman"/>
          <w:b/>
          <w:bCs/>
          <w:sz w:val="24"/>
          <w:szCs w:val="24"/>
        </w:rPr>
        <w:t xml:space="preserve"> </w:t>
      </w:r>
      <w:r w:rsidR="004C41DD">
        <w:rPr>
          <w:rFonts w:eastAsia="Times New Roman"/>
          <w:b/>
          <w:bCs/>
          <w:sz w:val="24"/>
          <w:szCs w:val="24"/>
        </w:rPr>
        <w:t>Fresquez v. Trinidad Inn, Inc.</w:t>
      </w:r>
      <w:r w:rsidR="004C41DD">
        <w:rPr>
          <w:rFonts w:eastAsia="Times New Roman"/>
          <w:sz w:val="24"/>
          <w:szCs w:val="24"/>
        </w:rPr>
        <w:t>, 2022 COA 96, ¶ 25</w:t>
      </w:r>
      <w:r w:rsidR="0000701C">
        <w:rPr>
          <w:rFonts w:eastAsia="Times New Roman"/>
          <w:sz w:val="24"/>
          <w:szCs w:val="24"/>
        </w:rPr>
        <w:t>, 521 P.3d 399, 406</w:t>
      </w:r>
      <w:r w:rsidR="004C41DD">
        <w:rPr>
          <w:rFonts w:eastAsia="Times New Roman"/>
          <w:sz w:val="24"/>
          <w:szCs w:val="24"/>
        </w:rPr>
        <w:t xml:space="preserve"> (“A</w:t>
      </w:r>
      <w:r w:rsidR="004C41DD" w:rsidRPr="007A1FAF">
        <w:rPr>
          <w:rFonts w:eastAsia="Times New Roman"/>
          <w:sz w:val="24"/>
          <w:szCs w:val="24"/>
        </w:rPr>
        <w:t>pparent authority is the power held by an agent or other actor to affect a principal</w:t>
      </w:r>
      <w:r w:rsidR="004C41DD">
        <w:rPr>
          <w:rFonts w:eastAsia="Times New Roman"/>
          <w:sz w:val="24"/>
          <w:szCs w:val="24"/>
        </w:rPr>
        <w:t>’</w:t>
      </w:r>
      <w:r w:rsidR="004C41DD" w:rsidRPr="007A1FAF">
        <w:rPr>
          <w:rFonts w:eastAsia="Times New Roman"/>
          <w:sz w:val="24"/>
          <w:szCs w:val="24"/>
        </w:rPr>
        <w:t>s legal relations with third parties when a third party reasonably believes the actor has authority to act on behalf of the principal and that belief is traceable to the principal</w:t>
      </w:r>
      <w:r w:rsidR="004C41DD">
        <w:rPr>
          <w:rFonts w:eastAsia="Times New Roman"/>
          <w:sz w:val="24"/>
          <w:szCs w:val="24"/>
        </w:rPr>
        <w:t>’</w:t>
      </w:r>
      <w:r w:rsidR="004C41DD" w:rsidRPr="007A1FAF">
        <w:rPr>
          <w:rFonts w:eastAsia="Times New Roman"/>
          <w:sz w:val="24"/>
          <w:szCs w:val="24"/>
        </w:rPr>
        <w:t>s manifestations.”</w:t>
      </w:r>
      <w:r w:rsidR="004C41DD">
        <w:rPr>
          <w:rFonts w:eastAsia="Times New Roman"/>
          <w:sz w:val="24"/>
          <w:szCs w:val="24"/>
        </w:rPr>
        <w:t xml:space="preserve"> (citing </w:t>
      </w:r>
      <w:r w:rsidR="004C41DD" w:rsidRPr="00D30D15">
        <w:rPr>
          <w:rFonts w:eastAsia="Times New Roman"/>
          <w:smallCaps/>
          <w:sz w:val="24"/>
          <w:szCs w:val="24"/>
        </w:rPr>
        <w:t>Restatement (Third) of Agency</w:t>
      </w:r>
      <w:r w:rsidR="004C41DD">
        <w:rPr>
          <w:rFonts w:eastAsia="Times New Roman"/>
          <w:sz w:val="24"/>
          <w:szCs w:val="24"/>
        </w:rPr>
        <w:t xml:space="preserve"> § 2.03)</w:t>
      </w:r>
      <w:r w:rsidR="00C5367C">
        <w:rPr>
          <w:rFonts w:eastAsia="Times New Roman"/>
          <w:sz w:val="24"/>
          <w:szCs w:val="24"/>
        </w:rPr>
        <w:t>)</w:t>
      </w:r>
      <w:r>
        <w:rPr>
          <w:rFonts w:eastAsia="Times New Roman"/>
          <w:sz w:val="24"/>
          <w:szCs w:val="24"/>
        </w:rPr>
        <w:t xml:space="preserve">. </w:t>
      </w:r>
      <w:r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Wilson v. Mosko</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r w:rsidRPr="00D8125F">
        <w:rPr>
          <w:rFonts w:eastAsia="Times New Roman"/>
          <w:b/>
          <w:sz w:val="24"/>
          <w:szCs w:val="24"/>
        </w:rPr>
        <w:t>Burck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Pr="00D8125F">
        <w:rPr>
          <w:rFonts w:eastAsia="Times New Roman"/>
          <w:b/>
          <w:sz w:val="24"/>
          <w:szCs w:val="24"/>
        </w:rPr>
        <w:t>Kuehn v. Kuehn</w:t>
      </w:r>
      <w:r w:rsidRPr="00D8125F">
        <w:rPr>
          <w:rFonts w:eastAsia="Times New Roman"/>
          <w:sz w:val="24"/>
          <w:szCs w:val="24"/>
        </w:rPr>
        <w:t>, 642 P.2d 524 (Colo. App. 1981)</w:t>
      </w:r>
      <w:r>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Russell v. First Am</w:t>
      </w:r>
      <w:r>
        <w:rPr>
          <w:rFonts w:eastAsia="Times New Roman"/>
          <w:b/>
          <w:sz w:val="24"/>
          <w:szCs w:val="24"/>
        </w:rPr>
        <w:t>.</w:t>
      </w:r>
      <w:r w:rsidRPr="00D8125F">
        <w:rPr>
          <w:rFonts w:eastAsia="Times New Roman"/>
          <w:b/>
          <w:sz w:val="24"/>
          <w:szCs w:val="24"/>
        </w:rPr>
        <w:t xml:space="preserve"> Mortg</w:t>
      </w:r>
      <w:r>
        <w:rPr>
          <w:rFonts w:eastAsia="Times New Roman"/>
          <w:b/>
          <w:sz w:val="24"/>
          <w:szCs w:val="24"/>
        </w:rPr>
        <w:t>.</w:t>
      </w:r>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Pr>
          <w:rFonts w:eastAsia="Times New Roman"/>
          <w:sz w:val="24"/>
          <w:szCs w:val="24"/>
        </w:rPr>
        <w:t xml:space="preserve">(2006) </w:t>
      </w:r>
      <w:r w:rsidRPr="00D8125F">
        <w:rPr>
          <w:rFonts w:eastAsia="Times New Roman"/>
          <w:sz w:val="24"/>
          <w:szCs w:val="24"/>
        </w:rPr>
        <w:t>(defining apparent authority).</w:t>
      </w:r>
    </w:p>
    <w:p w14:paraId="555B0758" w14:textId="3AB7F20D" w:rsidR="00C5367C" w:rsidRPr="00CE36BC" w:rsidRDefault="00771A51" w:rsidP="00C5367C">
      <w:pPr>
        <w:spacing w:after="240"/>
        <w:ind w:firstLine="720"/>
        <w:rPr>
          <w:rFonts w:eastAsia="Times New Roman"/>
          <w:sz w:val="24"/>
          <w:szCs w:val="24"/>
        </w:rPr>
      </w:pPr>
      <w:r w:rsidRPr="00D8125F">
        <w:rPr>
          <w:rFonts w:eastAsia="Times New Roman"/>
          <w:sz w:val="24"/>
          <w:szCs w:val="24"/>
        </w:rPr>
        <w:t xml:space="preserve">2. </w:t>
      </w:r>
      <w:r w:rsidR="00C5367C">
        <w:rPr>
          <w:rFonts w:eastAsia="Times New Roman"/>
          <w:sz w:val="24"/>
          <w:szCs w:val="24"/>
        </w:rPr>
        <w:t xml:space="preserve">Apparent authority is “established by proof of written or spoken words or other conduct of the principal which, reasonably interpreted, causes a person to believe that the principal consents to have the act done on his behalf by a person purporting to act for him.” </w:t>
      </w:r>
      <w:r w:rsidR="00C5367C">
        <w:rPr>
          <w:rFonts w:eastAsia="Times New Roman"/>
          <w:b/>
          <w:bCs/>
          <w:sz w:val="24"/>
          <w:szCs w:val="24"/>
        </w:rPr>
        <w:t>Fresquez</w:t>
      </w:r>
      <w:r w:rsidR="00C5367C">
        <w:rPr>
          <w:rFonts w:eastAsia="Times New Roman"/>
          <w:sz w:val="24"/>
          <w:szCs w:val="24"/>
        </w:rPr>
        <w:t xml:space="preserve">, ¶ 25 (quoting </w:t>
      </w:r>
      <w:r w:rsidR="00C5367C" w:rsidRPr="00647CC5">
        <w:rPr>
          <w:rFonts w:eastAsia="Times New Roman"/>
          <w:b/>
          <w:sz w:val="24"/>
          <w:szCs w:val="24"/>
        </w:rPr>
        <w:t>Villalpando v. Denver Health &amp; Hosp. Auth.</w:t>
      </w:r>
      <w:r w:rsidR="00C5367C" w:rsidRPr="00647CC5">
        <w:rPr>
          <w:rFonts w:eastAsia="Times New Roman"/>
          <w:sz w:val="24"/>
          <w:szCs w:val="24"/>
        </w:rPr>
        <w:t>, 181 P.3d 357</w:t>
      </w:r>
      <w:r w:rsidR="00C5367C">
        <w:rPr>
          <w:rFonts w:eastAsia="Times New Roman"/>
          <w:sz w:val="24"/>
          <w:szCs w:val="24"/>
        </w:rPr>
        <w:t>, 363</w:t>
      </w:r>
      <w:r w:rsidR="00C5367C" w:rsidRPr="00647CC5">
        <w:rPr>
          <w:rFonts w:eastAsia="Times New Roman"/>
          <w:sz w:val="24"/>
          <w:szCs w:val="24"/>
        </w:rPr>
        <w:t xml:space="preserve"> (Colo. App. 2007)</w:t>
      </w:r>
      <w:r w:rsidR="00C5367C">
        <w:rPr>
          <w:rFonts w:eastAsia="Times New Roman"/>
          <w:sz w:val="24"/>
          <w:szCs w:val="24"/>
        </w:rPr>
        <w:t xml:space="preserve">). </w:t>
      </w:r>
    </w:p>
    <w:p w14:paraId="6B948A9A" w14:textId="20358CDE" w:rsidR="00E01A1E" w:rsidRPr="00D8125F" w:rsidRDefault="00C5367C" w:rsidP="00C5367C">
      <w:pPr>
        <w:spacing w:after="240"/>
        <w:ind w:firstLine="720"/>
        <w:rPr>
          <w:rFonts w:eastAsia="Times New Roman"/>
          <w:sz w:val="24"/>
          <w:szCs w:val="24"/>
        </w:rPr>
      </w:pPr>
      <w:r>
        <w:rPr>
          <w:rFonts w:eastAsia="Times New Roman"/>
          <w:sz w:val="24"/>
          <w:szCs w:val="24"/>
        </w:rPr>
        <w:t xml:space="preserve">3. </w:t>
      </w:r>
      <w:r w:rsidR="00771A51" w:rsidRPr="00D8125F">
        <w:rPr>
          <w:rFonts w:eastAsia="Times New Roman"/>
          <w:sz w:val="24"/>
          <w:szCs w:val="24"/>
        </w:rPr>
        <w:t xml:space="preserve">For a general historical discussion of apparent authority and the typical situations in which it may exist, see </w:t>
      </w:r>
      <w:r w:rsidR="00771A51" w:rsidRPr="00D8125F">
        <w:rPr>
          <w:rFonts w:eastAsia="Times New Roman"/>
          <w:smallCaps/>
          <w:sz w:val="24"/>
          <w:szCs w:val="24"/>
        </w:rPr>
        <w:t>W. Seavey, Agency</w:t>
      </w:r>
      <w:r w:rsidR="00771A51" w:rsidRPr="00D8125F">
        <w:rPr>
          <w:rFonts w:eastAsia="Times New Roman"/>
          <w:sz w:val="24"/>
          <w:szCs w:val="24"/>
        </w:rPr>
        <w:t xml:space="preserve"> § 8, at 13-14 (1964); </w:t>
      </w:r>
      <w:r w:rsidR="00771A51" w:rsidRPr="00D8125F">
        <w:rPr>
          <w:rFonts w:eastAsia="Times New Roman"/>
          <w:smallCaps/>
          <w:sz w:val="24"/>
          <w:szCs w:val="24"/>
        </w:rPr>
        <w:t>P. Mechem, Outlines of the Law of Agency</w:t>
      </w:r>
      <w:r w:rsidR="00771A51" w:rsidRPr="00D8125F">
        <w:rPr>
          <w:rFonts w:eastAsia="Times New Roman"/>
          <w:sz w:val="24"/>
          <w:szCs w:val="24"/>
        </w:rPr>
        <w:t xml:space="preserve"> §§ 84-95 (4th ed. 1952).</w:t>
      </w:r>
    </w:p>
    <w:p w14:paraId="3C9617F4" w14:textId="14B9C854" w:rsidR="00E01A1E" w:rsidRPr="00D8125F" w:rsidRDefault="00C5367C" w:rsidP="00E01A1E">
      <w:pPr>
        <w:spacing w:after="240"/>
        <w:ind w:firstLine="720"/>
        <w:rPr>
          <w:rFonts w:eastAsia="Times New Roman"/>
          <w:sz w:val="24"/>
          <w:szCs w:val="24"/>
        </w:rPr>
      </w:pPr>
      <w:r>
        <w:rPr>
          <w:rFonts w:eastAsia="Times New Roman"/>
          <w:sz w:val="24"/>
          <w:szCs w:val="24"/>
        </w:rPr>
        <w:lastRenderedPageBreak/>
        <w:t>4</w:t>
      </w:r>
      <w:r w:rsidR="00771A51" w:rsidRPr="00D8125F">
        <w:rPr>
          <w:rFonts w:eastAsia="Times New Roman"/>
          <w:sz w:val="24"/>
          <w:szCs w:val="24"/>
        </w:rPr>
        <w:t>. For the distinction between apparent and implied authority, see</w:t>
      </w:r>
      <w:r w:rsidR="00771A51" w:rsidRPr="00D8125F">
        <w:rPr>
          <w:rFonts w:eastAsia="Times New Roman"/>
          <w:i/>
          <w:sz w:val="24"/>
          <w:szCs w:val="24"/>
        </w:rPr>
        <w:t xml:space="preserve"> </w:t>
      </w:r>
      <w:r w:rsidR="00771A51" w:rsidRPr="00D8125F">
        <w:rPr>
          <w:rFonts w:eastAsia="Times New Roman"/>
          <w:b/>
          <w:sz w:val="24"/>
          <w:szCs w:val="24"/>
        </w:rPr>
        <w:t>Johnson</w:t>
      </w:r>
      <w:r w:rsidR="00771A51" w:rsidRPr="00D8125F">
        <w:rPr>
          <w:rFonts w:eastAsia="Times New Roman"/>
          <w:sz w:val="24"/>
          <w:szCs w:val="24"/>
        </w:rPr>
        <w:t>, ¶¶ 20-22</w:t>
      </w:r>
      <w:r w:rsidR="0090551B">
        <w:rPr>
          <w:rFonts w:eastAsia="Times New Roman"/>
          <w:sz w:val="24"/>
          <w:szCs w:val="24"/>
        </w:rPr>
        <w:t>, 396 P.3d at 656</w:t>
      </w:r>
      <w:r w:rsidR="00771A51" w:rsidRPr="00D8125F">
        <w:rPr>
          <w:rFonts w:eastAsia="Times New Roman"/>
          <w:sz w:val="24"/>
          <w:szCs w:val="24"/>
        </w:rPr>
        <w:t xml:space="preserve">; </w:t>
      </w:r>
      <w:r w:rsidR="00771A51" w:rsidRPr="00D8125F">
        <w:rPr>
          <w:rFonts w:eastAsia="Times New Roman"/>
          <w:b/>
          <w:sz w:val="24"/>
          <w:szCs w:val="24"/>
        </w:rPr>
        <w:t>Moore v. Switzer</w:t>
      </w:r>
      <w:r w:rsidR="00771A51" w:rsidRPr="00D8125F">
        <w:rPr>
          <w:rFonts w:eastAsia="Times New Roman"/>
          <w:sz w:val="24"/>
          <w:szCs w:val="24"/>
        </w:rPr>
        <w:t xml:space="preserve">, 78 Colo. 63, 239 P. 874 (1925); </w:t>
      </w:r>
      <w:r w:rsidR="00771A51">
        <w:rPr>
          <w:rFonts w:eastAsia="Times New Roman"/>
          <w:sz w:val="24"/>
          <w:szCs w:val="24"/>
        </w:rPr>
        <w:t xml:space="preserve">and </w:t>
      </w:r>
      <w:r w:rsidR="00771A51" w:rsidRPr="00D8125F">
        <w:rPr>
          <w:rFonts w:eastAsia="Times New Roman"/>
          <w:b/>
          <w:sz w:val="24"/>
          <w:szCs w:val="24"/>
        </w:rPr>
        <w:t>Sigel-Campion Live Stock Commc’n Co. v. Ardohain</w:t>
      </w:r>
      <w:r w:rsidR="00771A51" w:rsidRPr="00D8125F">
        <w:rPr>
          <w:rFonts w:eastAsia="Times New Roman"/>
          <w:sz w:val="24"/>
          <w:szCs w:val="24"/>
        </w:rPr>
        <w:t>, 71 Colo. 410, 207 P. 82 (1922) (awareness of, and reliance on, a “holding out” by the principal required for apparent authority).</w:t>
      </w:r>
    </w:p>
    <w:p w14:paraId="6521B598" w14:textId="3646F8A9" w:rsidR="00E01A1E" w:rsidRPr="00D8125F" w:rsidRDefault="00C5367C" w:rsidP="00E01A1E">
      <w:pPr>
        <w:spacing w:after="240"/>
        <w:ind w:firstLine="720"/>
        <w:rPr>
          <w:rFonts w:eastAsia="Times New Roman"/>
          <w:sz w:val="24"/>
          <w:szCs w:val="24"/>
        </w:rPr>
      </w:pPr>
      <w:r>
        <w:rPr>
          <w:rFonts w:eastAsia="Times New Roman"/>
          <w:sz w:val="24"/>
          <w:szCs w:val="24"/>
        </w:rPr>
        <w:t>5</w:t>
      </w:r>
      <w:r w:rsidR="00771A51" w:rsidRPr="00D8125F">
        <w:rPr>
          <w:rFonts w:eastAsia="Times New Roman"/>
          <w:sz w:val="24"/>
          <w:szCs w:val="24"/>
        </w:rPr>
        <w:t xml:space="preserve">. Where a third party has dealt with an agent and has established the existence of apparent authority, it is incumbent upon the principal who seeks to escape liability for the agent’s actions to show that the third party had knowledge or was charged with notice that the agent was acting beyond the scope of the agent’s authority. </w:t>
      </w:r>
      <w:r w:rsidR="00771A51" w:rsidRPr="00D8125F">
        <w:rPr>
          <w:rFonts w:eastAsia="Times New Roman"/>
          <w:b/>
          <w:sz w:val="24"/>
          <w:szCs w:val="24"/>
        </w:rPr>
        <w:t>Bowser</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 xml:space="preserve">112 Colo. at 379-80, 149 P.2d at 803; </w:t>
      </w:r>
      <w:r w:rsidR="00771A51" w:rsidRPr="00D8125F">
        <w:rPr>
          <w:rFonts w:eastAsia="Times New Roman"/>
          <w:b/>
          <w:sz w:val="24"/>
          <w:szCs w:val="24"/>
        </w:rPr>
        <w:t>Zambruk v. Perlmutter 3rd Generation Builders, Inc.</w:t>
      </w:r>
      <w:r w:rsidR="00771A51" w:rsidRPr="00D8125F">
        <w:rPr>
          <w:rFonts w:eastAsia="Times New Roman"/>
          <w:sz w:val="24"/>
          <w:szCs w:val="24"/>
        </w:rPr>
        <w:t>, 32 Colo. App. 276, 510 P.2d 472 (1973)</w:t>
      </w:r>
      <w:r w:rsidR="00771A51">
        <w:rPr>
          <w:rFonts w:eastAsia="Times New Roman"/>
          <w:sz w:val="24"/>
          <w:szCs w:val="24"/>
        </w:rPr>
        <w:t>;</w:t>
      </w:r>
      <w:r w:rsidR="00771A51" w:rsidRPr="00D8125F">
        <w:rPr>
          <w:rFonts w:eastAsia="Times New Roman"/>
          <w:sz w:val="24"/>
          <w:szCs w:val="24"/>
        </w:rPr>
        <w:t xml:space="preserve"> </w:t>
      </w:r>
      <w:r w:rsidR="00771A51">
        <w:rPr>
          <w:rFonts w:eastAsia="Times New Roman"/>
          <w:i/>
          <w:sz w:val="24"/>
          <w:szCs w:val="24"/>
        </w:rPr>
        <w:t>s</w:t>
      </w:r>
      <w:r w:rsidR="00771A51" w:rsidRPr="00D8125F">
        <w:rPr>
          <w:rFonts w:eastAsia="Times New Roman"/>
          <w:i/>
          <w:sz w:val="24"/>
          <w:szCs w:val="24"/>
        </w:rPr>
        <w:t>ee also</w:t>
      </w:r>
      <w:r w:rsidR="00771A51" w:rsidRPr="00D8125F">
        <w:rPr>
          <w:rFonts w:eastAsia="Times New Roman"/>
          <w:sz w:val="24"/>
          <w:szCs w:val="24"/>
        </w:rPr>
        <w:t xml:space="preserve"> </w:t>
      </w:r>
      <w:r w:rsidR="00771A51" w:rsidRPr="00D8125F">
        <w:rPr>
          <w:rFonts w:eastAsia="Times New Roman"/>
          <w:b/>
          <w:sz w:val="24"/>
          <w:szCs w:val="24"/>
        </w:rPr>
        <w:t>White v. Brock</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41 Colo. App. 156, 584 P.2d 1224 (1978).</w:t>
      </w:r>
    </w:p>
    <w:p w14:paraId="59406CC5" w14:textId="5BBE436F" w:rsidR="00E01A1E" w:rsidRPr="00D8125F" w:rsidRDefault="00C5367C" w:rsidP="00E01A1E">
      <w:pPr>
        <w:spacing w:after="240"/>
        <w:ind w:firstLine="720"/>
        <w:rPr>
          <w:rFonts w:eastAsia="Times New Roman"/>
          <w:sz w:val="24"/>
          <w:szCs w:val="24"/>
        </w:rPr>
      </w:pPr>
      <w:r>
        <w:rPr>
          <w:rFonts w:eastAsia="Times New Roman"/>
          <w:sz w:val="24"/>
          <w:szCs w:val="24"/>
        </w:rPr>
        <w:t>6</w:t>
      </w:r>
      <w:r w:rsidR="00771A51" w:rsidRPr="003D4122">
        <w:rPr>
          <w:rFonts w:eastAsia="Times New Roman"/>
          <w:sz w:val="24"/>
          <w:szCs w:val="24"/>
        </w:rPr>
        <w:t xml:space="preserve">. The </w:t>
      </w:r>
      <w:r w:rsidR="00771A51" w:rsidRPr="003D4122">
        <w:rPr>
          <w:rFonts w:eastAsia="Times New Roman"/>
          <w:smallCaps/>
          <w:sz w:val="24"/>
          <w:szCs w:val="24"/>
        </w:rPr>
        <w:t>Restatement (Second) of Torts</w:t>
      </w:r>
      <w:r w:rsidR="00771A51"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00771A51" w:rsidRPr="003D4122">
        <w:rPr>
          <w:rFonts w:eastAsia="Times New Roman"/>
          <w:b/>
          <w:sz w:val="24"/>
          <w:szCs w:val="24"/>
        </w:rPr>
        <w:t>Grease Monkey International, Inc. v. Montoya</w:t>
      </w:r>
      <w:r w:rsidR="00771A51" w:rsidRPr="003D4122">
        <w:rPr>
          <w:rFonts w:eastAsia="Times New Roman"/>
          <w:sz w:val="24"/>
          <w:szCs w:val="24"/>
        </w:rPr>
        <w:t>,</w:t>
      </w:r>
      <w:r w:rsidR="00771A51" w:rsidRPr="003D4122">
        <w:rPr>
          <w:rFonts w:eastAsia="Times New Roman"/>
          <w:b/>
          <w:sz w:val="24"/>
          <w:szCs w:val="24"/>
        </w:rPr>
        <w:t xml:space="preserve"> </w:t>
      </w:r>
      <w:r w:rsidR="00771A51" w:rsidRPr="003D4122">
        <w:rPr>
          <w:rFonts w:eastAsia="Times New Roman"/>
          <w:sz w:val="24"/>
          <w:szCs w:val="24"/>
        </w:rPr>
        <w:t>904 P.2d 468 (Colo. 1995) (Grease Monkey liable for the fraudulent acts of its Chief Operating Officer because the COO was put in a position that enabled him to commit fraud, he acted within his apparent authority, and he committed fraud).</w:t>
      </w:r>
    </w:p>
    <w:p w14:paraId="1799B8A1" w14:textId="5480479B" w:rsidR="00E01A1E" w:rsidRDefault="00C5367C" w:rsidP="00E01A1E">
      <w:pPr>
        <w:spacing w:after="240"/>
        <w:ind w:firstLine="720"/>
        <w:rPr>
          <w:rFonts w:eastAsia="Times New Roman"/>
          <w:sz w:val="24"/>
          <w:szCs w:val="24"/>
        </w:rPr>
      </w:pPr>
      <w:r>
        <w:rPr>
          <w:rFonts w:eastAsia="Times New Roman"/>
          <w:sz w:val="24"/>
          <w:szCs w:val="24"/>
        </w:rPr>
        <w:t>7</w:t>
      </w:r>
      <w:r w:rsidR="00771A51" w:rsidRPr="00D8125F">
        <w:rPr>
          <w:rFonts w:eastAsia="Times New Roman"/>
          <w:sz w:val="24"/>
          <w:szCs w:val="24"/>
        </w:rPr>
        <w:t xml:space="preserve">. “Apparent authority thus flows only from the acts and conduct of the principal.” </w:t>
      </w:r>
      <w:r w:rsidR="00771A51" w:rsidRPr="00D8125F">
        <w:rPr>
          <w:rFonts w:eastAsia="Times New Roman"/>
          <w:b/>
          <w:sz w:val="24"/>
          <w:szCs w:val="24"/>
        </w:rPr>
        <w:t>Johnson</w:t>
      </w:r>
      <w:r w:rsidR="00771A51" w:rsidRPr="00D8125F">
        <w:rPr>
          <w:rFonts w:eastAsia="Times New Roman"/>
          <w:sz w:val="24"/>
          <w:szCs w:val="24"/>
        </w:rPr>
        <w:t>, ¶ 20</w:t>
      </w:r>
      <w:r w:rsidR="0090551B">
        <w:rPr>
          <w:rFonts w:eastAsia="Times New Roman"/>
          <w:sz w:val="24"/>
          <w:szCs w:val="24"/>
        </w:rPr>
        <w:t>, 396 P.3d at 656</w:t>
      </w:r>
      <w:r w:rsidR="00771A51" w:rsidRPr="00D8125F">
        <w:rPr>
          <w:rFonts w:eastAsia="Times New Roman"/>
          <w:sz w:val="24"/>
          <w:szCs w:val="24"/>
        </w:rPr>
        <w:t xml:space="preserve"> (citation omitted)</w:t>
      </w:r>
      <w:r>
        <w:rPr>
          <w:rFonts w:eastAsia="Times New Roman"/>
          <w:sz w:val="24"/>
          <w:szCs w:val="24"/>
        </w:rPr>
        <w:t>;</w:t>
      </w:r>
      <w:r w:rsidRPr="00C5367C">
        <w:rPr>
          <w:rFonts w:eastAsia="Times New Roman"/>
          <w:i/>
          <w:iCs/>
          <w:sz w:val="24"/>
          <w:szCs w:val="24"/>
        </w:rPr>
        <w:t xml:space="preserve"> </w:t>
      </w:r>
      <w:r w:rsidRPr="00F34203">
        <w:rPr>
          <w:rFonts w:eastAsia="Times New Roman"/>
          <w:i/>
          <w:iCs/>
          <w:sz w:val="24"/>
          <w:szCs w:val="24"/>
        </w:rPr>
        <w:t>accord</w:t>
      </w:r>
      <w:r>
        <w:rPr>
          <w:rFonts w:eastAsia="Times New Roman"/>
          <w:i/>
          <w:iCs/>
          <w:sz w:val="24"/>
          <w:szCs w:val="24"/>
        </w:rPr>
        <w:t xml:space="preserve"> </w:t>
      </w:r>
      <w:r>
        <w:rPr>
          <w:rFonts w:eastAsia="Times New Roman"/>
          <w:b/>
          <w:bCs/>
          <w:sz w:val="24"/>
          <w:szCs w:val="24"/>
        </w:rPr>
        <w:t>Fresquez</w:t>
      </w:r>
      <w:r>
        <w:rPr>
          <w:rFonts w:eastAsia="Times New Roman"/>
          <w:sz w:val="24"/>
          <w:szCs w:val="24"/>
        </w:rPr>
        <w:t>, ¶ 25</w:t>
      </w:r>
      <w:r w:rsidR="00771A51" w:rsidRPr="00D8125F">
        <w:rPr>
          <w:rFonts w:eastAsia="Times New Roman"/>
          <w:sz w:val="24"/>
          <w:szCs w:val="24"/>
        </w:rPr>
        <w:t xml:space="preserve">. </w:t>
      </w:r>
    </w:p>
    <w:p w14:paraId="7F4CC403" w14:textId="5847F0E8" w:rsidR="00E01A1E" w:rsidRPr="000042FE" w:rsidRDefault="00C5367C" w:rsidP="00E01A1E">
      <w:pPr>
        <w:spacing w:after="240"/>
        <w:ind w:firstLine="720"/>
        <w:rPr>
          <w:rFonts w:eastAsia="Times New Roman"/>
          <w:sz w:val="24"/>
          <w:szCs w:val="24"/>
        </w:rPr>
      </w:pPr>
      <w:r>
        <w:rPr>
          <w:rFonts w:eastAsia="Times New Roman"/>
          <w:sz w:val="24"/>
          <w:szCs w:val="24"/>
        </w:rPr>
        <w:t>8</w:t>
      </w:r>
      <w:r w:rsidR="00771A51">
        <w:rPr>
          <w:rFonts w:eastAsia="Times New Roman"/>
          <w:sz w:val="24"/>
          <w:szCs w:val="24"/>
        </w:rPr>
        <w:t xml:space="preserve">. Colorado courts have used the terms “ostensible agency,” “apparent agency,” “apparent authority,” and “agency by estoppel” interchangeably. </w:t>
      </w:r>
      <w:r w:rsidR="00771A51">
        <w:rPr>
          <w:rFonts w:eastAsia="Times New Roman"/>
          <w:b/>
          <w:sz w:val="24"/>
          <w:szCs w:val="24"/>
        </w:rPr>
        <w:t>Carl’s Italian Rest. v. Truck Ins. Exch.</w:t>
      </w:r>
      <w:r w:rsidR="00771A51">
        <w:rPr>
          <w:rFonts w:eastAsia="Times New Roman"/>
          <w:sz w:val="24"/>
          <w:szCs w:val="24"/>
        </w:rPr>
        <w:t xml:space="preserve">, 183 P.3d 636 (Colo. App. 2007); </w:t>
      </w:r>
      <w:r w:rsidR="00771A51">
        <w:rPr>
          <w:rFonts w:eastAsia="Times New Roman"/>
          <w:b/>
          <w:sz w:val="24"/>
          <w:szCs w:val="24"/>
        </w:rPr>
        <w:t>Daly v. Aspen Ctr. for Women’s Health, Inc.</w:t>
      </w:r>
      <w:r w:rsidR="00771A51">
        <w:rPr>
          <w:rFonts w:eastAsia="Times New Roman"/>
          <w:sz w:val="24"/>
          <w:szCs w:val="24"/>
        </w:rPr>
        <w:t>, 134 P.3d 450 (Colo. App. 2005).</w:t>
      </w:r>
    </w:p>
    <w:p w14:paraId="3F08AAE4" w14:textId="77777777" w:rsidR="00E01A1E" w:rsidRDefault="00771A51">
      <w:pPr>
        <w:rPr>
          <w:rFonts w:eastAsia="Times New Roman"/>
          <w:sz w:val="24"/>
          <w:szCs w:val="24"/>
        </w:rPr>
      </w:pPr>
      <w:r>
        <w:rPr>
          <w:rFonts w:eastAsia="Times New Roman"/>
          <w:sz w:val="24"/>
          <w:szCs w:val="24"/>
        </w:rPr>
        <w:br w:type="page"/>
      </w:r>
    </w:p>
    <w:p w14:paraId="4A90B3C9" w14:textId="77777777" w:rsidR="00E01A1E" w:rsidRPr="009E3DA4" w:rsidRDefault="00771A51" w:rsidP="00E01A1E">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2C4E0062" w14:textId="18BEFFEE"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 xml:space="preserve">An agent is acting outside the scope of </w:t>
      </w:r>
      <w:r w:rsidR="003E686C" w:rsidRPr="003E686C">
        <w:rPr>
          <w:rFonts w:eastAsia="Times New Roman"/>
          <w:bCs/>
          <w:i/>
          <w:iCs/>
          <w:sz w:val="24"/>
          <w:szCs w:val="24"/>
        </w:rPr>
        <w:t>(insert applicable pronoun)</w:t>
      </w:r>
      <w:r w:rsidRPr="008D4A28">
        <w:rPr>
          <w:rFonts w:eastAsia="Times New Roman"/>
          <w:b/>
          <w:sz w:val="24"/>
          <w:szCs w:val="24"/>
        </w:rPr>
        <w:t xml:space="preserve"> (authority) (employment) when the agent substantially departs from </w:t>
      </w:r>
      <w:r w:rsidR="003E686C" w:rsidRPr="003E686C">
        <w:rPr>
          <w:rFonts w:eastAsia="Times New Roman"/>
          <w:bCs/>
          <w:i/>
          <w:iCs/>
          <w:sz w:val="24"/>
          <w:szCs w:val="24"/>
        </w:rPr>
        <w:t>(insert applicable pronoun)</w:t>
      </w:r>
      <w:r w:rsidRPr="008D4A28">
        <w:rPr>
          <w:rFonts w:eastAsia="Times New Roman"/>
          <w:b/>
          <w:sz w:val="24"/>
          <w:szCs w:val="24"/>
        </w:rPr>
        <w:t xml:space="preserve">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w:t>
      </w:r>
      <w:r w:rsidR="003E686C" w:rsidRPr="003E686C">
        <w:rPr>
          <w:rFonts w:eastAsia="Times New Roman"/>
          <w:bCs/>
          <w:i/>
          <w:iCs/>
          <w:sz w:val="24"/>
          <w:szCs w:val="24"/>
        </w:rPr>
        <w:t>(insert applicable pronoun)</w:t>
      </w:r>
      <w:r w:rsidRPr="008D4A28">
        <w:rPr>
          <w:rFonts w:eastAsia="Times New Roman"/>
          <w:b/>
          <w:sz w:val="24"/>
          <w:szCs w:val="24"/>
        </w:rPr>
        <w:t xml:space="preserve"> (authority) (employment).</w:t>
      </w:r>
    </w:p>
    <w:p w14:paraId="47718BB0" w14:textId="77777777" w:rsidR="00E01A1E" w:rsidRDefault="00E01A1E" w:rsidP="00E01A1E">
      <w:pPr>
        <w:jc w:val="center"/>
        <w:rPr>
          <w:rFonts w:eastAsia="Times New Roman"/>
          <w:sz w:val="24"/>
          <w:szCs w:val="24"/>
        </w:rPr>
      </w:pPr>
    </w:p>
    <w:p w14:paraId="6A08C1D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6D014C50"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65D998E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67CB382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7A36C58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459CB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Marron v. Helmecke</w:t>
      </w:r>
      <w:r w:rsidRPr="008D4A28">
        <w:rPr>
          <w:rFonts w:eastAsia="Times New Roman"/>
          <w:sz w:val="24"/>
          <w:szCs w:val="24"/>
        </w:rPr>
        <w:t xml:space="preserve">, 100 Colo. 364, 67 P.2d 1034 (1937). For additional cases, see </w:t>
      </w:r>
      <w:r>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r>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639936D9"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A</w:t>
      </w:r>
      <w:r>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Pr>
          <w:rFonts w:eastAsia="Times New Roman"/>
          <w:sz w:val="24"/>
          <w:szCs w:val="24"/>
        </w:rPr>
        <w:t xml:space="preserve">or her </w:t>
      </w:r>
      <w:r w:rsidRPr="008D4A28">
        <w:rPr>
          <w:rFonts w:eastAsia="Times New Roman"/>
          <w:sz w:val="24"/>
          <w:szCs w:val="24"/>
        </w:rPr>
        <w:t xml:space="preserve">employment. </w:t>
      </w:r>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
    <w:p w14:paraId="07DA090A"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52996ED1" w14:textId="77777777" w:rsidR="00E01A1E" w:rsidRDefault="00771A51">
      <w:pPr>
        <w:rPr>
          <w:rFonts w:eastAsia="Times New Roman"/>
          <w:sz w:val="24"/>
          <w:szCs w:val="24"/>
        </w:rPr>
      </w:pPr>
      <w:r>
        <w:rPr>
          <w:rFonts w:eastAsia="Times New Roman"/>
          <w:sz w:val="24"/>
          <w:szCs w:val="24"/>
        </w:rPr>
        <w:br w:type="page"/>
      </w:r>
    </w:p>
    <w:p w14:paraId="633D2BE1" w14:textId="77777777" w:rsidR="00E01A1E" w:rsidRPr="009E3DA4" w:rsidRDefault="00771A51" w:rsidP="00E01A1E">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3CC93C6B"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0F1F9B02" w14:textId="77777777" w:rsidR="00E01A1E" w:rsidRDefault="00E01A1E" w:rsidP="00E01A1E">
      <w:pPr>
        <w:jc w:val="center"/>
        <w:rPr>
          <w:rFonts w:eastAsia="Times New Roman"/>
          <w:sz w:val="24"/>
          <w:szCs w:val="24"/>
        </w:rPr>
      </w:pPr>
    </w:p>
    <w:p w14:paraId="4A8A4FC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7244E87"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Pr>
          <w:rFonts w:eastAsia="Times New Roman"/>
          <w:b/>
          <w:sz w:val="24"/>
          <w:szCs w:val="24"/>
        </w:rPr>
        <w:t>.</w:t>
      </w:r>
      <w:r w:rsidRPr="008D4A28">
        <w:rPr>
          <w:rFonts w:eastAsia="Times New Roman"/>
          <w:b/>
          <w:sz w:val="24"/>
          <w:szCs w:val="24"/>
        </w:rPr>
        <w:t xml:space="preserve"> Inv. &amp; Land Co. v. 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 In such circumstances, this instruction should be appropriately modified.</w:t>
      </w:r>
    </w:p>
    <w:p w14:paraId="06E56FD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AFFE93D" w14:textId="004804E1"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Nunnally v. Hilderman</w:t>
      </w:r>
      <w:r w:rsidRPr="008D4A28">
        <w:rPr>
          <w:rFonts w:eastAsia="Times New Roman"/>
          <w:sz w:val="24"/>
          <w:szCs w:val="24"/>
        </w:rPr>
        <w:t>, 150 Colo. 363, 373 P.2d 940 (1962);</w:t>
      </w:r>
      <w:r>
        <w:rPr>
          <w:rFonts w:eastAsia="Times New Roman"/>
          <w:sz w:val="24"/>
          <w:szCs w:val="24"/>
        </w:rPr>
        <w:t xml:space="preserve"> </w:t>
      </w:r>
      <w:r w:rsidR="00C5367C">
        <w:rPr>
          <w:rFonts w:eastAsia="Times New Roman"/>
          <w:b/>
          <w:bCs/>
          <w:sz w:val="24"/>
          <w:szCs w:val="24"/>
        </w:rPr>
        <w:t>Fresquez v. Trinidad Inn, Inc.</w:t>
      </w:r>
      <w:r w:rsidR="00C5367C">
        <w:rPr>
          <w:rFonts w:eastAsia="Times New Roman"/>
          <w:sz w:val="24"/>
          <w:szCs w:val="24"/>
        </w:rPr>
        <w:t>, 2022 COA 96, ¶ 60</w:t>
      </w:r>
      <w:r w:rsidR="0000701C">
        <w:rPr>
          <w:rFonts w:eastAsia="Times New Roman"/>
          <w:sz w:val="24"/>
          <w:szCs w:val="24"/>
        </w:rPr>
        <w:t>, 521 P.3d 399</w:t>
      </w:r>
      <w:r w:rsidR="00C5367C">
        <w:rPr>
          <w:rFonts w:eastAsia="Times New Roman"/>
          <w:sz w:val="24"/>
          <w:szCs w:val="24"/>
        </w:rPr>
        <w:t xml:space="preserve">; </w:t>
      </w:r>
      <w:r>
        <w:rPr>
          <w:rFonts w:eastAsia="Times New Roman"/>
          <w:b/>
          <w:sz w:val="24"/>
          <w:szCs w:val="24"/>
        </w:rPr>
        <w:t>Fiscus v. Liberty Mortgage Corp.</w:t>
      </w:r>
      <w:r>
        <w:rPr>
          <w:rFonts w:eastAsia="Times New Roman"/>
          <w:sz w:val="24"/>
          <w:szCs w:val="24"/>
        </w:rPr>
        <w:t xml:space="preserve">, 2014 COA 79, ¶ 40, 373 P.3d 644, </w:t>
      </w:r>
      <w:r w:rsidRPr="00992C84">
        <w:rPr>
          <w:rFonts w:eastAsia="Times New Roman"/>
          <w:i/>
          <w:sz w:val="24"/>
          <w:szCs w:val="24"/>
        </w:rPr>
        <w:t>aff’d</w:t>
      </w:r>
      <w:r>
        <w:rPr>
          <w:rFonts w:eastAsia="Times New Roman"/>
          <w:i/>
          <w:sz w:val="24"/>
          <w:szCs w:val="24"/>
        </w:rPr>
        <w:t xml:space="preserve"> on other grounds</w:t>
      </w:r>
      <w:r>
        <w:rPr>
          <w:rFonts w:eastAsia="Times New Roman"/>
          <w:sz w:val="24"/>
          <w:szCs w:val="24"/>
        </w:rPr>
        <w:t>, 2016 CO 31, 379 P.3d 278;</w:t>
      </w:r>
      <w:r w:rsidRPr="008D4A28">
        <w:rPr>
          <w:rFonts w:eastAsia="Times New Roman"/>
          <w:sz w:val="24"/>
          <w:szCs w:val="24"/>
        </w:rPr>
        <w:t xml:space="preserve"> </w:t>
      </w:r>
      <w:r>
        <w:rPr>
          <w:rFonts w:eastAsia="Times New Roman"/>
          <w:b/>
          <w:sz w:val="24"/>
          <w:szCs w:val="24"/>
        </w:rPr>
        <w:t xml:space="preserve">Siener v. </w:t>
      </w:r>
      <w:r w:rsidRPr="00263AAC">
        <w:rPr>
          <w:rFonts w:eastAsia="Times New Roman"/>
          <w:b/>
          <w:sz w:val="24"/>
          <w:szCs w:val="24"/>
        </w:rPr>
        <w:t>Zeff</w:t>
      </w:r>
      <w:r>
        <w:rPr>
          <w:rFonts w:eastAsia="Times New Roman"/>
          <w:sz w:val="24"/>
          <w:szCs w:val="24"/>
        </w:rPr>
        <w:t>, 194 P.3d 467 (Colo. App. 2008);</w:t>
      </w:r>
      <w:r>
        <w:rPr>
          <w:rFonts w:eastAsia="Times New Roman"/>
          <w:b/>
          <w:sz w:val="24"/>
          <w:szCs w:val="24"/>
        </w:rPr>
        <w:t xml:space="preserve"> </w:t>
      </w:r>
      <w:r w:rsidRPr="00263AAC">
        <w:rPr>
          <w:rFonts w:eastAsia="Times New Roman"/>
          <w:b/>
          <w:sz w:val="24"/>
          <w:szCs w:val="24"/>
        </w:rPr>
        <w:t>DeBose</w:t>
      </w:r>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r w:rsidRPr="008D4A28">
        <w:rPr>
          <w:rFonts w:eastAsia="Times New Roman"/>
          <w:i/>
          <w:sz w:val="24"/>
          <w:szCs w:val="24"/>
        </w:rPr>
        <w:t>rev’d on other ground</w:t>
      </w:r>
      <w:r>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Pr>
          <w:rFonts w:eastAsia="Times New Roman"/>
          <w:sz w:val="24"/>
          <w:szCs w:val="24"/>
        </w:rPr>
        <w:t xml:space="preserve">and </w:t>
      </w:r>
      <w:r w:rsidRPr="008D4A28">
        <w:rPr>
          <w:rFonts w:eastAsia="Times New Roman"/>
          <w:b/>
          <w:sz w:val="24"/>
          <w:szCs w:val="24"/>
        </w:rPr>
        <w:t>M.S.P. Indus</w:t>
      </w:r>
      <w:r>
        <w:rPr>
          <w:rFonts w:eastAsia="Times New Roman"/>
          <w:b/>
          <w:sz w:val="24"/>
          <w:szCs w:val="24"/>
        </w:rPr>
        <w:t>tries</w:t>
      </w:r>
      <w:r w:rsidRPr="008D4A28">
        <w:rPr>
          <w:rFonts w:eastAsia="Times New Roman"/>
          <w:b/>
          <w:sz w:val="24"/>
          <w:szCs w:val="24"/>
        </w:rPr>
        <w:t>, Inc. v. Diversified Mortg</w:t>
      </w:r>
      <w:r>
        <w:rPr>
          <w:rFonts w:eastAsia="Times New Roman"/>
          <w:b/>
          <w:sz w:val="24"/>
          <w:szCs w:val="24"/>
        </w:rPr>
        <w:t>age</w:t>
      </w:r>
      <w:r w:rsidRPr="008D4A28">
        <w:rPr>
          <w:rFonts w:eastAsia="Times New Roman"/>
          <w:b/>
          <w:sz w:val="24"/>
          <w:szCs w:val="24"/>
        </w:rPr>
        <w:t xml:space="preserve"> Serv</w:t>
      </w:r>
      <w:r>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36A39F1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Colo.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711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3E1B8F66" w14:textId="77777777" w:rsidR="00E01A1E" w:rsidRDefault="00771A51" w:rsidP="00E01A1E">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r w:rsidRPr="008D4A28">
        <w:rPr>
          <w:rFonts w:eastAsia="Times New Roman"/>
          <w:b/>
          <w:sz w:val="24"/>
          <w:szCs w:val="24"/>
        </w:rPr>
        <w:t>Siener</w:t>
      </w:r>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4259058F" w14:textId="115326E8" w:rsidR="00E01A1E" w:rsidRPr="00C15BE2" w:rsidRDefault="00771A51" w:rsidP="00E01A1E">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r>
        <w:rPr>
          <w:rFonts w:eastAsia="Times New Roman"/>
          <w:b/>
          <w:sz w:val="24"/>
          <w:szCs w:val="24"/>
        </w:rPr>
        <w:t>Fiscus</w:t>
      </w:r>
      <w:r>
        <w:rPr>
          <w:rFonts w:eastAsia="Times New Roman"/>
          <w:sz w:val="24"/>
          <w:szCs w:val="24"/>
        </w:rPr>
        <w:t>, ¶ 40</w:t>
      </w:r>
      <w:r w:rsidR="0090551B">
        <w:rPr>
          <w:rFonts w:eastAsia="Times New Roman"/>
          <w:sz w:val="24"/>
          <w:szCs w:val="24"/>
        </w:rPr>
        <w:t>, 373 P.3d at 652</w:t>
      </w:r>
      <w:r>
        <w:rPr>
          <w:rFonts w:eastAsia="Times New Roman"/>
          <w:sz w:val="24"/>
          <w:szCs w:val="24"/>
        </w:rPr>
        <w:t xml:space="preserve">; </w:t>
      </w:r>
      <w:r>
        <w:rPr>
          <w:rFonts w:eastAsia="Times New Roman"/>
          <w:b/>
          <w:sz w:val="24"/>
          <w:szCs w:val="24"/>
        </w:rPr>
        <w:t>Siener</w:t>
      </w:r>
      <w:r>
        <w:rPr>
          <w:rFonts w:eastAsia="Times New Roman"/>
          <w:sz w:val="24"/>
          <w:szCs w:val="24"/>
        </w:rPr>
        <w:t>, 194 P.3d at 472.</w:t>
      </w:r>
    </w:p>
    <w:p w14:paraId="6C37200E" w14:textId="77777777" w:rsidR="00E01A1E" w:rsidRDefault="00771A51">
      <w:pPr>
        <w:rPr>
          <w:rFonts w:eastAsia="Times New Roman"/>
          <w:sz w:val="24"/>
          <w:szCs w:val="24"/>
        </w:rPr>
      </w:pPr>
      <w:r>
        <w:rPr>
          <w:rFonts w:eastAsia="Times New Roman"/>
          <w:sz w:val="24"/>
          <w:szCs w:val="24"/>
        </w:rPr>
        <w:br w:type="page"/>
      </w:r>
    </w:p>
    <w:p w14:paraId="19D5A283" w14:textId="77777777" w:rsidR="00E01A1E" w:rsidRPr="009E3DA4" w:rsidRDefault="00771A51" w:rsidP="00E01A1E">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33C844F2"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2509CB16" w14:textId="77777777" w:rsidR="00E01A1E" w:rsidRDefault="00E01A1E" w:rsidP="00E01A1E">
      <w:pPr>
        <w:jc w:val="center"/>
        <w:rPr>
          <w:rFonts w:eastAsia="Times New Roman"/>
          <w:sz w:val="24"/>
          <w:szCs w:val="24"/>
        </w:rPr>
      </w:pPr>
    </w:p>
    <w:p w14:paraId="03C0D64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E9EA25"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r w:rsidRPr="008D4A28">
        <w:rPr>
          <w:rFonts w:eastAsia="Times New Roman"/>
          <w:b/>
          <w:sz w:val="24"/>
          <w:szCs w:val="24"/>
        </w:rPr>
        <w:t>Schollay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03C83A5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372546D"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3D4122">
        <w:rPr>
          <w:rFonts w:eastAsia="Times New Roman"/>
          <w:b/>
          <w:sz w:val="24"/>
          <w:szCs w:val="24"/>
        </w:rPr>
        <w:t>Filatov v. Turnage</w:t>
      </w:r>
      <w:r w:rsidRPr="003D4122">
        <w:rPr>
          <w:rFonts w:eastAsia="Times New Roman"/>
          <w:sz w:val="24"/>
          <w:szCs w:val="24"/>
        </w:rPr>
        <w:t xml:space="preserve">, 2019 COA 120, ¶ 21, </w:t>
      </w:r>
      <w:r>
        <w:rPr>
          <w:rFonts w:eastAsia="Times New Roman"/>
          <w:sz w:val="24"/>
          <w:szCs w:val="24"/>
        </w:rPr>
        <w:t xml:space="preserve">451 P.3d 1263, 1268 </w:t>
      </w:r>
      <w:r w:rsidRPr="003D4122">
        <w:rPr>
          <w:rFonts w:eastAsia="Times New Roman"/>
          <w:sz w:val="24"/>
          <w:szCs w:val="24"/>
        </w:rPr>
        <w:t>(“Notice to an agent is notice to the principal.”);</w:t>
      </w:r>
      <w:r>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Colo. 560, 283 P.2d 1078 (1955); </w:t>
      </w:r>
      <w:r>
        <w:rPr>
          <w:rFonts w:eastAsia="Times New Roman"/>
          <w:sz w:val="24"/>
          <w:szCs w:val="24"/>
        </w:rPr>
        <w:t xml:space="preserve">and </w:t>
      </w:r>
      <w:r w:rsidRPr="008D4A28">
        <w:rPr>
          <w:rFonts w:eastAsia="Times New Roman"/>
          <w:b/>
          <w:sz w:val="24"/>
          <w:szCs w:val="24"/>
        </w:rPr>
        <w:t>Denver, S. P. &amp; P. R.R. v. Conway</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Colo.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w:t>
      </w:r>
      <w:r w:rsidRPr="008D4A28">
        <w:rPr>
          <w:rFonts w:eastAsia="Times New Roman"/>
          <w:sz w:val="24"/>
          <w:szCs w:val="24"/>
        </w:rPr>
        <w:t>1993)</w:t>
      </w:r>
      <w:r>
        <w:rPr>
          <w:rFonts w:eastAsia="Times New Roman"/>
          <w:sz w:val="24"/>
          <w:szCs w:val="24"/>
        </w:rPr>
        <w:t xml:space="preserve">; </w:t>
      </w:r>
      <w:r w:rsidRPr="00B733D7">
        <w:rPr>
          <w:rFonts w:eastAsia="Times New Roman"/>
          <w:smallCaps/>
          <w:sz w:val="24"/>
          <w:szCs w:val="24"/>
        </w:rPr>
        <w:t>Restatement (Third) of Agency</w:t>
      </w:r>
      <w:r>
        <w:rPr>
          <w:rFonts w:eastAsia="Times New Roman"/>
          <w:sz w:val="24"/>
          <w:szCs w:val="24"/>
        </w:rPr>
        <w:t>, § 5.02 (2006)</w:t>
      </w:r>
      <w:r w:rsidRPr="008D4A28">
        <w:rPr>
          <w:rFonts w:eastAsia="Times New Roman"/>
          <w:sz w:val="24"/>
          <w:szCs w:val="24"/>
        </w:rPr>
        <w:t>.</w:t>
      </w:r>
    </w:p>
    <w:p w14:paraId="441D9E02" w14:textId="77777777" w:rsidR="00E01A1E" w:rsidRPr="008D4A28" w:rsidRDefault="00771A51" w:rsidP="00E01A1E">
      <w:pPr>
        <w:spacing w:after="240"/>
        <w:ind w:firstLine="720"/>
        <w:rPr>
          <w:rFonts w:eastAsia="Times New Roman"/>
          <w:sz w:val="24"/>
          <w:szCs w:val="24"/>
        </w:rPr>
      </w:pPr>
      <w:r>
        <w:rPr>
          <w:rFonts w:eastAsia="Times New Roman"/>
          <w:sz w:val="24"/>
          <w:szCs w:val="24"/>
        </w:rPr>
        <w:t>2</w:t>
      </w:r>
      <w:r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Pr="008D4A28">
        <w:rPr>
          <w:rFonts w:eastAsia="Times New Roman"/>
          <w:b/>
          <w:sz w:val="24"/>
          <w:szCs w:val="24"/>
        </w:rPr>
        <w:t>Vail Nat’l Bank v. Finkelman</w:t>
      </w:r>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3F438659" w14:textId="77777777" w:rsidR="00E01A1E" w:rsidRDefault="00771A51" w:rsidP="00E01A1E">
      <w:pPr>
        <w:spacing w:after="240"/>
        <w:ind w:firstLine="720"/>
        <w:rPr>
          <w:rFonts w:eastAsia="Times New Roman"/>
          <w:sz w:val="24"/>
          <w:szCs w:val="24"/>
        </w:rPr>
      </w:pPr>
      <w:r>
        <w:rPr>
          <w:rFonts w:eastAsia="Times New Roman"/>
          <w:sz w:val="24"/>
          <w:szCs w:val="24"/>
        </w:rPr>
        <w:t>3</w:t>
      </w:r>
      <w:r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BMS P’ship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xml:space="preserve">, 926 P.2d 1253 (Colo. 1996). Also, the knowledge of a partner concerning general partnership business is imputable to all of the partners. </w:t>
      </w:r>
      <w:r w:rsidRPr="008D4A28">
        <w:rPr>
          <w:rFonts w:eastAsia="Times New Roman"/>
          <w:b/>
          <w:sz w:val="24"/>
          <w:szCs w:val="24"/>
        </w:rPr>
        <w:t>Zimmerman v. Dan Kamphausen Co.</w:t>
      </w:r>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1C85D316" w14:textId="77777777" w:rsidR="00E01A1E" w:rsidRPr="00504ED0" w:rsidRDefault="00771A51" w:rsidP="00E01A1E">
      <w:pPr>
        <w:spacing w:after="240"/>
        <w:ind w:firstLine="720"/>
        <w:rPr>
          <w:rFonts w:eastAsia="Times New Roman"/>
          <w:sz w:val="24"/>
          <w:szCs w:val="24"/>
        </w:rPr>
      </w:pPr>
      <w:r>
        <w:rPr>
          <w:rFonts w:eastAsia="Times New Roman"/>
          <w:sz w:val="24"/>
          <w:szCs w:val="24"/>
        </w:rPr>
        <w:t xml:space="preserve">4. Imputed knowledge is different from actual knowledge. Actual knowledge requires an active or conscious belief or awareness. </w:t>
      </w:r>
      <w:r>
        <w:rPr>
          <w:rFonts w:eastAsia="Times New Roman"/>
          <w:b/>
          <w:sz w:val="24"/>
          <w:szCs w:val="24"/>
        </w:rPr>
        <w:t>Jehly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Clown’s Den, Inc. v. Canjar</w:t>
      </w:r>
      <w:r>
        <w:rPr>
          <w:rFonts w:eastAsia="Times New Roman"/>
          <w:sz w:val="24"/>
          <w:szCs w:val="24"/>
        </w:rPr>
        <w:t xml:space="preserve">, 33 Colo. App. 212, 518 P.2d 957 (1973) (differentiating between actual and imputed knowledge of principal). </w:t>
      </w:r>
    </w:p>
    <w:p w14:paraId="54FFA2CC" w14:textId="77777777" w:rsidR="00E01A1E" w:rsidRDefault="00771A51">
      <w:pPr>
        <w:rPr>
          <w:rFonts w:eastAsia="Times New Roman"/>
          <w:sz w:val="24"/>
          <w:szCs w:val="24"/>
        </w:rPr>
      </w:pPr>
      <w:r>
        <w:rPr>
          <w:rFonts w:eastAsia="Times New Roman"/>
          <w:sz w:val="24"/>
          <w:szCs w:val="24"/>
        </w:rPr>
        <w:br w:type="page"/>
      </w:r>
    </w:p>
    <w:p w14:paraId="6E15419A" w14:textId="77777777" w:rsidR="00E01A1E" w:rsidRPr="009E3DA4" w:rsidRDefault="00771A51" w:rsidP="00E01A1E">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0829473" w14:textId="7FD8A860"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 xml:space="preserve">The authority of an agent to represent </w:t>
      </w:r>
      <w:r w:rsidR="003E686C" w:rsidRPr="003E686C">
        <w:rPr>
          <w:rFonts w:eastAsia="Times New Roman"/>
          <w:bCs/>
          <w:i/>
          <w:iCs/>
          <w:sz w:val="24"/>
          <w:szCs w:val="24"/>
        </w:rPr>
        <w:t>(insert applicable pronoun)</w:t>
      </w:r>
      <w:r w:rsidRPr="008D4A28">
        <w:rPr>
          <w:rFonts w:eastAsia="Times New Roman"/>
          <w:b/>
          <w:sz w:val="24"/>
          <w:szCs w:val="24"/>
        </w:rPr>
        <w:t xml:space="preserve">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C85E202" w14:textId="77777777" w:rsidR="00E01A1E" w:rsidRDefault="00E01A1E" w:rsidP="00E01A1E">
      <w:pPr>
        <w:jc w:val="center"/>
        <w:rPr>
          <w:rFonts w:eastAsia="Times New Roman"/>
          <w:sz w:val="24"/>
          <w:szCs w:val="24"/>
        </w:rPr>
      </w:pPr>
    </w:p>
    <w:p w14:paraId="673C4595"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E4663D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3D70C22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29D497C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5BD05A34" w14:textId="77777777" w:rsidR="00E01A1E" w:rsidRPr="008D4A28" w:rsidRDefault="00771A51" w:rsidP="00E01A1E">
      <w:pPr>
        <w:spacing w:after="240"/>
        <w:ind w:firstLine="720"/>
        <w:rPr>
          <w:rFonts w:eastAsia="Times New Roman"/>
          <w:sz w:val="24"/>
          <w:szCs w:val="24"/>
        </w:rPr>
      </w:pPr>
      <w:r w:rsidRPr="008D4A28">
        <w:rPr>
          <w:rFonts w:eastAsia="Times New Roman"/>
          <w:iCs/>
          <w:sz w:val="24"/>
          <w:szCs w:val="24"/>
        </w:rPr>
        <w:t xml:space="preserve">1. This instruction is supported by </w:t>
      </w:r>
      <w:r w:rsidRPr="008D4A28">
        <w:rPr>
          <w:rFonts w:eastAsia="Times New Roman"/>
          <w:b/>
          <w:iCs/>
          <w:sz w:val="24"/>
          <w:szCs w:val="24"/>
        </w:rPr>
        <w:t>Stortroen v. Beneficial Finance Co.</w:t>
      </w:r>
      <w:r w:rsidRPr="008D4A28">
        <w:rPr>
          <w:rFonts w:eastAsia="Times New Roman"/>
          <w:iCs/>
          <w:sz w:val="24"/>
          <w:szCs w:val="24"/>
        </w:rPr>
        <w:t>,</w:t>
      </w:r>
      <w:r w:rsidRPr="008D4A28">
        <w:rPr>
          <w:rFonts w:eastAsia="Times New Roman"/>
          <w:i/>
          <w:iCs/>
          <w:sz w:val="24"/>
          <w:szCs w:val="24"/>
        </w:rPr>
        <w:t xml:space="preserve"> </w:t>
      </w:r>
      <w:r w:rsidRPr="008D4A28">
        <w:rPr>
          <w:rFonts w:eastAsia="Times New Roman"/>
          <w:iCs/>
          <w:sz w:val="24"/>
          <w:szCs w:val="24"/>
        </w:rPr>
        <w:t xml:space="preserve">736 P.2d 391 (Colo. 1987) (partial list of grounds for termination) (citing </w:t>
      </w:r>
      <w:r w:rsidRPr="008D4A28">
        <w:rPr>
          <w:rFonts w:eastAsia="Times New Roman"/>
          <w:iCs/>
          <w:smallCaps/>
          <w:sz w:val="24"/>
          <w:szCs w:val="24"/>
        </w:rPr>
        <w:t>Restatement (Second) of Agency</w:t>
      </w:r>
      <w:r w:rsidRPr="008D4A28">
        <w:rPr>
          <w:rFonts w:eastAsia="Times New Roman"/>
          <w:i/>
          <w:sz w:val="24"/>
          <w:szCs w:val="24"/>
        </w:rPr>
        <w:t xml:space="preserve"> </w:t>
      </w:r>
      <w:r w:rsidRPr="008D4A28">
        <w:rPr>
          <w:rFonts w:eastAsia="Times New Roman"/>
          <w:sz w:val="24"/>
          <w:szCs w:val="24"/>
        </w:rPr>
        <w:t xml:space="preserve">§§ 105-07, 117-19); </w:t>
      </w:r>
      <w:r w:rsidRPr="008D4A28">
        <w:rPr>
          <w:rFonts w:eastAsia="Times New Roman"/>
          <w:b/>
          <w:iCs/>
          <w:sz w:val="24"/>
          <w:szCs w:val="24"/>
        </w:rPr>
        <w:t>Lowell v. Hessey</w:t>
      </w:r>
      <w:r w:rsidRPr="008D4A28">
        <w:rPr>
          <w:rFonts w:eastAsia="Times New Roman"/>
          <w:iCs/>
          <w:sz w:val="24"/>
          <w:szCs w:val="24"/>
        </w:rPr>
        <w:t>,</w:t>
      </w:r>
      <w:r w:rsidRPr="008D4A28">
        <w:rPr>
          <w:rFonts w:eastAsia="Times New Roman"/>
          <w:sz w:val="24"/>
          <w:szCs w:val="24"/>
        </w:rPr>
        <w:t xml:space="preserve"> 46 Colo. 517, 105 P. 870 (1909) (principal’s revocation of agency authority terminates only upon notice to the agent); </w:t>
      </w:r>
      <w:r>
        <w:rPr>
          <w:rFonts w:eastAsia="Times New Roman"/>
          <w:sz w:val="24"/>
          <w:szCs w:val="24"/>
        </w:rPr>
        <w:t xml:space="preserve">and </w:t>
      </w:r>
      <w:r w:rsidRPr="008D4A28">
        <w:rPr>
          <w:rFonts w:eastAsia="Times New Roman"/>
          <w:b/>
          <w:sz w:val="24"/>
          <w:szCs w:val="24"/>
        </w:rPr>
        <w:t>Boettcher DTC B</w:t>
      </w:r>
      <w:r>
        <w:rPr>
          <w:rFonts w:eastAsia="Times New Roman"/>
          <w:b/>
          <w:sz w:val="24"/>
          <w:szCs w:val="24"/>
        </w:rPr>
        <w:t>ui</w:t>
      </w:r>
      <w:r w:rsidRPr="008D4A28">
        <w:rPr>
          <w:rFonts w:eastAsia="Times New Roman"/>
          <w:b/>
          <w:sz w:val="24"/>
          <w:szCs w:val="24"/>
        </w:rPr>
        <w:t>ld</w:t>
      </w:r>
      <w:r>
        <w:rPr>
          <w:rFonts w:eastAsia="Times New Roman"/>
          <w:b/>
          <w:sz w:val="24"/>
          <w:szCs w:val="24"/>
        </w:rPr>
        <w:t>in</w:t>
      </w:r>
      <w:r w:rsidRPr="008D4A28">
        <w:rPr>
          <w:rFonts w:eastAsia="Times New Roman"/>
          <w:b/>
          <w:sz w:val="24"/>
          <w:szCs w:val="24"/>
        </w:rPr>
        <w:t>g Joint Venture v. Falcon Ventures</w:t>
      </w:r>
      <w:r w:rsidRPr="008D4A28">
        <w:rPr>
          <w:rFonts w:eastAsia="Times New Roman"/>
          <w:sz w:val="24"/>
          <w:szCs w:val="24"/>
        </w:rPr>
        <w:t xml:space="preserve">, 762 P.2d 788 (Colo. App. 1988) (agency terminates upon completion of the assigned task). </w:t>
      </w:r>
      <w:r w:rsidRPr="008D4A28">
        <w:rPr>
          <w:rFonts w:eastAsia="Times New Roman"/>
          <w:i/>
          <w:sz w:val="24"/>
          <w:szCs w:val="24"/>
        </w:rPr>
        <w:t xml:space="preserve">See </w:t>
      </w:r>
      <w:r w:rsidRPr="008D4A28">
        <w:rPr>
          <w:rFonts w:eastAsia="Times New Roman"/>
          <w:smallCaps/>
          <w:sz w:val="24"/>
          <w:szCs w:val="24"/>
        </w:rPr>
        <w:t>Restatement (Third) of Agency</w:t>
      </w:r>
      <w:r w:rsidRPr="008D4A28">
        <w:rPr>
          <w:rFonts w:eastAsia="Times New Roman"/>
          <w:sz w:val="24"/>
          <w:szCs w:val="24"/>
        </w:rPr>
        <w:t xml:space="preserve"> §§ 3.06</w:t>
      </w:r>
      <w:r>
        <w:rPr>
          <w:rFonts w:eastAsia="Times New Roman"/>
          <w:sz w:val="24"/>
          <w:szCs w:val="24"/>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rPr>
        <w:t>3.11</w:t>
      </w:r>
      <w:r>
        <w:rPr>
          <w:rFonts w:eastAsia="Times New Roman"/>
          <w:sz w:val="24"/>
          <w:szCs w:val="24"/>
        </w:rPr>
        <w:t xml:space="preserve"> (termination of apparent authority)</w:t>
      </w:r>
      <w:r w:rsidRPr="008D4A28">
        <w:rPr>
          <w:rFonts w:eastAsia="Times New Roman"/>
          <w:sz w:val="24"/>
          <w:szCs w:val="24"/>
        </w:rPr>
        <w:t xml:space="preserve"> (2006).</w:t>
      </w:r>
    </w:p>
    <w:p w14:paraId="632168B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13BAF692"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rPr>
        <w:t>In re Estate of Gray</w:t>
      </w:r>
      <w:r w:rsidRPr="008D4A28">
        <w:rPr>
          <w:rFonts w:eastAsia="Times New Roman"/>
          <w:sz w:val="24"/>
          <w:szCs w:val="24"/>
        </w:rPr>
        <w:t xml:space="preserve">, </w:t>
      </w:r>
      <w:r>
        <w:rPr>
          <w:rFonts w:eastAsia="Times New Roman"/>
          <w:sz w:val="24"/>
          <w:szCs w:val="24"/>
        </w:rPr>
        <w:t xml:space="preserve">37 Colo. App. 47, </w:t>
      </w:r>
      <w:r w:rsidRPr="008D4A28">
        <w:rPr>
          <w:rFonts w:eastAsia="Times New Roman"/>
          <w:sz w:val="24"/>
          <w:szCs w:val="24"/>
        </w:rPr>
        <w:t>541 P.2d 336 (1975).</w:t>
      </w:r>
    </w:p>
    <w:p w14:paraId="0691FA7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4. </w:t>
      </w:r>
      <w:r>
        <w:rPr>
          <w:rFonts w:eastAsia="Times New Roman"/>
          <w:sz w:val="24"/>
          <w:szCs w:val="24"/>
        </w:rPr>
        <w:t xml:space="preserve">For the effect of </w:t>
      </w:r>
      <w:r w:rsidRPr="008D4A28">
        <w:rPr>
          <w:rFonts w:eastAsia="Times New Roman"/>
          <w:sz w:val="24"/>
          <w:szCs w:val="24"/>
        </w:rPr>
        <w:t>the death or incompetency of a bank customer on the authority of a payor or collecting bank</w:t>
      </w:r>
      <w:r>
        <w:rPr>
          <w:rFonts w:eastAsia="Times New Roman"/>
          <w:sz w:val="24"/>
          <w:szCs w:val="24"/>
        </w:rPr>
        <w:t>, see</w:t>
      </w:r>
      <w:r w:rsidRPr="008D4A28">
        <w:rPr>
          <w:rFonts w:eastAsia="Times New Roman"/>
          <w:sz w:val="24"/>
          <w:szCs w:val="24"/>
        </w:rPr>
        <w:t xml:space="preserve"> </w:t>
      </w:r>
      <w:r>
        <w:rPr>
          <w:rFonts w:eastAsia="Times New Roman"/>
          <w:sz w:val="24"/>
          <w:szCs w:val="24"/>
        </w:rPr>
        <w:t xml:space="preserve">section </w:t>
      </w:r>
      <w:r w:rsidRPr="008D4A28">
        <w:rPr>
          <w:rFonts w:eastAsia="Times New Roman"/>
          <w:sz w:val="24"/>
          <w:szCs w:val="24"/>
        </w:rPr>
        <w:t>4-4-405, C.R.S.</w:t>
      </w:r>
    </w:p>
    <w:p w14:paraId="294235E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Pr>
          <w:rFonts w:eastAsia="Times New Roman"/>
          <w:sz w:val="24"/>
          <w:szCs w:val="24"/>
        </w:rPr>
        <w:t>sections</w:t>
      </w:r>
      <w:r w:rsidRPr="008D4A28">
        <w:rPr>
          <w:rFonts w:eastAsia="Times New Roman"/>
          <w:sz w:val="24"/>
          <w:szCs w:val="24"/>
        </w:rPr>
        <w:t xml:space="preserve"> 10-2-416 and 10-2-416.5, C.R.S.</w:t>
      </w:r>
    </w:p>
    <w:p w14:paraId="6C1B42EC" w14:textId="77777777" w:rsidR="00E01A1E" w:rsidRDefault="00771A51">
      <w:pPr>
        <w:rPr>
          <w:rFonts w:eastAsia="Times New Roman"/>
          <w:sz w:val="24"/>
          <w:szCs w:val="24"/>
        </w:rPr>
      </w:pPr>
      <w:r>
        <w:rPr>
          <w:rFonts w:eastAsia="Times New Roman"/>
          <w:sz w:val="24"/>
          <w:szCs w:val="24"/>
        </w:rPr>
        <w:br w:type="page"/>
      </w:r>
    </w:p>
    <w:p w14:paraId="6CE34DAB" w14:textId="77777777" w:rsidR="00E01A1E" w:rsidRPr="009E3DA4" w:rsidRDefault="00771A51" w:rsidP="00E01A1E">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672795BA" w14:textId="0AF7AD70"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333886">
        <w:rPr>
          <w:rFonts w:eastAsia="Times New Roman"/>
          <w:b/>
          <w:sz w:val="24"/>
          <w:szCs w:val="24"/>
        </w:rPr>
        <w:t xml:space="preserve">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w:t>
      </w:r>
      <w:r w:rsidR="003E686C" w:rsidRPr="003E686C">
        <w:rPr>
          <w:rFonts w:eastAsia="Times New Roman"/>
          <w:bCs/>
          <w:i/>
          <w:iCs/>
          <w:sz w:val="24"/>
          <w:szCs w:val="24"/>
        </w:rPr>
        <w:t>(insert applicable pronoun)</w:t>
      </w:r>
      <w:r w:rsidRPr="00333886">
        <w:rPr>
          <w:rFonts w:eastAsia="Times New Roman"/>
          <w:b/>
          <w:sz w:val="24"/>
          <w:szCs w:val="24"/>
        </w:rPr>
        <w:t xml:space="preserve"> knew or was notified of the principal’s termination of the agent’s authority. </w:t>
      </w:r>
    </w:p>
    <w:p w14:paraId="74A7DD1B" w14:textId="77777777"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66DA3B29" w14:textId="77777777" w:rsidR="00E01A1E" w:rsidRDefault="00E01A1E" w:rsidP="00E01A1E">
      <w:pPr>
        <w:jc w:val="center"/>
        <w:rPr>
          <w:rFonts w:eastAsia="Times New Roman"/>
          <w:sz w:val="24"/>
          <w:szCs w:val="24"/>
        </w:rPr>
      </w:pPr>
    </w:p>
    <w:p w14:paraId="5D1C728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7628EB2"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0B08FA7D"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727E4D3F"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726660CC"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5C9C5623"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4A1696F"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Pr>
          <w:rFonts w:eastAsia="Times New Roman"/>
          <w:iCs/>
          <w:sz w:val="24"/>
          <w:szCs w:val="24"/>
        </w:rPr>
        <w:t>, 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cmt. </w:t>
      </w:r>
      <w:r>
        <w:rPr>
          <w:rFonts w:eastAsia="Times New Roman"/>
          <w:iCs/>
          <w:sz w:val="24"/>
          <w:szCs w:val="24"/>
        </w:rPr>
        <w:t>c</w:t>
      </w:r>
      <w:r w:rsidRPr="00333886">
        <w:rPr>
          <w:rFonts w:eastAsia="Times New Roman"/>
          <w:iCs/>
          <w:sz w:val="24"/>
          <w:szCs w:val="24"/>
        </w:rPr>
        <w:t>, 3.11 (2006).</w:t>
      </w:r>
    </w:p>
    <w:p w14:paraId="6F56B6AA"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6CAA94F6" w14:textId="77777777" w:rsidR="00E01A1E" w:rsidRDefault="00771A51" w:rsidP="00E01A1E">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67218F49" w14:textId="77777777" w:rsidR="00E01A1E" w:rsidRDefault="00771A51" w:rsidP="00E01A1E">
      <w:pPr>
        <w:spacing w:after="240"/>
        <w:jc w:val="center"/>
        <w:rPr>
          <w:b/>
          <w:sz w:val="24"/>
          <w:szCs w:val="24"/>
        </w:rPr>
      </w:pPr>
      <w:bookmarkStart w:id="20" w:name="a8_IntroB"/>
      <w:bookmarkEnd w:id="20"/>
      <w:r w:rsidRPr="005D01E8">
        <w:rPr>
          <w:b/>
          <w:sz w:val="24"/>
          <w:szCs w:val="24"/>
        </w:rPr>
        <w:lastRenderedPageBreak/>
        <w:t>B. LIABILITY ARISING FROM AGENCY</w:t>
      </w:r>
    </w:p>
    <w:p w14:paraId="0D82CF58" w14:textId="77777777" w:rsidR="00E01A1E" w:rsidRPr="0054263B" w:rsidRDefault="00771A51" w:rsidP="00E01A1E">
      <w:pPr>
        <w:keepNext/>
        <w:spacing w:after="240"/>
        <w:jc w:val="center"/>
        <w:rPr>
          <w:rFonts w:eastAsia="Times New Roman"/>
          <w:b/>
          <w:sz w:val="24"/>
          <w:szCs w:val="24"/>
        </w:rPr>
      </w:pPr>
      <w:r w:rsidRPr="00A73FC9">
        <w:rPr>
          <w:rFonts w:eastAsia="Times New Roman"/>
          <w:b/>
          <w:sz w:val="24"/>
          <w:szCs w:val="24"/>
        </w:rPr>
        <w:t>Introductory Note</w:t>
      </w:r>
    </w:p>
    <w:p w14:paraId="6E59250E" w14:textId="77777777" w:rsidR="00E01A1E" w:rsidRDefault="00771A51" w:rsidP="00E01A1E">
      <w:pPr>
        <w:shd w:val="clear" w:color="auto" w:fill="FFFFFF"/>
        <w:ind w:firstLine="720"/>
        <w:rPr>
          <w:sz w:val="24"/>
          <w:szCs w:val="24"/>
        </w:rPr>
      </w:pPr>
      <w:r>
        <w:rPr>
          <w:sz w:val="24"/>
          <w:szCs w:val="24"/>
        </w:rPr>
        <w:t xml:space="preserve">1. </w:t>
      </w:r>
      <w:r w:rsidRPr="00755460">
        <w:rPr>
          <w:sz w:val="24"/>
          <w:szCs w:val="24"/>
        </w:rPr>
        <w:t xml:space="preserve">Divisions of the court of appeals disagree as to whether a principal is liable for physical injuries caused by agent independent contractors. </w:t>
      </w:r>
      <w:r w:rsidRPr="00755460">
        <w:rPr>
          <w:i/>
          <w:iCs/>
          <w:sz w:val="24"/>
          <w:szCs w:val="24"/>
        </w:rPr>
        <w:t xml:space="preserve">Compare </w:t>
      </w:r>
      <w:r w:rsidRPr="00755460">
        <w:rPr>
          <w:b/>
          <w:bCs/>
          <w:sz w:val="24"/>
          <w:szCs w:val="24"/>
          <w:lang w:val="en"/>
        </w:rPr>
        <w:t>Daly v. Aspen Ctr. for Women’s Health, Inc.</w:t>
      </w:r>
      <w:r w:rsidRPr="00755460">
        <w:rPr>
          <w:sz w:val="24"/>
          <w:szCs w:val="24"/>
          <w:lang w:val="en"/>
        </w:rPr>
        <w:t>, 134 P.3d 450, 454 (Colo. App. 2005) (holding that “[o]</w:t>
      </w:r>
      <w:r w:rsidRPr="00755460">
        <w:rPr>
          <w:sz w:val="24"/>
          <w:szCs w:val="24"/>
        </w:rPr>
        <w:t xml:space="preserve">rdinarily, a principal is not liable for physical injuries caused by the negligence of a nonservant agent” (citing </w:t>
      </w:r>
      <w:r w:rsidRPr="00755460">
        <w:rPr>
          <w:smallCaps/>
          <w:sz w:val="24"/>
          <w:szCs w:val="24"/>
        </w:rPr>
        <w:t>Restatement (Second) of Agency</w:t>
      </w:r>
      <w:r w:rsidRPr="00755460">
        <w:rPr>
          <w:sz w:val="24"/>
          <w:szCs w:val="24"/>
        </w:rPr>
        <w:t xml:space="preserve"> § 250 (1958))), </w:t>
      </w:r>
      <w:r w:rsidRPr="00755460">
        <w:rPr>
          <w:i/>
          <w:iCs/>
          <w:sz w:val="24"/>
          <w:szCs w:val="24"/>
        </w:rPr>
        <w:t xml:space="preserve">with </w:t>
      </w:r>
      <w:r w:rsidRPr="00755460">
        <w:rPr>
          <w:b/>
          <w:bCs/>
          <w:sz w:val="24"/>
          <w:szCs w:val="24"/>
        </w:rPr>
        <w:t>Cheney v. Hailey</w:t>
      </w:r>
      <w:r w:rsidRPr="00755460">
        <w:rPr>
          <w:sz w:val="24"/>
          <w:szCs w:val="24"/>
        </w:rPr>
        <w:t xml:space="preserve">, 686 P.2d 808 (Colo. App. 1984) (holding that a principal was vicariously liable for injuries caused by an agent’s negligent driving, without regard to agent’s independent contractor status). </w:t>
      </w:r>
    </w:p>
    <w:p w14:paraId="6CEF6BDD" w14:textId="77777777" w:rsidR="00E01A1E" w:rsidRPr="00755460" w:rsidRDefault="00E01A1E" w:rsidP="00E01A1E">
      <w:pPr>
        <w:shd w:val="clear" w:color="auto" w:fill="FFFFFF"/>
        <w:ind w:firstLine="720"/>
        <w:rPr>
          <w:sz w:val="24"/>
          <w:szCs w:val="24"/>
        </w:rPr>
      </w:pPr>
    </w:p>
    <w:p w14:paraId="3809FF23" w14:textId="77777777" w:rsidR="00E01A1E" w:rsidRDefault="00771A51" w:rsidP="00E01A1E">
      <w:pPr>
        <w:ind w:firstLine="720"/>
        <w:rPr>
          <w:sz w:val="24"/>
          <w:szCs w:val="24"/>
        </w:rPr>
      </w:pPr>
      <w:r>
        <w:rPr>
          <w:sz w:val="24"/>
          <w:szCs w:val="24"/>
        </w:rPr>
        <w:t xml:space="preserve">2. </w:t>
      </w:r>
      <w:r w:rsidRPr="00755460">
        <w:rPr>
          <w:sz w:val="24"/>
          <w:szCs w:val="24"/>
        </w:rPr>
        <w:t xml:space="preserve">The supreme court has not squarely addressed the issue. In </w:t>
      </w:r>
      <w:r w:rsidRPr="00755460">
        <w:rPr>
          <w:b/>
          <w:bCs/>
          <w:sz w:val="24"/>
          <w:szCs w:val="24"/>
        </w:rPr>
        <w:t>Grease Monkey Int</w:t>
      </w:r>
      <w:r>
        <w:rPr>
          <w:b/>
          <w:bCs/>
          <w:sz w:val="24"/>
          <w:szCs w:val="24"/>
        </w:rPr>
        <w:t>ernational</w:t>
      </w:r>
      <w:r w:rsidRPr="00755460">
        <w:rPr>
          <w:b/>
          <w:bCs/>
          <w:sz w:val="24"/>
          <w:szCs w:val="24"/>
        </w:rPr>
        <w:t>, Inc. v. Montoya</w:t>
      </w:r>
      <w:r w:rsidRPr="00755460">
        <w:rPr>
          <w:sz w:val="24"/>
          <w:szCs w:val="24"/>
        </w:rPr>
        <w:t xml:space="preserve">, 904 P.2d 468, 473 (Colo. 1995), the court noted in dicta that “[w]hen the servant or agent uses the apparent authority of the relationship with the master or principal, the Restatement (Second) of Agency also holds principals vicariously liable for the </w:t>
      </w:r>
      <w:r w:rsidRPr="00755460">
        <w:rPr>
          <w:sz w:val="24"/>
          <w:szCs w:val="24"/>
          <w:shd w:val="clear" w:color="auto" w:fill="FFFFFF"/>
        </w:rPr>
        <w:t>physical</w:t>
      </w:r>
      <w:r w:rsidRPr="00755460">
        <w:rPr>
          <w:sz w:val="24"/>
          <w:szCs w:val="24"/>
        </w:rPr>
        <w:t xml:space="preserve"> torts of agents who are not servants, i.e., if the tort was committed within the scope of the agency.” </w:t>
      </w:r>
      <w:r w:rsidRPr="00D12113">
        <w:rPr>
          <w:sz w:val="24"/>
          <w:szCs w:val="24"/>
        </w:rPr>
        <w:t xml:space="preserve">The court also explained that employees and independent contractor agents are distinguishable partly because an employer, unlike an independent contractor agent, is liable for physical harm resulting from an employee’s physical conduct in the scope of employment. </w:t>
      </w:r>
      <w:r w:rsidRPr="00D12113">
        <w:rPr>
          <w:i/>
          <w:iCs/>
          <w:sz w:val="24"/>
          <w:szCs w:val="24"/>
        </w:rPr>
        <w:t>Id.</w:t>
      </w:r>
      <w:r w:rsidRPr="00755460">
        <w:rPr>
          <w:sz w:val="24"/>
          <w:szCs w:val="24"/>
        </w:rPr>
        <w:t xml:space="preserve"> In light of the unsettled nature of Colorado law, the Committee takes no position on the issue.</w:t>
      </w:r>
    </w:p>
    <w:p w14:paraId="728DB34F" w14:textId="77777777" w:rsidR="00E01A1E" w:rsidRPr="00755460" w:rsidRDefault="00E01A1E" w:rsidP="00B33010">
      <w:pPr>
        <w:rPr>
          <w:rFonts w:eastAsia="Times New Roman"/>
          <w:b/>
          <w:sz w:val="24"/>
          <w:szCs w:val="24"/>
        </w:rPr>
      </w:pPr>
    </w:p>
    <w:p w14:paraId="4124D67C" w14:textId="77777777" w:rsidR="00E01A1E" w:rsidRDefault="00771A51">
      <w:pPr>
        <w:rPr>
          <w:rFonts w:eastAsia="Times New Roman"/>
          <w:b/>
          <w:sz w:val="24"/>
          <w:szCs w:val="24"/>
        </w:rPr>
      </w:pPr>
      <w:r>
        <w:rPr>
          <w:rFonts w:eastAsia="Times New Roman"/>
          <w:b/>
          <w:sz w:val="24"/>
          <w:szCs w:val="24"/>
        </w:rPr>
        <w:br w:type="page"/>
      </w:r>
    </w:p>
    <w:p w14:paraId="3D452565" w14:textId="77777777" w:rsidR="00E01A1E" w:rsidRPr="009E3DA4" w:rsidRDefault="00771A51" w:rsidP="00E01A1E">
      <w:pPr>
        <w:spacing w:after="240"/>
        <w:ind w:left="720" w:hanging="720"/>
        <w:rPr>
          <w:rFonts w:eastAsia="Times New Roman"/>
          <w:b/>
          <w:sz w:val="24"/>
          <w:szCs w:val="24"/>
        </w:rPr>
      </w:pPr>
      <w:bookmarkStart w:id="21" w:name="a8_18"/>
      <w:bookmarkEnd w:id="21"/>
      <w:r w:rsidRPr="00C26751">
        <w:rPr>
          <w:rFonts w:eastAsia="Times New Roman"/>
          <w:b/>
          <w:sz w:val="24"/>
          <w:szCs w:val="24"/>
        </w:rPr>
        <w:lastRenderedPageBreak/>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20B85F12" w14:textId="3CC90429"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w:t>
      </w:r>
      <w:r w:rsidR="003E686C" w:rsidRPr="003E686C">
        <w:rPr>
          <w:rFonts w:eastAsia="Times New Roman"/>
          <w:bCs/>
          <w:i/>
          <w:iCs/>
          <w:sz w:val="24"/>
          <w:szCs w:val="24"/>
        </w:rPr>
        <w:t>(insert applicable pronoun)</w:t>
      </w:r>
      <w:r w:rsidRPr="0090149E">
        <w:rPr>
          <w:rFonts w:eastAsia="Times New Roman"/>
          <w:b/>
          <w:sz w:val="24"/>
          <w:szCs w:val="24"/>
        </w:rPr>
        <w:t xml:space="preserve">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5C240509" w14:textId="0DF12773"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90149E">
        <w:rPr>
          <w:rFonts w:eastAsia="Times New Roman"/>
          <w:b/>
          <w:sz w:val="24"/>
          <w:szCs w:val="24"/>
        </w:rPr>
        <w:t xml:space="preserve">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6CE21FC1"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39E92820" w14:textId="54DBBD09"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90149E">
        <w:rPr>
          <w:rFonts w:eastAsia="Times New Roman"/>
          <w:b/>
          <w:sz w:val="24"/>
          <w:szCs w:val="24"/>
        </w:rPr>
        <w:t xml:space="preserve">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40B51497"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7DE3AAD6"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221DC69C" w14:textId="77777777" w:rsidR="00E01A1E" w:rsidRDefault="00E01A1E" w:rsidP="00E01A1E">
      <w:pPr>
        <w:jc w:val="center"/>
        <w:rPr>
          <w:rFonts w:eastAsia="Times New Roman"/>
          <w:sz w:val="24"/>
          <w:szCs w:val="24"/>
        </w:rPr>
      </w:pPr>
    </w:p>
    <w:p w14:paraId="6B5913A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354DF37"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rPr>
        <w:t>Grease Monkey Int’l v. Montoya</w:t>
      </w:r>
      <w:r w:rsidRPr="00E00593">
        <w:rPr>
          <w:rFonts w:eastAsia="Times New Roman"/>
          <w:sz w:val="24"/>
          <w:szCs w:val="24"/>
        </w:rPr>
        <w:t>, 904 P.2d 468, 473 (Colo. 1995)</w:t>
      </w:r>
      <w:r w:rsidRPr="00E00593">
        <w:rPr>
          <w:rFonts w:eastAsia="Times New Roman"/>
          <w:bCs/>
          <w:sz w:val="24"/>
          <w:szCs w:val="24"/>
        </w:rPr>
        <w:t xml:space="preserve">. </w:t>
      </w:r>
      <w:r w:rsidRPr="00E00593">
        <w:rPr>
          <w:rFonts w:eastAsia="Times New Roman"/>
          <w:sz w:val="24"/>
          <w:szCs w:val="24"/>
        </w:rPr>
        <w:t xml:space="preserve">A principal may be liable for the agent’s torts if the agent is acting with apparent authority. </w:t>
      </w:r>
      <w:r w:rsidRPr="00E00593">
        <w:rPr>
          <w:rFonts w:eastAsia="Times New Roman"/>
          <w:i/>
          <w:iCs/>
          <w:sz w:val="24"/>
          <w:szCs w:val="24"/>
        </w:rPr>
        <w:t xml:space="preserve">See </w:t>
      </w:r>
      <w:r w:rsidRPr="00E00593">
        <w:rPr>
          <w:rFonts w:eastAsia="Times New Roman"/>
          <w:b/>
          <w:bCs/>
          <w:sz w:val="24"/>
          <w:szCs w:val="24"/>
        </w:rPr>
        <w:t>Grease Monkey Int’l</w:t>
      </w:r>
      <w:r w:rsidRPr="00E00593">
        <w:rPr>
          <w:rFonts w:eastAsia="Times New Roman"/>
          <w:sz w:val="24"/>
          <w:szCs w:val="24"/>
        </w:rPr>
        <w:t>, 904 P.2d at 475-76 (holding principal liable for agent’s fraudulent misrepresentation).</w:t>
      </w:r>
    </w:p>
    <w:p w14:paraId="7A04151F"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E00593">
        <w:rPr>
          <w:rFonts w:eastAsia="Times New Roman"/>
          <w:b/>
          <w:bCs/>
          <w:sz w:val="24"/>
          <w:szCs w:val="24"/>
        </w:rPr>
        <w:t>Digital Landscape Inc. v. Media Kings LL</w:t>
      </w:r>
      <w:r>
        <w:rPr>
          <w:rFonts w:eastAsia="Times New Roman"/>
          <w:b/>
          <w:bCs/>
          <w:sz w:val="24"/>
          <w:szCs w:val="24"/>
        </w:rPr>
        <w:t>C</w:t>
      </w:r>
      <w:r w:rsidRPr="00E00593">
        <w:rPr>
          <w:rFonts w:eastAsia="Times New Roman"/>
          <w:sz w:val="24"/>
          <w:szCs w:val="24"/>
        </w:rPr>
        <w:t xml:space="preserve">, 2018 COA 142, ¶ 79, 440 P.3d 1200, 1212; </w:t>
      </w:r>
      <w:r w:rsidRPr="00E00593">
        <w:rPr>
          <w:rFonts w:eastAsia="Times New Roman"/>
          <w:i/>
          <w:iCs/>
          <w:sz w:val="24"/>
          <w:szCs w:val="24"/>
        </w:rPr>
        <w:t xml:space="preserve">see also </w:t>
      </w:r>
      <w:r w:rsidRPr="00E00593">
        <w:rPr>
          <w:rFonts w:eastAsia="Times New Roman"/>
          <w:b/>
          <w:bCs/>
          <w:sz w:val="24"/>
          <w:szCs w:val="24"/>
        </w:rPr>
        <w:t>Grease Monkey</w:t>
      </w:r>
      <w:r w:rsidRPr="00E00593">
        <w:rPr>
          <w:rFonts w:eastAsia="Times New Roman"/>
          <w:sz w:val="24"/>
          <w:szCs w:val="24"/>
        </w:rPr>
        <w:t xml:space="preserve">, 904 P.2d at 473. The general rule is subject to three limited exceptions: nondelegable duties, </w:t>
      </w:r>
      <w:r w:rsidRPr="00E00593">
        <w:rPr>
          <w:rFonts w:eastAsia="Times New Roman"/>
          <w:i/>
          <w:iCs/>
          <w:sz w:val="24"/>
          <w:szCs w:val="24"/>
        </w:rPr>
        <w:t>se</w:t>
      </w:r>
      <w:r>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Springer v. City &amp; Cty.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Huddleston v. Union Rural Elec. Ass’n</w:t>
      </w:r>
      <w:r w:rsidRPr="00E00593">
        <w:rPr>
          <w:rFonts w:eastAsia="Times New Roman"/>
          <w:sz w:val="24"/>
          <w:szCs w:val="24"/>
        </w:rPr>
        <w:t>, 841 P.2d 282</w:t>
      </w:r>
      <w:r>
        <w:rPr>
          <w:rFonts w:eastAsia="Times New Roman"/>
          <w:sz w:val="24"/>
          <w:szCs w:val="24"/>
        </w:rPr>
        <w:t xml:space="preserve"> </w:t>
      </w:r>
      <w:r w:rsidRPr="00D80FC7">
        <w:rPr>
          <w:sz w:val="24"/>
          <w:szCs w:val="24"/>
        </w:rPr>
        <w:t>(Colo. 1992)</w:t>
      </w:r>
      <w:r w:rsidRPr="00E00593">
        <w:rPr>
          <w:rFonts w:eastAsia="Times New Roman"/>
          <w:sz w:val="24"/>
          <w:szCs w:val="24"/>
        </w:rPr>
        <w:t xml:space="preserve">; </w:t>
      </w:r>
      <w:r>
        <w:rPr>
          <w:rFonts w:eastAsia="Times New Roman"/>
          <w:sz w:val="24"/>
          <w:szCs w:val="24"/>
        </w:rPr>
        <w:t xml:space="preserve">and </w:t>
      </w:r>
      <w:r w:rsidRPr="00E00593">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Garden of the Gods Vill., Inc. v. Hellman</w:t>
      </w:r>
      <w:r w:rsidRPr="00E00593">
        <w:rPr>
          <w:rFonts w:eastAsia="Times New Roman"/>
          <w:sz w:val="24"/>
          <w:szCs w:val="24"/>
        </w:rPr>
        <w:t xml:space="preserve">, 133 Colo. 286, 294 P.2d 597 (1956). This instruction should not be used in </w:t>
      </w:r>
      <w:r w:rsidRPr="00E00593">
        <w:rPr>
          <w:rFonts w:eastAsia="Times New Roman"/>
          <w:sz w:val="24"/>
          <w:szCs w:val="24"/>
        </w:rPr>
        <w:lastRenderedPageBreak/>
        <w:t xml:space="preserve">cases involving non-agent independent contractors. For instructions concerning those exceptions, </w:t>
      </w:r>
      <w:r w:rsidRPr="00E00593">
        <w:rPr>
          <w:rFonts w:eastAsia="Times New Roman"/>
          <w:i/>
          <w:iCs/>
          <w:sz w:val="24"/>
          <w:szCs w:val="24"/>
        </w:rPr>
        <w:t xml:space="preserve">see </w:t>
      </w:r>
      <w:r w:rsidRPr="00E00593">
        <w:rPr>
          <w:rFonts w:eastAsia="Times New Roman"/>
          <w:sz w:val="24"/>
          <w:szCs w:val="24"/>
        </w:rPr>
        <w:t>Instruction 9:7 (inherently dangerous activities); Instruction 9:7A (ultrahazardous activities); and Chapter 12 (premises liability).</w:t>
      </w:r>
    </w:p>
    <w:p w14:paraId="09AB45CB"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0AA1363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65A9C20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3C8595E2"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6. For cases involving employment relationships, use the instructions in Part C of this chapter instead of this instruction.</w:t>
      </w:r>
    </w:p>
    <w:p w14:paraId="6BD3C4E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636E9C1"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Pr>
          <w:rFonts w:eastAsia="Times New Roman"/>
          <w:b/>
          <w:iCs/>
          <w:sz w:val="24"/>
          <w:szCs w:val="24"/>
        </w:rPr>
        <w:t>rado</w:t>
      </w:r>
      <w:r w:rsidRPr="00E00593">
        <w:rPr>
          <w:rFonts w:eastAsia="Times New Roman"/>
          <w:b/>
          <w:iCs/>
          <w:sz w:val="24"/>
          <w:szCs w:val="24"/>
        </w:rPr>
        <w:t xml:space="preserve"> State </w:t>
      </w:r>
      <w:r>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73B25E5D"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Pr>
          <w:rFonts w:eastAsia="Times New Roman"/>
          <w:iCs/>
          <w:sz w:val="24"/>
          <w:szCs w:val="24"/>
        </w:rPr>
        <w:t xml:space="preserve">, </w:t>
      </w:r>
      <w:r w:rsidRPr="00E00593">
        <w:rPr>
          <w:rFonts w:eastAsia="Times New Roman"/>
          <w:iCs/>
          <w:sz w:val="24"/>
          <w:szCs w:val="24"/>
        </w:rPr>
        <w:t xml:space="preserve">841 P.2d </w:t>
      </w:r>
      <w:r>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2018 COA 97, ¶ 44</w:t>
      </w:r>
      <w:r w:rsidR="001915D6">
        <w:rPr>
          <w:rFonts w:eastAsia="Times New Roman"/>
          <w:iCs/>
          <w:sz w:val="24"/>
          <w:szCs w:val="24"/>
        </w:rPr>
        <w:t>, 488 P.3d 364</w:t>
      </w:r>
      <w:r w:rsidRPr="00E00593">
        <w:rPr>
          <w:rFonts w:eastAsia="Times New Roman"/>
          <w:iCs/>
          <w:sz w:val="24"/>
          <w:szCs w:val="24"/>
        </w:rPr>
        <w:t xml:space="preserve">.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1CDAFA0B"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respondeat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17B72CF9"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Western Stock Center, Inc. v. Sevit,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r w:rsidRPr="00E00593">
        <w:rPr>
          <w:rFonts w:eastAsia="Times New Roman"/>
          <w:b/>
          <w:iCs/>
          <w:sz w:val="24"/>
          <w:szCs w:val="24"/>
        </w:rPr>
        <w:t>Vikell Inv’rs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6945100A"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5.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Pr>
          <w:rFonts w:eastAsia="Times New Roman"/>
          <w:iCs/>
          <w:sz w:val="24"/>
          <w:szCs w:val="24"/>
        </w:rPr>
        <w:t>¶</w:t>
      </w:r>
      <w:r w:rsidRPr="00E00593">
        <w:rPr>
          <w:rFonts w:eastAsia="Times New Roman"/>
          <w:iCs/>
          <w:sz w:val="24"/>
          <w:szCs w:val="24"/>
        </w:rPr>
        <w:t xml:space="preserve"> 22-23, 370 P.3d 644.</w:t>
      </w:r>
    </w:p>
    <w:p w14:paraId="198549B2" w14:textId="77777777" w:rsidR="00E01A1E" w:rsidRDefault="00771A51" w:rsidP="00E01A1E">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McShane v. Stirling Ranch Prop. Owners Ass’n</w:t>
      </w:r>
      <w:r w:rsidRPr="00E00593">
        <w:rPr>
          <w:rFonts w:eastAsia="Times New Roman"/>
          <w:iCs/>
          <w:sz w:val="24"/>
          <w:szCs w:val="24"/>
        </w:rPr>
        <w:t xml:space="preserve">, 2017 CO 38, ¶¶ 25-26, 393 P.3d 978 (citing </w:t>
      </w:r>
      <w:r w:rsidRPr="00E00593">
        <w:rPr>
          <w:rFonts w:eastAsia="Times New Roman"/>
          <w:b/>
          <w:iCs/>
          <w:sz w:val="24"/>
          <w:szCs w:val="24"/>
        </w:rPr>
        <w:t>Dworak v. Olson Constr. Co.</w:t>
      </w:r>
      <w:r w:rsidRPr="00E00593">
        <w:rPr>
          <w:rFonts w:eastAsia="Times New Roman"/>
          <w:iCs/>
          <w:sz w:val="24"/>
          <w:szCs w:val="24"/>
        </w:rPr>
        <w:t>, 191 Colo. 161, 551 P.2d 198 (1976)).</w:t>
      </w:r>
    </w:p>
    <w:p w14:paraId="2968E105" w14:textId="77777777" w:rsidR="00E01A1E" w:rsidRDefault="00771A51">
      <w:pPr>
        <w:rPr>
          <w:rFonts w:eastAsia="Times New Roman"/>
          <w:iCs/>
          <w:sz w:val="24"/>
          <w:szCs w:val="24"/>
        </w:rPr>
      </w:pPr>
      <w:r>
        <w:rPr>
          <w:rFonts w:eastAsia="Times New Roman"/>
          <w:iCs/>
          <w:sz w:val="24"/>
          <w:szCs w:val="24"/>
        </w:rPr>
        <w:br w:type="page"/>
      </w:r>
    </w:p>
    <w:p w14:paraId="378D4EDD" w14:textId="77777777" w:rsidR="00E01A1E" w:rsidRPr="009E3DA4" w:rsidRDefault="00771A51" w:rsidP="00E01A1E">
      <w:pPr>
        <w:spacing w:after="240"/>
        <w:ind w:left="720" w:hanging="720"/>
        <w:rPr>
          <w:rFonts w:eastAsia="Times New Roman"/>
          <w:b/>
          <w:sz w:val="24"/>
          <w:szCs w:val="24"/>
        </w:rPr>
      </w:pPr>
      <w:bookmarkStart w:id="22" w:name="a8_19"/>
      <w:bookmarkEnd w:id="22"/>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43174A27"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6F849A26" w14:textId="15957B76"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w:t>
      </w:r>
      <w:r w:rsidR="003E686C" w:rsidRPr="003E686C">
        <w:rPr>
          <w:rFonts w:eastAsia="Times New Roman"/>
          <w:bCs/>
          <w:i/>
          <w:iCs/>
          <w:sz w:val="24"/>
          <w:szCs w:val="24"/>
        </w:rPr>
        <w:t>(insert applicable pronoun)</w:t>
      </w:r>
      <w:r w:rsidRPr="004348D7">
        <w:rPr>
          <w:rFonts w:eastAsia="Times New Roman"/>
          <w:b/>
          <w:sz w:val="24"/>
          <w:szCs w:val="24"/>
        </w:rPr>
        <w:t xml:space="preserve">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w:t>
      </w:r>
      <w:r w:rsidR="003E686C" w:rsidRPr="003E686C">
        <w:rPr>
          <w:rFonts w:eastAsia="Times New Roman"/>
          <w:bCs/>
          <w:i/>
          <w:iCs/>
          <w:sz w:val="24"/>
          <w:szCs w:val="24"/>
        </w:rPr>
        <w:t>(insert applicable pronoun)</w:t>
      </w:r>
      <w:r w:rsidRPr="004348D7">
        <w:rPr>
          <w:rFonts w:eastAsia="Times New Roman"/>
          <w:b/>
          <w:sz w:val="24"/>
          <w:szCs w:val="24"/>
        </w:rPr>
        <w:t xml:space="preserve">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4D1A97CB" w14:textId="32E12929"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w:t>
      </w:r>
      <w:r w:rsidR="003E686C" w:rsidRPr="003E686C">
        <w:rPr>
          <w:rFonts w:eastAsia="Times New Roman"/>
          <w:bCs/>
          <w:i/>
          <w:iCs/>
          <w:sz w:val="24"/>
          <w:szCs w:val="24"/>
        </w:rPr>
        <w:t>(insert applicable pronoun)</w:t>
      </w:r>
      <w:r w:rsidRPr="004348D7">
        <w:rPr>
          <w:rFonts w:eastAsia="Times New Roman"/>
          <w:b/>
          <w:sz w:val="24"/>
          <w:szCs w:val="24"/>
        </w:rPr>
        <w:t xml:space="preserve">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103E277B" w14:textId="31FE3CCB"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w:t>
      </w:r>
      <w:r w:rsidR="003E686C" w:rsidRPr="003E686C">
        <w:rPr>
          <w:rFonts w:eastAsia="Times New Roman"/>
          <w:bCs/>
          <w:i/>
          <w:iCs/>
          <w:sz w:val="24"/>
          <w:szCs w:val="24"/>
        </w:rPr>
        <w:t>(insert applicable pronoun)</w:t>
      </w:r>
      <w:r w:rsidRPr="004348D7">
        <w:rPr>
          <w:rFonts w:eastAsia="Times New Roman"/>
          <w:b/>
          <w:sz w:val="24"/>
          <w:szCs w:val="24"/>
        </w:rPr>
        <w:t xml:space="preserve">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w:t>
      </w:r>
      <w:r w:rsidR="003E686C" w:rsidRPr="003E686C">
        <w:rPr>
          <w:rFonts w:eastAsia="Times New Roman"/>
          <w:bCs/>
          <w:i/>
          <w:iCs/>
          <w:sz w:val="24"/>
          <w:szCs w:val="24"/>
        </w:rPr>
        <w:t>(insert applicable pronoun)</w:t>
      </w:r>
      <w:r w:rsidRPr="004348D7">
        <w:rPr>
          <w:rFonts w:eastAsia="Times New Roman"/>
          <w:b/>
          <w:sz w:val="24"/>
          <w:szCs w:val="24"/>
        </w:rPr>
        <w:t xml:space="preserve">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3B7D6044" w14:textId="77777777" w:rsidR="00E01A1E" w:rsidRDefault="00E01A1E" w:rsidP="00E01A1E">
      <w:pPr>
        <w:jc w:val="center"/>
        <w:rPr>
          <w:rFonts w:eastAsia="Times New Roman"/>
          <w:sz w:val="24"/>
          <w:szCs w:val="24"/>
        </w:rPr>
      </w:pPr>
    </w:p>
    <w:p w14:paraId="53E2EE9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3E7E12F"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rPr>
        <w:t>Grease Monkey Int’l v. Montoya</w:t>
      </w:r>
      <w:r w:rsidRPr="004348D7">
        <w:rPr>
          <w:rFonts w:eastAsia="Times New Roman"/>
          <w:sz w:val="24"/>
          <w:szCs w:val="24"/>
        </w:rPr>
        <w:t>, 904 P.2d 468, 473 (Colo. 1995)</w:t>
      </w:r>
      <w:r w:rsidRPr="00AD33E5">
        <w:rPr>
          <w:rFonts w:eastAsia="Times New Roman"/>
          <w:bCs/>
          <w:sz w:val="24"/>
          <w:szCs w:val="24"/>
        </w:rPr>
        <w:t xml:space="preserve">. </w:t>
      </w:r>
      <w:r w:rsidRPr="004348D7">
        <w:rPr>
          <w:rFonts w:eastAsia="Times New Roman"/>
          <w:sz w:val="24"/>
          <w:szCs w:val="24"/>
        </w:rPr>
        <w:t xml:space="preserve">A principal may be liable for the agent’s torts if the agent is acting with apparent authority. </w:t>
      </w:r>
      <w:r w:rsidRPr="004348D7">
        <w:rPr>
          <w:rFonts w:eastAsia="Times New Roman"/>
          <w:i/>
          <w:iCs/>
          <w:sz w:val="24"/>
          <w:szCs w:val="24"/>
        </w:rPr>
        <w:t xml:space="preserve">See </w:t>
      </w:r>
      <w:r w:rsidRPr="003D2114">
        <w:rPr>
          <w:rFonts w:eastAsia="Times New Roman"/>
          <w:bCs/>
          <w:i/>
          <w:sz w:val="24"/>
          <w:szCs w:val="24"/>
        </w:rPr>
        <w:t>id.</w:t>
      </w:r>
      <w:r w:rsidRPr="004348D7">
        <w:rPr>
          <w:rFonts w:eastAsia="Times New Roman"/>
          <w:sz w:val="24"/>
          <w:szCs w:val="24"/>
        </w:rPr>
        <w:t xml:space="preserve"> </w:t>
      </w:r>
      <w:r>
        <w:rPr>
          <w:rFonts w:eastAsia="Times New Roman"/>
          <w:sz w:val="24"/>
          <w:szCs w:val="24"/>
        </w:rPr>
        <w:t xml:space="preserve">at </w:t>
      </w:r>
      <w:r w:rsidRPr="004348D7">
        <w:rPr>
          <w:rFonts w:eastAsia="Times New Roman"/>
          <w:sz w:val="24"/>
          <w:szCs w:val="24"/>
        </w:rPr>
        <w:t>475-76 (holding principal liable for agent’s fraudulent misrepresentation).</w:t>
      </w:r>
    </w:p>
    <w:p w14:paraId="31B6A91C"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348D7">
        <w:rPr>
          <w:rFonts w:eastAsia="Times New Roman"/>
          <w:b/>
          <w:bCs/>
          <w:sz w:val="24"/>
          <w:szCs w:val="24"/>
        </w:rPr>
        <w:t>Digital Landscape Inc. v. Media Kings LL</w:t>
      </w:r>
      <w:r>
        <w:rPr>
          <w:rFonts w:eastAsia="Times New Roman"/>
          <w:b/>
          <w:bCs/>
          <w:sz w:val="24"/>
          <w:szCs w:val="24"/>
        </w:rPr>
        <w:t>C</w:t>
      </w:r>
      <w:r w:rsidRPr="004348D7">
        <w:rPr>
          <w:rFonts w:eastAsia="Times New Roman"/>
          <w:sz w:val="24"/>
          <w:szCs w:val="24"/>
        </w:rPr>
        <w:t xml:space="preserve">, 2018 COA 142, ¶ 79, 440 P.3d 1200, 1212; </w:t>
      </w:r>
      <w:r w:rsidRPr="004348D7">
        <w:rPr>
          <w:rFonts w:eastAsia="Times New Roman"/>
          <w:i/>
          <w:iCs/>
          <w:sz w:val="24"/>
          <w:szCs w:val="24"/>
        </w:rPr>
        <w:t xml:space="preserve">see also </w:t>
      </w:r>
      <w:r w:rsidRPr="004348D7">
        <w:rPr>
          <w:rFonts w:eastAsia="Times New Roman"/>
          <w:b/>
          <w:bCs/>
          <w:sz w:val="24"/>
          <w:szCs w:val="24"/>
        </w:rPr>
        <w:t>Grease Monkey</w:t>
      </w:r>
      <w:r w:rsidRPr="004348D7">
        <w:rPr>
          <w:rFonts w:eastAsia="Times New Roman"/>
          <w:sz w:val="24"/>
          <w:szCs w:val="24"/>
        </w:rPr>
        <w:t xml:space="preserve">, 904 P.2d at 473. The general rule is subject to three limited exceptions: nondelegable duties, </w:t>
      </w:r>
      <w:r w:rsidRPr="004348D7">
        <w:rPr>
          <w:rFonts w:eastAsia="Times New Roman"/>
          <w:i/>
          <w:iCs/>
          <w:sz w:val="24"/>
          <w:szCs w:val="24"/>
        </w:rPr>
        <w:t>se</w:t>
      </w:r>
      <w:r>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Springer v. City &amp; Cty.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Huddleston v. Union Rural Elec. Ass’n</w:t>
      </w:r>
      <w:r w:rsidRPr="004348D7">
        <w:rPr>
          <w:rFonts w:eastAsia="Times New Roman"/>
          <w:sz w:val="24"/>
          <w:szCs w:val="24"/>
        </w:rPr>
        <w:t>, 841 P.2d 282</w:t>
      </w:r>
      <w:r>
        <w:rPr>
          <w:rFonts w:eastAsia="Times New Roman"/>
          <w:sz w:val="24"/>
          <w:szCs w:val="24"/>
        </w:rPr>
        <w:t xml:space="preserve"> </w:t>
      </w:r>
      <w:r w:rsidRPr="00D80FC7">
        <w:rPr>
          <w:sz w:val="24"/>
          <w:szCs w:val="24"/>
        </w:rPr>
        <w:t>(Colo. 1992)</w:t>
      </w:r>
      <w:r w:rsidRPr="004348D7">
        <w:rPr>
          <w:rFonts w:eastAsia="Times New Roman"/>
          <w:sz w:val="24"/>
          <w:szCs w:val="24"/>
        </w:rPr>
        <w:t xml:space="preserve">; </w:t>
      </w:r>
      <w:r>
        <w:rPr>
          <w:rFonts w:eastAsia="Times New Roman"/>
          <w:sz w:val="24"/>
          <w:szCs w:val="24"/>
        </w:rPr>
        <w:t xml:space="preserve">and </w:t>
      </w:r>
      <w:r w:rsidRPr="004348D7">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Garden of the Gods Vill., Inc. v. Hellman</w:t>
      </w:r>
      <w:r w:rsidRPr="004348D7">
        <w:rPr>
          <w:rFonts w:eastAsia="Times New Roman"/>
          <w:sz w:val="24"/>
          <w:szCs w:val="24"/>
        </w:rPr>
        <w:t xml:space="preserve">, 133 Colo. 286, 294 P.2d 597 (1956). This instruction should not be used in cases involving non-agent independent contractors. For instructions concerning those exceptions, </w:t>
      </w:r>
      <w:r w:rsidRPr="004348D7">
        <w:rPr>
          <w:rFonts w:eastAsia="Times New Roman"/>
          <w:i/>
          <w:iCs/>
          <w:sz w:val="24"/>
          <w:szCs w:val="24"/>
        </w:rPr>
        <w:t>see</w:t>
      </w:r>
      <w:r>
        <w:rPr>
          <w:rFonts w:eastAsia="Times New Roman"/>
          <w:iCs/>
          <w:sz w:val="24"/>
          <w:szCs w:val="24"/>
        </w:rPr>
        <w:t xml:space="preserve"> </w:t>
      </w:r>
      <w:r w:rsidRPr="004348D7">
        <w:rPr>
          <w:rFonts w:eastAsia="Times New Roman"/>
          <w:sz w:val="24"/>
          <w:szCs w:val="24"/>
        </w:rPr>
        <w:t>Instruction 9:7 (inherently dangerous activities); Instruction 9:7A (ultrahazardous activities); and Chapter 12 (premises liability).</w:t>
      </w:r>
    </w:p>
    <w:p w14:paraId="47825344"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6DC1251A"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25B948A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246829" w14:textId="77777777" w:rsidR="00E01A1E" w:rsidRDefault="00771A51" w:rsidP="00E01A1E">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1FBCC9A8" w14:textId="77777777" w:rsidR="00E01A1E" w:rsidRDefault="00771A51">
      <w:pPr>
        <w:rPr>
          <w:rFonts w:eastAsia="Times New Roman"/>
          <w:iCs/>
          <w:sz w:val="24"/>
          <w:szCs w:val="24"/>
        </w:rPr>
      </w:pPr>
      <w:r>
        <w:rPr>
          <w:rFonts w:eastAsia="Times New Roman"/>
          <w:iCs/>
          <w:sz w:val="24"/>
          <w:szCs w:val="24"/>
        </w:rPr>
        <w:br w:type="page"/>
      </w:r>
    </w:p>
    <w:p w14:paraId="289106ED" w14:textId="77777777" w:rsidR="00E01A1E" w:rsidRPr="009E3DA4" w:rsidRDefault="00771A51" w:rsidP="00E01A1E">
      <w:pPr>
        <w:spacing w:after="240"/>
        <w:ind w:left="720" w:hanging="720"/>
        <w:rPr>
          <w:rFonts w:eastAsia="Times New Roman"/>
          <w:b/>
          <w:sz w:val="24"/>
          <w:szCs w:val="24"/>
        </w:rPr>
      </w:pPr>
      <w:bookmarkStart w:id="23" w:name="a8_20"/>
      <w:bookmarkEnd w:id="23"/>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5EC38438" w14:textId="1DB19DBC"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w:t>
      </w:r>
      <w:r w:rsidR="003E686C" w:rsidRPr="003E686C">
        <w:rPr>
          <w:rFonts w:eastAsia="Times New Roman"/>
          <w:bCs/>
          <w:i/>
          <w:iCs/>
          <w:sz w:val="24"/>
          <w:szCs w:val="24"/>
        </w:rPr>
        <w:t>(insert applicable pronoun)</w:t>
      </w:r>
      <w:r w:rsidRPr="004B1149">
        <w:rPr>
          <w:rFonts w:eastAsia="Times New Roman"/>
          <w:b/>
          <w:sz w:val="24"/>
          <w:szCs w:val="24"/>
        </w:rPr>
        <w:t xml:space="preserve">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0DB4352F" w14:textId="1C298165"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4B1149">
        <w:rPr>
          <w:rFonts w:eastAsia="Times New Roman"/>
          <w:b/>
          <w:sz w:val="24"/>
          <w:szCs w:val="24"/>
        </w:rPr>
        <w:t xml:space="preserve">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55690192"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386E3267" w14:textId="5B9E0D60"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4B1149">
        <w:rPr>
          <w:rFonts w:eastAsia="Times New Roman"/>
          <w:b/>
          <w:sz w:val="24"/>
          <w:szCs w:val="24"/>
        </w:rPr>
        <w:t xml:space="preserve">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769076A0"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1F23D6D5"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3CF562D9" w14:textId="77777777" w:rsidR="00E01A1E" w:rsidRDefault="00E01A1E" w:rsidP="00E01A1E">
      <w:pPr>
        <w:jc w:val="center"/>
        <w:rPr>
          <w:rFonts w:eastAsia="Times New Roman"/>
          <w:sz w:val="24"/>
          <w:szCs w:val="24"/>
        </w:rPr>
      </w:pPr>
    </w:p>
    <w:p w14:paraId="2CDE04E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C6E3B1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rPr>
        <w:t>Grease Monkey Int’l v. Montoya</w:t>
      </w:r>
      <w:r w:rsidRPr="004B1149">
        <w:rPr>
          <w:rFonts w:eastAsia="Times New Roman"/>
          <w:sz w:val="24"/>
          <w:szCs w:val="24"/>
        </w:rPr>
        <w:t>, 904 P.2d 468, 473 (Colo. 1995)</w:t>
      </w:r>
      <w:r w:rsidRPr="004B1149">
        <w:rPr>
          <w:rFonts w:eastAsia="Times New Roman"/>
          <w:bCs/>
          <w:sz w:val="24"/>
          <w:szCs w:val="24"/>
        </w:rPr>
        <w:t xml:space="preserve">. </w:t>
      </w:r>
      <w:r w:rsidRPr="004B1149">
        <w:rPr>
          <w:rFonts w:eastAsia="Times New Roman"/>
          <w:sz w:val="24"/>
          <w:szCs w:val="24"/>
        </w:rPr>
        <w:t xml:space="preserve">A principal may be liable for the agent’s torts if the agent is acting with apparent authority. </w:t>
      </w:r>
      <w:r w:rsidRPr="004B1149">
        <w:rPr>
          <w:rFonts w:eastAsia="Times New Roman"/>
          <w:i/>
          <w:iCs/>
          <w:sz w:val="24"/>
          <w:szCs w:val="24"/>
        </w:rPr>
        <w:t>See</w:t>
      </w:r>
      <w:r>
        <w:rPr>
          <w:rFonts w:eastAsia="Times New Roman"/>
          <w:iCs/>
          <w:sz w:val="24"/>
          <w:szCs w:val="24"/>
        </w:rPr>
        <w:t xml:space="preserve"> </w:t>
      </w:r>
      <w:r>
        <w:rPr>
          <w:rFonts w:eastAsia="Times New Roman"/>
          <w:i/>
          <w:iCs/>
          <w:sz w:val="24"/>
          <w:szCs w:val="24"/>
        </w:rPr>
        <w:t>id.</w:t>
      </w:r>
      <w:r>
        <w:rPr>
          <w:rFonts w:eastAsia="Times New Roman"/>
          <w:iCs/>
          <w:sz w:val="24"/>
          <w:szCs w:val="24"/>
        </w:rPr>
        <w:t xml:space="preserve"> </w:t>
      </w:r>
      <w:r w:rsidRPr="004B1149">
        <w:rPr>
          <w:rFonts w:eastAsia="Times New Roman"/>
          <w:sz w:val="24"/>
          <w:szCs w:val="24"/>
        </w:rPr>
        <w:t>at 475-76 (holding principal liable for agent’s fraudulent misrepresentation).</w:t>
      </w:r>
    </w:p>
    <w:p w14:paraId="0BDD341A"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B1149">
        <w:rPr>
          <w:rFonts w:eastAsia="Times New Roman"/>
          <w:b/>
          <w:bCs/>
          <w:sz w:val="24"/>
          <w:szCs w:val="24"/>
        </w:rPr>
        <w:t>Digital Landscape Inc. v. Media Kings LL</w:t>
      </w:r>
      <w:r>
        <w:rPr>
          <w:rFonts w:eastAsia="Times New Roman"/>
          <w:b/>
          <w:bCs/>
          <w:sz w:val="24"/>
          <w:szCs w:val="24"/>
        </w:rPr>
        <w:t>C</w:t>
      </w:r>
      <w:r w:rsidRPr="004B1149">
        <w:rPr>
          <w:rFonts w:eastAsia="Times New Roman"/>
          <w:sz w:val="24"/>
          <w:szCs w:val="24"/>
        </w:rPr>
        <w:t xml:space="preserve">, 2018 COA 142, ¶ 79, 440 P.3d 1200, 1212; </w:t>
      </w:r>
      <w:r w:rsidRPr="004B1149">
        <w:rPr>
          <w:rFonts w:eastAsia="Times New Roman"/>
          <w:i/>
          <w:iCs/>
          <w:sz w:val="24"/>
          <w:szCs w:val="24"/>
        </w:rPr>
        <w:t xml:space="preserve">see also </w:t>
      </w:r>
      <w:r w:rsidRPr="004B1149">
        <w:rPr>
          <w:rFonts w:eastAsia="Times New Roman"/>
          <w:b/>
          <w:bCs/>
          <w:sz w:val="24"/>
          <w:szCs w:val="24"/>
        </w:rPr>
        <w:t>Grease Monkey</w:t>
      </w:r>
      <w:r w:rsidRPr="004B1149">
        <w:rPr>
          <w:rFonts w:eastAsia="Times New Roman"/>
          <w:sz w:val="24"/>
          <w:szCs w:val="24"/>
        </w:rPr>
        <w:t xml:space="preserve">, 904 P.2d at 473. The general rule is subject to three limited exceptions: nondelegable duties, </w:t>
      </w:r>
      <w:r w:rsidRPr="004B1149">
        <w:rPr>
          <w:rFonts w:eastAsia="Times New Roman"/>
          <w:i/>
          <w:iCs/>
          <w:sz w:val="24"/>
          <w:szCs w:val="24"/>
        </w:rPr>
        <w:t>se</w:t>
      </w:r>
      <w:r>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Springer v. City &amp; Cty.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Huddleston v. Union Rural Elec. Ass’n</w:t>
      </w:r>
      <w:r w:rsidRPr="004B1149">
        <w:rPr>
          <w:rFonts w:eastAsia="Times New Roman"/>
          <w:sz w:val="24"/>
          <w:szCs w:val="24"/>
        </w:rPr>
        <w:t>, 841 P.2d 282</w:t>
      </w:r>
      <w:r>
        <w:rPr>
          <w:rFonts w:eastAsia="Times New Roman"/>
          <w:sz w:val="24"/>
          <w:szCs w:val="24"/>
        </w:rPr>
        <w:t xml:space="preserve"> </w:t>
      </w:r>
      <w:r w:rsidRPr="00D80FC7">
        <w:rPr>
          <w:sz w:val="24"/>
          <w:szCs w:val="24"/>
        </w:rPr>
        <w:t>(Colo. 1992)</w:t>
      </w:r>
      <w:r w:rsidRPr="004B1149">
        <w:rPr>
          <w:rFonts w:eastAsia="Times New Roman"/>
          <w:sz w:val="24"/>
          <w:szCs w:val="24"/>
        </w:rPr>
        <w:t xml:space="preserve">; </w:t>
      </w:r>
      <w:r>
        <w:rPr>
          <w:rFonts w:eastAsia="Times New Roman"/>
          <w:sz w:val="24"/>
          <w:szCs w:val="24"/>
        </w:rPr>
        <w:t xml:space="preserve">and </w:t>
      </w:r>
      <w:r w:rsidRPr="004B1149">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Garden of the Gods Vill., Inc. v. Hellman</w:t>
      </w:r>
      <w:r w:rsidRPr="004B1149">
        <w:rPr>
          <w:rFonts w:eastAsia="Times New Roman"/>
          <w:sz w:val="24"/>
          <w:szCs w:val="24"/>
        </w:rPr>
        <w:t xml:space="preserve">, 133 Colo. 286, 294 P.2d 597 (1956). This instruction should not be used in cases involving non-agent independent contractors. For instructions concerning those exceptions, </w:t>
      </w:r>
      <w:r w:rsidRPr="004B1149">
        <w:rPr>
          <w:rFonts w:eastAsia="Times New Roman"/>
          <w:i/>
          <w:iCs/>
          <w:sz w:val="24"/>
          <w:szCs w:val="24"/>
        </w:rPr>
        <w:lastRenderedPageBreak/>
        <w:t>see</w:t>
      </w:r>
      <w:r>
        <w:rPr>
          <w:rFonts w:eastAsia="Times New Roman"/>
          <w:iCs/>
          <w:sz w:val="24"/>
          <w:szCs w:val="24"/>
        </w:rPr>
        <w:t xml:space="preserve"> </w:t>
      </w:r>
      <w:r w:rsidRPr="004B1149">
        <w:rPr>
          <w:rFonts w:eastAsia="Times New Roman"/>
          <w:sz w:val="24"/>
          <w:szCs w:val="24"/>
        </w:rPr>
        <w:t>Instruction 9:7 (inherently dangerous activities); Instruction 9:7A (ultrahazardous activities); and Chapter 12 (premises liability).</w:t>
      </w:r>
    </w:p>
    <w:p w14:paraId="4024880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5482A844"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337E15FD"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071E6A39"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34DDC1FB"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6799A5"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37E1227" w14:textId="77777777" w:rsidR="00E01A1E" w:rsidRDefault="00771A51">
      <w:pPr>
        <w:rPr>
          <w:rFonts w:eastAsia="Times New Roman"/>
          <w:iCs/>
          <w:sz w:val="24"/>
          <w:szCs w:val="24"/>
        </w:rPr>
      </w:pPr>
      <w:r>
        <w:rPr>
          <w:rFonts w:eastAsia="Times New Roman"/>
          <w:iCs/>
          <w:sz w:val="24"/>
          <w:szCs w:val="24"/>
        </w:rPr>
        <w:br w:type="page"/>
      </w:r>
    </w:p>
    <w:p w14:paraId="068B3963" w14:textId="77777777" w:rsidR="00E01A1E" w:rsidRPr="009E3DA4" w:rsidRDefault="00771A51" w:rsidP="00E01A1E">
      <w:pPr>
        <w:spacing w:after="240"/>
        <w:ind w:left="720" w:hanging="720"/>
        <w:rPr>
          <w:rFonts w:eastAsia="Times New Roman"/>
          <w:b/>
          <w:sz w:val="24"/>
          <w:szCs w:val="24"/>
        </w:rPr>
      </w:pPr>
      <w:bookmarkStart w:id="24" w:name="a8_21"/>
      <w:bookmarkEnd w:id="24"/>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26254EED" w14:textId="77777777" w:rsidR="00E01A1E" w:rsidRPr="00F939E4" w:rsidRDefault="00771A51" w:rsidP="00E01A1E">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0051AA46" w14:textId="77777777" w:rsidR="00E01A1E" w:rsidRDefault="00E01A1E" w:rsidP="00E01A1E">
      <w:pPr>
        <w:jc w:val="center"/>
        <w:rPr>
          <w:rFonts w:eastAsia="Times New Roman"/>
          <w:sz w:val="24"/>
          <w:szCs w:val="24"/>
        </w:rPr>
      </w:pPr>
    </w:p>
    <w:p w14:paraId="57FE008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667A86B"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rPr>
        <w:t>Grease Monkey Int’l v. Montoya</w:t>
      </w:r>
      <w:r w:rsidRPr="00F939E4">
        <w:rPr>
          <w:rFonts w:eastAsia="Times New Roman"/>
          <w:sz w:val="24"/>
          <w:szCs w:val="24"/>
        </w:rPr>
        <w:t>, 904 P.2d 468, 473 (Colo. 1995</w:t>
      </w:r>
      <w:r>
        <w:rPr>
          <w:rFonts w:eastAsia="Times New Roman"/>
          <w:sz w:val="24"/>
          <w:szCs w:val="24"/>
        </w:rPr>
        <w:t xml:space="preserve">). </w:t>
      </w:r>
      <w:r w:rsidRPr="00F939E4">
        <w:rPr>
          <w:rFonts w:eastAsia="Times New Roman"/>
          <w:sz w:val="24"/>
          <w:szCs w:val="24"/>
        </w:rPr>
        <w:t xml:space="preserve">A principal may be liable for the agent’s torts if the agent is acting with apparent authority. </w:t>
      </w:r>
      <w:r w:rsidRPr="00F939E4">
        <w:rPr>
          <w:rFonts w:eastAsia="Times New Roman"/>
          <w:i/>
          <w:iCs/>
          <w:sz w:val="24"/>
          <w:szCs w:val="24"/>
        </w:rPr>
        <w:t>See</w:t>
      </w:r>
      <w:r>
        <w:rPr>
          <w:rFonts w:eastAsia="Times New Roman"/>
          <w:iCs/>
          <w:sz w:val="24"/>
          <w:szCs w:val="24"/>
        </w:rPr>
        <w:t xml:space="preserve"> </w:t>
      </w:r>
      <w:r>
        <w:rPr>
          <w:rFonts w:eastAsia="Times New Roman"/>
          <w:bCs/>
          <w:i/>
          <w:sz w:val="24"/>
          <w:szCs w:val="24"/>
        </w:rPr>
        <w:t>id.</w:t>
      </w:r>
      <w:r w:rsidRPr="00F939E4">
        <w:rPr>
          <w:rFonts w:eastAsia="Times New Roman"/>
          <w:sz w:val="24"/>
          <w:szCs w:val="24"/>
        </w:rPr>
        <w:t xml:space="preserve"> at 475-76 (holding principal liable for agent’s fraudulent misrepresentation).</w:t>
      </w:r>
    </w:p>
    <w:p w14:paraId="11B4E38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F939E4">
        <w:rPr>
          <w:rFonts w:eastAsia="Times New Roman"/>
          <w:b/>
          <w:bCs/>
          <w:sz w:val="24"/>
          <w:szCs w:val="24"/>
        </w:rPr>
        <w:t>Digital Landscape Inc. v. Media Kings LL</w:t>
      </w:r>
      <w:r>
        <w:rPr>
          <w:rFonts w:eastAsia="Times New Roman"/>
          <w:b/>
          <w:bCs/>
          <w:sz w:val="24"/>
          <w:szCs w:val="24"/>
        </w:rPr>
        <w:t>C</w:t>
      </w:r>
      <w:r w:rsidRPr="00F939E4">
        <w:rPr>
          <w:rFonts w:eastAsia="Times New Roman"/>
          <w:sz w:val="24"/>
          <w:szCs w:val="24"/>
        </w:rPr>
        <w:t xml:space="preserve">, 2018 COA 142, ¶ 79, 440 P.3d 1200, 1212; </w:t>
      </w:r>
      <w:r w:rsidRPr="00F939E4">
        <w:rPr>
          <w:rFonts w:eastAsia="Times New Roman"/>
          <w:i/>
          <w:iCs/>
          <w:sz w:val="24"/>
          <w:szCs w:val="24"/>
        </w:rPr>
        <w:t>see also</w:t>
      </w:r>
      <w:r>
        <w:rPr>
          <w:rFonts w:eastAsia="Times New Roman"/>
          <w:iCs/>
          <w:sz w:val="24"/>
          <w:szCs w:val="24"/>
        </w:rPr>
        <w:t xml:space="preserve"> </w:t>
      </w:r>
      <w:r w:rsidRPr="00F939E4">
        <w:rPr>
          <w:rFonts w:eastAsia="Times New Roman"/>
          <w:b/>
          <w:bCs/>
          <w:sz w:val="24"/>
          <w:szCs w:val="24"/>
        </w:rPr>
        <w:t>Grease Monkey</w:t>
      </w:r>
      <w:r w:rsidRPr="00F939E4">
        <w:rPr>
          <w:rFonts w:eastAsia="Times New Roman"/>
          <w:sz w:val="24"/>
          <w:szCs w:val="24"/>
        </w:rPr>
        <w:t xml:space="preserve">, 904 P.2d at 473. The general rule is subject to three limited exceptions: nondelegable duties, </w:t>
      </w:r>
      <w:r w:rsidRPr="00F939E4">
        <w:rPr>
          <w:rFonts w:eastAsia="Times New Roman"/>
          <w:i/>
          <w:iCs/>
          <w:sz w:val="24"/>
          <w:szCs w:val="24"/>
        </w:rPr>
        <w:t>see</w:t>
      </w:r>
      <w:r>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Springer v. City &amp; Cty.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Huddleston v. Union Rural Elec. Ass’n</w:t>
      </w:r>
      <w:r w:rsidRPr="00F939E4">
        <w:rPr>
          <w:rFonts w:eastAsia="Times New Roman"/>
          <w:sz w:val="24"/>
          <w:szCs w:val="24"/>
        </w:rPr>
        <w:t>, 841 P.2d 282</w:t>
      </w:r>
      <w:r>
        <w:rPr>
          <w:rFonts w:eastAsia="Times New Roman"/>
          <w:sz w:val="24"/>
          <w:szCs w:val="24"/>
        </w:rPr>
        <w:t xml:space="preserve"> (Colo. 1992)</w:t>
      </w:r>
      <w:r w:rsidRPr="00F939E4">
        <w:rPr>
          <w:rFonts w:eastAsia="Times New Roman"/>
          <w:sz w:val="24"/>
          <w:szCs w:val="24"/>
        </w:rPr>
        <w:t xml:space="preserve">; </w:t>
      </w:r>
      <w:r>
        <w:rPr>
          <w:rFonts w:eastAsia="Times New Roman"/>
          <w:sz w:val="24"/>
          <w:szCs w:val="24"/>
        </w:rPr>
        <w:t xml:space="preserve">and </w:t>
      </w:r>
      <w:r w:rsidRPr="00F939E4">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F939E4">
        <w:rPr>
          <w:rFonts w:eastAsia="Times New Roman"/>
          <w:sz w:val="24"/>
          <w:szCs w:val="24"/>
        </w:rPr>
        <w:t xml:space="preserve"> </w:t>
      </w:r>
      <w:r w:rsidRPr="00F939E4">
        <w:rPr>
          <w:rFonts w:eastAsia="Times New Roman"/>
          <w:b/>
          <w:bCs/>
          <w:sz w:val="24"/>
          <w:szCs w:val="24"/>
        </w:rPr>
        <w:t>Garden of the Gods Vill., Inc. v. Hellman</w:t>
      </w:r>
      <w:r w:rsidRPr="00F939E4">
        <w:rPr>
          <w:rFonts w:eastAsia="Times New Roman"/>
          <w:sz w:val="24"/>
          <w:szCs w:val="24"/>
        </w:rPr>
        <w:t xml:space="preserve">, 133 Colo. 286, 294 P.2d 597 (1956). This instruction should not be used in cases involving non-agent independent contractors. For instructions concerning those exceptions, </w:t>
      </w:r>
      <w:r w:rsidRPr="00F939E4">
        <w:rPr>
          <w:rFonts w:eastAsia="Times New Roman"/>
          <w:i/>
          <w:iCs/>
          <w:sz w:val="24"/>
          <w:szCs w:val="24"/>
        </w:rPr>
        <w:t>see</w:t>
      </w:r>
      <w:r>
        <w:rPr>
          <w:rFonts w:eastAsia="Times New Roman"/>
          <w:iCs/>
          <w:sz w:val="24"/>
          <w:szCs w:val="24"/>
        </w:rPr>
        <w:t xml:space="preserve"> </w:t>
      </w:r>
      <w:r w:rsidRPr="00F939E4">
        <w:rPr>
          <w:rFonts w:eastAsia="Times New Roman"/>
          <w:sz w:val="24"/>
          <w:szCs w:val="24"/>
        </w:rPr>
        <w:t>Instruction 9:7 (inherently dangerous activities); Instruction 9:7A (ultrahazardous activities); and Chapter 12 (premises liability).</w:t>
      </w:r>
    </w:p>
    <w:p w14:paraId="63892634"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1F8B7E4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4577EDB0"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4E663DD"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591D07B" w14:textId="77777777" w:rsidR="00E01A1E" w:rsidRDefault="00771A51">
      <w:pPr>
        <w:rPr>
          <w:rFonts w:eastAsia="Times New Roman"/>
          <w:iCs/>
          <w:sz w:val="24"/>
          <w:szCs w:val="24"/>
        </w:rPr>
      </w:pPr>
      <w:r>
        <w:rPr>
          <w:rFonts w:eastAsia="Times New Roman"/>
          <w:iCs/>
          <w:sz w:val="24"/>
          <w:szCs w:val="24"/>
        </w:rPr>
        <w:br w:type="page"/>
      </w:r>
    </w:p>
    <w:p w14:paraId="35F7C531" w14:textId="77777777" w:rsidR="00E01A1E" w:rsidRDefault="00771A51" w:rsidP="00E01A1E">
      <w:pPr>
        <w:spacing w:after="240"/>
        <w:jc w:val="center"/>
        <w:rPr>
          <w:rFonts w:eastAsia="Times New Roman"/>
          <w:b/>
          <w:sz w:val="24"/>
          <w:szCs w:val="24"/>
        </w:rPr>
      </w:pPr>
      <w:bookmarkStart w:id="25" w:name="a8_22"/>
      <w:bookmarkEnd w:id="25"/>
      <w:r w:rsidRPr="00327209">
        <w:rPr>
          <w:b/>
          <w:sz w:val="24"/>
          <w:szCs w:val="24"/>
        </w:rPr>
        <w:lastRenderedPageBreak/>
        <w:t>C. LIABILITY ARISING FROM RESPONDEAT SUPERIOR</w:t>
      </w:r>
    </w:p>
    <w:p w14:paraId="7D54BFB7" w14:textId="77777777" w:rsidR="00E01A1E" w:rsidRPr="009E3DA4" w:rsidRDefault="00771A51" w:rsidP="00E01A1E">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374BC44B" w14:textId="0E44E66E"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w:t>
      </w:r>
      <w:r w:rsidR="003E686C" w:rsidRPr="003E686C">
        <w:rPr>
          <w:rFonts w:eastAsia="Times New Roman"/>
          <w:bCs/>
          <w:i/>
          <w:iCs/>
          <w:sz w:val="24"/>
          <w:szCs w:val="24"/>
        </w:rPr>
        <w:t>(insert applicable pronoun)</w:t>
      </w:r>
      <w:r w:rsidRPr="00E33EF9">
        <w:rPr>
          <w:rFonts w:eastAsia="Times New Roman"/>
          <w:b/>
          <w:sz w:val="24"/>
          <w:szCs w:val="24"/>
        </w:rPr>
        <w:t xml:space="preserv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70B651FA" w14:textId="43F9DD09"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E33EF9">
        <w:rPr>
          <w:rFonts w:eastAsia="Times New Roman"/>
          <w:b/>
          <w:sz w:val="24"/>
          <w:szCs w:val="24"/>
        </w:rPr>
        <w:t xml:space="preserve">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1D73D0C5"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7F1CCD3C" w14:textId="65C3DEF2"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E33EF9">
        <w:rPr>
          <w:rFonts w:eastAsia="Times New Roman"/>
          <w:b/>
          <w:sz w:val="24"/>
          <w:szCs w:val="24"/>
        </w:rPr>
        <w:t xml:space="preserve">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0EFA756E"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3977AF8A" w14:textId="77777777" w:rsidR="00E01A1E" w:rsidRPr="00E33EF9" w:rsidRDefault="00771A51" w:rsidP="00E01A1E">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3F960BE9" w14:textId="77777777" w:rsidR="00E01A1E" w:rsidRDefault="00E01A1E" w:rsidP="00E01A1E">
      <w:pPr>
        <w:jc w:val="center"/>
        <w:rPr>
          <w:rFonts w:eastAsia="Times New Roman"/>
          <w:sz w:val="24"/>
          <w:szCs w:val="24"/>
        </w:rPr>
      </w:pPr>
    </w:p>
    <w:p w14:paraId="7A53CE1F"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C176B5A"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297E51B6"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6E1169E3"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2D182134"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11BE858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lastRenderedPageBreak/>
        <w:t>Source and Authority</w:t>
      </w:r>
    </w:p>
    <w:p w14:paraId="5516853B" w14:textId="21378C45"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r w:rsidRPr="00E33EF9">
        <w:rPr>
          <w:rFonts w:eastAsia="Times New Roman"/>
          <w:b/>
          <w:iCs/>
          <w:sz w:val="24"/>
          <w:szCs w:val="24"/>
        </w:rPr>
        <w:t>Bernardi v. Cmty. Hosp. Ass’n</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Marron v. Helmecke</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r w:rsidRPr="00E33EF9">
        <w:rPr>
          <w:rFonts w:eastAsia="Times New Roman"/>
          <w:b/>
          <w:iCs/>
          <w:sz w:val="24"/>
          <w:szCs w:val="24"/>
        </w:rPr>
        <w:t>Crosswaith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Pierce v. Conners</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r>
        <w:rPr>
          <w:rFonts w:eastAsia="Times New Roman"/>
          <w:iCs/>
          <w:sz w:val="24"/>
          <w:szCs w:val="24"/>
        </w:rPr>
        <w:t xml:space="preserve">; </w:t>
      </w:r>
      <w:r w:rsidR="004A04BC" w:rsidRPr="0000701C">
        <w:rPr>
          <w:rFonts w:eastAsia="Times New Roman"/>
          <w:b/>
          <w:bCs/>
          <w:iCs/>
          <w:sz w:val="24"/>
          <w:szCs w:val="24"/>
        </w:rPr>
        <w:t>Dodge v. Padilla</w:t>
      </w:r>
      <w:r w:rsidR="004A04BC">
        <w:rPr>
          <w:rFonts w:eastAsia="Times New Roman"/>
          <w:iCs/>
          <w:sz w:val="24"/>
          <w:szCs w:val="24"/>
        </w:rPr>
        <w:t>, 2023 COA 67, ¶ 37 (“The common law doctrine of respondeat superior establishes that ‘an employer is liable for the torts committed</w:t>
      </w:r>
      <w:r w:rsidR="004E4ACB">
        <w:rPr>
          <w:rFonts w:eastAsia="Times New Roman"/>
          <w:iCs/>
          <w:sz w:val="24"/>
          <w:szCs w:val="24"/>
        </w:rPr>
        <w:t xml:space="preserve"> by an employee</w:t>
      </w:r>
      <w:r w:rsidR="0000701C">
        <w:rPr>
          <w:rFonts w:eastAsia="Times New Roman"/>
          <w:iCs/>
          <w:sz w:val="24"/>
          <w:szCs w:val="24"/>
        </w:rPr>
        <w:t xml:space="preserve"> . . . </w:t>
      </w:r>
      <w:r w:rsidR="004E4ACB">
        <w:rPr>
          <w:rFonts w:eastAsia="Times New Roman"/>
          <w:iCs/>
          <w:sz w:val="24"/>
          <w:szCs w:val="24"/>
        </w:rPr>
        <w:t xml:space="preserve">while acting within the scope of his or her employment.’” (quoting </w:t>
      </w:r>
      <w:r w:rsidR="004E4ACB" w:rsidRPr="0000701C">
        <w:rPr>
          <w:rFonts w:eastAsia="Times New Roman"/>
          <w:b/>
          <w:bCs/>
          <w:iCs/>
          <w:sz w:val="24"/>
          <w:szCs w:val="24"/>
        </w:rPr>
        <w:t>Perkins v. Reg’l Transp. Dist.</w:t>
      </w:r>
      <w:r w:rsidR="004E4ACB">
        <w:rPr>
          <w:rFonts w:eastAsia="Times New Roman"/>
          <w:iCs/>
          <w:sz w:val="24"/>
          <w:szCs w:val="24"/>
        </w:rPr>
        <w:t>, 907 P.2d 672, 674 (Colo. App. 1995))</w:t>
      </w:r>
      <w:r w:rsidR="004349B7">
        <w:rPr>
          <w:rFonts w:eastAsia="Times New Roman"/>
          <w:iCs/>
          <w:sz w:val="24"/>
          <w:szCs w:val="24"/>
        </w:rPr>
        <w:t>)</w:t>
      </w:r>
      <w:r w:rsidR="004E4ACB">
        <w:rPr>
          <w:rFonts w:eastAsia="Times New Roman"/>
          <w:iCs/>
          <w:sz w:val="24"/>
          <w:szCs w:val="24"/>
        </w:rPr>
        <w:t>;</w:t>
      </w:r>
      <w:r w:rsidR="004A04BC">
        <w:rPr>
          <w:rFonts w:eastAsia="Times New Roman"/>
          <w:iCs/>
          <w:sz w:val="24"/>
          <w:szCs w:val="24"/>
        </w:rPr>
        <w:t xml:space="preserve"> </w:t>
      </w:r>
      <w:r>
        <w:rPr>
          <w:rFonts w:eastAsia="Times New Roman"/>
          <w:b/>
          <w:bCs/>
          <w:iCs/>
          <w:sz w:val="24"/>
          <w:szCs w:val="24"/>
        </w:rPr>
        <w:t>Suydam v. FLI Fort Pierce, Inc.,</w:t>
      </w:r>
      <w:r>
        <w:rPr>
          <w:rFonts w:eastAsia="Times New Roman"/>
          <w:iCs/>
          <w:sz w:val="24"/>
          <w:szCs w:val="24"/>
        </w:rPr>
        <w:t xml:space="preserve"> 2020 COA 144M, ¶ 13</w:t>
      </w:r>
      <w:r w:rsidR="001915D6">
        <w:rPr>
          <w:rFonts w:eastAsia="Times New Roman"/>
          <w:iCs/>
          <w:sz w:val="24"/>
          <w:szCs w:val="24"/>
        </w:rPr>
        <w:t>, 490 P.3d 930, 934</w:t>
      </w:r>
      <w:r>
        <w:rPr>
          <w:rFonts w:eastAsia="Times New Roman"/>
          <w:iCs/>
          <w:sz w:val="24"/>
          <w:szCs w:val="24"/>
        </w:rPr>
        <w:t xml:space="preserve"> (“</w:t>
      </w:r>
      <w:r w:rsidRPr="007D7C2E">
        <w:rPr>
          <w:rFonts w:eastAsia="Times New Roman"/>
          <w:iCs/>
          <w:sz w:val="24"/>
          <w:szCs w:val="24"/>
        </w:rPr>
        <w:t>Under the doctrine of respondeat superior, an employer is liable for torts committed by its employee while acting within the scope of his or her employment. The emp</w:t>
      </w:r>
      <w:r>
        <w:rPr>
          <w:rFonts w:eastAsia="Times New Roman"/>
          <w:iCs/>
          <w:sz w:val="24"/>
          <w:szCs w:val="24"/>
        </w:rPr>
        <w:t>loyer is liable if the employee’</w:t>
      </w:r>
      <w:r w:rsidRPr="007D7C2E">
        <w:rPr>
          <w:rFonts w:eastAsia="Times New Roman"/>
          <w:iCs/>
          <w:sz w:val="24"/>
          <w:szCs w:val="24"/>
        </w:rPr>
        <w:t xml:space="preserve">s conduct was motivated by </w:t>
      </w:r>
      <w:r>
        <w:rPr>
          <w:rFonts w:eastAsia="Times New Roman"/>
          <w:iCs/>
          <w:sz w:val="24"/>
          <w:szCs w:val="24"/>
        </w:rPr>
        <w:t>an intent to serve the employer’</w:t>
      </w:r>
      <w:r w:rsidRPr="007D7C2E">
        <w:rPr>
          <w:rFonts w:eastAsia="Times New Roman"/>
          <w:iCs/>
          <w:sz w:val="24"/>
          <w:szCs w:val="24"/>
        </w:rPr>
        <w:t>s interests and connected to acts the employee was authorized to perform.”</w:t>
      </w:r>
      <w:r>
        <w:rPr>
          <w:rFonts w:eastAsia="Times New Roman"/>
          <w:iCs/>
          <w:sz w:val="24"/>
          <w:szCs w:val="24"/>
        </w:rPr>
        <w:t xml:space="preserve"> (citation omitted))</w:t>
      </w:r>
      <w:r w:rsidRPr="00E33EF9">
        <w:rPr>
          <w:rFonts w:eastAsia="Times New Roman"/>
          <w:iCs/>
          <w:sz w:val="24"/>
          <w:szCs w:val="24"/>
        </w:rPr>
        <w:t>.</w:t>
      </w:r>
    </w:p>
    <w:p w14:paraId="5C0210C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2. The doctrine of respondeat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Connes v. Molalla Transp. Sys., Inc.</w:t>
      </w:r>
      <w:r w:rsidRPr="00E33EF9">
        <w:rPr>
          <w:rFonts w:eastAsia="Times New Roman"/>
          <w:iCs/>
          <w:sz w:val="24"/>
          <w:szCs w:val="24"/>
        </w:rPr>
        <w:t>, 831 P.2d 1316, 1320–21 (Colo. 1992</w:t>
      </w:r>
      <w:r>
        <w:rPr>
          <w:rFonts w:eastAsia="Times New Roman"/>
          <w:iCs/>
          <w:sz w:val="24"/>
          <w:szCs w:val="24"/>
        </w:rPr>
        <w:t>).</w:t>
      </w:r>
      <w:r w:rsidRPr="00E33EF9">
        <w:rPr>
          <w:rFonts w:eastAsia="Times New Roman"/>
          <w:iCs/>
          <w:sz w:val="24"/>
          <w:szCs w:val="24"/>
        </w:rPr>
        <w:t xml:space="preserve"> </w:t>
      </w:r>
    </w:p>
    <w:p w14:paraId="564BB003" w14:textId="3DEFE8B9"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3. Respondeat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Pr>
          <w:rFonts w:eastAsia="Times New Roman"/>
          <w:iCs/>
          <w:sz w:val="24"/>
          <w:szCs w:val="24"/>
        </w:rPr>
        <w:t xml:space="preserve">; </w:t>
      </w:r>
      <w:r>
        <w:rPr>
          <w:rFonts w:eastAsia="Times New Roman"/>
          <w:i/>
          <w:sz w:val="24"/>
          <w:szCs w:val="24"/>
        </w:rPr>
        <w:t xml:space="preserve">see </w:t>
      </w:r>
      <w:r>
        <w:rPr>
          <w:rFonts w:eastAsia="Times New Roman"/>
          <w:b/>
          <w:bCs/>
          <w:iCs/>
          <w:sz w:val="24"/>
          <w:szCs w:val="24"/>
        </w:rPr>
        <w:t>Suydam</w:t>
      </w:r>
      <w:r>
        <w:rPr>
          <w:rFonts w:eastAsia="Times New Roman"/>
          <w:iCs/>
          <w:sz w:val="24"/>
          <w:szCs w:val="24"/>
        </w:rPr>
        <w:t>, ¶ 14</w:t>
      </w:r>
      <w:r w:rsidR="0090551B">
        <w:rPr>
          <w:rFonts w:eastAsia="Times New Roman"/>
          <w:iCs/>
          <w:sz w:val="24"/>
          <w:szCs w:val="24"/>
        </w:rPr>
        <w:t>, 490 P.3d at 934</w:t>
      </w:r>
      <w:r>
        <w:rPr>
          <w:rFonts w:eastAsia="Times New Roman"/>
          <w:iCs/>
          <w:sz w:val="24"/>
          <w:szCs w:val="24"/>
        </w:rPr>
        <w:t>.</w:t>
      </w:r>
      <w:r w:rsidRPr="00E33EF9">
        <w:rPr>
          <w:rFonts w:eastAsia="Times New Roman"/>
          <w:iCs/>
          <w:sz w:val="24"/>
          <w:szCs w:val="24"/>
        </w:rPr>
        <w:t xml:space="preserve"> </w:t>
      </w:r>
    </w:p>
    <w:p w14:paraId="30AC42A0"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respondeat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B84BE4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5. The doctrine of respondeat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Peaberry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Hoang v. Arbess</w:t>
      </w:r>
      <w:r w:rsidRPr="00E33EF9">
        <w:rPr>
          <w:rFonts w:eastAsia="Times New Roman"/>
          <w:iCs/>
          <w:sz w:val="24"/>
          <w:szCs w:val="24"/>
        </w:rPr>
        <w:t xml:space="preserve">, 80 P.3d 863, 867 (Colo. App. 2003) (a corporate officer may “be held personally liable for his or her </w:t>
      </w:r>
      <w:r w:rsidRPr="00E33EF9">
        <w:rPr>
          <w:rFonts w:eastAsia="Times New Roman"/>
          <w:iCs/>
          <w:sz w:val="24"/>
          <w:szCs w:val="24"/>
        </w:rPr>
        <w:lastRenderedPageBreak/>
        <w:t xml:space="preserve">individual acts . . . even though committed on behalf of the corporation, which is also held liable”); </w:t>
      </w:r>
      <w:r w:rsidRPr="00E33EF9">
        <w:rPr>
          <w:rFonts w:eastAsia="Times New Roman"/>
          <w:b/>
          <w:iCs/>
          <w:sz w:val="24"/>
          <w:szCs w:val="24"/>
        </w:rPr>
        <w:t>Sanford v. Kobey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0E85896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6. Although an employer may not be liable under the doctrine of respondeat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r w:rsidRPr="00E33EF9">
        <w:rPr>
          <w:rFonts w:eastAsia="Times New Roman"/>
          <w:b/>
          <w:iCs/>
          <w:sz w:val="24"/>
          <w:szCs w:val="24"/>
        </w:rPr>
        <w:t>Destefano v. Grabrian</w:t>
      </w:r>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33F62BA9" w14:textId="3C68337A"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7. Respondeat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Ferrer v. Okbamicael</w:t>
      </w:r>
      <w:r w:rsidRPr="00E33EF9">
        <w:rPr>
          <w:rFonts w:eastAsia="Times New Roman"/>
          <w:iCs/>
          <w:sz w:val="24"/>
          <w:szCs w:val="24"/>
        </w:rPr>
        <w:t>, 2017 CO 14M, ¶ 30, 390 P.3d 836, 845</w:t>
      </w:r>
      <w:r>
        <w:rPr>
          <w:rFonts w:eastAsia="Times New Roman"/>
          <w:iCs/>
          <w:sz w:val="24"/>
          <w:szCs w:val="24"/>
        </w:rPr>
        <w:t xml:space="preserve"> (subsequently abrogated by </w:t>
      </w:r>
      <w:r w:rsidR="006E28D1">
        <w:rPr>
          <w:rFonts w:eastAsia="Times New Roman"/>
          <w:iCs/>
          <w:sz w:val="24"/>
          <w:szCs w:val="24"/>
        </w:rPr>
        <w:t xml:space="preserve">section 13-21-111.5(1.5), C.R.S., effective for cases filed on or after </w:t>
      </w:r>
      <w:r w:rsidR="00FC1B44">
        <w:rPr>
          <w:rFonts w:eastAsia="Times New Roman"/>
          <w:iCs/>
          <w:sz w:val="24"/>
          <w:szCs w:val="24"/>
        </w:rPr>
        <w:t>September 7</w:t>
      </w:r>
      <w:r w:rsidR="006E28D1">
        <w:rPr>
          <w:rFonts w:eastAsia="Times New Roman"/>
          <w:iCs/>
          <w:sz w:val="24"/>
          <w:szCs w:val="24"/>
        </w:rPr>
        <w:t>, 2021</w:t>
      </w:r>
      <w:r>
        <w:rPr>
          <w:rFonts w:eastAsia="Times New Roman"/>
          <w:iCs/>
          <w:sz w:val="24"/>
          <w:szCs w:val="24"/>
        </w:rPr>
        <w:t>)</w:t>
      </w:r>
      <w:r w:rsidRPr="00E33EF9">
        <w:rPr>
          <w:rFonts w:eastAsia="Times New Roman"/>
          <w:iCs/>
          <w:sz w:val="24"/>
          <w:szCs w:val="24"/>
        </w:rPr>
        <w:t xml:space="preserve">;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respondeat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r w:rsidR="00D12113">
        <w:rPr>
          <w:rFonts w:eastAsia="Times New Roman"/>
          <w:iCs/>
          <w:sz w:val="24"/>
          <w:szCs w:val="24"/>
        </w:rPr>
        <w:t>.</w:t>
      </w:r>
      <w:r>
        <w:rPr>
          <w:rFonts w:eastAsia="Times New Roman"/>
          <w:iCs/>
          <w:sz w:val="24"/>
          <w:szCs w:val="24"/>
        </w:rPr>
        <w:t xml:space="preserve"> </w:t>
      </w:r>
      <w:r w:rsidR="00D12113">
        <w:rPr>
          <w:rFonts w:eastAsia="Times New Roman"/>
          <w:i/>
          <w:sz w:val="24"/>
          <w:szCs w:val="24"/>
        </w:rPr>
        <w:t>B</w:t>
      </w:r>
      <w:r>
        <w:rPr>
          <w:rFonts w:eastAsia="Times New Roman"/>
          <w:i/>
          <w:sz w:val="24"/>
          <w:szCs w:val="24"/>
        </w:rPr>
        <w:t xml:space="preserve">ut see </w:t>
      </w:r>
      <w:r>
        <w:rPr>
          <w:rFonts w:eastAsia="Times New Roman"/>
          <w:b/>
          <w:bCs/>
          <w:iCs/>
          <w:sz w:val="24"/>
          <w:szCs w:val="24"/>
        </w:rPr>
        <w:t>Brown v. Long Romero</w:t>
      </w:r>
      <w:r>
        <w:rPr>
          <w:rFonts w:eastAsia="Times New Roman"/>
          <w:iCs/>
          <w:sz w:val="24"/>
          <w:szCs w:val="24"/>
        </w:rPr>
        <w:t>, 2021 CO 67, ¶ 29</w:t>
      </w:r>
      <w:r w:rsidR="0090551B">
        <w:rPr>
          <w:rFonts w:eastAsia="Times New Roman"/>
          <w:iCs/>
          <w:sz w:val="24"/>
          <w:szCs w:val="24"/>
        </w:rPr>
        <w:t>, 495 P.3d 955</w:t>
      </w:r>
      <w:r>
        <w:rPr>
          <w:rFonts w:eastAsia="Times New Roman"/>
          <w:iCs/>
          <w:sz w:val="24"/>
          <w:szCs w:val="24"/>
        </w:rPr>
        <w:t xml:space="preserve"> (</w:t>
      </w:r>
      <w:r w:rsidR="00AF12DA">
        <w:rPr>
          <w:sz w:val="24"/>
          <w:szCs w:val="24"/>
        </w:rPr>
        <w:t>plaintiff’s direct negligence claims against an employer are not barred where the plaintiff does not assert vicarious liability for an employee’s negligence)</w:t>
      </w:r>
      <w:r w:rsidRPr="00E33EF9">
        <w:rPr>
          <w:rFonts w:eastAsia="Times New Roman"/>
          <w:iCs/>
          <w:sz w:val="24"/>
          <w:szCs w:val="24"/>
        </w:rPr>
        <w:t>.</w:t>
      </w:r>
    </w:p>
    <w:p w14:paraId="05F5BF0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8. Further, because the doctrine of respondeat superior is derivative in nature, the employer and employee are not joint tortfeasors. </w:t>
      </w:r>
      <w:r w:rsidRPr="00E33EF9">
        <w:rPr>
          <w:rFonts w:eastAsia="Times New Roman"/>
          <w:b/>
          <w:iCs/>
          <w:sz w:val="24"/>
          <w:szCs w:val="24"/>
        </w:rPr>
        <w:t>Marso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Pr>
          <w:rFonts w:eastAsia="Times New Roman"/>
          <w:iCs/>
          <w:sz w:val="24"/>
          <w:szCs w:val="24"/>
        </w:rPr>
        <w:t>at 107</w:t>
      </w:r>
      <w:r w:rsidRPr="00E33EF9">
        <w:rPr>
          <w:rFonts w:eastAsia="Times New Roman"/>
          <w:iCs/>
          <w:sz w:val="24"/>
          <w:szCs w:val="24"/>
        </w:rPr>
        <w:t xml:space="preserve"> (Uniform Contribution Among Tortfeasors Act, §§ 13-50.5-101 to -106, C.R.S., is not applicable). </w:t>
      </w:r>
    </w:p>
    <w:p w14:paraId="3FAF023B"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976 P.2d 299, 301 (Colo. App. 1998) (statute of limitations defense by employee did not bar respondeat superior claim against employer).</w:t>
      </w:r>
    </w:p>
    <w:p w14:paraId="37F5673A"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w:t>
      </w:r>
      <w:r w:rsidRPr="00E33EF9">
        <w:rPr>
          <w:rFonts w:eastAsia="Times New Roman"/>
          <w:iCs/>
          <w:sz w:val="24"/>
          <w:szCs w:val="24"/>
        </w:rPr>
        <w:lastRenderedPageBreak/>
        <w:t xml:space="preserve">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5C85F515"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respondeat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134 P.3d at 452 (healthcare facility did not “employ doctors, perform medical services, or interfere with a doctor’s independent medical judgment . . . [and thus could] not be held accountable under the doctrine of respondeat superior for the doctor’s alleged negligence”).</w:t>
      </w:r>
    </w:p>
    <w:p w14:paraId="1A181EBE" w14:textId="77777777" w:rsidR="00E01A1E" w:rsidRDefault="00771A51" w:rsidP="00E01A1E">
      <w:pPr>
        <w:spacing w:after="240"/>
        <w:ind w:firstLine="720"/>
        <w:rPr>
          <w:rFonts w:eastAsia="Times New Roman"/>
          <w:iCs/>
          <w:sz w:val="24"/>
          <w:szCs w:val="24"/>
        </w:rPr>
      </w:pPr>
      <w:r w:rsidRPr="00E33EF9">
        <w:rPr>
          <w:rFonts w:eastAsia="Times New Roman"/>
          <w:iCs/>
          <w:sz w:val="24"/>
          <w:szCs w:val="24"/>
        </w:rPr>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2006) (worker’s compensation cases differ from respondeat superior cases); </w:t>
      </w:r>
      <w:r w:rsidRPr="00E33EF9">
        <w:rPr>
          <w:rFonts w:eastAsia="Times New Roman"/>
          <w:b/>
          <w:iCs/>
          <w:sz w:val="24"/>
          <w:szCs w:val="24"/>
        </w:rPr>
        <w:t>Beeson v. Kelran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respondeat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r w:rsidRPr="00E33EF9">
        <w:rPr>
          <w:rFonts w:eastAsia="Times New Roman"/>
          <w:b/>
          <w:iCs/>
          <w:sz w:val="24"/>
          <w:szCs w:val="24"/>
        </w:rPr>
        <w:t>Goettman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2A601905" w14:textId="2CB24C2F" w:rsidR="00E01A1E" w:rsidRDefault="00771A51" w:rsidP="00E01A1E">
      <w:pPr>
        <w:spacing w:after="240"/>
        <w:ind w:firstLine="720"/>
        <w:rPr>
          <w:rFonts w:eastAsia="Times New Roman"/>
          <w:iCs/>
          <w:sz w:val="24"/>
          <w:szCs w:val="24"/>
        </w:rPr>
      </w:pPr>
      <w:r>
        <w:rPr>
          <w:rFonts w:eastAsia="Times New Roman"/>
          <w:iCs/>
          <w:sz w:val="24"/>
          <w:szCs w:val="24"/>
        </w:rPr>
        <w:t xml:space="preserve">13. Whether an employee was acting within the scope of employment is a question of fact. </w:t>
      </w:r>
      <w:r>
        <w:rPr>
          <w:rFonts w:eastAsia="Times New Roman"/>
          <w:b/>
          <w:bCs/>
          <w:iCs/>
          <w:sz w:val="24"/>
          <w:szCs w:val="24"/>
        </w:rPr>
        <w:t>Suydam</w:t>
      </w:r>
      <w:r>
        <w:rPr>
          <w:rFonts w:eastAsia="Times New Roman"/>
          <w:iCs/>
          <w:sz w:val="24"/>
          <w:szCs w:val="24"/>
        </w:rPr>
        <w:t>, ¶ 15</w:t>
      </w:r>
      <w:r w:rsidR="0090551B">
        <w:rPr>
          <w:rFonts w:eastAsia="Times New Roman"/>
          <w:iCs/>
          <w:sz w:val="24"/>
          <w:szCs w:val="24"/>
        </w:rPr>
        <w:t>, 490 P.3d at 934</w:t>
      </w:r>
      <w:r>
        <w:rPr>
          <w:rFonts w:eastAsia="Times New Roman"/>
          <w:iCs/>
          <w:sz w:val="24"/>
          <w:szCs w:val="24"/>
        </w:rPr>
        <w:t>.</w:t>
      </w:r>
    </w:p>
    <w:p w14:paraId="149185A8" w14:textId="615D7E0F" w:rsidR="004E4ACB" w:rsidRPr="004E4ACB" w:rsidRDefault="004E4ACB" w:rsidP="00E01A1E">
      <w:pPr>
        <w:spacing w:after="240"/>
        <w:ind w:firstLine="720"/>
        <w:rPr>
          <w:rFonts w:eastAsia="Times New Roman"/>
          <w:iCs/>
          <w:sz w:val="24"/>
          <w:szCs w:val="24"/>
        </w:rPr>
      </w:pPr>
      <w:r>
        <w:rPr>
          <w:rFonts w:eastAsia="Times New Roman"/>
          <w:iCs/>
          <w:sz w:val="24"/>
          <w:szCs w:val="24"/>
        </w:rPr>
        <w:t xml:space="preserve">14. The common law doctrine of respondeat superior applies to a public entity in circumstances where governmental immunity is waived. </w:t>
      </w:r>
      <w:r>
        <w:rPr>
          <w:rFonts w:eastAsia="Times New Roman"/>
          <w:b/>
          <w:bCs/>
          <w:iCs/>
          <w:sz w:val="24"/>
          <w:szCs w:val="24"/>
        </w:rPr>
        <w:t>Dodge</w:t>
      </w:r>
      <w:r>
        <w:rPr>
          <w:rFonts w:eastAsia="Times New Roman"/>
          <w:iCs/>
          <w:sz w:val="24"/>
          <w:szCs w:val="24"/>
        </w:rPr>
        <w:t xml:space="preserve">, </w:t>
      </w:r>
      <w:r w:rsidR="0000701C">
        <w:rPr>
          <w:rFonts w:eastAsia="Times New Roman"/>
          <w:iCs/>
          <w:sz w:val="24"/>
          <w:szCs w:val="24"/>
        </w:rPr>
        <w:t xml:space="preserve">2023 COA 67, </w:t>
      </w:r>
      <w:r>
        <w:rPr>
          <w:rFonts w:eastAsia="Times New Roman"/>
          <w:iCs/>
          <w:sz w:val="24"/>
          <w:szCs w:val="24"/>
        </w:rPr>
        <w:t>¶¶ 40-44.</w:t>
      </w:r>
    </w:p>
    <w:p w14:paraId="43AC9EEC" w14:textId="77777777" w:rsidR="00E01A1E" w:rsidRDefault="00771A51">
      <w:pPr>
        <w:rPr>
          <w:rFonts w:eastAsia="Times New Roman"/>
          <w:iCs/>
          <w:sz w:val="24"/>
          <w:szCs w:val="24"/>
        </w:rPr>
      </w:pPr>
      <w:r>
        <w:rPr>
          <w:rFonts w:eastAsia="Times New Roman"/>
          <w:iCs/>
          <w:sz w:val="24"/>
          <w:szCs w:val="24"/>
        </w:rPr>
        <w:br w:type="page"/>
      </w:r>
    </w:p>
    <w:p w14:paraId="50598FDC" w14:textId="77777777" w:rsidR="00E01A1E" w:rsidRPr="009E3DA4" w:rsidRDefault="00771A51" w:rsidP="00E01A1E">
      <w:pPr>
        <w:spacing w:after="240"/>
        <w:ind w:left="720" w:hanging="720"/>
        <w:rPr>
          <w:rFonts w:eastAsia="Times New Roman"/>
          <w:b/>
          <w:sz w:val="24"/>
          <w:szCs w:val="24"/>
        </w:rPr>
      </w:pPr>
      <w:bookmarkStart w:id="26" w:name="a8_23"/>
      <w:bookmarkEnd w:id="26"/>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16F0D9BE"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30DE1A4D" w14:textId="54D4C085"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w:t>
      </w:r>
      <w:r w:rsidR="003E686C" w:rsidRPr="003E686C">
        <w:rPr>
          <w:rFonts w:eastAsia="Times New Roman"/>
          <w:bCs/>
          <w:i/>
          <w:iCs/>
          <w:sz w:val="24"/>
          <w:szCs w:val="24"/>
        </w:rPr>
        <w:t>(insert applicable pronoun)</w:t>
      </w:r>
      <w:r w:rsidRPr="002D3065">
        <w:rPr>
          <w:rFonts w:eastAsia="Times New Roman"/>
          <w:b/>
          <w:sz w:val="24"/>
          <w:szCs w:val="24"/>
        </w:rPr>
        <w:t xml:space="preserve">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w:t>
      </w:r>
      <w:r w:rsidR="003E686C" w:rsidRPr="003E686C">
        <w:rPr>
          <w:rFonts w:eastAsia="Times New Roman"/>
          <w:bCs/>
          <w:i/>
          <w:iCs/>
          <w:sz w:val="24"/>
          <w:szCs w:val="24"/>
        </w:rPr>
        <w:t>(insert applicable pronoun)</w:t>
      </w:r>
      <w:r w:rsidRPr="002D3065">
        <w:rPr>
          <w:rFonts w:eastAsia="Times New Roman"/>
          <w:b/>
          <w:sz w:val="24"/>
          <w:szCs w:val="24"/>
        </w:rPr>
        <w:t xml:space="preserve">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53A3D25D" w14:textId="226AD96B"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w:t>
      </w:r>
      <w:r w:rsidR="003E686C" w:rsidRPr="003E686C">
        <w:rPr>
          <w:rFonts w:eastAsia="Times New Roman"/>
          <w:bCs/>
          <w:i/>
          <w:iCs/>
          <w:sz w:val="24"/>
          <w:szCs w:val="24"/>
        </w:rPr>
        <w:t>(insert applicable pronoun)</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4ECA242F" w14:textId="1744678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w:t>
      </w:r>
      <w:r w:rsidR="003E686C" w:rsidRPr="003E686C">
        <w:rPr>
          <w:rFonts w:eastAsia="Times New Roman"/>
          <w:bCs/>
          <w:i/>
          <w:iCs/>
          <w:sz w:val="24"/>
          <w:szCs w:val="24"/>
        </w:rPr>
        <w:t>(insert applicable pronoun)</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w:t>
      </w:r>
      <w:r w:rsidR="003E686C" w:rsidRPr="003E686C">
        <w:rPr>
          <w:rFonts w:eastAsia="Times New Roman"/>
          <w:bCs/>
          <w:i/>
          <w:iCs/>
          <w:sz w:val="24"/>
          <w:szCs w:val="24"/>
        </w:rPr>
        <w:t>(insert applicable pronoun)</w:t>
      </w:r>
      <w:r w:rsidRPr="002D3065">
        <w:rPr>
          <w:rFonts w:eastAsia="Times New Roman"/>
          <w:b/>
          <w:sz w:val="24"/>
          <w:szCs w:val="24"/>
        </w:rPr>
        <w:t xml:space="preserve">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3BDAF637" w14:textId="77777777" w:rsidR="00E01A1E" w:rsidRDefault="00E01A1E" w:rsidP="00E01A1E">
      <w:pPr>
        <w:jc w:val="center"/>
        <w:rPr>
          <w:rFonts w:eastAsia="Times New Roman"/>
          <w:sz w:val="24"/>
          <w:szCs w:val="24"/>
        </w:rPr>
      </w:pPr>
    </w:p>
    <w:p w14:paraId="5A247F5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535DA89"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3E0DA0DF"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2BE1627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08AD503"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691A7189" w14:textId="77777777" w:rsidR="00E01A1E" w:rsidRDefault="00771A51">
      <w:pPr>
        <w:rPr>
          <w:rFonts w:eastAsia="Times New Roman"/>
          <w:iCs/>
          <w:sz w:val="24"/>
          <w:szCs w:val="24"/>
        </w:rPr>
      </w:pPr>
      <w:r>
        <w:rPr>
          <w:rFonts w:eastAsia="Times New Roman"/>
          <w:iCs/>
          <w:sz w:val="24"/>
          <w:szCs w:val="24"/>
        </w:rPr>
        <w:br w:type="page"/>
      </w:r>
    </w:p>
    <w:p w14:paraId="36827D5F" w14:textId="77777777" w:rsidR="00E01A1E" w:rsidRPr="009E3DA4" w:rsidRDefault="00771A51" w:rsidP="00E01A1E">
      <w:pPr>
        <w:spacing w:after="240"/>
        <w:ind w:left="720" w:hanging="720"/>
        <w:rPr>
          <w:rFonts w:eastAsia="Times New Roman"/>
          <w:b/>
          <w:sz w:val="24"/>
          <w:szCs w:val="24"/>
        </w:rPr>
      </w:pPr>
      <w:bookmarkStart w:id="27" w:name="a8_24"/>
      <w:bookmarkEnd w:id="27"/>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47107A55" w14:textId="33B620E1"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w:t>
      </w:r>
      <w:r w:rsidR="003E686C" w:rsidRPr="003E686C">
        <w:rPr>
          <w:rFonts w:eastAsia="Times New Roman"/>
          <w:bCs/>
          <w:i/>
          <w:iCs/>
          <w:sz w:val="24"/>
          <w:szCs w:val="24"/>
        </w:rPr>
        <w:t>(insert applicable pronoun)</w:t>
      </w:r>
      <w:r w:rsidRPr="00B1795D">
        <w:rPr>
          <w:rFonts w:eastAsia="Times New Roman"/>
          <w:b/>
          <w:sz w:val="24"/>
          <w:szCs w:val="24"/>
        </w:rPr>
        <w:t xml:space="preserve">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5E31DA08" w14:textId="22047340"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B1795D">
        <w:rPr>
          <w:rFonts w:eastAsia="Times New Roman"/>
          <w:b/>
          <w:sz w:val="24"/>
          <w:szCs w:val="24"/>
        </w:rPr>
        <w:t xml:space="preserve">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398645DD"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6F330AC5" w14:textId="08E813BA"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B1795D">
        <w:rPr>
          <w:rFonts w:eastAsia="Times New Roman"/>
          <w:b/>
          <w:sz w:val="24"/>
          <w:szCs w:val="24"/>
        </w:rPr>
        <w:t xml:space="preserve">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14311F74"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3B907098"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2F3C4DB0" w14:textId="77777777" w:rsidR="00E01A1E" w:rsidRDefault="00E01A1E" w:rsidP="00E01A1E">
      <w:pPr>
        <w:jc w:val="center"/>
        <w:rPr>
          <w:rFonts w:eastAsia="Times New Roman"/>
          <w:sz w:val="24"/>
          <w:szCs w:val="24"/>
        </w:rPr>
      </w:pPr>
    </w:p>
    <w:p w14:paraId="377D23F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6D8A792"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50A16FC5"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5C49A956"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10F2411B"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38B85BC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3A50F1A"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3E4101F5" w14:textId="77777777" w:rsidR="00E01A1E" w:rsidRDefault="00771A51">
      <w:pPr>
        <w:rPr>
          <w:rFonts w:eastAsia="Times New Roman"/>
          <w:iCs/>
          <w:sz w:val="24"/>
          <w:szCs w:val="24"/>
        </w:rPr>
      </w:pPr>
      <w:r>
        <w:rPr>
          <w:rFonts w:eastAsia="Times New Roman"/>
          <w:iCs/>
          <w:sz w:val="24"/>
          <w:szCs w:val="24"/>
        </w:rPr>
        <w:br w:type="page"/>
      </w:r>
    </w:p>
    <w:p w14:paraId="5EF4DF9B" w14:textId="77777777" w:rsidR="00E01A1E" w:rsidRPr="009E3DA4" w:rsidRDefault="00771A51" w:rsidP="00E01A1E">
      <w:pPr>
        <w:spacing w:after="240"/>
        <w:ind w:left="720" w:hanging="720"/>
        <w:rPr>
          <w:rFonts w:eastAsia="Times New Roman"/>
          <w:b/>
          <w:sz w:val="24"/>
          <w:szCs w:val="24"/>
        </w:rPr>
      </w:pPr>
      <w:bookmarkStart w:id="28" w:name="a8_25"/>
      <w:bookmarkEnd w:id="28"/>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733321B6" w14:textId="77777777" w:rsidR="00E01A1E" w:rsidRPr="001E7D74" w:rsidRDefault="00771A51" w:rsidP="00E01A1E">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0BA12C3F" w14:textId="77777777" w:rsidR="00E01A1E" w:rsidRDefault="00E01A1E" w:rsidP="00E01A1E">
      <w:pPr>
        <w:jc w:val="center"/>
        <w:rPr>
          <w:rFonts w:eastAsia="Times New Roman"/>
          <w:sz w:val="24"/>
          <w:szCs w:val="24"/>
        </w:rPr>
      </w:pPr>
    </w:p>
    <w:p w14:paraId="412B1A5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D9F6BCE"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57F787A4"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4E1B753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E6BD81B"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E01A1E" w:rsidSect="00E01A1E">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DB41" w14:textId="77777777" w:rsidR="00081466" w:rsidRDefault="00081466">
      <w:r>
        <w:separator/>
      </w:r>
    </w:p>
  </w:endnote>
  <w:endnote w:type="continuationSeparator" w:id="0">
    <w:p w14:paraId="7F73091C" w14:textId="77777777" w:rsidR="00081466" w:rsidRDefault="0008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D959" w14:textId="77777777" w:rsidR="003F6403" w:rsidRDefault="00E01A1E">
    <w:pPr>
      <w:pStyle w:val="Footer"/>
      <w:jc w:val="center"/>
      <w:rPr>
        <w:noProof/>
      </w:rPr>
    </w:pPr>
    <w:r w:rsidRPr="006909EA">
      <w:fldChar w:fldCharType="begin"/>
    </w:r>
    <w:r w:rsidRPr="006909EA">
      <w:instrText xml:space="preserve"> PAGE   \* MERGEFORMAT </w:instrText>
    </w:r>
    <w:r w:rsidRPr="006909EA">
      <w:fldChar w:fldCharType="separate"/>
    </w:r>
    <w:r>
      <w:rPr>
        <w:noProof/>
      </w:rPr>
      <w:t>46</w:t>
    </w:r>
    <w:r w:rsidRPr="006909EA">
      <w:rPr>
        <w:noProof/>
      </w:rPr>
      <w:fldChar w:fldCharType="end"/>
    </w:r>
  </w:p>
  <w:p w14:paraId="038881DF" w14:textId="77777777" w:rsidR="003F6403" w:rsidRDefault="00635FA4">
    <w:pPr>
      <w:pStyle w:val="Footer"/>
    </w:pPr>
    <w:r>
      <w:rPr>
        <w:noProof/>
      </w:rPr>
      <w:pict w14:anchorId="2CEDE755">
        <v:shapetype id="_x0000_t202" coordsize="21600,21600" o:spt="202" path="m,l,21600r21600,l21600,xe">
          <v:stroke joinstyle="miter"/>
          <v:path gradientshapeok="t" o:connecttype="rect"/>
        </v:shapetype>
        <v:shape id="zzmpTrailer_1078_19" o:spid="_x0000_s105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17513E2" w14:textId="4988AEAC" w:rsidR="003F6403" w:rsidRDefault="003F6403">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D7D4" w14:textId="77777777" w:rsidR="005A2C37" w:rsidRDefault="005A2C37" w:rsidP="005A2C37">
    <w:pPr>
      <w:pStyle w:val="MacPacTrailer"/>
    </w:pPr>
  </w:p>
  <w:p w14:paraId="620E40A8" w14:textId="77777777" w:rsidR="003F6403" w:rsidRDefault="00635FA4">
    <w:pPr>
      <w:pStyle w:val="Footer"/>
    </w:pPr>
    <w:r>
      <w:rPr>
        <w:noProof/>
      </w:rPr>
      <w:pict w14:anchorId="5AEA8C0B">
        <v:shapetype id="_x0000_t202" coordsize="21600,21600" o:spt="202" path="m,l,21600r21600,l21600,xe">
          <v:stroke joinstyle="miter"/>
          <v:path gradientshapeok="t" o:connecttype="rect"/>
        </v:shapetype>
        <v:shape id="zzmpTrailer_1078_1B" o:spid="_x0000_s105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96F68A5" w14:textId="4BA68973" w:rsidR="003F6403" w:rsidRDefault="003F640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C70B" w14:textId="77777777" w:rsidR="00081466" w:rsidRDefault="00081466">
      <w:r>
        <w:separator/>
      </w:r>
    </w:p>
  </w:footnote>
  <w:footnote w:type="continuationSeparator" w:id="0">
    <w:p w14:paraId="00701DFD" w14:textId="77777777" w:rsidR="00081466" w:rsidRDefault="0008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583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FIRM||1~122422741||2~1||3~Chapter 8 (2)||5~KBECKWITH||6~KBECKWITH||7~WORDX||8~WEBDOC||10~1/1/0001 12:00:00 AM||11~1/1/0001 12:00:00 AM||13~77586||17~public||25~888888||26~85793||28~00||29~0225||60~PERSONAL CHARGES||61~Kendra N. Beckwith||63~Accounting Use Only||64~Other||74~Beckwith, Kendra||77~infoLink Web Page||82~docx||85~1/1/0001 12:00:00 AM||99~1/1/0001 12:00:00 AM||107~1/1/0001 12:00:00 AM||109~1/1/0001 12:00:00 AM||113~9/16/2023 1:17:22 AM||114~9/16/2023 1:17:22 AM||"/>
    <w:docVar w:name="ForteTempFile" w:val="C:\Users\Cinda\AppData\Local\Temp\dd800fc4-d0a7-49c4-ba19-d8f6b2f74fb7.docx"/>
    <w:docVar w:name="zzmp10LastTrailerInserted" w:val="^`~#mp!@.%*#8┗┨:5}Ŗ7mi3d5j´eÓ⌉×pţ⌐%ëÊåÌ⌖Éã⌑!⌛4h5⌇F⌚3m⌕§⌓@ÆeŤ⌑⌅ŗ⌗⌊»UY3PLJYL8@AS011"/>
    <w:docVar w:name="zzmp10LastTrailerInserted_1078" w:val="^`~#mp!@.%*#8┗┨:5}Ŗ7mi3d5j´eÓ⌉×pţ⌐%ëÊåÌ⌖Éã⌑!⌛4h5⌇F⌚3m⌕§⌓@ÆeŤ⌑⌅ŗ⌗⌊»UY3PLJYL8@AS011"/>
    <w:docVar w:name="zzmp10mSEGsValidated" w:val="1"/>
    <w:docVar w:name="zzmpLegacyTrailerRemoved" w:val="True"/>
  </w:docVars>
  <w:rsids>
    <w:rsidRoot w:val="00D12113"/>
    <w:rsid w:val="0000701C"/>
    <w:rsid w:val="0004785B"/>
    <w:rsid w:val="00054557"/>
    <w:rsid w:val="00064DD2"/>
    <w:rsid w:val="00081466"/>
    <w:rsid w:val="00090C4E"/>
    <w:rsid w:val="000A4BE5"/>
    <w:rsid w:val="00107FE8"/>
    <w:rsid w:val="0011469E"/>
    <w:rsid w:val="001915D6"/>
    <w:rsid w:val="001A7D87"/>
    <w:rsid w:val="001B1C65"/>
    <w:rsid w:val="001F5286"/>
    <w:rsid w:val="001F5A20"/>
    <w:rsid w:val="00245B4F"/>
    <w:rsid w:val="00247A98"/>
    <w:rsid w:val="00283861"/>
    <w:rsid w:val="002C4C13"/>
    <w:rsid w:val="002F72BA"/>
    <w:rsid w:val="00304DB7"/>
    <w:rsid w:val="00314BA0"/>
    <w:rsid w:val="00326311"/>
    <w:rsid w:val="00333987"/>
    <w:rsid w:val="0035458F"/>
    <w:rsid w:val="0037177A"/>
    <w:rsid w:val="0037602F"/>
    <w:rsid w:val="00380695"/>
    <w:rsid w:val="00381601"/>
    <w:rsid w:val="003967D6"/>
    <w:rsid w:val="00397C89"/>
    <w:rsid w:val="003B2BAE"/>
    <w:rsid w:val="003C1DF1"/>
    <w:rsid w:val="003E686C"/>
    <w:rsid w:val="003F392C"/>
    <w:rsid w:val="003F6403"/>
    <w:rsid w:val="004031ED"/>
    <w:rsid w:val="00431B98"/>
    <w:rsid w:val="004349B7"/>
    <w:rsid w:val="004521B1"/>
    <w:rsid w:val="00487FF9"/>
    <w:rsid w:val="004A04BC"/>
    <w:rsid w:val="004B7CD3"/>
    <w:rsid w:val="004C41DD"/>
    <w:rsid w:val="004E4ACB"/>
    <w:rsid w:val="004E4EB5"/>
    <w:rsid w:val="00507AD5"/>
    <w:rsid w:val="00524D52"/>
    <w:rsid w:val="00541166"/>
    <w:rsid w:val="005840CD"/>
    <w:rsid w:val="005A2C37"/>
    <w:rsid w:val="005B6EF1"/>
    <w:rsid w:val="005C5989"/>
    <w:rsid w:val="005D1A80"/>
    <w:rsid w:val="006215F9"/>
    <w:rsid w:val="006241AC"/>
    <w:rsid w:val="00627001"/>
    <w:rsid w:val="00635FA4"/>
    <w:rsid w:val="0068383D"/>
    <w:rsid w:val="00687633"/>
    <w:rsid w:val="006971DD"/>
    <w:rsid w:val="006A006C"/>
    <w:rsid w:val="006E28D1"/>
    <w:rsid w:val="006E6DDB"/>
    <w:rsid w:val="00717104"/>
    <w:rsid w:val="00720933"/>
    <w:rsid w:val="00771A51"/>
    <w:rsid w:val="00805752"/>
    <w:rsid w:val="00807BA3"/>
    <w:rsid w:val="00807F4B"/>
    <w:rsid w:val="00813FE0"/>
    <w:rsid w:val="00834ACB"/>
    <w:rsid w:val="008367EC"/>
    <w:rsid w:val="008713F2"/>
    <w:rsid w:val="00875042"/>
    <w:rsid w:val="00894658"/>
    <w:rsid w:val="008A200F"/>
    <w:rsid w:val="008C2D4E"/>
    <w:rsid w:val="008F2B54"/>
    <w:rsid w:val="008F5428"/>
    <w:rsid w:val="0090551B"/>
    <w:rsid w:val="00907C37"/>
    <w:rsid w:val="009231F0"/>
    <w:rsid w:val="00967DFE"/>
    <w:rsid w:val="009948B8"/>
    <w:rsid w:val="009D0F94"/>
    <w:rsid w:val="009D1FA9"/>
    <w:rsid w:val="00A254B8"/>
    <w:rsid w:val="00A504FD"/>
    <w:rsid w:val="00A5250C"/>
    <w:rsid w:val="00A77123"/>
    <w:rsid w:val="00AB330F"/>
    <w:rsid w:val="00AB5C2B"/>
    <w:rsid w:val="00AF12DA"/>
    <w:rsid w:val="00B045F4"/>
    <w:rsid w:val="00B33010"/>
    <w:rsid w:val="00B70731"/>
    <w:rsid w:val="00BA1514"/>
    <w:rsid w:val="00C02D54"/>
    <w:rsid w:val="00C06AA9"/>
    <w:rsid w:val="00C34841"/>
    <w:rsid w:val="00C5367C"/>
    <w:rsid w:val="00CA7F33"/>
    <w:rsid w:val="00CF7AE3"/>
    <w:rsid w:val="00D12113"/>
    <w:rsid w:val="00D21D0E"/>
    <w:rsid w:val="00D22DE9"/>
    <w:rsid w:val="00DA3154"/>
    <w:rsid w:val="00DC1AE2"/>
    <w:rsid w:val="00E01A1E"/>
    <w:rsid w:val="00E11484"/>
    <w:rsid w:val="00E1279E"/>
    <w:rsid w:val="00E14870"/>
    <w:rsid w:val="00E25398"/>
    <w:rsid w:val="00E26BE0"/>
    <w:rsid w:val="00E35115"/>
    <w:rsid w:val="00E36478"/>
    <w:rsid w:val="00E821F7"/>
    <w:rsid w:val="00EA6C76"/>
    <w:rsid w:val="00EF402E"/>
    <w:rsid w:val="00F6773D"/>
    <w:rsid w:val="00F768F7"/>
    <w:rsid w:val="00FA6D19"/>
    <w:rsid w:val="00FB5056"/>
    <w:rsid w:val="00FC1B44"/>
    <w:rsid w:val="00FD5ADE"/>
    <w:rsid w:val="00FE150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7CD9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 w:type="character" w:customStyle="1" w:styleId="UnresolvedMention2">
    <w:name w:val="Unresolved Mention2"/>
    <w:basedOn w:val="DefaultParagraphFont"/>
    <w:uiPriority w:val="99"/>
    <w:semiHidden/>
    <w:unhideWhenUsed/>
    <w:rsid w:val="00CA7F33"/>
    <w:rPr>
      <w:color w:val="605E5C"/>
      <w:shd w:val="clear" w:color="auto" w:fill="E1DFDD"/>
    </w:rPr>
  </w:style>
  <w:style w:type="paragraph" w:customStyle="1" w:styleId="MacPacTrailer">
    <w:name w:val="MacPac Trailer"/>
    <w:rsid w:val="003F6403"/>
    <w:pPr>
      <w:widowControl w:val="0"/>
      <w:spacing w:line="200" w:lineRule="exact"/>
    </w:pPr>
    <w:rPr>
      <w:rFonts w:eastAsia="Times New Roman"/>
      <w:sz w:val="16"/>
      <w:szCs w:val="22"/>
    </w:rPr>
  </w:style>
  <w:style w:type="character" w:styleId="PlaceholderText">
    <w:name w:val="Placeholder Text"/>
    <w:basedOn w:val="DefaultParagraphFont"/>
    <w:uiPriority w:val="99"/>
    <w:semiHidden/>
    <w:rsid w:val="00967D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031">
      <w:bodyDiv w:val="1"/>
      <w:marLeft w:val="0"/>
      <w:marRight w:val="0"/>
      <w:marTop w:val="0"/>
      <w:marBottom w:val="0"/>
      <w:divBdr>
        <w:top w:val="none" w:sz="0" w:space="0" w:color="auto"/>
        <w:left w:val="none" w:sz="0" w:space="0" w:color="auto"/>
        <w:bottom w:val="none" w:sz="0" w:space="0" w:color="auto"/>
        <w:right w:val="none" w:sz="0" w:space="0" w:color="auto"/>
      </w:divBdr>
      <w:divsChild>
        <w:div w:id="685133840">
          <w:marLeft w:val="0"/>
          <w:marRight w:val="0"/>
          <w:marTop w:val="0"/>
          <w:marBottom w:val="0"/>
          <w:divBdr>
            <w:top w:val="none" w:sz="0" w:space="0" w:color="auto"/>
            <w:left w:val="none" w:sz="0" w:space="0" w:color="auto"/>
            <w:bottom w:val="none" w:sz="0" w:space="0" w:color="auto"/>
            <w:right w:val="none" w:sz="0" w:space="0" w:color="auto"/>
          </w:divBdr>
          <w:divsChild>
            <w:div w:id="905994645">
              <w:marLeft w:val="0"/>
              <w:marRight w:val="0"/>
              <w:marTop w:val="0"/>
              <w:marBottom w:val="0"/>
              <w:divBdr>
                <w:top w:val="none" w:sz="0" w:space="0" w:color="auto"/>
                <w:left w:val="none" w:sz="0" w:space="0" w:color="auto"/>
                <w:bottom w:val="none" w:sz="0" w:space="0" w:color="auto"/>
                <w:right w:val="none" w:sz="0" w:space="0" w:color="auto"/>
              </w:divBdr>
              <w:divsChild>
                <w:div w:id="16319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588">
      <w:bodyDiv w:val="1"/>
      <w:marLeft w:val="0"/>
      <w:marRight w:val="0"/>
      <w:marTop w:val="0"/>
      <w:marBottom w:val="0"/>
      <w:divBdr>
        <w:top w:val="none" w:sz="0" w:space="0" w:color="auto"/>
        <w:left w:val="none" w:sz="0" w:space="0" w:color="auto"/>
        <w:bottom w:val="none" w:sz="0" w:space="0" w:color="auto"/>
        <w:right w:val="none" w:sz="0" w:space="0" w:color="auto"/>
      </w:divBdr>
      <w:divsChild>
        <w:div w:id="1260331099">
          <w:marLeft w:val="0"/>
          <w:marRight w:val="0"/>
          <w:marTop w:val="0"/>
          <w:marBottom w:val="0"/>
          <w:divBdr>
            <w:top w:val="none" w:sz="0" w:space="0" w:color="auto"/>
            <w:left w:val="none" w:sz="0" w:space="0" w:color="auto"/>
            <w:bottom w:val="none" w:sz="0" w:space="0" w:color="auto"/>
            <w:right w:val="none" w:sz="0" w:space="0" w:color="auto"/>
          </w:divBdr>
          <w:divsChild>
            <w:div w:id="141241075">
              <w:marLeft w:val="0"/>
              <w:marRight w:val="0"/>
              <w:marTop w:val="0"/>
              <w:marBottom w:val="0"/>
              <w:divBdr>
                <w:top w:val="none" w:sz="0" w:space="0" w:color="auto"/>
                <w:left w:val="none" w:sz="0" w:space="0" w:color="auto"/>
                <w:bottom w:val="none" w:sz="0" w:space="0" w:color="auto"/>
                <w:right w:val="none" w:sz="0" w:space="0" w:color="auto"/>
              </w:divBdr>
              <w:divsChild>
                <w:div w:id="4046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6952">
      <w:bodyDiv w:val="1"/>
      <w:marLeft w:val="0"/>
      <w:marRight w:val="0"/>
      <w:marTop w:val="0"/>
      <w:marBottom w:val="0"/>
      <w:divBdr>
        <w:top w:val="none" w:sz="0" w:space="0" w:color="auto"/>
        <w:left w:val="none" w:sz="0" w:space="0" w:color="auto"/>
        <w:bottom w:val="none" w:sz="0" w:space="0" w:color="auto"/>
        <w:right w:val="none" w:sz="0" w:space="0" w:color="auto"/>
      </w:divBdr>
      <w:divsChild>
        <w:div w:id="1431389455">
          <w:marLeft w:val="0"/>
          <w:marRight w:val="0"/>
          <w:marTop w:val="0"/>
          <w:marBottom w:val="0"/>
          <w:divBdr>
            <w:top w:val="none" w:sz="0" w:space="0" w:color="auto"/>
            <w:left w:val="none" w:sz="0" w:space="0" w:color="auto"/>
            <w:bottom w:val="none" w:sz="0" w:space="0" w:color="auto"/>
            <w:right w:val="none" w:sz="0" w:space="0" w:color="auto"/>
          </w:divBdr>
          <w:divsChild>
            <w:div w:id="1468932237">
              <w:marLeft w:val="0"/>
              <w:marRight w:val="0"/>
              <w:marTop w:val="0"/>
              <w:marBottom w:val="0"/>
              <w:divBdr>
                <w:top w:val="none" w:sz="0" w:space="0" w:color="auto"/>
                <w:left w:val="none" w:sz="0" w:space="0" w:color="auto"/>
                <w:bottom w:val="none" w:sz="0" w:space="0" w:color="auto"/>
                <w:right w:val="none" w:sz="0" w:space="0" w:color="auto"/>
              </w:divBdr>
              <w:divsChild>
                <w:div w:id="1517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 F I R M ! 1 2 2 4 2 2 7 4 1 . 1 < / d o c u m e n t i d >  
     < s e n d e r i d > K B E C K W I T H < / s e n d e r i d >  
     < s e n d e r e m a i l > K B E C K W I T H @ L E W I S R O C A . C O M < / s e n d e r e m a i l >  
     < l a s t m o d i f i e d > 2 0 2 3 - 0 9 - 1 5 T 1 9 : 1 7 : 0 0 . 0 0 0 0 0 0 0 - 0 6 : 0 0 < / l a s t m o d i f i e d >  
     < d a t a b a s e > F I R M < / d a t a b a s e >  
 < / p r o p e r t i e s > 
</file>

<file path=customXml/itemProps1.xml><?xml version="1.0" encoding="utf-8"?>
<ds:datastoreItem xmlns:ds="http://schemas.openxmlformats.org/officeDocument/2006/customXml" ds:itemID="{2BE484F4-691E-4879-BC1D-159F07E2FEF8}">
  <ds:schemaRefs>
    <ds:schemaRef ds:uri="http://schemas.openxmlformats.org/officeDocument/2006/bibliography"/>
  </ds:schemaRefs>
</ds:datastoreItem>
</file>

<file path=customXml/itemProps2.xml><?xml version="1.0" encoding="utf-8"?>
<ds:datastoreItem xmlns:ds="http://schemas.openxmlformats.org/officeDocument/2006/customXml" ds:itemID="{8CB7DA08-26B4-4AED-9F61-D25678E8CE8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14219</Words>
  <Characters>81052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Schelhaas</dc:creator>
  <cp:lastModifiedBy>beck, jeremy</cp:lastModifiedBy>
  <cp:revision>3</cp:revision>
  <dcterms:created xsi:type="dcterms:W3CDTF">2024-01-09T20:04:00Z</dcterms:created>
  <dcterms:modified xsi:type="dcterms:W3CDTF">2024-01-09T20:09:00Z</dcterms:modified>
</cp:coreProperties>
</file>