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C8A9" w14:textId="20F822CD" w:rsidR="00CA41CC" w:rsidRPr="00914128" w:rsidRDefault="0068336D" w:rsidP="00914128">
      <w:pPr>
        <w:pStyle w:val="Heading1"/>
      </w:pPr>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000000"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000000"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000000"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000000"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000000"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000000"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Between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000000"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000000"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000000"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000000" w:rsidP="00E007F8">
      <w:pPr>
        <w:pStyle w:val="ToC"/>
      </w:pPr>
      <w:hyperlink w:anchor="a12_09" w:history="1">
        <w:r w:rsidR="00E55147" w:rsidRPr="00BE6634">
          <w:rPr>
            <w:rStyle w:val="Hyperlink"/>
          </w:rPr>
          <w:t>12:9</w:t>
        </w:r>
      </w:hyperlink>
      <w:r w:rsidR="00E55147" w:rsidRPr="00BE6634">
        <w:t xml:space="preserve"> </w:t>
      </w:r>
      <w:r w:rsidR="00E55147" w:rsidRPr="00BE6634">
        <w:tab/>
        <w:t xml:space="preserve">Lessor’s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000000"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000000"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By Lessor’s Promise </w:t>
      </w:r>
      <w:r w:rsidR="00E50187">
        <w:t>to</w:t>
      </w:r>
      <w:r w:rsidR="00E55147" w:rsidRPr="00BE6634">
        <w:t xml:space="preserve"> Repair Premises</w:t>
      </w:r>
    </w:p>
    <w:p w14:paraId="1C5E45CB" w14:textId="77777777" w:rsidR="00BE6634" w:rsidRDefault="00000000"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000000"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Where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000000"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000000"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000000"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By User </w:t>
      </w:r>
      <w:r w:rsidR="00E50187">
        <w:t>of</w:t>
      </w:r>
      <w:r w:rsidR="00E55147" w:rsidRPr="00BE6634">
        <w:t xml:space="preserve"> Public Way</w:t>
      </w:r>
    </w:p>
    <w:p w14:paraId="429D9118" w14:textId="77777777" w:rsidR="00BE6634" w:rsidRDefault="00000000"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000000"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State">
        <w:smartTag w:uri="urn:schemas-microsoft-com:office:smarttags" w:element="plac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
    <w:p w14:paraId="1F824217" w14:textId="350467FC"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w:t>
      </w:r>
      <w:r w:rsidR="0078177A">
        <w:rPr>
          <w:rFonts w:eastAsia="Times New Roman"/>
          <w:sz w:val="24"/>
          <w:szCs w:val="24"/>
        </w:rPr>
        <w:t>4</w:t>
      </w:r>
      <w:r w:rsidRPr="00E007F8">
        <w:rPr>
          <w:rFonts w:eastAsia="Times New Roman"/>
          <w:sz w:val="24"/>
          <w:szCs w:val="24"/>
        </w:rPr>
        <w:t>). Under the statute, whether an injured party is a trespasser, licensee, or invitee must be determined by the trial court. The fact finder determines the ultimate issues of liability and damages. § 13-21-115(</w:t>
      </w:r>
      <w:r w:rsidR="0078177A">
        <w:rPr>
          <w:rFonts w:eastAsia="Times New Roman"/>
          <w:sz w:val="24"/>
          <w:szCs w:val="24"/>
        </w:rPr>
        <w:t>6</w:t>
      </w:r>
      <w:r w:rsidRPr="00E007F8">
        <w:rPr>
          <w:rFonts w:eastAsia="Times New Roman"/>
          <w:sz w:val="24"/>
          <w:szCs w:val="24"/>
        </w:rPr>
        <w:t>).</w:t>
      </w:r>
    </w:p>
    <w:p w14:paraId="632E2CB8" w14:textId="01FBB84F"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w:t>
      </w:r>
      <w:r w:rsidR="0078177A">
        <w:rPr>
          <w:rFonts w:eastAsia="Times New Roman"/>
          <w:sz w:val="24"/>
          <w:szCs w:val="24"/>
        </w:rPr>
        <w:t>3</w:t>
      </w:r>
      <w:r w:rsidRPr="00E007F8">
        <w:rPr>
          <w:rFonts w:eastAsia="Times New Roman"/>
          <w:sz w:val="24"/>
          <w:szCs w:val="24"/>
        </w:rPr>
        <w:t>),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3A6E9761" w:rsidR="00E007F8" w:rsidRPr="00E007F8" w:rsidRDefault="00E007F8" w:rsidP="00E007F8">
      <w:pPr>
        <w:spacing w:after="240"/>
        <w:ind w:firstLine="720"/>
        <w:rPr>
          <w:rFonts w:eastAsia="Times New Roman"/>
          <w:sz w:val="24"/>
          <w:szCs w:val="24"/>
        </w:rPr>
      </w:pPr>
      <w:r w:rsidRPr="00E007F8">
        <w:rPr>
          <w:rFonts w:eastAsia="Times New Roman"/>
          <w:sz w:val="24"/>
          <w:szCs w:val="24"/>
        </w:rPr>
        <w:t>10. The premises liability statute was amended effective April 5, 2006, to state that the defenses of assumption of risk, pro rata liability, and comparative negligence are available in premises liability actions. § 13-21-115(</w:t>
      </w:r>
      <w:r w:rsidR="00762168">
        <w:rPr>
          <w:rFonts w:eastAsia="Times New Roman"/>
          <w:sz w:val="24"/>
          <w:szCs w:val="24"/>
        </w:rPr>
        <w:t>3</w:t>
      </w:r>
      <w:r w:rsidRPr="00E007F8">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0ACFE424" w14:textId="77777777" w:rsidR="006C2134" w:rsidRPr="00147297" w:rsidRDefault="006C2134" w:rsidP="006C2134">
      <w:pPr>
        <w:spacing w:after="240"/>
        <w:ind w:firstLine="720"/>
        <w:rPr>
          <w:rFonts w:eastAsia="Times New Roman"/>
          <w:sz w:val="24"/>
          <w:szCs w:val="24"/>
        </w:rPr>
      </w:pPr>
      <w:r w:rsidRPr="00147297">
        <w:rPr>
          <w:rFonts w:eastAsia="Times New Roman"/>
          <w:sz w:val="24"/>
          <w:szCs w:val="24"/>
        </w:rPr>
        <w:t>11. The premise</w:t>
      </w:r>
      <w:r>
        <w:rPr>
          <w:rFonts w:eastAsia="Times New Roman"/>
          <w:sz w:val="24"/>
          <w:szCs w:val="24"/>
        </w:rPr>
        <w:t>s</w:t>
      </w:r>
      <w:r w:rsidRPr="00147297">
        <w:rPr>
          <w:rFonts w:eastAsia="Times New Roman"/>
          <w:sz w:val="24"/>
          <w:szCs w:val="24"/>
        </w:rPr>
        <w:t xml:space="preserve"> liability </w:t>
      </w:r>
      <w:r>
        <w:rPr>
          <w:rFonts w:eastAsia="Times New Roman"/>
          <w:sz w:val="24"/>
          <w:szCs w:val="24"/>
        </w:rPr>
        <w:t>statute, sections (2)(e)(I) and (II),</w:t>
      </w:r>
      <w:r w:rsidRPr="00147297">
        <w:rPr>
          <w:rFonts w:eastAsia="Times New Roman"/>
          <w:sz w:val="24"/>
          <w:szCs w:val="24"/>
        </w:rPr>
        <w:t xml:space="preserve"> w</w:t>
      </w:r>
      <w:r>
        <w:rPr>
          <w:rFonts w:eastAsia="Times New Roman"/>
          <w:sz w:val="24"/>
          <w:szCs w:val="24"/>
        </w:rPr>
        <w:t>ere</w:t>
      </w:r>
      <w:r w:rsidRPr="00147297">
        <w:rPr>
          <w:rFonts w:eastAsia="Times New Roman"/>
          <w:sz w:val="24"/>
          <w:szCs w:val="24"/>
        </w:rPr>
        <w:t xml:space="preserve"> </w:t>
      </w:r>
      <w:r>
        <w:rPr>
          <w:rFonts w:eastAsia="Times New Roman"/>
          <w:sz w:val="24"/>
          <w:szCs w:val="24"/>
        </w:rPr>
        <w:t xml:space="preserve">added </w:t>
      </w:r>
      <w:r w:rsidRPr="00147297">
        <w:rPr>
          <w:rFonts w:eastAsia="Times New Roman"/>
          <w:sz w:val="24"/>
          <w:szCs w:val="24"/>
        </w:rPr>
        <w:t>effective April 7, 2022, stat</w:t>
      </w:r>
      <w:r>
        <w:rPr>
          <w:rFonts w:eastAsia="Times New Roman"/>
          <w:sz w:val="24"/>
          <w:szCs w:val="24"/>
        </w:rPr>
        <w:t>ing</w:t>
      </w:r>
      <w:r w:rsidRPr="00147297">
        <w:rPr>
          <w:rFonts w:eastAsia="Times New Roman"/>
          <w:sz w:val="24"/>
          <w:szCs w:val="24"/>
        </w:rPr>
        <w:t xml:space="preserve"> as follows:</w:t>
      </w:r>
    </w:p>
    <w:p w14:paraId="646FE788" w14:textId="77777777" w:rsidR="006C2134" w:rsidRDefault="006C2134" w:rsidP="006C2134">
      <w:pPr>
        <w:spacing w:after="240"/>
        <w:ind w:left="720" w:right="720"/>
        <w:rPr>
          <w:sz w:val="24"/>
          <w:szCs w:val="24"/>
        </w:rPr>
      </w:pPr>
      <w:r w:rsidRPr="00D8019D">
        <w:rPr>
          <w:b/>
          <w:bCs/>
          <w:sz w:val="24"/>
          <w:szCs w:val="24"/>
        </w:rPr>
        <w:t>The Rocky Mountain Planned Parenthood, Inc. v. Wagner</w:t>
      </w:r>
      <w:r w:rsidRPr="00D8019D">
        <w:rPr>
          <w:sz w:val="24"/>
          <w:szCs w:val="24"/>
        </w:rPr>
        <w:t>, 2020 CO 51, 467 P.3d 287, and </w:t>
      </w:r>
      <w:r w:rsidRPr="00D8019D">
        <w:rPr>
          <w:b/>
          <w:bCs/>
          <w:sz w:val="24"/>
          <w:szCs w:val="24"/>
        </w:rPr>
        <w:t>Wagner v. Planned Parenthood Federation of America, Inc.</w:t>
      </w:r>
      <w:r w:rsidRPr="00D8019D">
        <w:rPr>
          <w:sz w:val="24"/>
          <w:szCs w:val="24"/>
        </w:rPr>
        <w:t>, 2019 COA 26, 471 P.3d 1089, decisions do not accurately reflect the intent of the general assembly regarding landowner liability and must not be relied upon in applying this section to the extent that the majority opinions determined:</w:t>
      </w:r>
      <w:r>
        <w:rPr>
          <w:sz w:val="24"/>
          <w:szCs w:val="24"/>
        </w:rPr>
        <w:t xml:space="preserve"> </w:t>
      </w:r>
    </w:p>
    <w:p w14:paraId="34123DEC" w14:textId="77777777" w:rsidR="006C2134" w:rsidRDefault="006C2134" w:rsidP="006C2134">
      <w:pPr>
        <w:spacing w:after="240"/>
        <w:ind w:left="1440" w:right="720"/>
        <w:rPr>
          <w:sz w:val="24"/>
          <w:szCs w:val="24"/>
        </w:rPr>
      </w:pPr>
      <w:r w:rsidRPr="00D8019D">
        <w:rPr>
          <w:sz w:val="24"/>
          <w:szCs w:val="24"/>
        </w:rPr>
        <w:t>(A) The foreseeability of third-party criminal conduct based upon whether the goods or services offered by a landowner are controversial; and</w:t>
      </w:r>
      <w:r>
        <w:rPr>
          <w:sz w:val="24"/>
          <w:szCs w:val="24"/>
        </w:rPr>
        <w:t xml:space="preserve"> </w:t>
      </w:r>
    </w:p>
    <w:p w14:paraId="3ADE67B1" w14:textId="77777777" w:rsidR="006C2134" w:rsidRDefault="006C2134" w:rsidP="006C2134">
      <w:pPr>
        <w:spacing w:after="240"/>
        <w:ind w:left="1440" w:right="720"/>
        <w:rPr>
          <w:b/>
          <w:bCs/>
          <w:sz w:val="24"/>
          <w:szCs w:val="24"/>
        </w:rPr>
      </w:pPr>
      <w:r w:rsidRPr="00D8019D">
        <w:rPr>
          <w:sz w:val="24"/>
          <w:szCs w:val="24"/>
        </w:rPr>
        <w:t>(B) That a landowner could be held liable as a substantial factor in causing harm without considering whether a third-party criminal act was the predominant cause of that harm, as noted by the dissenting justices and judge</w:t>
      </w:r>
      <w:r w:rsidRPr="00D8019D">
        <w:rPr>
          <w:b/>
          <w:bCs/>
          <w:sz w:val="24"/>
          <w:szCs w:val="24"/>
        </w:rPr>
        <w:t>.</w:t>
      </w:r>
      <w:r>
        <w:rPr>
          <w:b/>
          <w:bCs/>
          <w:sz w:val="24"/>
          <w:szCs w:val="24"/>
        </w:rPr>
        <w:t xml:space="preserve"> </w:t>
      </w:r>
    </w:p>
    <w:p w14:paraId="013CCCCB" w14:textId="77777777" w:rsidR="006C2134" w:rsidRDefault="006C2134" w:rsidP="006C2134">
      <w:pPr>
        <w:spacing w:after="240"/>
        <w:ind w:left="720" w:right="720"/>
        <w:rPr>
          <w:sz w:val="24"/>
          <w:szCs w:val="24"/>
        </w:rPr>
      </w:pPr>
      <w:r w:rsidRPr="00D8019D">
        <w:rPr>
          <w:sz w:val="24"/>
          <w:szCs w:val="24"/>
        </w:rPr>
        <w:t>In making this declaration, the general assembly does not intend to reject or otherwise disturb any judicial decision other than the </w:t>
      </w:r>
      <w:r w:rsidRPr="006C2134">
        <w:rPr>
          <w:b/>
          <w:bCs/>
          <w:sz w:val="24"/>
          <w:szCs w:val="24"/>
        </w:rPr>
        <w:t>Wagner</w:t>
      </w:r>
      <w:r w:rsidRPr="00D8019D">
        <w:rPr>
          <w:sz w:val="24"/>
          <w:szCs w:val="24"/>
        </w:rPr>
        <w:t> decisions.</w:t>
      </w:r>
    </w:p>
    <w:p w14:paraId="45BE425B" w14:textId="79AD1F84" w:rsidR="006C2134" w:rsidRDefault="006C2134" w:rsidP="006C2134">
      <w:pPr>
        <w:spacing w:after="240"/>
        <w:ind w:firstLine="720"/>
        <w:rPr>
          <w:rFonts w:eastAsia="Times New Roman"/>
          <w:sz w:val="24"/>
          <w:szCs w:val="24"/>
        </w:rPr>
      </w:pPr>
      <w:r>
        <w:rPr>
          <w:sz w:val="24"/>
          <w:szCs w:val="24"/>
        </w:rPr>
        <w:t xml:space="preserve">12. When the legislature amended the premises liability statute in 2022, it also updated the organizational structure of the statute and clarified some of the terms. These changes altered the internal numbering of the statute. This Chapter 12 has been edited to reflect the updated </w:t>
      </w:r>
      <w:r>
        <w:rPr>
          <w:sz w:val="24"/>
          <w:szCs w:val="24"/>
        </w:rPr>
        <w:lastRenderedPageBreak/>
        <w:t>numbering system. When necessary, to avoid confusion, the former numbering system is also referenced in parenthesis.</w:t>
      </w:r>
    </w:p>
    <w:p w14:paraId="2A0C9368" w14:textId="6F9BA7B2" w:rsidR="00E007F8" w:rsidRDefault="00E007F8" w:rsidP="00E007F8">
      <w:pPr>
        <w:spacing w:after="240"/>
        <w:ind w:firstLine="720"/>
        <w:rPr>
          <w:rFonts w:eastAsia="Times New Roman"/>
          <w:sz w:val="24"/>
          <w:szCs w:val="24"/>
        </w:rPr>
      </w:pPr>
      <w:r w:rsidRPr="00E007F8">
        <w:rPr>
          <w:rFonts w:eastAsia="Times New Roman"/>
          <w:sz w:val="24"/>
          <w:szCs w:val="24"/>
        </w:rPr>
        <w:t>1</w:t>
      </w:r>
      <w:r w:rsidR="006C2134">
        <w:rPr>
          <w:rFonts w:eastAsia="Times New Roman"/>
          <w:sz w:val="24"/>
          <w:szCs w:val="24"/>
        </w:rPr>
        <w:t>3</w:t>
      </w:r>
      <w:r w:rsidRPr="00E007F8">
        <w:rPr>
          <w:rFonts w:eastAsia="Times New Roman"/>
          <w:sz w:val="24"/>
          <w:szCs w:val="24"/>
        </w:rPr>
        <w:t xml:space="preserve">.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1" w:name="a12_01"/>
      <w:bookmarkEnd w:id="1"/>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1BF20A9F"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xml:space="preserve">, on </w:t>
      </w:r>
      <w:r w:rsidR="00B26257" w:rsidRPr="006C2134">
        <w:rPr>
          <w:rFonts w:eastAsia="Times New Roman"/>
          <w:bCs/>
          <w:i/>
          <w:iCs/>
          <w:sz w:val="24"/>
          <w:szCs w:val="24"/>
        </w:rPr>
        <w:t>(insert applicable pronoun)</w:t>
      </w:r>
      <w:r w:rsidRPr="00AD4B56">
        <w:rPr>
          <w:rFonts w:eastAsia="Times New Roman"/>
          <w:b/>
          <w:sz w:val="24"/>
          <w:szCs w:val="24"/>
        </w:rPr>
        <w:t xml:space="preserve">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0648BCE1"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must be used in any action involving premises liability to persons on the premises to which section 13-21-115(</w:t>
      </w:r>
      <w:r w:rsidR="0078177A">
        <w:rPr>
          <w:rFonts w:eastAsia="Times New Roman"/>
          <w:sz w:val="24"/>
          <w:szCs w:val="24"/>
        </w:rPr>
        <w:t>4</w:t>
      </w:r>
      <w:r w:rsidRPr="00AD4B56">
        <w:rPr>
          <w:rFonts w:eastAsia="Times New Roman"/>
          <w:sz w:val="24"/>
          <w:szCs w:val="24"/>
        </w:rPr>
        <w:t>), C.R.S. (quoted below in Source and Authority), is applicable, as determined by the court under section 13-21-115(</w:t>
      </w:r>
      <w:r w:rsidR="0078177A">
        <w:rPr>
          <w:rFonts w:eastAsia="Times New Roman"/>
          <w:sz w:val="24"/>
          <w:szCs w:val="24"/>
        </w:rPr>
        <w:t>6</w:t>
      </w:r>
      <w:r w:rsidRPr="00AD4B56">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78177A">
        <w:rPr>
          <w:rFonts w:eastAsia="Times New Roman"/>
          <w:sz w:val="24"/>
          <w:szCs w:val="24"/>
        </w:rPr>
        <w:t>3</w:t>
      </w:r>
      <w:r w:rsidRPr="00AD4B56">
        <w:rPr>
          <w:rFonts w:eastAsia="Times New Roman"/>
          <w:sz w:val="24"/>
          <w:szCs w:val="24"/>
        </w:rPr>
        <w:t>)</w:t>
      </w:r>
      <w:r w:rsidR="006C2134">
        <w:rPr>
          <w:rFonts w:eastAsia="Times New Roman"/>
          <w:sz w:val="24"/>
          <w:szCs w:val="24"/>
        </w:rPr>
        <w:t xml:space="preserve"> (formerly § 13-21-115(2))</w:t>
      </w:r>
      <w:r w:rsidRPr="00AD4B56">
        <w:rPr>
          <w:rFonts w:eastAsia="Times New Roman"/>
          <w:sz w:val="24"/>
          <w:szCs w:val="24"/>
        </w:rPr>
        <w:t xml:space="preserve">;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w:t>
      </w:r>
      <w:r w:rsidRPr="00AD4B56">
        <w:rPr>
          <w:rFonts w:eastAsia="Times New Roman"/>
          <w:sz w:val="24"/>
          <w:szCs w:val="24"/>
        </w:rPr>
        <w:lastRenderedPageBreak/>
        <w:t>condominium could recover against condominium owner only under premises liability statute and “not under any other theory of negligence, general, or otherwise”). Under section 13-21-115(</w:t>
      </w:r>
      <w:r w:rsidR="0078177A">
        <w:rPr>
          <w:rFonts w:eastAsia="Times New Roman"/>
          <w:sz w:val="24"/>
          <w:szCs w:val="24"/>
        </w:rPr>
        <w:t>7</w:t>
      </w:r>
      <w:r w:rsidRPr="00AD4B56">
        <w:rPr>
          <w:rFonts w:eastAsia="Times New Roman"/>
          <w:sz w:val="24"/>
          <w:szCs w:val="24"/>
        </w:rPr>
        <w:t>)</w:t>
      </w:r>
      <w:r w:rsidR="0078177A">
        <w:rPr>
          <w:rFonts w:eastAsia="Times New Roman"/>
          <w:sz w:val="24"/>
          <w:szCs w:val="24"/>
        </w:rPr>
        <w:t>(b)</w:t>
      </w:r>
      <w:r w:rsidR="006C2134">
        <w:rPr>
          <w:rFonts w:eastAsia="Times New Roman"/>
          <w:sz w:val="24"/>
          <w:szCs w:val="24"/>
        </w:rPr>
        <w:t xml:space="preserve"> (formerly § 13-21-115(1))</w:t>
      </w:r>
      <w:r w:rsidRPr="00AD4B56">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8D5955D" w:rsidR="00AD4B56" w:rsidRPr="00AD4B56" w:rsidRDefault="00AD4B56" w:rsidP="00AD4B56">
      <w:pPr>
        <w:spacing w:after="240"/>
        <w:ind w:firstLine="720"/>
        <w:rPr>
          <w:rFonts w:eastAsia="Times New Roman"/>
          <w:sz w:val="24"/>
          <w:szCs w:val="24"/>
        </w:rPr>
      </w:pPr>
      <w:r w:rsidRPr="00AD4B56">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282E87">
        <w:rPr>
          <w:rFonts w:eastAsia="Times New Roman"/>
          <w:sz w:val="24"/>
          <w:szCs w:val="24"/>
        </w:rPr>
        <w:t>3</w:t>
      </w:r>
      <w:r w:rsidRPr="00AD4B56">
        <w:rPr>
          <w:rFonts w:eastAsia="Times New Roman"/>
          <w:sz w:val="24"/>
          <w:szCs w:val="24"/>
        </w:rPr>
        <w:t>)</w:t>
      </w:r>
      <w:r w:rsidR="006C2134" w:rsidRPr="006C2134">
        <w:rPr>
          <w:rFonts w:eastAsia="Times New Roman"/>
          <w:sz w:val="24"/>
          <w:szCs w:val="24"/>
        </w:rPr>
        <w:t xml:space="preserve"> </w:t>
      </w:r>
      <w:r w:rsidR="006C2134">
        <w:rPr>
          <w:rFonts w:eastAsia="Times New Roman"/>
          <w:sz w:val="24"/>
          <w:szCs w:val="24"/>
        </w:rPr>
        <w:t>(formerly § 13-21-115(2))</w:t>
      </w:r>
      <w:r w:rsidRPr="00AD4B56">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53165BA0"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w:t>
      </w:r>
      <w:r w:rsidR="00282E87">
        <w:rPr>
          <w:rFonts w:eastAsia="Times New Roman"/>
          <w:sz w:val="24"/>
          <w:szCs w:val="24"/>
        </w:rPr>
        <w:t>6</w:t>
      </w:r>
      <w:r w:rsidRPr="00AD4B56">
        <w:rPr>
          <w:rFonts w:eastAsia="Times New Roman"/>
          <w:sz w:val="24"/>
          <w:szCs w:val="24"/>
        </w:rPr>
        <w:t>), it is for the court and not for the jury to determine whether the person injured on the premises was a trespasser, a licensee, or an invitee, as defined in section 13-21-115(</w:t>
      </w:r>
      <w:r w:rsidR="00282E87">
        <w:rPr>
          <w:rFonts w:eastAsia="Times New Roman"/>
          <w:sz w:val="24"/>
          <w:szCs w:val="24"/>
        </w:rPr>
        <w:t>7</w:t>
      </w:r>
      <w:r w:rsidRPr="00AD4B56">
        <w:rPr>
          <w:rFonts w:eastAsia="Times New Roman"/>
          <w:sz w:val="24"/>
          <w:szCs w:val="24"/>
        </w:rPr>
        <w:t>) (quoted below in Source and Authority), it is not necessary to use the word “trespasser” in this instruction nor to provide the jury with its statutory definition.</w:t>
      </w:r>
    </w:p>
    <w:p w14:paraId="074BB905" w14:textId="7D6B01DF" w:rsidR="00AD4B56" w:rsidRPr="00AD4B56" w:rsidRDefault="00AD4B56" w:rsidP="00AD4B56">
      <w:pPr>
        <w:spacing w:after="240"/>
        <w:ind w:firstLine="720"/>
        <w:rPr>
          <w:rFonts w:eastAsia="Times New Roman"/>
          <w:sz w:val="24"/>
          <w:szCs w:val="24"/>
        </w:rPr>
      </w:pPr>
      <w:r w:rsidRPr="00AD4B56">
        <w:rPr>
          <w:rFonts w:eastAsia="Times New Roman"/>
          <w:sz w:val="24"/>
          <w:szCs w:val="24"/>
        </w:rPr>
        <w:t>11. The premises liability statute only applies if the injury occurs on the real property of another. § 13-21-115(</w:t>
      </w:r>
      <w:r w:rsidR="00282E87">
        <w:rPr>
          <w:rFonts w:eastAsia="Times New Roman"/>
          <w:sz w:val="24"/>
          <w:szCs w:val="24"/>
        </w:rPr>
        <w:t>3</w:t>
      </w:r>
      <w:r w:rsidRPr="00AD4B56">
        <w:rPr>
          <w:rFonts w:eastAsia="Times New Roman"/>
          <w:sz w:val="24"/>
          <w:szCs w:val="24"/>
        </w:rPr>
        <w:t>)</w:t>
      </w:r>
      <w:r w:rsidR="006C2134">
        <w:rPr>
          <w:rFonts w:eastAsia="Times New Roman"/>
          <w:sz w:val="24"/>
          <w:szCs w:val="24"/>
        </w:rPr>
        <w:t xml:space="preserve"> (formerly § 13-21-115(2))</w:t>
      </w:r>
      <w:r w:rsidRPr="00AD4B56">
        <w:rPr>
          <w:rFonts w:eastAsia="Times New Roman"/>
          <w:sz w:val="24"/>
          <w:szCs w:val="24"/>
        </w:rPr>
        <w:t xml:space="preserve">;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 35, 37</w:t>
      </w:r>
      <w:r w:rsidR="00403398">
        <w:rPr>
          <w:rFonts w:eastAsia="Times New Roman"/>
          <w:sz w:val="24"/>
          <w:szCs w:val="24"/>
        </w:rPr>
        <w:t>, 346 P.3d at 1044</w:t>
      </w:r>
      <w:r w:rsidRPr="00AD4B56">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 25</w:t>
      </w:r>
      <w:r w:rsidR="00403398">
        <w:rPr>
          <w:rFonts w:eastAsia="Times New Roman"/>
          <w:sz w:val="24"/>
          <w:szCs w:val="24"/>
        </w:rPr>
        <w:t>, 292 P.3d at 1238</w:t>
      </w:r>
      <w:r w:rsidRPr="00AD4B56">
        <w:rPr>
          <w:rFonts w:eastAsia="Times New Roman"/>
          <w:sz w:val="24"/>
          <w:szCs w:val="24"/>
        </w:rPr>
        <w:t xml:space="preserve">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2A254391"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w:t>
      </w:r>
      <w:r w:rsidR="00A6612D">
        <w:rPr>
          <w:rFonts w:eastAsia="Times New Roman"/>
          <w:sz w:val="24"/>
          <w:szCs w:val="24"/>
        </w:rPr>
        <w:t>4</w:t>
      </w:r>
      <w:r w:rsidRPr="00AD4B56">
        <w:rPr>
          <w:rFonts w:eastAsia="Times New Roman"/>
          <w:sz w:val="24"/>
          <w:szCs w:val="24"/>
        </w:rPr>
        <w:t>)(a),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43B7B69F" w:rsidR="00AD4B56" w:rsidRPr="00AD4B56" w:rsidRDefault="00AD4B56" w:rsidP="00AD4B56">
      <w:pPr>
        <w:spacing w:after="240"/>
        <w:rPr>
          <w:rFonts w:eastAsia="Times New Roman"/>
          <w:sz w:val="24"/>
          <w:szCs w:val="24"/>
        </w:rPr>
      </w:pPr>
      <w:r w:rsidRPr="00AD4B56">
        <w:rPr>
          <w:rFonts w:eastAsia="Times New Roman"/>
          <w:sz w:val="24"/>
          <w:szCs w:val="24"/>
        </w:rPr>
        <w:t>Section 13-21-115(</w:t>
      </w:r>
      <w:r w:rsidR="00A6612D">
        <w:rPr>
          <w:rFonts w:eastAsia="Times New Roman"/>
          <w:sz w:val="24"/>
          <w:szCs w:val="24"/>
        </w:rPr>
        <w:t>6</w:t>
      </w:r>
      <w:r w:rsidRPr="00AD4B56">
        <w:rPr>
          <w:rFonts w:eastAsia="Times New Roman"/>
          <w:sz w:val="24"/>
          <w:szCs w:val="24"/>
        </w:rPr>
        <w:t>), provides:</w:t>
      </w:r>
    </w:p>
    <w:p w14:paraId="087689E9" w14:textId="423431D8" w:rsidR="00AD4B56" w:rsidRPr="00A6612D" w:rsidRDefault="00A6612D" w:rsidP="00AD4B56">
      <w:pPr>
        <w:spacing w:after="240"/>
        <w:ind w:left="720"/>
        <w:rPr>
          <w:rFonts w:eastAsia="Times New Roman"/>
          <w:sz w:val="24"/>
          <w:szCs w:val="24"/>
        </w:rPr>
      </w:pPr>
      <w:r w:rsidRPr="000C7B26">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46955901" w14:textId="765BABA9" w:rsidR="00AD4B56" w:rsidRPr="00AD4B56" w:rsidRDefault="00AD4B56" w:rsidP="00AD4B56">
      <w:pPr>
        <w:spacing w:after="240"/>
        <w:rPr>
          <w:rFonts w:eastAsia="Times New Roman"/>
          <w:sz w:val="24"/>
          <w:szCs w:val="24"/>
        </w:rPr>
      </w:pPr>
      <w:r w:rsidRPr="00AD4B56">
        <w:rPr>
          <w:rFonts w:eastAsia="Times New Roman"/>
          <w:sz w:val="24"/>
          <w:szCs w:val="24"/>
        </w:rPr>
        <w:t>Section 13-21-115(</w:t>
      </w:r>
      <w:r w:rsidR="00A6612D">
        <w:rPr>
          <w:rFonts w:eastAsia="Times New Roman"/>
          <w:sz w:val="24"/>
          <w:szCs w:val="24"/>
        </w:rPr>
        <w:t>7</w:t>
      </w:r>
      <w:r w:rsidRPr="00AD4B56">
        <w:rPr>
          <w:rFonts w:eastAsia="Times New Roman"/>
          <w:sz w:val="24"/>
          <w:szCs w:val="24"/>
        </w:rPr>
        <w:t>), provides:</w:t>
      </w:r>
    </w:p>
    <w:p w14:paraId="311A02D3" w14:textId="77777777" w:rsidR="00A6612D" w:rsidRDefault="00A6612D" w:rsidP="00A6612D">
      <w:pPr>
        <w:ind w:left="720"/>
        <w:rPr>
          <w:rFonts w:eastAsia="Times New Roman"/>
          <w:color w:val="212121"/>
          <w:sz w:val="24"/>
          <w:szCs w:val="24"/>
          <w:shd w:val="clear" w:color="auto" w:fill="FFFFFF"/>
        </w:rPr>
      </w:pPr>
      <w:r w:rsidRPr="000C7B26">
        <w:rPr>
          <w:rFonts w:eastAsia="Times New Roman"/>
          <w:color w:val="212121"/>
          <w:sz w:val="24"/>
          <w:szCs w:val="24"/>
          <w:shd w:val="clear" w:color="auto" w:fill="FFFFFF"/>
        </w:rPr>
        <w:t>As used in this section, unless the context otherwise requires:</w:t>
      </w:r>
    </w:p>
    <w:p w14:paraId="7B01A3A5" w14:textId="77777777" w:rsidR="00A6612D" w:rsidRPr="00A6612D" w:rsidRDefault="00A6612D" w:rsidP="000C7B26">
      <w:pPr>
        <w:ind w:left="720"/>
        <w:rPr>
          <w:rFonts w:eastAsia="Times New Roman"/>
          <w:sz w:val="24"/>
          <w:szCs w:val="24"/>
        </w:rPr>
      </w:pPr>
    </w:p>
    <w:p w14:paraId="4DEB1A70" w14:textId="2E48E406"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05305456" w14:textId="77777777" w:rsidR="00A6612D" w:rsidRPr="000C7B26" w:rsidRDefault="00A6612D" w:rsidP="000C7B26">
      <w:pPr>
        <w:pStyle w:val="ListParagraph"/>
        <w:shd w:val="clear" w:color="auto" w:fill="FFFFFF"/>
        <w:ind w:left="1080"/>
        <w:textAlignment w:val="baseline"/>
        <w:rPr>
          <w:rFonts w:eastAsia="Times New Roman"/>
          <w:color w:val="212121"/>
          <w:sz w:val="24"/>
          <w:szCs w:val="24"/>
        </w:rPr>
      </w:pPr>
    </w:p>
    <w:p w14:paraId="4F6226F5" w14:textId="7DCE340B"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22DB1154" w14:textId="77777777" w:rsidR="00A6612D" w:rsidRPr="000C7B26" w:rsidRDefault="00A6612D" w:rsidP="00A6612D">
      <w:pPr>
        <w:shd w:val="clear" w:color="auto" w:fill="FFFFFF"/>
        <w:textAlignment w:val="baseline"/>
        <w:rPr>
          <w:rFonts w:eastAsia="Times New Roman"/>
          <w:color w:val="212121"/>
          <w:sz w:val="24"/>
          <w:szCs w:val="24"/>
        </w:rPr>
      </w:pPr>
    </w:p>
    <w:p w14:paraId="037D70E8" w14:textId="7669AB7B" w:rsidR="00A6612D" w:rsidRPr="000C7B26" w:rsidRDefault="00A6612D" w:rsidP="000C7B26">
      <w:pPr>
        <w:pStyle w:val="ListParagraph"/>
        <w:numPr>
          <w:ilvl w:val="0"/>
          <w:numId w:val="3"/>
        </w:numPr>
        <w:shd w:val="clear" w:color="auto" w:fill="FFFFFF"/>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“Licensee” means a person who enters or remains on the land of another for the licensee’s own convenience or to advance the licensee’s own interests, pursuant to the landowner’s permission or consent. “Licensee” includes a social guest.</w:t>
      </w:r>
    </w:p>
    <w:p w14:paraId="2C8B2C5D" w14:textId="77777777" w:rsidR="00A6612D" w:rsidRPr="000C7B26" w:rsidRDefault="00A6612D" w:rsidP="00A6612D">
      <w:pPr>
        <w:shd w:val="clear" w:color="auto" w:fill="FFFFFF"/>
        <w:textAlignment w:val="baseline"/>
        <w:rPr>
          <w:rFonts w:eastAsia="Times New Roman"/>
          <w:color w:val="212121"/>
          <w:sz w:val="24"/>
          <w:szCs w:val="24"/>
        </w:rPr>
      </w:pPr>
    </w:p>
    <w:p w14:paraId="7E6116F8" w14:textId="1200E9D6" w:rsidR="00A6612D" w:rsidRPr="000C7B26" w:rsidRDefault="00A6612D" w:rsidP="00630414">
      <w:pPr>
        <w:pStyle w:val="ListParagraph"/>
        <w:numPr>
          <w:ilvl w:val="0"/>
          <w:numId w:val="3"/>
        </w:numPr>
        <w:shd w:val="clear" w:color="auto" w:fill="FFFFFF"/>
        <w:spacing w:after="240"/>
        <w:textAlignment w:val="baseline"/>
        <w:rPr>
          <w:rFonts w:eastAsia="Times New Roman"/>
          <w:color w:val="212121"/>
          <w:sz w:val="24"/>
          <w:szCs w:val="24"/>
          <w:bdr w:val="none" w:sz="0" w:space="0" w:color="auto" w:frame="1"/>
        </w:rPr>
      </w:pPr>
      <w:r w:rsidRPr="000C7B26">
        <w:rPr>
          <w:rFonts w:eastAsia="Times New Roman"/>
          <w:color w:val="212121"/>
          <w:sz w:val="24"/>
          <w:szCs w:val="24"/>
          <w:bdr w:val="none" w:sz="0" w:space="0" w:color="auto" w:frame="1"/>
        </w:rPr>
        <w:t>“Trespasser” means a person who enters or remains on the land of another without the landowner’s consent.</w:t>
      </w:r>
    </w:p>
    <w:p w14:paraId="1048D4F9" w14:textId="1B7CE852" w:rsidR="006271A2" w:rsidRDefault="00AD4B56" w:rsidP="00AC79D7">
      <w:pPr>
        <w:ind w:firstLine="720"/>
        <w:rPr>
          <w:rFonts w:eastAsia="Times New Roman"/>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9F585B">
        <w:rPr>
          <w:rFonts w:eastAsia="Times New Roman"/>
          <w:i/>
          <w:sz w:val="24"/>
          <w:szCs w:val="24"/>
        </w:rPr>
        <w:t>See also</w:t>
      </w:r>
      <w:r w:rsidR="009F585B" w:rsidRPr="009F585B">
        <w:rPr>
          <w:rFonts w:eastAsia="Times New Roman"/>
          <w:iCs/>
          <w:sz w:val="24"/>
          <w:szCs w:val="24"/>
        </w:rPr>
        <w:t xml:space="preserve"> </w:t>
      </w:r>
      <w:r w:rsidR="009F585B" w:rsidRPr="009F585B">
        <w:rPr>
          <w:b/>
          <w:bCs/>
          <w:sz w:val="24"/>
          <w:szCs w:val="24"/>
        </w:rPr>
        <w:t xml:space="preserve">Warembourg v. Excel </w:t>
      </w:r>
      <w:r w:rsidR="009F585B" w:rsidRPr="009F585B">
        <w:rPr>
          <w:b/>
          <w:bCs/>
          <w:sz w:val="24"/>
          <w:szCs w:val="24"/>
        </w:rPr>
        <w:lastRenderedPageBreak/>
        <w:t>Elec., Inc.</w:t>
      </w:r>
      <w:r w:rsidR="009F585B" w:rsidRPr="009F585B">
        <w:rPr>
          <w:sz w:val="24"/>
          <w:szCs w:val="24"/>
        </w:rPr>
        <w:t xml:space="preserve">, 2020 COA 103, ¶ 50, </w:t>
      </w:r>
      <w:r w:rsidR="00A13C87">
        <w:rPr>
          <w:sz w:val="24"/>
          <w:szCs w:val="24"/>
        </w:rPr>
        <w:t>471</w:t>
      </w:r>
      <w:r w:rsidR="009F585B" w:rsidRPr="009F585B">
        <w:rPr>
          <w:sz w:val="24"/>
          <w:szCs w:val="24"/>
        </w:rPr>
        <w:t xml:space="preserve"> P.3d</w:t>
      </w:r>
      <w:r w:rsidR="00A13C87">
        <w:rPr>
          <w:sz w:val="24"/>
          <w:szCs w:val="24"/>
        </w:rPr>
        <w:t xml:space="preserve"> 1213 </w:t>
      </w:r>
      <w:r w:rsidR="00CD1E5A" w:rsidRPr="009F585B">
        <w:rPr>
          <w:sz w:val="24"/>
          <w:szCs w:val="24"/>
        </w:rPr>
        <w:t xml:space="preserve">(floor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9F585B" w:rsidRPr="009F585B">
        <w:rPr>
          <w:sz w:val="24"/>
          <w:szCs w:val="24"/>
        </w:rPr>
        <w:t>;</w:t>
      </w:r>
      <w:r w:rsidR="009F585B">
        <w:rPr>
          <w:sz w:val="24"/>
          <w:szCs w:val="24"/>
        </w:rPr>
        <w:t xml:space="preserve"> </w:t>
      </w:r>
      <w:r w:rsidRPr="009F585B">
        <w:rPr>
          <w:rFonts w:eastAsia="Times New Roman"/>
          <w:b/>
          <w:sz w:val="24"/>
          <w:szCs w:val="24"/>
        </w:rPr>
        <w:t>Tancrede</w:t>
      </w:r>
      <w:r w:rsidRPr="009F585B">
        <w:rPr>
          <w:rFonts w:eastAsia="Times New Roman"/>
          <w:sz w:val="24"/>
          <w:szCs w:val="24"/>
        </w:rPr>
        <w:t>, ¶ 15</w:t>
      </w:r>
      <w:r w:rsidR="00EB491A">
        <w:rPr>
          <w:rFonts w:eastAsia="Times New Roman"/>
          <w:sz w:val="24"/>
          <w:szCs w:val="24"/>
        </w:rPr>
        <w:t>, 401 P.3d at 135</w:t>
      </w:r>
      <w:r w:rsidRPr="009F585B">
        <w:rPr>
          <w:rFonts w:eastAsia="Times New Roman"/>
          <w:sz w:val="24"/>
          <w:szCs w:val="24"/>
        </w:rPr>
        <w:t xml:space="preserve"> (holding motor vehicle passenger was a trespasser on private property and had to allege willful and deliberate conduct).</w:t>
      </w:r>
    </w:p>
    <w:p w14:paraId="764FD07E" w14:textId="77777777" w:rsidR="000C7B26" w:rsidRPr="009F585B" w:rsidRDefault="000C7B26" w:rsidP="00AC79D7">
      <w:pPr>
        <w:ind w:firstLine="720"/>
        <w:rPr>
          <w:sz w:val="24"/>
          <w:szCs w:val="24"/>
        </w:rPr>
      </w:pP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2" w:name="a12_02"/>
      <w:bookmarkEnd w:id="2"/>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45885205"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xml:space="preserve">, on </w:t>
      </w:r>
      <w:r w:rsidR="00B26257" w:rsidRPr="006C2134">
        <w:rPr>
          <w:rFonts w:eastAsia="Times New Roman"/>
          <w:bCs/>
          <w:i/>
          <w:iCs/>
          <w:sz w:val="24"/>
          <w:szCs w:val="24"/>
        </w:rPr>
        <w:t>(insert applicable pronoun)</w:t>
      </w:r>
      <w:r w:rsidRPr="000C204E">
        <w:rPr>
          <w:rFonts w:eastAsia="Times New Roman"/>
          <w:b/>
          <w:sz w:val="24"/>
          <w:szCs w:val="24"/>
        </w:rPr>
        <w:t xml:space="preserve">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6ADACA96"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(a) (failed to use reasonable care with respect to a danger on the property which (1)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created and (2)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33E6FE33"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did not create, (2) but which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0C204E">
        <w:rPr>
          <w:rFonts w:eastAsia="Times New Roman"/>
          <w:b/>
          <w:sz w:val="24"/>
          <w:szCs w:val="24"/>
        </w:rPr>
        <w:t xml:space="preserv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3AFE2FE4" w:rsidR="000C204E" w:rsidRPr="000C204E" w:rsidRDefault="000C204E" w:rsidP="000C204E">
      <w:pPr>
        <w:spacing w:after="240"/>
        <w:ind w:firstLine="720"/>
        <w:rPr>
          <w:rFonts w:eastAsia="Times New Roman"/>
          <w:sz w:val="24"/>
          <w:szCs w:val="24"/>
        </w:rPr>
      </w:pPr>
      <w:r w:rsidRPr="000C204E">
        <w:rPr>
          <w:rFonts w:eastAsia="Times New Roman"/>
          <w:sz w:val="24"/>
          <w:szCs w:val="24"/>
        </w:rPr>
        <w:t>1. This instruction must be used in any action involving premises liability to persons on the premises to which section 13-21-115(</w:t>
      </w:r>
      <w:r w:rsidR="006271A2">
        <w:rPr>
          <w:rFonts w:eastAsia="Times New Roman"/>
          <w:sz w:val="24"/>
          <w:szCs w:val="24"/>
        </w:rPr>
        <w:t>4</w:t>
      </w:r>
      <w:r w:rsidRPr="000C204E">
        <w:rPr>
          <w:rFonts w:eastAsia="Times New Roman"/>
          <w:sz w:val="24"/>
          <w:szCs w:val="24"/>
        </w:rPr>
        <w:t>), C.R.S. (quoted below in Source and Authority), is applicable, as determined by the court under section 13-21-115(</w:t>
      </w:r>
      <w:r w:rsidR="006271A2">
        <w:rPr>
          <w:rFonts w:eastAsia="Times New Roman"/>
          <w:sz w:val="24"/>
          <w:szCs w:val="24"/>
        </w:rPr>
        <w:t>6</w:t>
      </w:r>
      <w:r w:rsidRPr="000C204E">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6271A2">
        <w:rPr>
          <w:rFonts w:eastAsia="Times New Roman"/>
          <w:sz w:val="24"/>
          <w:szCs w:val="24"/>
        </w:rPr>
        <w:t>3</w:t>
      </w:r>
      <w:r w:rsidRPr="000C204E">
        <w:rPr>
          <w:rFonts w:eastAsia="Times New Roman"/>
          <w:sz w:val="24"/>
          <w:szCs w:val="24"/>
        </w:rPr>
        <w:t>)</w:t>
      </w:r>
      <w:r w:rsidR="006C2134">
        <w:rPr>
          <w:rFonts w:eastAsia="Times New Roman"/>
          <w:sz w:val="24"/>
          <w:szCs w:val="24"/>
        </w:rPr>
        <w:t xml:space="preserve"> (formerly § </w:t>
      </w:r>
      <w:r w:rsidR="006C2134">
        <w:rPr>
          <w:rFonts w:eastAsia="Times New Roman"/>
          <w:sz w:val="24"/>
          <w:szCs w:val="24"/>
        </w:rPr>
        <w:lastRenderedPageBreak/>
        <w:t>13-21-115(2))</w:t>
      </w:r>
      <w:r w:rsidRPr="000C204E">
        <w:rPr>
          <w:rFonts w:eastAsia="Times New Roman"/>
          <w:sz w:val="24"/>
          <w:szCs w:val="24"/>
        </w:rPr>
        <w:t xml:space="preserve">;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w:t>
      </w:r>
      <w:r w:rsidR="006271A2">
        <w:rPr>
          <w:rFonts w:eastAsia="Times New Roman"/>
          <w:sz w:val="24"/>
          <w:szCs w:val="24"/>
        </w:rPr>
        <w:t>7</w:t>
      </w:r>
      <w:r w:rsidRPr="000C204E">
        <w:rPr>
          <w:rFonts w:eastAsia="Times New Roman"/>
          <w:sz w:val="24"/>
          <w:szCs w:val="24"/>
        </w:rPr>
        <w:t>)</w:t>
      </w:r>
      <w:r w:rsidR="006C2134">
        <w:rPr>
          <w:rFonts w:eastAsia="Times New Roman"/>
          <w:sz w:val="24"/>
          <w:szCs w:val="24"/>
        </w:rPr>
        <w:t xml:space="preserve"> (formerly § 13-21-115(1))</w:t>
      </w:r>
      <w:r w:rsidRPr="000C204E">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52C5A8DB" w:rsidR="000C204E" w:rsidRPr="000C204E" w:rsidRDefault="000C204E" w:rsidP="000C204E">
      <w:pPr>
        <w:spacing w:after="240"/>
        <w:ind w:firstLine="720"/>
        <w:rPr>
          <w:rFonts w:eastAsia="Times New Roman"/>
          <w:sz w:val="24"/>
          <w:szCs w:val="24"/>
        </w:rPr>
      </w:pPr>
      <w:r w:rsidRPr="000C204E">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68101E">
        <w:rPr>
          <w:rFonts w:eastAsia="Times New Roman"/>
          <w:sz w:val="24"/>
          <w:szCs w:val="24"/>
        </w:rPr>
        <w:t>3</w:t>
      </w:r>
      <w:r w:rsidRPr="000C204E">
        <w:rPr>
          <w:rFonts w:eastAsia="Times New Roman"/>
          <w:sz w:val="24"/>
          <w:szCs w:val="24"/>
        </w:rPr>
        <w:t>)</w:t>
      </w:r>
      <w:r w:rsidR="006C2134">
        <w:rPr>
          <w:rFonts w:eastAsia="Times New Roman"/>
          <w:sz w:val="24"/>
          <w:szCs w:val="24"/>
        </w:rPr>
        <w:t xml:space="preserve"> (formerly § 13-21-115(2))</w:t>
      </w:r>
      <w:r w:rsidRPr="000C204E">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w:t>
      </w:r>
      <w:r w:rsidRPr="000C204E">
        <w:rPr>
          <w:rFonts w:eastAsia="Times New Roman"/>
          <w:sz w:val="24"/>
          <w:szCs w:val="24"/>
        </w:rPr>
        <w:lastRenderedPageBreak/>
        <w:t xml:space="preserve">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Volunteers of Am. Colo. Branch 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6DD8C6A0"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w:t>
      </w:r>
      <w:r w:rsidR="0068101E">
        <w:rPr>
          <w:rFonts w:eastAsia="Times New Roman"/>
          <w:sz w:val="24"/>
          <w:szCs w:val="24"/>
        </w:rPr>
        <w:t>6</w:t>
      </w:r>
      <w:r w:rsidRPr="000C204E">
        <w:rPr>
          <w:rFonts w:eastAsia="Times New Roman"/>
          <w:sz w:val="24"/>
          <w:szCs w:val="24"/>
        </w:rPr>
        <w:t>), it is for the court and not the jury to determine whether the person injured on the premises was a trespasser, licensee, or invitee, as defined in section 13-21-115(</w:t>
      </w:r>
      <w:r w:rsidR="0068101E">
        <w:rPr>
          <w:rFonts w:eastAsia="Times New Roman"/>
          <w:sz w:val="24"/>
          <w:szCs w:val="24"/>
        </w:rPr>
        <w:t>7</w:t>
      </w:r>
      <w:r w:rsidRPr="000C204E">
        <w:rPr>
          <w:rFonts w:eastAsia="Times New Roman"/>
          <w:sz w:val="24"/>
          <w:szCs w:val="24"/>
        </w:rPr>
        <w:t>) (quoted in Source and Authority), it is not necessary to use the word “licensee” in this instruction nor provide the jury with its statutory definition.</w:t>
      </w:r>
    </w:p>
    <w:p w14:paraId="025D5EED" w14:textId="3048EBDA"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38E916BB" w:rsidR="000C204E" w:rsidRPr="000C204E" w:rsidRDefault="000C204E" w:rsidP="000C204E">
      <w:pPr>
        <w:spacing w:after="240"/>
        <w:ind w:firstLine="720"/>
        <w:rPr>
          <w:rFonts w:eastAsia="Times New Roman"/>
          <w:sz w:val="24"/>
          <w:szCs w:val="24"/>
        </w:rPr>
      </w:pPr>
      <w:r w:rsidRPr="000C204E">
        <w:rPr>
          <w:rFonts w:eastAsia="Times New Roman"/>
          <w:sz w:val="24"/>
          <w:szCs w:val="24"/>
        </w:rPr>
        <w:t>9. The premises liability statute applies only if the injury occurs on the real property of another. § 13-21-115(</w:t>
      </w:r>
      <w:r w:rsidR="0068101E">
        <w:rPr>
          <w:rFonts w:eastAsia="Times New Roman"/>
          <w:sz w:val="24"/>
          <w:szCs w:val="24"/>
        </w:rPr>
        <w:t>3</w:t>
      </w:r>
      <w:r w:rsidRPr="000C204E">
        <w:rPr>
          <w:rFonts w:eastAsia="Times New Roman"/>
          <w:sz w:val="24"/>
          <w:szCs w:val="24"/>
        </w:rPr>
        <w:t>)</w:t>
      </w:r>
      <w:r w:rsidR="006C2134" w:rsidRPr="006C2134">
        <w:rPr>
          <w:rFonts w:eastAsia="Times New Roman"/>
          <w:sz w:val="24"/>
          <w:szCs w:val="24"/>
        </w:rPr>
        <w:t xml:space="preserve"> </w:t>
      </w:r>
      <w:r w:rsidR="006C2134">
        <w:rPr>
          <w:rFonts w:eastAsia="Times New Roman"/>
          <w:sz w:val="24"/>
          <w:szCs w:val="24"/>
        </w:rPr>
        <w:t>(formerly § 13-21-115(2))</w:t>
      </w:r>
      <w:r w:rsidRPr="000C204E">
        <w:rPr>
          <w:rFonts w:eastAsia="Times New Roman"/>
          <w:sz w:val="24"/>
          <w:szCs w:val="24"/>
        </w:rPr>
        <w:t xml:space="preserve">;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 35, 37</w:t>
      </w:r>
      <w:r w:rsidR="00403398">
        <w:rPr>
          <w:rFonts w:eastAsia="Times New Roman"/>
          <w:sz w:val="24"/>
          <w:szCs w:val="24"/>
        </w:rPr>
        <w:t>, 346 P.3d at 1044</w:t>
      </w:r>
      <w:r w:rsidRPr="000C204E">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 25</w:t>
      </w:r>
      <w:r w:rsidR="00403398">
        <w:rPr>
          <w:rFonts w:eastAsia="Times New Roman"/>
          <w:sz w:val="24"/>
          <w:szCs w:val="24"/>
        </w:rPr>
        <w:t>, 292 P.3d at 1238</w:t>
      </w:r>
      <w:r w:rsidRPr="000C204E">
        <w:rPr>
          <w:rFonts w:eastAsia="Times New Roman"/>
          <w:sz w:val="24"/>
          <w:szCs w:val="24"/>
        </w:rPr>
        <w:t xml:space="preserve">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6CF512B6"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w:t>
      </w:r>
      <w:r w:rsidR="0068101E">
        <w:rPr>
          <w:rFonts w:eastAsia="Times New Roman"/>
          <w:sz w:val="24"/>
          <w:szCs w:val="24"/>
        </w:rPr>
        <w:t>4</w:t>
      </w:r>
      <w:r w:rsidRPr="00DC7533">
        <w:rPr>
          <w:rFonts w:eastAsia="Times New Roman"/>
          <w:sz w:val="24"/>
          <w:szCs w:val="24"/>
        </w:rPr>
        <w:t>)(b), which provides:</w:t>
      </w:r>
    </w:p>
    <w:p w14:paraId="3B3E676E" w14:textId="10DBBB0B"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A licensee may </w:t>
      </w:r>
      <w:r w:rsidR="0068101E">
        <w:rPr>
          <w:rFonts w:eastAsia="Times New Roman"/>
          <w:sz w:val="24"/>
          <w:szCs w:val="24"/>
        </w:rPr>
        <w:t xml:space="preserve">only </w:t>
      </w:r>
      <w:r w:rsidRPr="00DC7533">
        <w:rPr>
          <w:rFonts w:eastAsia="Times New Roman"/>
          <w:sz w:val="24"/>
          <w:szCs w:val="24"/>
        </w:rPr>
        <w:t>recover damages caused:</w:t>
      </w:r>
    </w:p>
    <w:p w14:paraId="6412C25F" w14:textId="11F27C21" w:rsidR="00DC7533" w:rsidRPr="00DC7533" w:rsidRDefault="00DC7533" w:rsidP="00DC7533">
      <w:pPr>
        <w:spacing w:after="240"/>
        <w:ind w:left="1440"/>
        <w:rPr>
          <w:rFonts w:eastAsia="Times New Roman"/>
          <w:sz w:val="24"/>
          <w:szCs w:val="24"/>
        </w:rPr>
      </w:pPr>
      <w:r w:rsidRPr="00DC7533">
        <w:rPr>
          <w:rFonts w:eastAsia="Times New Roman"/>
          <w:sz w:val="24"/>
          <w:szCs w:val="24"/>
        </w:rPr>
        <w:t xml:space="preserve">(I) By the landowner’s unreasonable failure to exercise reasonable care with respect to dangers created by the landowner </w:t>
      </w:r>
      <w:r w:rsidR="0068101E">
        <w:rPr>
          <w:rFonts w:eastAsia="Times New Roman"/>
          <w:sz w:val="24"/>
          <w:szCs w:val="24"/>
        </w:rPr>
        <w:t xml:space="preserve">that </w:t>
      </w:r>
      <w:r w:rsidRPr="00DC7533">
        <w:rPr>
          <w:rFonts w:eastAsia="Times New Roman"/>
          <w:sz w:val="24"/>
          <w:szCs w:val="24"/>
        </w:rPr>
        <w:t>the landowner actually knew</w:t>
      </w:r>
      <w:r w:rsidR="0068101E">
        <w:rPr>
          <w:rFonts w:eastAsia="Times New Roman"/>
          <w:sz w:val="24"/>
          <w:szCs w:val="24"/>
        </w:rPr>
        <w:t xml:space="preserve"> about</w:t>
      </w:r>
      <w:r w:rsidRPr="00DC7533">
        <w:rPr>
          <w:rFonts w:eastAsia="Times New Roman"/>
          <w:sz w:val="24"/>
          <w:szCs w:val="24"/>
        </w:rPr>
        <w:t>; or</w:t>
      </w:r>
    </w:p>
    <w:p w14:paraId="3EB7A76E" w14:textId="179DFC59" w:rsidR="00DC7533" w:rsidRPr="00DC7533" w:rsidRDefault="00DC7533" w:rsidP="00DC7533">
      <w:pPr>
        <w:spacing w:after="240"/>
        <w:ind w:left="1440"/>
        <w:rPr>
          <w:rFonts w:eastAsia="Times New Roman"/>
          <w:sz w:val="24"/>
          <w:szCs w:val="24"/>
        </w:rPr>
      </w:pPr>
      <w:r w:rsidRPr="00DC7533">
        <w:rPr>
          <w:rFonts w:eastAsia="Times New Roman"/>
          <w:sz w:val="24"/>
          <w:szCs w:val="24"/>
        </w:rPr>
        <w:t xml:space="preserve">(II) By the landowner’s unreasonable failure to warn of dangers not created by the landowner </w:t>
      </w:r>
      <w:r w:rsidR="0068101E">
        <w:rPr>
          <w:rFonts w:eastAsia="Times New Roman"/>
          <w:sz w:val="24"/>
          <w:szCs w:val="24"/>
        </w:rPr>
        <w:t xml:space="preserve">that </w:t>
      </w:r>
      <w:r w:rsidRPr="00DC7533">
        <w:rPr>
          <w:rFonts w:eastAsia="Times New Roman"/>
          <w:sz w:val="24"/>
          <w:szCs w:val="24"/>
        </w:rPr>
        <w:t xml:space="preserve">are not ordinarily present on property of the type involved and </w:t>
      </w:r>
      <w:r w:rsidR="0068101E">
        <w:rPr>
          <w:rFonts w:eastAsia="Times New Roman"/>
          <w:sz w:val="24"/>
          <w:szCs w:val="24"/>
        </w:rPr>
        <w:t>that</w:t>
      </w:r>
      <w:r w:rsidRPr="00DC7533">
        <w:rPr>
          <w:rFonts w:eastAsia="Times New Roman"/>
          <w:sz w:val="24"/>
          <w:szCs w:val="24"/>
        </w:rPr>
        <w:t xml:space="preserve"> the landowner actually knew</w:t>
      </w:r>
      <w:r w:rsidR="0068101E">
        <w:rPr>
          <w:rFonts w:eastAsia="Times New Roman"/>
          <w:sz w:val="24"/>
          <w:szCs w:val="24"/>
        </w:rPr>
        <w:t xml:space="preserve"> about</w:t>
      </w:r>
      <w:r w:rsidRPr="00DC7533">
        <w:rPr>
          <w:rFonts w:eastAsia="Times New Roman"/>
          <w:sz w:val="24"/>
          <w:szCs w:val="24"/>
        </w:rPr>
        <w:t>.</w:t>
      </w:r>
    </w:p>
    <w:p w14:paraId="2A8F19DE" w14:textId="77777777" w:rsidR="0068101E" w:rsidRPr="00AD4B56" w:rsidRDefault="0068101E" w:rsidP="0068101E">
      <w:pPr>
        <w:spacing w:after="240"/>
        <w:rPr>
          <w:rFonts w:eastAsia="Times New Roman"/>
          <w:sz w:val="24"/>
          <w:szCs w:val="24"/>
        </w:rPr>
      </w:pPr>
      <w:r w:rsidRPr="00AD4B56">
        <w:rPr>
          <w:rFonts w:eastAsia="Times New Roman"/>
          <w:sz w:val="24"/>
          <w:szCs w:val="24"/>
        </w:rPr>
        <w:t>Section 13-21-115(</w:t>
      </w:r>
      <w:r>
        <w:rPr>
          <w:rFonts w:eastAsia="Times New Roman"/>
          <w:sz w:val="24"/>
          <w:szCs w:val="24"/>
        </w:rPr>
        <w:t>6</w:t>
      </w:r>
      <w:r w:rsidRPr="00AD4B56">
        <w:rPr>
          <w:rFonts w:eastAsia="Times New Roman"/>
          <w:sz w:val="24"/>
          <w:szCs w:val="24"/>
        </w:rPr>
        <w:t>), provides:</w:t>
      </w:r>
    </w:p>
    <w:p w14:paraId="4EE02C85" w14:textId="77777777" w:rsidR="0068101E" w:rsidRPr="00A6612D" w:rsidRDefault="0068101E" w:rsidP="0068101E">
      <w:pPr>
        <w:spacing w:after="240"/>
        <w:ind w:left="720"/>
        <w:rPr>
          <w:rFonts w:eastAsia="Times New Roman"/>
          <w:sz w:val="24"/>
          <w:szCs w:val="24"/>
        </w:rPr>
      </w:pPr>
      <w:r w:rsidRPr="001848FC">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0918C01D" w14:textId="77777777" w:rsidR="0068101E" w:rsidRPr="00AD4B56" w:rsidRDefault="0068101E" w:rsidP="0068101E">
      <w:pPr>
        <w:spacing w:after="240"/>
        <w:rPr>
          <w:rFonts w:eastAsia="Times New Roman"/>
          <w:sz w:val="24"/>
          <w:szCs w:val="24"/>
        </w:rPr>
      </w:pPr>
      <w:r w:rsidRPr="00AD4B56">
        <w:rPr>
          <w:rFonts w:eastAsia="Times New Roman"/>
          <w:sz w:val="24"/>
          <w:szCs w:val="24"/>
        </w:rPr>
        <w:t>Section 13-21-115(</w:t>
      </w:r>
      <w:r>
        <w:rPr>
          <w:rFonts w:eastAsia="Times New Roman"/>
          <w:sz w:val="24"/>
          <w:szCs w:val="24"/>
        </w:rPr>
        <w:t>7</w:t>
      </w:r>
      <w:r w:rsidRPr="00AD4B56">
        <w:rPr>
          <w:rFonts w:eastAsia="Times New Roman"/>
          <w:sz w:val="24"/>
          <w:szCs w:val="24"/>
        </w:rPr>
        <w:t>), provides:</w:t>
      </w:r>
    </w:p>
    <w:p w14:paraId="158ECB31" w14:textId="77777777" w:rsidR="0068101E" w:rsidRDefault="0068101E" w:rsidP="0068101E">
      <w:pPr>
        <w:ind w:left="720"/>
        <w:rPr>
          <w:rFonts w:eastAsia="Times New Roman"/>
          <w:color w:val="212121"/>
          <w:sz w:val="24"/>
          <w:szCs w:val="24"/>
          <w:shd w:val="clear" w:color="auto" w:fill="FFFFFF"/>
        </w:rPr>
      </w:pPr>
      <w:r w:rsidRPr="001848FC">
        <w:rPr>
          <w:rFonts w:eastAsia="Times New Roman"/>
          <w:color w:val="212121"/>
          <w:sz w:val="24"/>
          <w:szCs w:val="24"/>
          <w:shd w:val="clear" w:color="auto" w:fill="FFFFFF"/>
        </w:rPr>
        <w:t>As used in this section, unless the context otherwise requires:</w:t>
      </w:r>
    </w:p>
    <w:p w14:paraId="2215C230" w14:textId="77777777" w:rsidR="0068101E" w:rsidRPr="00A6612D" w:rsidRDefault="0068101E" w:rsidP="0068101E">
      <w:pPr>
        <w:ind w:left="720"/>
        <w:rPr>
          <w:rFonts w:eastAsia="Times New Roman"/>
          <w:sz w:val="24"/>
          <w:szCs w:val="24"/>
        </w:rPr>
      </w:pPr>
    </w:p>
    <w:p w14:paraId="37C7656F"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778B1D6D" w14:textId="77777777" w:rsidR="0068101E" w:rsidRPr="001848FC" w:rsidRDefault="0068101E" w:rsidP="0068101E">
      <w:pPr>
        <w:pStyle w:val="ListParagraph"/>
        <w:shd w:val="clear" w:color="auto" w:fill="FFFFFF"/>
        <w:ind w:left="1080"/>
        <w:textAlignment w:val="baseline"/>
        <w:rPr>
          <w:rFonts w:eastAsia="Times New Roman"/>
          <w:color w:val="212121"/>
          <w:sz w:val="24"/>
          <w:szCs w:val="24"/>
        </w:rPr>
      </w:pPr>
    </w:p>
    <w:p w14:paraId="2EF4D117"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010627D1" w14:textId="77777777" w:rsidR="0068101E" w:rsidRPr="001848FC" w:rsidRDefault="0068101E" w:rsidP="0068101E">
      <w:pPr>
        <w:shd w:val="clear" w:color="auto" w:fill="FFFFFF"/>
        <w:textAlignment w:val="baseline"/>
        <w:rPr>
          <w:rFonts w:eastAsia="Times New Roman"/>
          <w:color w:val="212121"/>
          <w:sz w:val="24"/>
          <w:szCs w:val="24"/>
        </w:rPr>
      </w:pPr>
    </w:p>
    <w:p w14:paraId="643222D6" w14:textId="77777777" w:rsidR="0068101E" w:rsidRPr="001848FC" w:rsidRDefault="0068101E" w:rsidP="005C687C">
      <w:pPr>
        <w:pStyle w:val="ListParagraph"/>
        <w:numPr>
          <w:ilvl w:val="0"/>
          <w:numId w:val="5"/>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lastRenderedPageBreak/>
        <w:t>“Licensee” means a person who enters or remains on the land of another for the licensee’s own convenience or to advance the licensee’s own interests, pursuant to the landowner’s permission or consent. “Licensee” includes a social guest.</w:t>
      </w:r>
    </w:p>
    <w:p w14:paraId="726F687F" w14:textId="77777777" w:rsidR="0068101E" w:rsidRPr="001848FC" w:rsidRDefault="0068101E" w:rsidP="0068101E">
      <w:pPr>
        <w:shd w:val="clear" w:color="auto" w:fill="FFFFFF"/>
        <w:textAlignment w:val="baseline"/>
        <w:rPr>
          <w:rFonts w:eastAsia="Times New Roman"/>
          <w:color w:val="212121"/>
          <w:sz w:val="24"/>
          <w:szCs w:val="24"/>
        </w:rPr>
      </w:pPr>
    </w:p>
    <w:p w14:paraId="3708C600" w14:textId="77777777" w:rsidR="0068101E" w:rsidRPr="001848FC" w:rsidRDefault="0068101E" w:rsidP="00630414">
      <w:pPr>
        <w:pStyle w:val="ListParagraph"/>
        <w:numPr>
          <w:ilvl w:val="0"/>
          <w:numId w:val="5"/>
        </w:numPr>
        <w:shd w:val="clear" w:color="auto" w:fill="FFFFFF"/>
        <w:spacing w:after="240"/>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“Trespasser” means a person who enters or remains on the land of another without the landowner’s consent.</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1B521FBD" w:rsidR="00DC7533" w:rsidRPr="00DC7533" w:rsidRDefault="00DC7533" w:rsidP="00DC7533">
      <w:pPr>
        <w:spacing w:after="240"/>
        <w:ind w:firstLine="720"/>
        <w:rPr>
          <w:rFonts w:eastAsia="Times New Roman"/>
          <w:sz w:val="24"/>
          <w:szCs w:val="24"/>
        </w:rPr>
      </w:pPr>
      <w:r w:rsidRPr="00DC7533">
        <w:rPr>
          <w:rFonts w:eastAsia="Times New Roman"/>
          <w:sz w:val="24"/>
          <w:szCs w:val="24"/>
        </w:rPr>
        <w:t>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w:t>
      </w:r>
      <w:r w:rsidR="00A92763">
        <w:rPr>
          <w:rFonts w:eastAsia="Times New Roman"/>
          <w:sz w:val="24"/>
          <w:szCs w:val="24"/>
        </w:rPr>
        <w:t>4</w:t>
      </w:r>
      <w:r w:rsidRPr="00DC7533">
        <w:rPr>
          <w:rFonts w:eastAsia="Times New Roman"/>
          <w:sz w:val="24"/>
          <w:szCs w:val="24"/>
        </w:rPr>
        <w:t>)</w:t>
      </w:r>
      <w:r w:rsidR="006C2134">
        <w:rPr>
          <w:rFonts w:eastAsia="Times New Roman"/>
          <w:sz w:val="24"/>
          <w:szCs w:val="24"/>
        </w:rPr>
        <w:t xml:space="preserve"> (formerly § 13-21-115(3))</w:t>
      </w:r>
      <w:r w:rsidRPr="00DC7533">
        <w:rPr>
          <w:rFonts w:eastAsia="Times New Roman"/>
          <w:sz w:val="24"/>
          <w:szCs w:val="24"/>
        </w:rPr>
        <w:t xml:space="preserve">.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3BCE82E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3" w:name="a12_03"/>
      <w:bookmarkEnd w:id="3"/>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5DB9DF3A"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xml:space="preserve">, on </w:t>
      </w:r>
      <w:r w:rsidR="00B26257" w:rsidRPr="006C2134">
        <w:rPr>
          <w:rFonts w:eastAsia="Times New Roman"/>
          <w:bCs/>
          <w:i/>
          <w:iCs/>
          <w:sz w:val="24"/>
          <w:szCs w:val="24"/>
        </w:rPr>
        <w:t>(insert applicable pronoun)</w:t>
      </w:r>
      <w:r w:rsidRPr="00DC7533">
        <w:rPr>
          <w:rFonts w:eastAsia="Times New Roman"/>
          <w:b/>
          <w:sz w:val="24"/>
          <w:szCs w:val="24"/>
        </w:rPr>
        <w:t xml:space="preserve">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1E7D6201"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must be used in any action involving premises liability to persons on the premises to which section 13-21-115(</w:t>
      </w:r>
      <w:r w:rsidR="000076D9">
        <w:rPr>
          <w:rFonts w:eastAsia="Times New Roman"/>
          <w:sz w:val="24"/>
          <w:szCs w:val="24"/>
        </w:rPr>
        <w:t>4</w:t>
      </w:r>
      <w:r w:rsidRPr="00DC7533">
        <w:rPr>
          <w:rFonts w:eastAsia="Times New Roman"/>
          <w:sz w:val="24"/>
          <w:szCs w:val="24"/>
        </w:rPr>
        <w:t>), C.R.S. (quoted below in Source and Authority), is applicable, as determined by the court under section 13-21-115(</w:t>
      </w:r>
      <w:r w:rsidR="000076D9">
        <w:rPr>
          <w:rFonts w:eastAsia="Times New Roman"/>
          <w:sz w:val="24"/>
          <w:szCs w:val="24"/>
        </w:rPr>
        <w:t>6</w:t>
      </w:r>
      <w:r w:rsidRPr="00DC7533">
        <w:rPr>
          <w:rFonts w:eastAsia="Times New Roman"/>
          <w:sz w:val="24"/>
          <w:szCs w:val="24"/>
        </w:rPr>
        <w:t>).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w:t>
      </w:r>
      <w:r w:rsidR="000076D9">
        <w:rPr>
          <w:rFonts w:eastAsia="Times New Roman"/>
          <w:sz w:val="24"/>
          <w:szCs w:val="24"/>
        </w:rPr>
        <w:t>3</w:t>
      </w:r>
      <w:r w:rsidRPr="00DC7533">
        <w:rPr>
          <w:rFonts w:eastAsia="Times New Roman"/>
          <w:sz w:val="24"/>
          <w:szCs w:val="24"/>
        </w:rPr>
        <w:t xml:space="preserve">);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injured when glass shelf fell on her foot while supervising cleaning of condominium could recover against condominium owner only under premises liability statute and “not under any other theory of negligence, general, or otherwise”). Under section 13-21-115(</w:t>
      </w:r>
      <w:r w:rsidR="00762168">
        <w:rPr>
          <w:rFonts w:eastAsia="Times New Roman"/>
          <w:sz w:val="24"/>
          <w:szCs w:val="24"/>
        </w:rPr>
        <w:t>7</w:t>
      </w:r>
      <w:r w:rsidRPr="00DC7533">
        <w:rPr>
          <w:rFonts w:eastAsia="Times New Roman"/>
          <w:sz w:val="24"/>
          <w:szCs w:val="24"/>
        </w:rPr>
        <w:t xml:space="preserve">),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61847173" w:rsidR="00DC7533" w:rsidRPr="00DC7533" w:rsidRDefault="00DC7533" w:rsidP="00DC7533">
      <w:pPr>
        <w:spacing w:after="240"/>
        <w:ind w:firstLine="720"/>
        <w:rPr>
          <w:rFonts w:eastAsia="Times New Roman"/>
          <w:sz w:val="24"/>
          <w:szCs w:val="24"/>
        </w:rPr>
      </w:pPr>
      <w:r w:rsidRPr="00DC7533">
        <w:rPr>
          <w:rFonts w:eastAsia="Times New Roman"/>
          <w:sz w:val="24"/>
          <w:szCs w:val="24"/>
        </w:rPr>
        <w:t>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w:t>
      </w:r>
      <w:r w:rsidR="000076D9">
        <w:rPr>
          <w:rFonts w:eastAsia="Times New Roman"/>
          <w:sz w:val="24"/>
          <w:szCs w:val="24"/>
        </w:rPr>
        <w:t>3</w:t>
      </w:r>
      <w:r w:rsidRPr="00DC7533">
        <w:rPr>
          <w:rFonts w:eastAsia="Times New Roman"/>
          <w:sz w:val="24"/>
          <w:szCs w:val="24"/>
        </w:rPr>
        <w:t xml:space="preserve">).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328BF274"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w:t>
      </w:r>
      <w:r w:rsidR="000076D9">
        <w:rPr>
          <w:rFonts w:eastAsia="Times New Roman"/>
          <w:sz w:val="24"/>
          <w:szCs w:val="24"/>
        </w:rPr>
        <w:t>4</w:t>
      </w:r>
      <w:r w:rsidRPr="00DC7533">
        <w:rPr>
          <w:rFonts w:eastAsia="Times New Roman"/>
          <w:sz w:val="24"/>
          <w:szCs w:val="24"/>
        </w:rPr>
        <w:t>)(c)(II) (quoted in full in Source and Authority).</w:t>
      </w:r>
    </w:p>
    <w:p w14:paraId="25505EFA" w14:textId="657D6C95"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w:t>
      </w:r>
      <w:r w:rsidR="007A4F28">
        <w:rPr>
          <w:rFonts w:eastAsia="Times New Roman"/>
          <w:sz w:val="24"/>
          <w:szCs w:val="24"/>
        </w:rPr>
        <w:t>6</w:t>
      </w:r>
      <w:r w:rsidRPr="00DC7533">
        <w:rPr>
          <w:rFonts w:eastAsia="Times New Roman"/>
          <w:sz w:val="24"/>
          <w:szCs w:val="24"/>
        </w:rPr>
        <w:t>) it is for the court and not the jury to determine whether the person injured on the premises was a trespasser, licensee, or invitee, as defined in section 13-21-115(</w:t>
      </w:r>
      <w:r w:rsidR="00762168">
        <w:rPr>
          <w:rFonts w:eastAsia="Times New Roman"/>
          <w:sz w:val="24"/>
          <w:szCs w:val="24"/>
        </w:rPr>
        <w:t>7</w:t>
      </w:r>
      <w:r w:rsidRPr="00DC7533">
        <w:rPr>
          <w:rFonts w:eastAsia="Times New Roman"/>
          <w:sz w:val="24"/>
          <w:szCs w:val="24"/>
        </w:rPr>
        <w:t>) (quoted below in Source and Authority), it is not necessary to use the word “invitee” in this instruction nor provide the jury with its statutory definition.</w:t>
      </w:r>
    </w:p>
    <w:p w14:paraId="1758522C" w14:textId="17BB7403"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26D08ADA" w:rsidR="00DC7533" w:rsidRPr="00DC7533" w:rsidRDefault="00DC7533" w:rsidP="00DC7533">
      <w:pPr>
        <w:spacing w:after="240"/>
        <w:ind w:firstLine="720"/>
        <w:rPr>
          <w:rFonts w:eastAsia="Times New Roman"/>
          <w:sz w:val="24"/>
          <w:szCs w:val="24"/>
        </w:rPr>
      </w:pPr>
      <w:r w:rsidRPr="00DC7533">
        <w:rPr>
          <w:rFonts w:eastAsia="Times New Roman"/>
          <w:sz w:val="24"/>
          <w:szCs w:val="24"/>
        </w:rPr>
        <w:t>10. The premises liability statute only applies if the injury occurs on the real property of another. § 13-21-115(</w:t>
      </w:r>
      <w:r w:rsidR="007A4F28">
        <w:rPr>
          <w:rFonts w:eastAsia="Times New Roman"/>
          <w:sz w:val="24"/>
          <w:szCs w:val="24"/>
        </w:rPr>
        <w:t>3</w:t>
      </w:r>
      <w:r w:rsidRPr="00DC7533">
        <w:rPr>
          <w:rFonts w:eastAsia="Times New Roman"/>
          <w:sz w:val="24"/>
          <w:szCs w:val="24"/>
        </w:rPr>
        <w:t xml:space="preserve">);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 35, 37</w:t>
      </w:r>
      <w:r w:rsidR="00403398">
        <w:rPr>
          <w:rFonts w:eastAsia="Times New Roman"/>
          <w:sz w:val="24"/>
          <w:szCs w:val="24"/>
        </w:rPr>
        <w:t>, 346 P.3d at 1044</w:t>
      </w:r>
      <w:r w:rsidRPr="00DC7533">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 25</w:t>
      </w:r>
      <w:r w:rsidR="00403398">
        <w:rPr>
          <w:rFonts w:eastAsia="Times New Roman"/>
          <w:sz w:val="24"/>
          <w:szCs w:val="24"/>
        </w:rPr>
        <w:t>, 292 P.3d at 1238</w:t>
      </w:r>
      <w:r w:rsidRPr="00DC7533">
        <w:rPr>
          <w:rFonts w:eastAsia="Times New Roman"/>
          <w:sz w:val="24"/>
          <w:szCs w:val="24"/>
        </w:rPr>
        <w:t xml:space="preserve">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2C3E9BEB"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w:t>
      </w:r>
      <w:r w:rsidR="007A4F28">
        <w:rPr>
          <w:rFonts w:eastAsia="Times New Roman"/>
          <w:sz w:val="24"/>
          <w:szCs w:val="24"/>
        </w:rPr>
        <w:t>4)(c</w:t>
      </w:r>
      <w:r w:rsidRPr="00DC7533">
        <w:rPr>
          <w:rFonts w:eastAsia="Times New Roman"/>
          <w:sz w:val="24"/>
          <w:szCs w:val="24"/>
        </w:rPr>
        <w:t>), which provides:</w:t>
      </w:r>
    </w:p>
    <w:p w14:paraId="234F6746" w14:textId="18DDA170" w:rsidR="007A4F28" w:rsidRDefault="007A4F28" w:rsidP="007A4F28">
      <w:pPr>
        <w:shd w:val="clear" w:color="auto" w:fill="FFFFFF"/>
        <w:ind w:left="720"/>
        <w:textAlignment w:val="baseline"/>
        <w:rPr>
          <w:rFonts w:eastAsia="Times New Roman"/>
          <w:color w:val="212121"/>
          <w:sz w:val="24"/>
          <w:szCs w:val="24"/>
          <w:bdr w:val="none" w:sz="0" w:space="0" w:color="auto" w:frame="1"/>
        </w:rPr>
      </w:pPr>
      <w:r w:rsidRPr="005C687C">
        <w:rPr>
          <w:rFonts w:eastAsia="Times New Roman"/>
          <w:color w:val="212121"/>
          <w:sz w:val="24"/>
          <w:szCs w:val="24"/>
          <w:bdr w:val="none" w:sz="0" w:space="0" w:color="auto" w:frame="1"/>
        </w:rPr>
        <w:t xml:space="preserve">(I) Except as otherwise provided in subsection (4)(c)(II) of this section, an invitee may recover for damages caused by the landowner’s unreasonable failure to exercise reasonable care to protect against dangers the landowner </w:t>
      </w:r>
      <w:proofErr w:type="gramStart"/>
      <w:r w:rsidRPr="005C687C">
        <w:rPr>
          <w:rFonts w:eastAsia="Times New Roman"/>
          <w:color w:val="212121"/>
          <w:sz w:val="24"/>
          <w:szCs w:val="24"/>
          <w:bdr w:val="none" w:sz="0" w:space="0" w:color="auto" w:frame="1"/>
        </w:rPr>
        <w:t>actually knew</w:t>
      </w:r>
      <w:proofErr w:type="gramEnd"/>
      <w:r w:rsidRPr="005C687C">
        <w:rPr>
          <w:rFonts w:eastAsia="Times New Roman"/>
          <w:color w:val="212121"/>
          <w:sz w:val="24"/>
          <w:szCs w:val="24"/>
          <w:bdr w:val="none" w:sz="0" w:space="0" w:color="auto" w:frame="1"/>
        </w:rPr>
        <w:t xml:space="preserve"> about or should have known about.</w:t>
      </w:r>
    </w:p>
    <w:p w14:paraId="593C4F96" w14:textId="77777777" w:rsidR="007A4F28" w:rsidRPr="005C687C" w:rsidRDefault="007A4F28" w:rsidP="005C687C">
      <w:pPr>
        <w:shd w:val="clear" w:color="auto" w:fill="FFFFFF"/>
        <w:ind w:left="720"/>
        <w:textAlignment w:val="baseline"/>
        <w:rPr>
          <w:rFonts w:eastAsia="Times New Roman"/>
          <w:color w:val="212121"/>
          <w:sz w:val="24"/>
          <w:szCs w:val="24"/>
        </w:rPr>
      </w:pPr>
    </w:p>
    <w:p w14:paraId="3839BFCC" w14:textId="77777777" w:rsidR="007A4F28" w:rsidRDefault="007A4F28" w:rsidP="007A4F28">
      <w:pPr>
        <w:shd w:val="clear" w:color="auto" w:fill="FFFFFF"/>
        <w:ind w:left="720"/>
        <w:textAlignment w:val="baseline"/>
        <w:rPr>
          <w:rFonts w:eastAsia="Times New Roman"/>
          <w:color w:val="212121"/>
          <w:sz w:val="24"/>
          <w:szCs w:val="24"/>
          <w:bdr w:val="none" w:sz="0" w:space="0" w:color="auto" w:frame="1"/>
        </w:rPr>
      </w:pPr>
      <w:r w:rsidRPr="005C687C">
        <w:rPr>
          <w:rFonts w:eastAsia="Times New Roman"/>
          <w:color w:val="212121"/>
          <w:sz w:val="24"/>
          <w:szCs w:val="24"/>
          <w:bdr w:val="none" w:sz="0" w:space="0" w:color="auto" w:frame="1"/>
        </w:rPr>
        <w:t>(II) If the landowner’s real property is classified for property tax purposes as agricultural land or vacant land, an invitee may recover for damages caused by the landowner’s unreasonable failure to exercise reasonable care to protect against dangers the landowner actually knew about.</w:t>
      </w:r>
    </w:p>
    <w:p w14:paraId="01208449" w14:textId="77777777" w:rsidR="007A4F28" w:rsidRDefault="007A4F28" w:rsidP="007A4F28">
      <w:pPr>
        <w:shd w:val="clear" w:color="auto" w:fill="FFFFFF"/>
        <w:ind w:left="720"/>
        <w:textAlignment w:val="baseline"/>
        <w:rPr>
          <w:rFonts w:eastAsia="Times New Roman"/>
          <w:color w:val="212121"/>
          <w:sz w:val="24"/>
          <w:szCs w:val="24"/>
          <w:bdr w:val="none" w:sz="0" w:space="0" w:color="auto" w:frame="1"/>
        </w:rPr>
      </w:pPr>
    </w:p>
    <w:p w14:paraId="275480A6" w14:textId="77777777" w:rsidR="007A4F28" w:rsidRPr="00AD4B56" w:rsidRDefault="007A4F28" w:rsidP="007A4F28">
      <w:pPr>
        <w:spacing w:after="240"/>
        <w:rPr>
          <w:rFonts w:eastAsia="Times New Roman"/>
          <w:sz w:val="24"/>
          <w:szCs w:val="24"/>
        </w:rPr>
      </w:pPr>
      <w:r w:rsidRPr="00AD4B56">
        <w:rPr>
          <w:rFonts w:eastAsia="Times New Roman"/>
          <w:sz w:val="24"/>
          <w:szCs w:val="24"/>
        </w:rPr>
        <w:t>Section 13-21-115(</w:t>
      </w:r>
      <w:r>
        <w:rPr>
          <w:rFonts w:eastAsia="Times New Roman"/>
          <w:sz w:val="24"/>
          <w:szCs w:val="24"/>
        </w:rPr>
        <w:t>6</w:t>
      </w:r>
      <w:r w:rsidRPr="00AD4B56">
        <w:rPr>
          <w:rFonts w:eastAsia="Times New Roman"/>
          <w:sz w:val="24"/>
          <w:szCs w:val="24"/>
        </w:rPr>
        <w:t>), provides:</w:t>
      </w:r>
    </w:p>
    <w:p w14:paraId="6FD838F1" w14:textId="77777777" w:rsidR="007A4F28" w:rsidRPr="00A6612D" w:rsidRDefault="007A4F28" w:rsidP="007A4F28">
      <w:pPr>
        <w:spacing w:after="240"/>
        <w:ind w:left="720"/>
        <w:rPr>
          <w:rFonts w:eastAsia="Times New Roman"/>
          <w:sz w:val="24"/>
          <w:szCs w:val="24"/>
        </w:rPr>
      </w:pPr>
      <w:r w:rsidRPr="001848FC">
        <w:rPr>
          <w:rStyle w:val="ssparacontent"/>
          <w:color w:val="212121"/>
          <w:sz w:val="24"/>
          <w:szCs w:val="24"/>
          <w:bdr w:val="none" w:sz="0" w:space="0" w:color="auto" w:frame="1"/>
          <w:shd w:val="clear" w:color="auto" w:fill="FFFFFF"/>
        </w:rPr>
        <w:t>In any action to which this section applies, the court shall determine whether the plaintiff is a trespasser, a licensee, or an invitee, in accordance with the definitions set forth in subsection (7) of this section. If two or more landowners are party defendants to the action, the court shall determine the application of this section to each landowner. The issues of liability and damages in any such action must be determined by the jury or, if there is no jury, by the court.</w:t>
      </w:r>
    </w:p>
    <w:p w14:paraId="550D712E" w14:textId="77777777" w:rsidR="007A4F28" w:rsidRPr="00AD4B56" w:rsidRDefault="007A4F28" w:rsidP="007A4F28">
      <w:pPr>
        <w:spacing w:after="240"/>
        <w:rPr>
          <w:rFonts w:eastAsia="Times New Roman"/>
          <w:sz w:val="24"/>
          <w:szCs w:val="24"/>
        </w:rPr>
      </w:pPr>
      <w:r w:rsidRPr="00AD4B56">
        <w:rPr>
          <w:rFonts w:eastAsia="Times New Roman"/>
          <w:sz w:val="24"/>
          <w:szCs w:val="24"/>
        </w:rPr>
        <w:t>Section 13-21-115(</w:t>
      </w:r>
      <w:r>
        <w:rPr>
          <w:rFonts w:eastAsia="Times New Roman"/>
          <w:sz w:val="24"/>
          <w:szCs w:val="24"/>
        </w:rPr>
        <w:t>7</w:t>
      </w:r>
      <w:r w:rsidRPr="00AD4B56">
        <w:rPr>
          <w:rFonts w:eastAsia="Times New Roman"/>
          <w:sz w:val="24"/>
          <w:szCs w:val="24"/>
        </w:rPr>
        <w:t>), provides:</w:t>
      </w:r>
    </w:p>
    <w:p w14:paraId="7FBBE6D2" w14:textId="77777777" w:rsidR="007A4F28" w:rsidRDefault="007A4F28" w:rsidP="007A4F28">
      <w:pPr>
        <w:ind w:left="720"/>
        <w:rPr>
          <w:rFonts w:eastAsia="Times New Roman"/>
          <w:color w:val="212121"/>
          <w:sz w:val="24"/>
          <w:szCs w:val="24"/>
          <w:shd w:val="clear" w:color="auto" w:fill="FFFFFF"/>
        </w:rPr>
      </w:pPr>
      <w:r w:rsidRPr="001848FC">
        <w:rPr>
          <w:rFonts w:eastAsia="Times New Roman"/>
          <w:color w:val="212121"/>
          <w:sz w:val="24"/>
          <w:szCs w:val="24"/>
          <w:shd w:val="clear" w:color="auto" w:fill="FFFFFF"/>
        </w:rPr>
        <w:lastRenderedPageBreak/>
        <w:t>As used in this section, unless the context otherwise requires:</w:t>
      </w:r>
    </w:p>
    <w:p w14:paraId="669302D1" w14:textId="77777777" w:rsidR="007A4F28" w:rsidRPr="00A6612D" w:rsidRDefault="007A4F28" w:rsidP="007A4F28">
      <w:pPr>
        <w:ind w:left="720"/>
        <w:rPr>
          <w:rFonts w:eastAsia="Times New Roman"/>
          <w:sz w:val="24"/>
          <w:szCs w:val="24"/>
        </w:rPr>
      </w:pPr>
    </w:p>
    <w:p w14:paraId="30E007EF"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1D9D26E8" w14:textId="77777777" w:rsidR="007A4F28" w:rsidRPr="001848FC" w:rsidRDefault="007A4F28" w:rsidP="007A4F28">
      <w:pPr>
        <w:pStyle w:val="ListParagraph"/>
        <w:shd w:val="clear" w:color="auto" w:fill="FFFFFF"/>
        <w:ind w:left="1080"/>
        <w:textAlignment w:val="baseline"/>
        <w:rPr>
          <w:rFonts w:eastAsia="Times New Roman"/>
          <w:color w:val="212121"/>
          <w:sz w:val="24"/>
          <w:szCs w:val="24"/>
        </w:rPr>
      </w:pPr>
    </w:p>
    <w:p w14:paraId="30EA45E8"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“Landowner” means, without limitation, an authorized agent or a person in possession of real property and a person legally responsible for the condition of real property or for the activities conducted or circumstances existing on real property.</w:t>
      </w:r>
    </w:p>
    <w:p w14:paraId="2688B4E4" w14:textId="77777777" w:rsidR="007A4F28" w:rsidRPr="001848FC" w:rsidRDefault="007A4F28" w:rsidP="007A4F28">
      <w:pPr>
        <w:shd w:val="clear" w:color="auto" w:fill="FFFFFF"/>
        <w:textAlignment w:val="baseline"/>
        <w:rPr>
          <w:rFonts w:eastAsia="Times New Roman"/>
          <w:color w:val="212121"/>
          <w:sz w:val="24"/>
          <w:szCs w:val="24"/>
        </w:rPr>
      </w:pPr>
    </w:p>
    <w:p w14:paraId="65905FF9" w14:textId="77777777" w:rsidR="007A4F28" w:rsidRPr="001848FC"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“Licensee” means a person who enters or remains on the land of another for the licensee’s own convenience or to advance the licensee’s own interests, pursuant to the landowner’s permission or consent. “Licensee” includes a social guest.</w:t>
      </w:r>
    </w:p>
    <w:p w14:paraId="6EBEC8CB" w14:textId="77777777" w:rsidR="007A4F28" w:rsidRPr="001848FC" w:rsidRDefault="007A4F28" w:rsidP="007A4F28">
      <w:pPr>
        <w:shd w:val="clear" w:color="auto" w:fill="FFFFFF"/>
        <w:textAlignment w:val="baseline"/>
        <w:rPr>
          <w:rFonts w:eastAsia="Times New Roman"/>
          <w:color w:val="212121"/>
          <w:sz w:val="24"/>
          <w:szCs w:val="24"/>
        </w:rPr>
      </w:pPr>
    </w:p>
    <w:p w14:paraId="16BB28F9" w14:textId="4057C01F" w:rsidR="007A4F28" w:rsidRDefault="007A4F28" w:rsidP="005C687C">
      <w:pPr>
        <w:pStyle w:val="ListParagraph"/>
        <w:numPr>
          <w:ilvl w:val="0"/>
          <w:numId w:val="4"/>
        </w:numPr>
        <w:shd w:val="clear" w:color="auto" w:fill="FFFFFF"/>
        <w:textAlignment w:val="baseline"/>
        <w:rPr>
          <w:rFonts w:eastAsia="Times New Roman"/>
          <w:color w:val="212121"/>
          <w:sz w:val="24"/>
          <w:szCs w:val="24"/>
          <w:bdr w:val="none" w:sz="0" w:space="0" w:color="auto" w:frame="1"/>
        </w:rPr>
      </w:pPr>
      <w:r w:rsidRPr="001848FC">
        <w:rPr>
          <w:rFonts w:eastAsia="Times New Roman"/>
          <w:color w:val="212121"/>
          <w:sz w:val="24"/>
          <w:szCs w:val="24"/>
          <w:bdr w:val="none" w:sz="0" w:space="0" w:color="auto" w:frame="1"/>
        </w:rPr>
        <w:t>“Trespasser” means a person who enters or remains on the land of another without the landowner’s consent.</w:t>
      </w:r>
    </w:p>
    <w:p w14:paraId="375C05A6" w14:textId="77777777" w:rsidR="007A4F28" w:rsidRPr="005C687C" w:rsidRDefault="007A4F28" w:rsidP="005C687C">
      <w:pPr>
        <w:pStyle w:val="ListParagraph"/>
        <w:rPr>
          <w:rFonts w:eastAsia="Times New Roman"/>
          <w:color w:val="212121"/>
          <w:sz w:val="24"/>
          <w:szCs w:val="24"/>
          <w:bdr w:val="none" w:sz="0" w:space="0" w:color="auto" w:frame="1"/>
        </w:rPr>
      </w:pP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13E23AF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00CD1E5A" w:rsidRPr="009F585B">
        <w:rPr>
          <w:b/>
          <w:bCs/>
          <w:sz w:val="24"/>
          <w:szCs w:val="24"/>
        </w:rPr>
        <w:t>Warembourg v. Excel Elec., Inc.</w:t>
      </w:r>
      <w:r w:rsidR="00CD1E5A" w:rsidRPr="009F585B">
        <w:rPr>
          <w:sz w:val="24"/>
          <w:szCs w:val="24"/>
        </w:rPr>
        <w:t xml:space="preserve">, 2020 COA 103, ¶ 50, </w:t>
      </w:r>
      <w:r w:rsidR="00222AF5">
        <w:rPr>
          <w:sz w:val="24"/>
          <w:szCs w:val="24"/>
        </w:rPr>
        <w:t>471</w:t>
      </w:r>
      <w:r w:rsidR="00CD1E5A" w:rsidRPr="009F585B">
        <w:rPr>
          <w:sz w:val="24"/>
          <w:szCs w:val="24"/>
        </w:rPr>
        <w:t xml:space="preserve"> P.3d </w:t>
      </w:r>
      <w:r w:rsidR="00222AF5">
        <w:rPr>
          <w:sz w:val="24"/>
          <w:szCs w:val="24"/>
        </w:rPr>
        <w:t>1213</w:t>
      </w:r>
      <w:r w:rsidR="00CD1E5A" w:rsidRPr="009F585B">
        <w:rPr>
          <w:sz w:val="24"/>
          <w:szCs w:val="24"/>
        </w:rPr>
        <w:t xml:space="preserve"> (floor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CD1E5A">
        <w:rPr>
          <w:sz w:val="24"/>
          <w:szCs w:val="24"/>
        </w:rPr>
        <w:t xml:space="preserv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1E0E4522"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w:t>
      </w:r>
      <w:r w:rsidRPr="00DC7533">
        <w:rPr>
          <w:rFonts w:eastAsia="Times New Roman"/>
          <w:sz w:val="24"/>
          <w:szCs w:val="24"/>
        </w:rPr>
        <w:lastRenderedPageBreak/>
        <w:t>or retention of a maintenance employee, who was allegedly responsible for the condition only if the plaintiff could establish that the landowner had violated the standard of care set forth in section 13-21-115(</w:t>
      </w:r>
      <w:r w:rsidR="00FD7A23">
        <w:rPr>
          <w:rFonts w:eastAsia="Times New Roman"/>
          <w:sz w:val="24"/>
          <w:szCs w:val="24"/>
        </w:rPr>
        <w:t>4</w:t>
      </w:r>
      <w:r w:rsidRPr="00DC7533">
        <w:rPr>
          <w:rFonts w:eastAsia="Times New Roman"/>
          <w:sz w:val="24"/>
          <w:szCs w:val="24"/>
        </w:rPr>
        <w:t xml:space="preserve">).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1EDA680A" w:rsid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27767C4C" w14:textId="38F8A9A0" w:rsidR="00ED66AE" w:rsidRPr="00CA2C25" w:rsidRDefault="00CA2C25" w:rsidP="00ED66AE">
      <w:pPr>
        <w:spacing w:after="240"/>
        <w:ind w:firstLine="720"/>
        <w:rPr>
          <w:rFonts w:eastAsia="Times New Roman"/>
          <w:sz w:val="24"/>
          <w:szCs w:val="24"/>
        </w:rPr>
      </w:pPr>
      <w:r>
        <w:rPr>
          <w:rFonts w:eastAsia="Times New Roman"/>
          <w:sz w:val="24"/>
          <w:szCs w:val="24"/>
        </w:rPr>
        <w:t xml:space="preserve">8. Exculpatory clause in residential rental agreement </w:t>
      </w:r>
      <w:r w:rsidR="00ED66AE">
        <w:rPr>
          <w:rFonts w:eastAsia="Times New Roman"/>
          <w:sz w:val="24"/>
          <w:szCs w:val="24"/>
        </w:rPr>
        <w:t>waiving lessor’s responsibility for lessee’s damages</w:t>
      </w:r>
      <w:r w:rsidR="00E06E43">
        <w:rPr>
          <w:rFonts w:eastAsia="Times New Roman"/>
          <w:sz w:val="24"/>
          <w:szCs w:val="24"/>
        </w:rPr>
        <w:t>,</w:t>
      </w:r>
      <w:r w:rsidR="00ED66AE">
        <w:rPr>
          <w:rFonts w:eastAsia="Times New Roman"/>
          <w:sz w:val="24"/>
          <w:szCs w:val="24"/>
        </w:rPr>
        <w:t xml:space="preserve"> from any cause</w:t>
      </w:r>
      <w:r w:rsidR="00E06E43">
        <w:rPr>
          <w:rFonts w:eastAsia="Times New Roman"/>
          <w:sz w:val="24"/>
          <w:szCs w:val="24"/>
        </w:rPr>
        <w:t>,</w:t>
      </w:r>
      <w:r w:rsidR="00ED66AE">
        <w:rPr>
          <w:rFonts w:eastAsia="Times New Roman"/>
          <w:sz w:val="24"/>
          <w:szCs w:val="24"/>
        </w:rPr>
        <w:t xml:space="preserve"> unless lessor was grossly negligent </w:t>
      </w:r>
      <w:r>
        <w:rPr>
          <w:rFonts w:eastAsia="Times New Roman"/>
          <w:sz w:val="24"/>
          <w:szCs w:val="24"/>
        </w:rPr>
        <w:t xml:space="preserve">was void </w:t>
      </w:r>
      <w:r w:rsidR="00FE362B">
        <w:rPr>
          <w:rFonts w:eastAsia="Times New Roman"/>
          <w:sz w:val="24"/>
          <w:szCs w:val="24"/>
        </w:rPr>
        <w:t xml:space="preserve">as </w:t>
      </w:r>
      <w:r>
        <w:rPr>
          <w:rFonts w:eastAsia="Times New Roman"/>
          <w:sz w:val="24"/>
          <w:szCs w:val="24"/>
        </w:rPr>
        <w:t xml:space="preserve">against public policy. </w:t>
      </w:r>
      <w:r>
        <w:rPr>
          <w:rFonts w:eastAsia="Times New Roman"/>
          <w:i/>
          <w:iCs/>
          <w:sz w:val="24"/>
          <w:szCs w:val="24"/>
        </w:rPr>
        <w:t>See</w:t>
      </w:r>
      <w:r w:rsidR="00D200E4">
        <w:rPr>
          <w:rFonts w:eastAsia="Times New Roman"/>
          <w:iCs/>
          <w:sz w:val="24"/>
          <w:szCs w:val="24"/>
        </w:rPr>
        <w:t xml:space="preserve"> </w:t>
      </w:r>
      <w:r>
        <w:rPr>
          <w:rFonts w:eastAsia="Times New Roman"/>
          <w:b/>
          <w:bCs/>
          <w:sz w:val="24"/>
          <w:szCs w:val="24"/>
        </w:rPr>
        <w:t>Stanley v. Creighton Co.</w:t>
      </w:r>
      <w:r w:rsidRPr="00A21A07">
        <w:rPr>
          <w:rFonts w:eastAsia="Times New Roman"/>
          <w:sz w:val="24"/>
          <w:szCs w:val="24"/>
        </w:rPr>
        <w:t>,</w:t>
      </w:r>
      <w:r>
        <w:rPr>
          <w:rFonts w:eastAsia="Times New Roman"/>
          <w:sz w:val="24"/>
          <w:szCs w:val="24"/>
        </w:rPr>
        <w:t xml:space="preserve"> 911 P.2d 705 (Colo. App. 1996).</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4" w:name="a12_04"/>
      <w:bookmarkEnd w:id="4"/>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24926522"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xml:space="preserve">, on </w:t>
      </w:r>
      <w:r w:rsidR="00B26257" w:rsidRPr="006C2134">
        <w:rPr>
          <w:rFonts w:eastAsia="Times New Roman"/>
          <w:bCs/>
          <w:i/>
          <w:iCs/>
          <w:sz w:val="24"/>
          <w:szCs w:val="24"/>
        </w:rPr>
        <w:t>(insert applicable pronoun)</w:t>
      </w:r>
      <w:r w:rsidRPr="00D347CA">
        <w:rPr>
          <w:rFonts w:eastAsia="Times New Roman"/>
          <w:b/>
          <w:sz w:val="24"/>
          <w:szCs w:val="24"/>
        </w:rPr>
        <w:t xml:space="preserve">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4922910B"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3. The plaintiff was on the premises at the time </w:t>
      </w:r>
      <w:r w:rsidR="00B26257" w:rsidRPr="006C2134">
        <w:rPr>
          <w:rFonts w:eastAsia="Times New Roman"/>
          <w:bCs/>
          <w:i/>
          <w:iCs/>
          <w:sz w:val="24"/>
          <w:szCs w:val="24"/>
        </w:rPr>
        <w:t>(insert applicable pronoun)</w:t>
      </w:r>
      <w:r w:rsidRPr="00D347CA">
        <w:rPr>
          <w:rFonts w:eastAsia="Times New Roman"/>
          <w:b/>
          <w:sz w:val="24"/>
          <w:szCs w:val="24"/>
        </w:rPr>
        <w:t xml:space="preserv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4E2336E0"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6. The plaintiff was too young to appreciate or realize the risk of injury to </w:t>
      </w:r>
      <w:r w:rsidR="006C2134" w:rsidRPr="006C2134">
        <w:rPr>
          <w:rFonts w:eastAsia="Times New Roman"/>
          <w:bCs/>
          <w:i/>
          <w:iCs/>
          <w:sz w:val="24"/>
          <w:szCs w:val="24"/>
        </w:rPr>
        <w:t>(insert applicable pronoun)</w:t>
      </w:r>
      <w:r w:rsidRPr="00D347CA">
        <w:rPr>
          <w:rFonts w:eastAsia="Times New Roman"/>
          <w:b/>
          <w:sz w:val="24"/>
          <w:szCs w:val="24"/>
        </w:rPr>
        <w:t xml:space="preserve">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4198CA48"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w:t>
      </w:r>
      <w:r w:rsidR="00FD7A23">
        <w:rPr>
          <w:rFonts w:eastAsia="Times New Roman"/>
          <w:sz w:val="24"/>
          <w:szCs w:val="24"/>
        </w:rPr>
        <w:t>3</w:t>
      </w:r>
      <w:r w:rsidRPr="00D347CA">
        <w:rPr>
          <w:rFonts w:eastAsia="Times New Roman"/>
          <w:sz w:val="24"/>
          <w:szCs w:val="24"/>
        </w:rPr>
        <w:t>),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29AE08BA"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is supported by section 13-21-115(</w:t>
      </w:r>
      <w:r w:rsidR="00FD7A23">
        <w:rPr>
          <w:rFonts w:eastAsia="Times New Roman"/>
          <w:sz w:val="24"/>
          <w:szCs w:val="24"/>
        </w:rPr>
        <w:t>3</w:t>
      </w:r>
      <w:r w:rsidRPr="00D347CA">
        <w:rPr>
          <w:rFonts w:eastAsia="Times New Roman"/>
          <w:sz w:val="24"/>
          <w:szCs w:val="24"/>
        </w:rPr>
        <w:t xml:space="preserve">),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36901FB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w:t>
      </w:r>
    </w:p>
    <w:p w14:paraId="77802106" w14:textId="439EBC18"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 xml:space="preserve">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w:t>
      </w:r>
      <w:r w:rsidRPr="00D347CA">
        <w:rPr>
          <w:rFonts w:eastAsia="Times New Roman"/>
          <w:sz w:val="24"/>
          <w:szCs w:val="24"/>
        </w:rPr>
        <w:lastRenderedPageBreak/>
        <w:t xml:space="preserve">(doctrine 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5" w:name="a12_05"/>
      <w:bookmarkEnd w:id="5"/>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5461DE6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w:t>
      </w:r>
      <w:r w:rsidR="00B26257" w:rsidRPr="006C2134">
        <w:rPr>
          <w:rFonts w:eastAsia="Times New Roman"/>
          <w:bCs/>
          <w:i/>
          <w:iCs/>
          <w:sz w:val="24"/>
          <w:szCs w:val="24"/>
        </w:rPr>
        <w:t>(insert applicable pronoun)</w:t>
      </w:r>
      <w:r w:rsidRPr="00D347CA">
        <w:rPr>
          <w:rFonts w:eastAsia="Times New Roman"/>
          <w:b/>
          <w:sz w:val="24"/>
          <w:szCs w:val="24"/>
        </w:rPr>
        <w:t xml:space="preserve"> was capable of appreciating or realizing any risks of harm to </w:t>
      </w:r>
      <w:r w:rsidR="00B26257" w:rsidRPr="006C2134">
        <w:rPr>
          <w:rFonts w:eastAsia="Times New Roman"/>
          <w:bCs/>
          <w:i/>
          <w:iCs/>
          <w:sz w:val="24"/>
          <w:szCs w:val="24"/>
        </w:rPr>
        <w:t>(insert applicable pronoun)</w:t>
      </w:r>
      <w:r w:rsidRPr="00D347CA">
        <w:rPr>
          <w:rFonts w:eastAsia="Times New Roman"/>
          <w:b/>
          <w:sz w:val="24"/>
          <w:szCs w:val="24"/>
        </w:rPr>
        <w:t xml:space="preserve">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8BE18A2"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with Instruction 12:4. It should also be used only when there is sufficient evidence that the plaintiff was “at least fourteen years of age but . . . less than eighteen years of age . . . .” § 13-21-115(</w:t>
      </w:r>
      <w:r w:rsidR="00FD7A23">
        <w:rPr>
          <w:rFonts w:eastAsia="Times New Roman"/>
          <w:sz w:val="24"/>
          <w:szCs w:val="24"/>
        </w:rPr>
        <w:t>3</w:t>
      </w:r>
      <w:r w:rsidRPr="00D347CA">
        <w:rPr>
          <w:rFonts w:eastAsia="Times New Roman"/>
          <w:sz w:val="24"/>
          <w:szCs w:val="24"/>
        </w:rPr>
        <w:t>), C.R.S. In addition, as explained in the Notes on Use to Instruction 3:5, this instruction has been prepared on the assumption that the statutory presumption created by section 13-21-115(</w:t>
      </w:r>
      <w:r w:rsidR="00FD7A23">
        <w:rPr>
          <w:rFonts w:eastAsia="Times New Roman"/>
          <w:sz w:val="24"/>
          <w:szCs w:val="24"/>
        </w:rPr>
        <w:t>3</w:t>
      </w:r>
      <w:r w:rsidRPr="00D347CA">
        <w:rPr>
          <w:rFonts w:eastAsia="Times New Roman"/>
          <w:sz w:val="24"/>
          <w:szCs w:val="24"/>
        </w:rPr>
        <w:t>)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1C7FFD9E" w:rsidR="00D347CA" w:rsidRPr="00D347CA" w:rsidRDefault="00D347CA" w:rsidP="00D347CA">
      <w:pPr>
        <w:spacing w:after="240"/>
        <w:ind w:firstLine="720"/>
        <w:rPr>
          <w:rFonts w:eastAsia="Times New Roman"/>
          <w:sz w:val="24"/>
          <w:szCs w:val="24"/>
        </w:rPr>
      </w:pPr>
      <w:r w:rsidRPr="00D347CA">
        <w:rPr>
          <w:rFonts w:eastAsia="Times New Roman"/>
          <w:sz w:val="24"/>
          <w:szCs w:val="24"/>
        </w:rPr>
        <w:t>This instruction is supported by section 13-21-115(</w:t>
      </w:r>
      <w:r w:rsidR="00FD7A23">
        <w:rPr>
          <w:rFonts w:eastAsia="Times New Roman"/>
          <w:sz w:val="24"/>
          <w:szCs w:val="24"/>
        </w:rPr>
        <w:t>3</w:t>
      </w:r>
      <w:r w:rsidRPr="00D347CA">
        <w:rPr>
          <w:rFonts w:eastAsia="Times New Roman"/>
          <w:sz w:val="24"/>
          <w:szCs w:val="24"/>
        </w:rPr>
        <w:t xml:space="preserve">),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6" w:name="a12_06"/>
      <w:bookmarkEnd w:id="6"/>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067E65C5"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xml:space="preserve">, on </w:t>
      </w:r>
      <w:r w:rsidR="00B26257" w:rsidRPr="006C2134">
        <w:rPr>
          <w:rFonts w:eastAsia="Times New Roman"/>
          <w:bCs/>
          <w:i/>
          <w:iCs/>
          <w:sz w:val="24"/>
          <w:szCs w:val="24"/>
        </w:rPr>
        <w:t>(insert applicable pronoun)</w:t>
      </w:r>
      <w:r w:rsidRPr="00FA333E">
        <w:rPr>
          <w:rFonts w:eastAsia="Times New Roman"/>
          <w:b/>
          <w:sz w:val="24"/>
          <w:szCs w:val="24"/>
        </w:rPr>
        <w:t xml:space="preserve">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6AD6ECA6"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[b. This condition was one the defendant knew of, or reasonably should have known of, in sufficient time to have (removed it) (corrected it) (or) (adequately warned persons that the condition was there) so that injury could have been prevented, and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failed to do so];)</w:t>
      </w:r>
    </w:p>
    <w:p w14:paraId="55294FF0" w14:textId="56DFC576"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4. The defendant was negligent because </w:t>
      </w:r>
      <w:r w:rsidR="00B26257" w:rsidRPr="006C2134">
        <w:rPr>
          <w:rFonts w:eastAsia="Times New Roman"/>
          <w:bCs/>
          <w:i/>
          <w:iCs/>
          <w:sz w:val="24"/>
          <w:szCs w:val="24"/>
        </w:rPr>
        <w:t>(insert applicable pronoun)</w:t>
      </w:r>
      <w:r w:rsidRPr="00FA333E">
        <w:rPr>
          <w:rFonts w:eastAsia="Times New Roman"/>
          <w:b/>
          <w:sz w:val="24"/>
          <w:szCs w:val="24"/>
        </w:rPr>
        <w:t xml:space="preserve"> failed to use reasonable care (in the management or maintenance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premises) (with respect to the operation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business on the premises) (with respect to the conduct of </w:t>
      </w:r>
      <w:r w:rsidR="00B26257">
        <w:rPr>
          <w:rFonts w:eastAsia="Times New Roman"/>
          <w:bCs/>
          <w:i/>
          <w:iCs/>
          <w:sz w:val="24"/>
          <w:szCs w:val="24"/>
        </w:rPr>
        <w:t>[</w:t>
      </w:r>
      <w:r w:rsidR="00B26257" w:rsidRPr="006C2134">
        <w:rPr>
          <w:rFonts w:eastAsia="Times New Roman"/>
          <w:bCs/>
          <w:i/>
          <w:iCs/>
          <w:sz w:val="24"/>
          <w:szCs w:val="24"/>
        </w:rPr>
        <w:t>insert applicable pronoun</w:t>
      </w:r>
      <w:r w:rsidR="00B26257">
        <w:rPr>
          <w:rFonts w:eastAsia="Times New Roman"/>
          <w:bCs/>
          <w:i/>
          <w:iCs/>
          <w:sz w:val="24"/>
          <w:szCs w:val="24"/>
        </w:rPr>
        <w:t>]</w:t>
      </w:r>
      <w:r w:rsidRPr="00FA333E">
        <w:rPr>
          <w:rFonts w:eastAsia="Times New Roman"/>
          <w:b/>
          <w:sz w:val="24"/>
          <w:szCs w:val="24"/>
        </w:rPr>
        <w:t xml:space="preserve">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w:t>
      </w:r>
      <w:r w:rsidRPr="00D5484F">
        <w:rPr>
          <w:rFonts w:eastAsia="Times New Roman"/>
          <w:sz w:val="24"/>
          <w:szCs w:val="24"/>
        </w:rPr>
        <w:lastRenderedPageBreak/>
        <w:t>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lastRenderedPageBreak/>
        <w:br w:type="page"/>
      </w:r>
    </w:p>
    <w:p w14:paraId="2916765A" w14:textId="77777777" w:rsidR="00D5484F" w:rsidRPr="009E3DA4" w:rsidRDefault="00A110C7" w:rsidP="00D5484F">
      <w:pPr>
        <w:spacing w:after="240"/>
        <w:ind w:left="720" w:hanging="720"/>
        <w:rPr>
          <w:rFonts w:eastAsia="Times New Roman"/>
          <w:b/>
          <w:sz w:val="24"/>
          <w:szCs w:val="24"/>
        </w:rPr>
      </w:pPr>
      <w:bookmarkStart w:id="7" w:name="a12_07"/>
      <w:bookmarkEnd w:id="7"/>
      <w:r w:rsidRPr="00A110C7">
        <w:rPr>
          <w:rFonts w:eastAsia="Times New Roman"/>
          <w:b/>
          <w:sz w:val="24"/>
          <w:szCs w:val="24"/>
        </w:rPr>
        <w:lastRenderedPageBreak/>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8" w:name="a12_08"/>
      <w:bookmarkEnd w:id="8"/>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9" w:name="a12_09"/>
      <w:bookmarkEnd w:id="9"/>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0" w:name="a12_10"/>
      <w:bookmarkEnd w:id="10"/>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1" w:name="a12_11"/>
      <w:bookmarkEnd w:id="11"/>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2" w:name="a12_12"/>
      <w:bookmarkEnd w:id="12"/>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3" w:name="a12_13"/>
      <w:bookmarkEnd w:id="13"/>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4" w:name="a12_14"/>
      <w:bookmarkEnd w:id="14"/>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5" w:name="a12_15"/>
      <w:bookmarkEnd w:id="15"/>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3FE9B198"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r w:rsidR="00A13C87">
        <w:rPr>
          <w:rFonts w:eastAsia="Times New Roman"/>
          <w:sz w:val="24"/>
          <w:szCs w:val="24"/>
        </w:rPr>
        <w:t>, 469 P.3d 491, 497</w:t>
      </w:r>
      <w:r w:rsidRPr="0050790D">
        <w:rPr>
          <w:rFonts w:eastAsia="Times New Roman"/>
          <w:sz w:val="24"/>
          <w:szCs w:val="24"/>
        </w:rPr>
        <w:t>.</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w:t>
      </w:r>
      <w:r w:rsidR="0049313F" w:rsidRPr="0049313F">
        <w:rPr>
          <w:rFonts w:eastAsia="Times New Roman"/>
          <w:sz w:val="24"/>
          <w:szCs w:val="24"/>
        </w:rPr>
        <w:lastRenderedPageBreak/>
        <w:t xml:space="preserve">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14335451" w:rsidR="0050790D" w:rsidRPr="00100D9F"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r w:rsidR="00100D9F">
        <w:rPr>
          <w:rFonts w:eastAsia="Times New Roman"/>
          <w:sz w:val="24"/>
          <w:szCs w:val="24"/>
        </w:rPr>
        <w:t xml:space="preserve"> It must be more than a “foreseeable risk of harm.” </w:t>
      </w:r>
      <w:r w:rsidR="00100D9F">
        <w:rPr>
          <w:rFonts w:eastAsia="Times New Roman"/>
          <w:i/>
          <w:iCs/>
          <w:sz w:val="24"/>
          <w:szCs w:val="24"/>
        </w:rPr>
        <w:t>Id.</w:t>
      </w:r>
      <w:r w:rsidR="00D200E4">
        <w:rPr>
          <w:rFonts w:eastAsia="Times New Roman"/>
          <w:iCs/>
          <w:sz w:val="24"/>
          <w:szCs w:val="24"/>
        </w:rPr>
        <w:t xml:space="preserve"> </w:t>
      </w:r>
      <w:r w:rsidR="00100D9F">
        <w:rPr>
          <w:rFonts w:eastAsia="Times New Roman"/>
          <w:sz w:val="24"/>
          <w:szCs w:val="24"/>
        </w:rPr>
        <w:t>at ¶ 22.</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700C4" w:rsidRDefault="0049313F" w:rsidP="0049313F">
      <w:pPr>
        <w:spacing w:after="240"/>
        <w:ind w:firstLine="720"/>
        <w:rPr>
          <w:rFonts w:eastAsia="Times New Roman"/>
          <w:sz w:val="24"/>
          <w:szCs w:val="24"/>
          <w:lang w:val="es-ES"/>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700C4">
        <w:rPr>
          <w:rFonts w:eastAsia="Times New Roman"/>
          <w:b/>
          <w:sz w:val="24"/>
          <w:szCs w:val="24"/>
          <w:lang w:val="es-ES"/>
        </w:rPr>
        <w:t xml:space="preserve">Lawrence v. Buena Vista </w:t>
      </w:r>
      <w:proofErr w:type="spellStart"/>
      <w:r w:rsidRPr="004700C4">
        <w:rPr>
          <w:rFonts w:eastAsia="Times New Roman"/>
          <w:b/>
          <w:sz w:val="24"/>
          <w:szCs w:val="24"/>
          <w:lang w:val="es-ES"/>
        </w:rPr>
        <w:t>Sanitation</w:t>
      </w:r>
      <w:proofErr w:type="spellEnd"/>
      <w:r w:rsidRPr="004700C4">
        <w:rPr>
          <w:rFonts w:eastAsia="Times New Roman"/>
          <w:b/>
          <w:sz w:val="24"/>
          <w:szCs w:val="24"/>
          <w:lang w:val="es-ES"/>
        </w:rPr>
        <w:t xml:space="preserve"> </w:t>
      </w:r>
      <w:proofErr w:type="spellStart"/>
      <w:r w:rsidRPr="004700C4">
        <w:rPr>
          <w:rFonts w:eastAsia="Times New Roman"/>
          <w:b/>
          <w:sz w:val="24"/>
          <w:szCs w:val="24"/>
          <w:lang w:val="es-ES"/>
        </w:rPr>
        <w:t>Dist</w:t>
      </w:r>
      <w:proofErr w:type="spellEnd"/>
      <w:r w:rsidRPr="004700C4">
        <w:rPr>
          <w:rFonts w:eastAsia="Times New Roman"/>
          <w:b/>
          <w:sz w:val="24"/>
          <w:szCs w:val="24"/>
          <w:lang w:val="es-ES"/>
        </w:rPr>
        <w:t>.</w:t>
      </w:r>
      <w:r w:rsidRPr="004700C4">
        <w:rPr>
          <w:rFonts w:eastAsia="Times New Roman"/>
          <w:sz w:val="24"/>
          <w:szCs w:val="24"/>
          <w:lang w:val="es-ES"/>
        </w:rPr>
        <w:t>, 989 P.2d 254 (</w:t>
      </w:r>
      <w:proofErr w:type="spellStart"/>
      <w:r w:rsidRPr="004700C4">
        <w:rPr>
          <w:rFonts w:eastAsia="Times New Roman"/>
          <w:sz w:val="24"/>
          <w:szCs w:val="24"/>
          <w:lang w:val="es-ES"/>
        </w:rPr>
        <w:t>Colo</w:t>
      </w:r>
      <w:proofErr w:type="spellEnd"/>
      <w:r w:rsidRPr="004700C4">
        <w:rPr>
          <w:rFonts w:eastAsia="Times New Roman"/>
          <w:sz w:val="24"/>
          <w:szCs w:val="24"/>
          <w:lang w:val="es-ES"/>
        </w:rPr>
        <w:t>.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0F60842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2018 COA 97, ¶ 50</w:t>
      </w:r>
      <w:r w:rsidR="004F34B9">
        <w:rPr>
          <w:rFonts w:eastAsia="Times New Roman"/>
          <w:sz w:val="24"/>
          <w:szCs w:val="24"/>
        </w:rPr>
        <w:t>, 488 P.3d 364, 371</w:t>
      </w:r>
      <w:r>
        <w:rPr>
          <w:rFonts w:eastAsia="Times New Roman"/>
          <w:sz w:val="24"/>
          <w:szCs w:val="24"/>
        </w:rPr>
        <w:t xml:space="preserve">. </w:t>
      </w:r>
    </w:p>
    <w:p w14:paraId="542BBC06" w14:textId="77777777" w:rsidR="004E1634" w:rsidRDefault="004E1634" w:rsidP="0050790D">
      <w:pPr>
        <w:rPr>
          <w:rFonts w:eastAsia="Times New Roman"/>
          <w:sz w:val="24"/>
          <w:szCs w:val="24"/>
        </w:rPr>
      </w:pPr>
    </w:p>
    <w:p w14:paraId="2CD91649" w14:textId="0E77C6E9" w:rsidR="004E1634" w:rsidRPr="00222AF5" w:rsidRDefault="004E1634" w:rsidP="00222AF5">
      <w:pPr>
        <w:spacing w:after="240"/>
        <w:ind w:firstLine="720"/>
        <w:rPr>
          <w:rFonts w:eastAsia="Times New Roman"/>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00EB0291">
        <w:rPr>
          <w:rFonts w:eastAsia="Times New Roman"/>
          <w:b/>
          <w:sz w:val="24"/>
          <w:szCs w:val="24"/>
        </w:rPr>
        <w:t>City &amp; Cty. of Denver v. Dennis ex rel. Heyboer</w:t>
      </w:r>
      <w:r w:rsidR="00EB0291">
        <w:rPr>
          <w:rFonts w:eastAsia="Times New Roman"/>
          <w:sz w:val="24"/>
          <w:szCs w:val="24"/>
        </w:rPr>
        <w:t xml:space="preserve">, 2018 CO 37, ¶ 18, 418 P.3d 489. </w:t>
      </w:r>
      <w:r>
        <w:rPr>
          <w:rFonts w:eastAsia="Times New Roman"/>
          <w:sz w:val="24"/>
          <w:szCs w:val="24"/>
        </w:rPr>
        <w:t xml:space="preserve">A road does not automatically constitute an unreasonable risk because the government has not kept it in the general state of repair as it was initially constructed. </w:t>
      </w:r>
      <w:r>
        <w:rPr>
          <w:rFonts w:eastAsia="Times New Roman"/>
          <w:i/>
          <w:sz w:val="24"/>
          <w:szCs w:val="24"/>
        </w:rPr>
        <w:t>Id.</w:t>
      </w: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6D3EC015"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2B8B3F8B" w:rsidR="0049313F" w:rsidRPr="0049313F"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00697A2D">
        <w:rPr>
          <w:rFonts w:eastAsia="Times New Roman"/>
          <w:b/>
          <w:bCs/>
          <w:sz w:val="24"/>
          <w:szCs w:val="24"/>
        </w:rPr>
        <w:t>Galef v. University of Colorado</w:t>
      </w:r>
      <w:r w:rsidR="00697A2D">
        <w:rPr>
          <w:rFonts w:eastAsia="Times New Roman"/>
          <w:sz w:val="24"/>
          <w:szCs w:val="24"/>
        </w:rPr>
        <w:t xml:space="preserve">, 2022 COA 91, </w:t>
      </w:r>
      <w:r w:rsidR="00697A2D" w:rsidRPr="0049313F">
        <w:rPr>
          <w:rFonts w:eastAsia="Times New Roman"/>
          <w:sz w:val="24"/>
          <w:szCs w:val="24"/>
        </w:rPr>
        <w:t>¶</w:t>
      </w:r>
      <w:r w:rsidR="00A21A07">
        <w:rPr>
          <w:rFonts w:eastAsia="Times New Roman"/>
          <w:sz w:val="24"/>
          <w:szCs w:val="24"/>
        </w:rPr>
        <w:t>¶</w:t>
      </w:r>
      <w:r w:rsidR="00697A2D">
        <w:rPr>
          <w:rFonts w:eastAsia="Times New Roman"/>
          <w:sz w:val="24"/>
          <w:szCs w:val="24"/>
        </w:rPr>
        <w:t xml:space="preserve"> </w:t>
      </w:r>
      <w:r w:rsidR="008D391F">
        <w:rPr>
          <w:rFonts w:eastAsia="Times New Roman"/>
          <w:sz w:val="24"/>
          <w:szCs w:val="24"/>
        </w:rPr>
        <w:t>29</w:t>
      </w:r>
      <w:r w:rsidR="00697A2D">
        <w:rPr>
          <w:rFonts w:eastAsia="Times New Roman"/>
          <w:sz w:val="24"/>
          <w:szCs w:val="24"/>
        </w:rPr>
        <w:t>,</w:t>
      </w:r>
      <w:r w:rsidR="008D391F">
        <w:rPr>
          <w:rFonts w:eastAsia="Times New Roman"/>
          <w:sz w:val="24"/>
          <w:szCs w:val="24"/>
        </w:rPr>
        <w:t xml:space="preserve"> 3</w:t>
      </w:r>
      <w:r w:rsidR="007B5B6F">
        <w:rPr>
          <w:rFonts w:eastAsia="Times New Roman"/>
          <w:sz w:val="24"/>
          <w:szCs w:val="24"/>
        </w:rPr>
        <w:t>3</w:t>
      </w:r>
      <w:r w:rsidR="008D391F">
        <w:rPr>
          <w:rFonts w:eastAsia="Times New Roman"/>
          <w:sz w:val="24"/>
          <w:szCs w:val="24"/>
        </w:rPr>
        <w:t>,</w:t>
      </w:r>
      <w:r w:rsidR="007B5B6F">
        <w:rPr>
          <w:rFonts w:eastAsia="Times New Roman"/>
          <w:sz w:val="24"/>
          <w:szCs w:val="24"/>
        </w:rPr>
        <w:t xml:space="preserve"> 47</w:t>
      </w:r>
      <w:r w:rsidR="000C7B26">
        <w:rPr>
          <w:rFonts w:eastAsia="Times New Roman"/>
          <w:sz w:val="24"/>
          <w:szCs w:val="24"/>
        </w:rPr>
        <w:t>, 520 P.3d 184</w:t>
      </w:r>
      <w:r w:rsidR="00697A2D">
        <w:rPr>
          <w:rFonts w:eastAsia="Times New Roman"/>
          <w:sz w:val="24"/>
          <w:szCs w:val="24"/>
        </w:rPr>
        <w:t xml:space="preserve"> </w:t>
      </w:r>
      <w:r w:rsidR="00697A2D" w:rsidRPr="00A21A07">
        <w:rPr>
          <w:rFonts w:eastAsia="Times New Roman"/>
          <w:sz w:val="24"/>
          <w:szCs w:val="24"/>
        </w:rPr>
        <w:t>(</w:t>
      </w:r>
      <w:r w:rsidR="00BF52C5">
        <w:rPr>
          <w:rFonts w:eastAsia="Times New Roman"/>
          <w:sz w:val="24"/>
          <w:szCs w:val="24"/>
        </w:rPr>
        <w:t xml:space="preserve">wet stairs </w:t>
      </w:r>
      <w:r w:rsidR="008D391F">
        <w:rPr>
          <w:rFonts w:eastAsia="Times New Roman"/>
          <w:sz w:val="24"/>
          <w:szCs w:val="24"/>
        </w:rPr>
        <w:t xml:space="preserve">taken </w:t>
      </w:r>
      <w:r w:rsidR="00BF52C5">
        <w:rPr>
          <w:rFonts w:eastAsia="Times New Roman"/>
          <w:sz w:val="24"/>
          <w:szCs w:val="24"/>
        </w:rPr>
        <w:t>together with failure to warn is a dangerous condition</w:t>
      </w:r>
      <w:r w:rsidR="00697A2D" w:rsidRPr="00A21A07">
        <w:rPr>
          <w:rFonts w:eastAsia="Times New Roman"/>
          <w:sz w:val="24"/>
          <w:szCs w:val="24"/>
        </w:rPr>
        <w:t>);</w:t>
      </w:r>
      <w:r w:rsidR="00697A2D">
        <w:rPr>
          <w:rFonts w:eastAsia="Times New Roman"/>
          <w:b/>
          <w:bCs/>
          <w:sz w:val="24"/>
          <w:szCs w:val="24"/>
        </w:rPr>
        <w:t xml:space="preserve"> </w:t>
      </w:r>
      <w:r w:rsidR="00103FEA">
        <w:rPr>
          <w:rFonts w:eastAsia="Times New Roman"/>
          <w:b/>
          <w:bCs/>
          <w:sz w:val="24"/>
          <w:szCs w:val="24"/>
        </w:rPr>
        <w:t xml:space="preserve">Stickle v. County of </w:t>
      </w:r>
      <w:r w:rsidR="00103FEA" w:rsidRPr="00103FEA">
        <w:rPr>
          <w:rFonts w:eastAsia="Times New Roman"/>
          <w:b/>
          <w:bCs/>
          <w:sz w:val="24"/>
          <w:szCs w:val="24"/>
        </w:rPr>
        <w:t>Jefferson</w:t>
      </w:r>
      <w:r w:rsidR="00103FEA">
        <w:rPr>
          <w:rFonts w:eastAsia="Times New Roman"/>
          <w:sz w:val="24"/>
          <w:szCs w:val="24"/>
        </w:rPr>
        <w:t xml:space="preserve">, 2022 COA 79, </w:t>
      </w:r>
      <w:r w:rsidR="00103FEA" w:rsidRPr="0049313F">
        <w:rPr>
          <w:rFonts w:eastAsia="Times New Roman"/>
          <w:sz w:val="24"/>
          <w:szCs w:val="24"/>
        </w:rPr>
        <w:t>¶</w:t>
      </w:r>
      <w:r w:rsidR="00A21A07">
        <w:rPr>
          <w:rFonts w:eastAsia="Times New Roman"/>
          <w:sz w:val="24"/>
          <w:szCs w:val="24"/>
        </w:rPr>
        <w:t>¶</w:t>
      </w:r>
      <w:r w:rsidR="00103FEA">
        <w:rPr>
          <w:rFonts w:eastAsia="Times New Roman"/>
          <w:sz w:val="24"/>
          <w:szCs w:val="24"/>
        </w:rPr>
        <w:t xml:space="preserve"> </w:t>
      </w:r>
      <w:r w:rsidR="00BF593E">
        <w:rPr>
          <w:rFonts w:eastAsia="Times New Roman"/>
          <w:sz w:val="24"/>
          <w:szCs w:val="24"/>
        </w:rPr>
        <w:t>28, 39</w:t>
      </w:r>
      <w:r w:rsidR="000C7B26">
        <w:rPr>
          <w:rFonts w:eastAsia="Times New Roman"/>
          <w:sz w:val="24"/>
          <w:szCs w:val="24"/>
        </w:rPr>
        <w:t>, 519 P.3d 751</w:t>
      </w:r>
      <w:r w:rsidR="00103FEA">
        <w:rPr>
          <w:rFonts w:eastAsia="Times New Roman"/>
          <w:sz w:val="24"/>
          <w:szCs w:val="24"/>
        </w:rPr>
        <w:t xml:space="preserve"> (public parking structure qualifies as public building; dangerous condition </w:t>
      </w:r>
      <w:r w:rsidR="00E87481">
        <w:rPr>
          <w:rFonts w:eastAsia="Times New Roman"/>
          <w:sz w:val="24"/>
          <w:szCs w:val="24"/>
        </w:rPr>
        <w:t>existed because use of topping material to resurface structure resulted from maintenance</w:t>
      </w:r>
      <w:r w:rsidR="00103FEA">
        <w:rPr>
          <w:rFonts w:eastAsia="Times New Roman"/>
          <w:sz w:val="24"/>
          <w:szCs w:val="24"/>
        </w:rPr>
        <w:t>)</w:t>
      </w:r>
      <w:r w:rsidR="000C7B26">
        <w:rPr>
          <w:rFonts w:eastAsia="Times New Roman"/>
          <w:sz w:val="24"/>
          <w:szCs w:val="24"/>
        </w:rPr>
        <w:t xml:space="preserve"> (</w:t>
      </w:r>
      <w:r w:rsidR="000C7B26" w:rsidRPr="000C7B26">
        <w:rPr>
          <w:rFonts w:eastAsia="Times New Roman"/>
          <w:i/>
          <w:iCs/>
          <w:sz w:val="24"/>
          <w:szCs w:val="24"/>
        </w:rPr>
        <w:t>cert. granted</w:t>
      </w:r>
      <w:r w:rsidR="000C7B26">
        <w:rPr>
          <w:rFonts w:eastAsia="Times New Roman"/>
          <w:sz w:val="24"/>
          <w:szCs w:val="24"/>
        </w:rPr>
        <w:t xml:space="preserve"> Feb. 21, 2023)</w:t>
      </w:r>
      <w:r w:rsidR="00103FEA">
        <w:rPr>
          <w:rFonts w:eastAsia="Times New Roman"/>
          <w:sz w:val="24"/>
          <w:szCs w:val="24"/>
        </w:rPr>
        <w:t xml:space="preserve">; </w:t>
      </w:r>
      <w:r w:rsidRPr="00103FEA">
        <w:rPr>
          <w:rFonts w:eastAsia="Times New Roman"/>
          <w:b/>
          <w:bCs/>
          <w:sz w:val="24"/>
          <w:szCs w:val="24"/>
        </w:rPr>
        <w:t>McKinley</w:t>
      </w:r>
      <w:r w:rsidRPr="0049313F">
        <w:rPr>
          <w:rFonts w:eastAsia="Times New Roman"/>
          <w:b/>
          <w:sz w:val="24"/>
          <w:szCs w:val="24"/>
        </w:rPr>
        <w:t xml:space="preserve">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w:t>
      </w:r>
      <w:r w:rsidRPr="0049313F">
        <w:rPr>
          <w:rFonts w:eastAsia="Times New Roman"/>
          <w:sz w:val="24"/>
          <w:szCs w:val="24"/>
        </w:rPr>
        <w:lastRenderedPageBreak/>
        <w:t xml:space="preserve">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Longbottom v. State Board of Community Colleges &amp; 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6CECF213"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994AB2" w:rsidRPr="00A21A07">
        <w:rPr>
          <w:rFonts w:eastAsia="Times New Roman"/>
          <w:b/>
          <w:bCs/>
          <w:sz w:val="24"/>
          <w:szCs w:val="24"/>
        </w:rPr>
        <w:t xml:space="preserve">Maphis </w:t>
      </w:r>
      <w:r w:rsidR="00E14C31" w:rsidRPr="00A21A07">
        <w:rPr>
          <w:rFonts w:eastAsia="Times New Roman"/>
          <w:b/>
          <w:bCs/>
          <w:sz w:val="24"/>
          <w:szCs w:val="24"/>
        </w:rPr>
        <w:t>v</w:t>
      </w:r>
      <w:r w:rsidR="00994AB2" w:rsidRPr="00A21A07">
        <w:rPr>
          <w:rFonts w:eastAsia="Times New Roman"/>
          <w:b/>
          <w:bCs/>
          <w:sz w:val="24"/>
          <w:szCs w:val="24"/>
        </w:rPr>
        <w:t>. City of Boulder</w:t>
      </w:r>
      <w:r w:rsidR="00994AB2">
        <w:rPr>
          <w:rFonts w:eastAsia="Times New Roman"/>
          <w:sz w:val="24"/>
          <w:szCs w:val="24"/>
        </w:rPr>
        <w:t xml:space="preserve">, 2022 CO 10, </w:t>
      </w:r>
      <w:r w:rsidR="00994AB2" w:rsidRPr="0049313F">
        <w:rPr>
          <w:rFonts w:eastAsia="Times New Roman"/>
          <w:sz w:val="24"/>
          <w:szCs w:val="24"/>
        </w:rPr>
        <w:t>¶</w:t>
      </w:r>
      <w:r w:rsidR="00994AB2">
        <w:rPr>
          <w:rFonts w:eastAsia="Times New Roman"/>
          <w:sz w:val="24"/>
          <w:szCs w:val="24"/>
        </w:rPr>
        <w:t xml:space="preserve"> </w:t>
      </w:r>
      <w:r w:rsidR="00A50514">
        <w:rPr>
          <w:rFonts w:eastAsia="Times New Roman"/>
          <w:sz w:val="24"/>
          <w:szCs w:val="24"/>
        </w:rPr>
        <w:t>30</w:t>
      </w:r>
      <w:r w:rsidR="00994AB2">
        <w:rPr>
          <w:rFonts w:eastAsia="Times New Roman"/>
          <w:sz w:val="24"/>
          <w:szCs w:val="24"/>
        </w:rPr>
        <w:t>, 504 P.3d 287 (two-and-a-half inch deviation in sidewalk not a “dangerous condition” under the unreasonable risk standard</w:t>
      </w:r>
      <w:r w:rsidR="00E14C31">
        <w:rPr>
          <w:rFonts w:eastAsia="Times New Roman"/>
          <w:sz w:val="24"/>
          <w:szCs w:val="24"/>
        </w:rPr>
        <w:t>, which requires a chance of injury that exceed</w:t>
      </w:r>
      <w:r w:rsidR="00A50514">
        <w:rPr>
          <w:rFonts w:eastAsia="Times New Roman"/>
          <w:sz w:val="24"/>
          <w:szCs w:val="24"/>
        </w:rPr>
        <w:t>s</w:t>
      </w:r>
      <w:r w:rsidR="00E14C31">
        <w:rPr>
          <w:rFonts w:eastAsia="Times New Roman"/>
          <w:sz w:val="24"/>
          <w:szCs w:val="24"/>
        </w:rPr>
        <w:t xml:space="preserve"> </w:t>
      </w:r>
      <w:r w:rsidR="00A50514">
        <w:rPr>
          <w:rFonts w:eastAsia="Times New Roman"/>
          <w:sz w:val="24"/>
          <w:szCs w:val="24"/>
        </w:rPr>
        <w:t>“</w:t>
      </w:r>
      <w:r w:rsidR="00E14C31">
        <w:rPr>
          <w:rFonts w:eastAsia="Times New Roman"/>
          <w:sz w:val="24"/>
          <w:szCs w:val="24"/>
        </w:rPr>
        <w:t>the bounds of reason”</w:t>
      </w:r>
      <w:r w:rsidR="00994AB2">
        <w:rPr>
          <w:rFonts w:eastAsia="Times New Roman"/>
          <w:sz w:val="24"/>
          <w:szCs w:val="24"/>
        </w:rPr>
        <w:t xml:space="preserv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w:t>
      </w:r>
      <w:r w:rsidR="00EB0291">
        <w:rPr>
          <w:rFonts w:eastAsia="Times New Roman"/>
          <w:sz w:val="24"/>
          <w:szCs w:val="24"/>
        </w:rPr>
        <w:t>2</w:t>
      </w:r>
      <w:r w:rsidR="00517CE6">
        <w:rPr>
          <w:rFonts w:eastAsia="Times New Roman"/>
          <w:sz w:val="24"/>
          <w:szCs w:val="24"/>
        </w:rPr>
        <w:t xml:space="preserve">,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57AFE82E" w:rsidR="0049313F" w:rsidRPr="0049313F" w:rsidRDefault="0050790D"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recent Colorado Court of Appeals cases holding that sovereign immunity was not waived, see </w:t>
      </w:r>
      <w:r w:rsidRPr="0050790D">
        <w:rPr>
          <w:rFonts w:eastAsia="Times New Roman"/>
          <w:b/>
          <w:sz w:val="24"/>
          <w:szCs w:val="24"/>
        </w:rPr>
        <w:t>Martinez</w:t>
      </w:r>
      <w:r w:rsidRPr="0050790D">
        <w:rPr>
          <w:rFonts w:eastAsia="Times New Roman"/>
          <w:sz w:val="24"/>
          <w:szCs w:val="24"/>
        </w:rPr>
        <w:t>, ¶ 34</w:t>
      </w:r>
      <w:r w:rsidR="00A13C87">
        <w:rPr>
          <w:rFonts w:eastAsia="Times New Roman"/>
          <w:sz w:val="24"/>
          <w:szCs w:val="24"/>
        </w:rPr>
        <w:t>, 469 P.3d at 497</w:t>
      </w:r>
      <w:r w:rsidRPr="0050790D">
        <w:rPr>
          <w:rFonts w:eastAsia="Times New Roman"/>
          <w:sz w:val="24"/>
          <w:szCs w:val="24"/>
        </w:rPr>
        <w:t xml:space="preserve"> (injuries sustained by plaintiff on icy walkway since </w:t>
      </w:r>
      <w:r w:rsidRPr="0050790D">
        <w:rPr>
          <w:rFonts w:eastAsia="Times New Roman"/>
          <w:sz w:val="24"/>
          <w:szCs w:val="24"/>
        </w:rPr>
        <w:lastRenderedPageBreak/>
        <w:t>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w:t>
      </w:r>
      <w:r w:rsidR="0049313F" w:rsidRPr="0049313F">
        <w:rPr>
          <w:rFonts w:eastAsia="Times New Roman"/>
          <w:sz w:val="24"/>
          <w:szCs w:val="24"/>
        </w:rPr>
        <w:lastRenderedPageBreak/>
        <w:t xml:space="preserve">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6" w:name="a12_16"/>
      <w:bookmarkEnd w:id="16"/>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7" w:name="a12_17"/>
      <w:bookmarkEnd w:id="17"/>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215EC9CA"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 xml:space="preserve">A person who takes a route when that person knows or ought reasonably to know of a safer route is negligent if a reasonably careful person would have taken the safer way under the same or similar circumstances to protect </w:t>
      </w:r>
      <w:r w:rsidR="00B26257" w:rsidRPr="006C2134">
        <w:rPr>
          <w:rFonts w:eastAsia="Times New Roman"/>
          <w:bCs/>
          <w:i/>
          <w:iCs/>
          <w:sz w:val="24"/>
          <w:szCs w:val="24"/>
        </w:rPr>
        <w:t>(insert applicable pronoun)</w:t>
      </w:r>
      <w:r w:rsidRPr="00D53AC5">
        <w:rPr>
          <w:rFonts w:eastAsia="Times New Roman"/>
          <w:b/>
          <w:sz w:val="24"/>
          <w:szCs w:val="24"/>
        </w:rPr>
        <w:t xml:space="preserve">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State">
        <w:smartTag w:uri="urn:schemas-microsoft-com:office:smarttags" w:element="plac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lastRenderedPageBreak/>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8" w:name="a12_18"/>
      <w:bookmarkEnd w:id="18"/>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CB404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0A1A" w14:textId="77777777" w:rsidR="00CB4047" w:rsidRDefault="00CB4047" w:rsidP="0054263B">
      <w:r>
        <w:separator/>
      </w:r>
    </w:p>
    <w:p w14:paraId="61DA46D5" w14:textId="77777777" w:rsidR="00CB4047" w:rsidRDefault="00CB4047"/>
  </w:endnote>
  <w:endnote w:type="continuationSeparator" w:id="0">
    <w:p w14:paraId="577CD0C9" w14:textId="77777777" w:rsidR="00CB4047" w:rsidRDefault="00CB4047" w:rsidP="0054263B">
      <w:r>
        <w:continuationSeparator/>
      </w:r>
    </w:p>
    <w:p w14:paraId="6A629272" w14:textId="77777777" w:rsidR="00CB4047" w:rsidRDefault="00CB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B14AA0">
          <w:rPr>
            <w:noProof/>
          </w:rPr>
          <w:t>45</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AEE1" w14:textId="77777777" w:rsidR="00CB4047" w:rsidRDefault="00CB4047" w:rsidP="0054263B">
      <w:r>
        <w:separator/>
      </w:r>
    </w:p>
    <w:p w14:paraId="29ADA915" w14:textId="77777777" w:rsidR="00CB4047" w:rsidRDefault="00CB4047"/>
  </w:footnote>
  <w:footnote w:type="continuationSeparator" w:id="0">
    <w:p w14:paraId="55182A93" w14:textId="77777777" w:rsidR="00CB4047" w:rsidRDefault="00CB4047" w:rsidP="0054263B">
      <w:r>
        <w:continuationSeparator/>
      </w:r>
    </w:p>
    <w:p w14:paraId="1B263EF8" w14:textId="77777777" w:rsidR="00CB4047" w:rsidRDefault="00CB40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DA7891"/>
    <w:multiLevelType w:val="hybridMultilevel"/>
    <w:tmpl w:val="AD26FD16"/>
    <w:lvl w:ilvl="0" w:tplc="E60C1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21D50"/>
    <w:multiLevelType w:val="hybridMultilevel"/>
    <w:tmpl w:val="AD26FD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6C0C75"/>
    <w:multiLevelType w:val="hybridMultilevel"/>
    <w:tmpl w:val="AD26FD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7620118">
    <w:abstractNumId w:val="0"/>
  </w:num>
  <w:num w:numId="2" w16cid:durableId="494996008">
    <w:abstractNumId w:val="3"/>
  </w:num>
  <w:num w:numId="3" w16cid:durableId="1746802351">
    <w:abstractNumId w:val="1"/>
  </w:num>
  <w:num w:numId="4" w16cid:durableId="525413105">
    <w:abstractNumId w:val="4"/>
  </w:num>
  <w:num w:numId="5" w16cid:durableId="72387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076D9"/>
    <w:rsid w:val="00030B8D"/>
    <w:rsid w:val="000350BF"/>
    <w:rsid w:val="00036599"/>
    <w:rsid w:val="00037111"/>
    <w:rsid w:val="0006367C"/>
    <w:rsid w:val="00074FEA"/>
    <w:rsid w:val="000824C8"/>
    <w:rsid w:val="00085495"/>
    <w:rsid w:val="0008615F"/>
    <w:rsid w:val="000921F1"/>
    <w:rsid w:val="000962C8"/>
    <w:rsid w:val="000A0872"/>
    <w:rsid w:val="000B1B7A"/>
    <w:rsid w:val="000C204E"/>
    <w:rsid w:val="000C503A"/>
    <w:rsid w:val="000C6F97"/>
    <w:rsid w:val="000C7B26"/>
    <w:rsid w:val="000D4956"/>
    <w:rsid w:val="00100D9F"/>
    <w:rsid w:val="00103FEA"/>
    <w:rsid w:val="001117D9"/>
    <w:rsid w:val="00112C8E"/>
    <w:rsid w:val="00112FF9"/>
    <w:rsid w:val="001169D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1F045F"/>
    <w:rsid w:val="00200BA5"/>
    <w:rsid w:val="00202B81"/>
    <w:rsid w:val="002065D8"/>
    <w:rsid w:val="002132CB"/>
    <w:rsid w:val="0021368F"/>
    <w:rsid w:val="0021730E"/>
    <w:rsid w:val="0022134E"/>
    <w:rsid w:val="002218BD"/>
    <w:rsid w:val="00222AF5"/>
    <w:rsid w:val="00223286"/>
    <w:rsid w:val="002277F7"/>
    <w:rsid w:val="00227D3A"/>
    <w:rsid w:val="0024062B"/>
    <w:rsid w:val="0024597C"/>
    <w:rsid w:val="002547C3"/>
    <w:rsid w:val="00263873"/>
    <w:rsid w:val="002654B4"/>
    <w:rsid w:val="00273777"/>
    <w:rsid w:val="00282E87"/>
    <w:rsid w:val="00285AE7"/>
    <w:rsid w:val="0028717B"/>
    <w:rsid w:val="002937A4"/>
    <w:rsid w:val="00293F7E"/>
    <w:rsid w:val="002A23B0"/>
    <w:rsid w:val="002D163D"/>
    <w:rsid w:val="002E0970"/>
    <w:rsid w:val="002E2751"/>
    <w:rsid w:val="002F1272"/>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03398"/>
    <w:rsid w:val="0041022B"/>
    <w:rsid w:val="00434371"/>
    <w:rsid w:val="00435D3E"/>
    <w:rsid w:val="004425AA"/>
    <w:rsid w:val="00456038"/>
    <w:rsid w:val="00465FA4"/>
    <w:rsid w:val="00467B80"/>
    <w:rsid w:val="004700C4"/>
    <w:rsid w:val="0047120C"/>
    <w:rsid w:val="00471618"/>
    <w:rsid w:val="00474B1B"/>
    <w:rsid w:val="0049313F"/>
    <w:rsid w:val="004A15C1"/>
    <w:rsid w:val="004B753E"/>
    <w:rsid w:val="004C62F9"/>
    <w:rsid w:val="004C723A"/>
    <w:rsid w:val="004E1634"/>
    <w:rsid w:val="004E7EF1"/>
    <w:rsid w:val="004F34B9"/>
    <w:rsid w:val="004F3B7D"/>
    <w:rsid w:val="005048BF"/>
    <w:rsid w:val="005065E6"/>
    <w:rsid w:val="0050790D"/>
    <w:rsid w:val="00516447"/>
    <w:rsid w:val="00517CE6"/>
    <w:rsid w:val="0052537F"/>
    <w:rsid w:val="005272F2"/>
    <w:rsid w:val="00531F87"/>
    <w:rsid w:val="0054263B"/>
    <w:rsid w:val="00547D97"/>
    <w:rsid w:val="00550AFD"/>
    <w:rsid w:val="00557FCC"/>
    <w:rsid w:val="005648EF"/>
    <w:rsid w:val="00564FF6"/>
    <w:rsid w:val="00573D55"/>
    <w:rsid w:val="0057771F"/>
    <w:rsid w:val="005B3A78"/>
    <w:rsid w:val="005C56C9"/>
    <w:rsid w:val="005C687C"/>
    <w:rsid w:val="005D1AD3"/>
    <w:rsid w:val="005D3156"/>
    <w:rsid w:val="005E077D"/>
    <w:rsid w:val="005E712D"/>
    <w:rsid w:val="005F1017"/>
    <w:rsid w:val="005F19FD"/>
    <w:rsid w:val="005F5A94"/>
    <w:rsid w:val="0060023A"/>
    <w:rsid w:val="006271A2"/>
    <w:rsid w:val="006272FE"/>
    <w:rsid w:val="00630414"/>
    <w:rsid w:val="00647CC5"/>
    <w:rsid w:val="00651A64"/>
    <w:rsid w:val="00661D05"/>
    <w:rsid w:val="00672BAB"/>
    <w:rsid w:val="00675252"/>
    <w:rsid w:val="00675907"/>
    <w:rsid w:val="0068101E"/>
    <w:rsid w:val="00682B93"/>
    <w:rsid w:val="0068336D"/>
    <w:rsid w:val="00683FA1"/>
    <w:rsid w:val="00687304"/>
    <w:rsid w:val="00697A2D"/>
    <w:rsid w:val="006A74B6"/>
    <w:rsid w:val="006B2457"/>
    <w:rsid w:val="006B26D7"/>
    <w:rsid w:val="006B4F9D"/>
    <w:rsid w:val="006B5583"/>
    <w:rsid w:val="006C2134"/>
    <w:rsid w:val="006E06ED"/>
    <w:rsid w:val="006E0874"/>
    <w:rsid w:val="006E0D06"/>
    <w:rsid w:val="006E3575"/>
    <w:rsid w:val="006E62F0"/>
    <w:rsid w:val="006F7DC0"/>
    <w:rsid w:val="00702B5A"/>
    <w:rsid w:val="00705096"/>
    <w:rsid w:val="0070752A"/>
    <w:rsid w:val="007119D8"/>
    <w:rsid w:val="0071225B"/>
    <w:rsid w:val="00713866"/>
    <w:rsid w:val="007216DA"/>
    <w:rsid w:val="0073677A"/>
    <w:rsid w:val="007523D9"/>
    <w:rsid w:val="007532AB"/>
    <w:rsid w:val="00762168"/>
    <w:rsid w:val="00767495"/>
    <w:rsid w:val="0077151B"/>
    <w:rsid w:val="00772266"/>
    <w:rsid w:val="00774E59"/>
    <w:rsid w:val="0078177A"/>
    <w:rsid w:val="00792028"/>
    <w:rsid w:val="00797382"/>
    <w:rsid w:val="007974E2"/>
    <w:rsid w:val="007A3A0E"/>
    <w:rsid w:val="007A4F28"/>
    <w:rsid w:val="007A5B99"/>
    <w:rsid w:val="007A612E"/>
    <w:rsid w:val="007B1633"/>
    <w:rsid w:val="007B330F"/>
    <w:rsid w:val="007B5B1F"/>
    <w:rsid w:val="007B5B6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391F"/>
    <w:rsid w:val="008D4A28"/>
    <w:rsid w:val="008D609F"/>
    <w:rsid w:val="008E41F1"/>
    <w:rsid w:val="008E51AF"/>
    <w:rsid w:val="008F4C42"/>
    <w:rsid w:val="008F746C"/>
    <w:rsid w:val="008F7DB6"/>
    <w:rsid w:val="009003A9"/>
    <w:rsid w:val="009012F3"/>
    <w:rsid w:val="0090292A"/>
    <w:rsid w:val="00902A25"/>
    <w:rsid w:val="00914128"/>
    <w:rsid w:val="00925AE1"/>
    <w:rsid w:val="0092733B"/>
    <w:rsid w:val="00932723"/>
    <w:rsid w:val="00935DA8"/>
    <w:rsid w:val="00936D0A"/>
    <w:rsid w:val="00944D27"/>
    <w:rsid w:val="009507A9"/>
    <w:rsid w:val="00952BBB"/>
    <w:rsid w:val="0095709A"/>
    <w:rsid w:val="00966B53"/>
    <w:rsid w:val="009725D8"/>
    <w:rsid w:val="00973884"/>
    <w:rsid w:val="009902F2"/>
    <w:rsid w:val="009931B9"/>
    <w:rsid w:val="00994AB2"/>
    <w:rsid w:val="009B1557"/>
    <w:rsid w:val="009B18F0"/>
    <w:rsid w:val="009B6746"/>
    <w:rsid w:val="009E05AB"/>
    <w:rsid w:val="009E20C7"/>
    <w:rsid w:val="009E3DA4"/>
    <w:rsid w:val="009F585B"/>
    <w:rsid w:val="00A01DB9"/>
    <w:rsid w:val="00A04182"/>
    <w:rsid w:val="00A110C7"/>
    <w:rsid w:val="00A13A29"/>
    <w:rsid w:val="00A13C87"/>
    <w:rsid w:val="00A21A07"/>
    <w:rsid w:val="00A36457"/>
    <w:rsid w:val="00A50514"/>
    <w:rsid w:val="00A632A0"/>
    <w:rsid w:val="00A6612D"/>
    <w:rsid w:val="00A73AE6"/>
    <w:rsid w:val="00A80C10"/>
    <w:rsid w:val="00A82D0A"/>
    <w:rsid w:val="00A85AAA"/>
    <w:rsid w:val="00A92763"/>
    <w:rsid w:val="00A92C18"/>
    <w:rsid w:val="00AB2019"/>
    <w:rsid w:val="00AB71A7"/>
    <w:rsid w:val="00AC1A52"/>
    <w:rsid w:val="00AC700D"/>
    <w:rsid w:val="00AC78F7"/>
    <w:rsid w:val="00AC79D7"/>
    <w:rsid w:val="00AD4B56"/>
    <w:rsid w:val="00AD6178"/>
    <w:rsid w:val="00AE667D"/>
    <w:rsid w:val="00AF7D47"/>
    <w:rsid w:val="00B0264D"/>
    <w:rsid w:val="00B06939"/>
    <w:rsid w:val="00B12BDB"/>
    <w:rsid w:val="00B1456C"/>
    <w:rsid w:val="00B14AA0"/>
    <w:rsid w:val="00B26257"/>
    <w:rsid w:val="00B30AEE"/>
    <w:rsid w:val="00B3689C"/>
    <w:rsid w:val="00B37722"/>
    <w:rsid w:val="00B45E07"/>
    <w:rsid w:val="00B567C1"/>
    <w:rsid w:val="00B579DF"/>
    <w:rsid w:val="00B6275E"/>
    <w:rsid w:val="00B70D68"/>
    <w:rsid w:val="00B719C2"/>
    <w:rsid w:val="00B72D6B"/>
    <w:rsid w:val="00B73048"/>
    <w:rsid w:val="00B80FD1"/>
    <w:rsid w:val="00B937E4"/>
    <w:rsid w:val="00B97801"/>
    <w:rsid w:val="00BA2389"/>
    <w:rsid w:val="00BA27A6"/>
    <w:rsid w:val="00BA27A8"/>
    <w:rsid w:val="00BA510E"/>
    <w:rsid w:val="00BC336C"/>
    <w:rsid w:val="00BC49BF"/>
    <w:rsid w:val="00BC65EF"/>
    <w:rsid w:val="00BD4988"/>
    <w:rsid w:val="00BD557C"/>
    <w:rsid w:val="00BE2B09"/>
    <w:rsid w:val="00BE3D70"/>
    <w:rsid w:val="00BE654D"/>
    <w:rsid w:val="00BE6634"/>
    <w:rsid w:val="00BF3BA2"/>
    <w:rsid w:val="00BF52C5"/>
    <w:rsid w:val="00BF593E"/>
    <w:rsid w:val="00BF5E5F"/>
    <w:rsid w:val="00C26751"/>
    <w:rsid w:val="00C40968"/>
    <w:rsid w:val="00C473A2"/>
    <w:rsid w:val="00C60E95"/>
    <w:rsid w:val="00C65686"/>
    <w:rsid w:val="00C65E31"/>
    <w:rsid w:val="00C724B6"/>
    <w:rsid w:val="00C77D2E"/>
    <w:rsid w:val="00C803F3"/>
    <w:rsid w:val="00C84E71"/>
    <w:rsid w:val="00C852B2"/>
    <w:rsid w:val="00C87463"/>
    <w:rsid w:val="00C8797B"/>
    <w:rsid w:val="00C93B0B"/>
    <w:rsid w:val="00C94C5E"/>
    <w:rsid w:val="00CA2C25"/>
    <w:rsid w:val="00CA41CC"/>
    <w:rsid w:val="00CA4C39"/>
    <w:rsid w:val="00CA7EF2"/>
    <w:rsid w:val="00CB008B"/>
    <w:rsid w:val="00CB4047"/>
    <w:rsid w:val="00CC0502"/>
    <w:rsid w:val="00CC1AC8"/>
    <w:rsid w:val="00CC6A95"/>
    <w:rsid w:val="00CC7E17"/>
    <w:rsid w:val="00CD1E5A"/>
    <w:rsid w:val="00CD4A7D"/>
    <w:rsid w:val="00CD4D25"/>
    <w:rsid w:val="00CD6D95"/>
    <w:rsid w:val="00CE1336"/>
    <w:rsid w:val="00CE593D"/>
    <w:rsid w:val="00CF3788"/>
    <w:rsid w:val="00D014AE"/>
    <w:rsid w:val="00D02C16"/>
    <w:rsid w:val="00D04055"/>
    <w:rsid w:val="00D048E6"/>
    <w:rsid w:val="00D05926"/>
    <w:rsid w:val="00D06D8D"/>
    <w:rsid w:val="00D07170"/>
    <w:rsid w:val="00D200E4"/>
    <w:rsid w:val="00D23BD0"/>
    <w:rsid w:val="00D333AA"/>
    <w:rsid w:val="00D347CA"/>
    <w:rsid w:val="00D424C3"/>
    <w:rsid w:val="00D503E5"/>
    <w:rsid w:val="00D51E80"/>
    <w:rsid w:val="00D53848"/>
    <w:rsid w:val="00D53AC5"/>
    <w:rsid w:val="00D5484F"/>
    <w:rsid w:val="00D8125F"/>
    <w:rsid w:val="00DA1796"/>
    <w:rsid w:val="00DA2814"/>
    <w:rsid w:val="00DB2C90"/>
    <w:rsid w:val="00DC63A9"/>
    <w:rsid w:val="00DC66A6"/>
    <w:rsid w:val="00DC7533"/>
    <w:rsid w:val="00DD5708"/>
    <w:rsid w:val="00DD64C5"/>
    <w:rsid w:val="00DE2930"/>
    <w:rsid w:val="00DF2CB7"/>
    <w:rsid w:val="00DF3BF1"/>
    <w:rsid w:val="00E007F8"/>
    <w:rsid w:val="00E00FBD"/>
    <w:rsid w:val="00E058BA"/>
    <w:rsid w:val="00E06E43"/>
    <w:rsid w:val="00E111AA"/>
    <w:rsid w:val="00E14C31"/>
    <w:rsid w:val="00E172C8"/>
    <w:rsid w:val="00E210A4"/>
    <w:rsid w:val="00E24E10"/>
    <w:rsid w:val="00E50187"/>
    <w:rsid w:val="00E55147"/>
    <w:rsid w:val="00E551EB"/>
    <w:rsid w:val="00E559D8"/>
    <w:rsid w:val="00E61A72"/>
    <w:rsid w:val="00E6385B"/>
    <w:rsid w:val="00E67638"/>
    <w:rsid w:val="00E70C9B"/>
    <w:rsid w:val="00E7526A"/>
    <w:rsid w:val="00E87481"/>
    <w:rsid w:val="00E87C31"/>
    <w:rsid w:val="00E87FFB"/>
    <w:rsid w:val="00E970B9"/>
    <w:rsid w:val="00EA5A25"/>
    <w:rsid w:val="00EB0291"/>
    <w:rsid w:val="00EB113C"/>
    <w:rsid w:val="00EB491A"/>
    <w:rsid w:val="00EC17E3"/>
    <w:rsid w:val="00EC3919"/>
    <w:rsid w:val="00EC7C98"/>
    <w:rsid w:val="00EC7E88"/>
    <w:rsid w:val="00ED5E52"/>
    <w:rsid w:val="00ED66AE"/>
    <w:rsid w:val="00ED7176"/>
    <w:rsid w:val="00ED75EA"/>
    <w:rsid w:val="00EF4043"/>
    <w:rsid w:val="00F00B80"/>
    <w:rsid w:val="00F022D4"/>
    <w:rsid w:val="00F062A4"/>
    <w:rsid w:val="00F13AFB"/>
    <w:rsid w:val="00F27B14"/>
    <w:rsid w:val="00F32AA4"/>
    <w:rsid w:val="00F573CF"/>
    <w:rsid w:val="00F57A2B"/>
    <w:rsid w:val="00F643FB"/>
    <w:rsid w:val="00F658E5"/>
    <w:rsid w:val="00F70F81"/>
    <w:rsid w:val="00F764F4"/>
    <w:rsid w:val="00F76CD9"/>
    <w:rsid w:val="00F76D32"/>
    <w:rsid w:val="00F84802"/>
    <w:rsid w:val="00F86F49"/>
    <w:rsid w:val="00FA333E"/>
    <w:rsid w:val="00FA7B76"/>
    <w:rsid w:val="00FB0E65"/>
    <w:rsid w:val="00FD2DF4"/>
    <w:rsid w:val="00FD7A23"/>
    <w:rsid w:val="00FE00D7"/>
    <w:rsid w:val="00FE156B"/>
    <w:rsid w:val="00FE362B"/>
    <w:rsid w:val="00FF171F"/>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D15164"/>
  <w15:docId w15:val="{FA56274A-6CAD-420E-AC8B-C70A221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A2C25"/>
    <w:rPr>
      <w:sz w:val="22"/>
      <w:szCs w:val="26"/>
    </w:rPr>
  </w:style>
  <w:style w:type="character" w:customStyle="1" w:styleId="ssparalabel">
    <w:name w:val="ss_paralabel"/>
    <w:basedOn w:val="DefaultParagraphFont"/>
    <w:rsid w:val="00A6612D"/>
  </w:style>
  <w:style w:type="character" w:customStyle="1" w:styleId="ssparacontent">
    <w:name w:val="ss_paracontent"/>
    <w:basedOn w:val="DefaultParagraphFont"/>
    <w:rsid w:val="00A6612D"/>
  </w:style>
  <w:style w:type="character" w:customStyle="1" w:styleId="ssbf">
    <w:name w:val="ss_bf"/>
    <w:basedOn w:val="DefaultParagraphFont"/>
    <w:rsid w:val="00A6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98063080">
      <w:bodyDiv w:val="1"/>
      <w:marLeft w:val="0"/>
      <w:marRight w:val="0"/>
      <w:marTop w:val="0"/>
      <w:marBottom w:val="0"/>
      <w:divBdr>
        <w:top w:val="none" w:sz="0" w:space="0" w:color="auto"/>
        <w:left w:val="none" w:sz="0" w:space="0" w:color="auto"/>
        <w:bottom w:val="none" w:sz="0" w:space="0" w:color="auto"/>
        <w:right w:val="none" w:sz="0" w:space="0" w:color="auto"/>
      </w:divBdr>
      <w:divsChild>
        <w:div w:id="1477793249">
          <w:marLeft w:val="480"/>
          <w:marRight w:val="0"/>
          <w:marTop w:val="0"/>
          <w:marBottom w:val="0"/>
          <w:divBdr>
            <w:top w:val="none" w:sz="0" w:space="0" w:color="auto"/>
            <w:left w:val="none" w:sz="0" w:space="0" w:color="auto"/>
            <w:bottom w:val="none" w:sz="0" w:space="0" w:color="auto"/>
            <w:right w:val="none" w:sz="0" w:space="0" w:color="auto"/>
          </w:divBdr>
        </w:div>
        <w:div w:id="1149326751">
          <w:marLeft w:val="480"/>
          <w:marRight w:val="0"/>
          <w:marTop w:val="0"/>
          <w:marBottom w:val="0"/>
          <w:divBdr>
            <w:top w:val="none" w:sz="0" w:space="0" w:color="auto"/>
            <w:left w:val="none" w:sz="0" w:space="0" w:color="auto"/>
            <w:bottom w:val="none" w:sz="0" w:space="0" w:color="auto"/>
            <w:right w:val="none" w:sz="0" w:space="0" w:color="auto"/>
          </w:divBdr>
        </w:div>
        <w:div w:id="1157260528">
          <w:marLeft w:val="480"/>
          <w:marRight w:val="0"/>
          <w:marTop w:val="0"/>
          <w:marBottom w:val="0"/>
          <w:divBdr>
            <w:top w:val="none" w:sz="0" w:space="0" w:color="auto"/>
            <w:left w:val="none" w:sz="0" w:space="0" w:color="auto"/>
            <w:bottom w:val="none" w:sz="0" w:space="0" w:color="auto"/>
            <w:right w:val="none" w:sz="0" w:space="0" w:color="auto"/>
          </w:divBdr>
        </w:div>
        <w:div w:id="51195248">
          <w:marLeft w:val="480"/>
          <w:marRight w:val="0"/>
          <w:marTop w:val="0"/>
          <w:marBottom w:val="0"/>
          <w:divBdr>
            <w:top w:val="none" w:sz="0" w:space="0" w:color="auto"/>
            <w:left w:val="none" w:sz="0" w:space="0" w:color="auto"/>
            <w:bottom w:val="none" w:sz="0" w:space="0" w:color="auto"/>
            <w:right w:val="none" w:sz="0" w:space="0" w:color="auto"/>
          </w:divBdr>
        </w:div>
      </w:divsChild>
    </w:div>
    <w:div w:id="992103900">
      <w:bodyDiv w:val="1"/>
      <w:marLeft w:val="0"/>
      <w:marRight w:val="0"/>
      <w:marTop w:val="0"/>
      <w:marBottom w:val="0"/>
      <w:divBdr>
        <w:top w:val="none" w:sz="0" w:space="0" w:color="auto"/>
        <w:left w:val="none" w:sz="0" w:space="0" w:color="auto"/>
        <w:bottom w:val="none" w:sz="0" w:space="0" w:color="auto"/>
        <w:right w:val="none" w:sz="0" w:space="0" w:color="auto"/>
      </w:divBdr>
      <w:divsChild>
        <w:div w:id="1580290213">
          <w:marLeft w:val="480"/>
          <w:marRight w:val="0"/>
          <w:marTop w:val="0"/>
          <w:marBottom w:val="0"/>
          <w:divBdr>
            <w:top w:val="none" w:sz="0" w:space="0" w:color="auto"/>
            <w:left w:val="none" w:sz="0" w:space="0" w:color="auto"/>
            <w:bottom w:val="none" w:sz="0" w:space="0" w:color="auto"/>
            <w:right w:val="none" w:sz="0" w:space="0" w:color="auto"/>
          </w:divBdr>
        </w:div>
        <w:div w:id="1510410292">
          <w:marLeft w:val="480"/>
          <w:marRight w:val="0"/>
          <w:marTop w:val="0"/>
          <w:marBottom w:val="0"/>
          <w:divBdr>
            <w:top w:val="none" w:sz="0" w:space="0" w:color="auto"/>
            <w:left w:val="none" w:sz="0" w:space="0" w:color="auto"/>
            <w:bottom w:val="none" w:sz="0" w:space="0" w:color="auto"/>
            <w:right w:val="none" w:sz="0" w:space="0" w:color="auto"/>
          </w:divBdr>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9555551">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F67F-95DC-4A9C-AC93-A1A14A16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16832</Words>
  <Characters>95949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2024-02-29T21:17:00Z</dcterms:created>
  <dcterms:modified xsi:type="dcterms:W3CDTF">2024-02-29T21:18:00Z</dcterms:modified>
</cp:coreProperties>
</file>