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9A35" w14:textId="61FFF554" w:rsidR="00CA41CC" w:rsidRPr="00914128" w:rsidRDefault="0068336D" w:rsidP="00914128">
      <w:pPr>
        <w:pStyle w:val="Heading1"/>
      </w:pPr>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000000"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000000" w:rsidP="00914128">
      <w:pPr>
        <w:pStyle w:val="ToC"/>
      </w:pPr>
      <w:hyperlink w:anchor="a30_01" w:history="1">
        <w:r w:rsidR="00770AB7" w:rsidRPr="00AE1C04">
          <w:rPr>
            <w:rStyle w:val="Hyperlink"/>
          </w:rPr>
          <w:t>30:1</w:t>
        </w:r>
      </w:hyperlink>
      <w:r w:rsidR="00770AB7" w:rsidRPr="00AE1C04">
        <w:tab/>
        <w:t>Contract Formation ― In Dispute</w:t>
      </w:r>
    </w:p>
    <w:p w14:paraId="13A6BC2F" w14:textId="77777777" w:rsidR="00AE1C04" w:rsidRDefault="00000000"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000000"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000000"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000000"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000000"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000000"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000000"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000000"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000000"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000000" w:rsidP="00A73FC9">
      <w:pPr>
        <w:pStyle w:val="ToC"/>
      </w:pPr>
      <w:hyperlink w:anchor="a30_11" w:history="1">
        <w:r w:rsidR="00770AB7" w:rsidRPr="00AE1C04">
          <w:rPr>
            <w:rStyle w:val="Hyperlink"/>
          </w:rPr>
          <w:t>30:11</w:t>
        </w:r>
      </w:hyperlink>
      <w:r w:rsidR="00770AB7" w:rsidRPr="00AE1C04">
        <w:tab/>
        <w:t xml:space="preserve">Contract Performance — Breach </w:t>
      </w:r>
      <w:r w:rsidR="00770AB7">
        <w:t xml:space="preserve">of </w:t>
      </w:r>
      <w:r w:rsidR="00770AB7" w:rsidRPr="00AE1C04">
        <w:t>Contract Defined</w:t>
      </w:r>
    </w:p>
    <w:p w14:paraId="6CC9DDD5" w14:textId="77777777" w:rsidR="00AE1C04" w:rsidRDefault="00000000"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000000"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000000"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000000"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000000"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000000"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000000" w:rsidP="00A73FC9">
      <w:pPr>
        <w:pStyle w:val="ToC"/>
      </w:pPr>
      <w:hyperlink w:anchor="IntroNoteC" w:history="1">
        <w:r w:rsidR="003F4A7F" w:rsidRPr="006F590D">
          <w:rPr>
            <w:rStyle w:val="Hyperlink"/>
          </w:rPr>
          <w:t>Introductory Note</w:t>
        </w:r>
      </w:hyperlink>
    </w:p>
    <w:p w14:paraId="0592BB4E" w14:textId="77777777" w:rsidR="003F4A7F" w:rsidRDefault="00000000"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000000"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000000"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000000"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000000"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000000"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000000" w:rsidP="00A73FC9">
      <w:pPr>
        <w:pStyle w:val="ToC"/>
      </w:pPr>
      <w:hyperlink w:anchor="a30_24" w:history="1">
        <w:r w:rsidR="00770AB7" w:rsidRPr="00AC646C">
          <w:rPr>
            <w:rStyle w:val="Hyperlink"/>
          </w:rPr>
          <w:t>30:24</w:t>
        </w:r>
      </w:hyperlink>
      <w:r w:rsidR="00AB477F">
        <w:tab/>
        <w:t xml:space="preserve">Defense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000000"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000000"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000000"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000000"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000000"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000000" w:rsidP="00A73FC9">
      <w:pPr>
        <w:pStyle w:val="ToC"/>
      </w:pPr>
      <w:hyperlink w:anchor="IntroNoteD" w:history="1">
        <w:r w:rsidR="00AC646C" w:rsidRPr="006F590D">
          <w:rPr>
            <w:rStyle w:val="Hyperlink"/>
          </w:rPr>
          <w:t>Introductory Note</w:t>
        </w:r>
      </w:hyperlink>
    </w:p>
    <w:p w14:paraId="576EBBDD" w14:textId="77777777" w:rsidR="00AC646C" w:rsidRDefault="00000000" w:rsidP="00A73FC9">
      <w:pPr>
        <w:pStyle w:val="ToC"/>
      </w:pPr>
      <w:hyperlink w:anchor="a30_30" w:history="1">
        <w:r w:rsidR="00770AB7" w:rsidRPr="00AC646C">
          <w:rPr>
            <w:rStyle w:val="Hyperlink"/>
          </w:rPr>
          <w:t>30:30</w:t>
        </w:r>
      </w:hyperlink>
      <w:r w:rsidR="00770AB7" w:rsidRPr="00AC646C">
        <w:tab/>
        <w:t>Contract Interpretation — Disputed Term</w:t>
      </w:r>
    </w:p>
    <w:p w14:paraId="4E29E2A1" w14:textId="77777777" w:rsidR="00AC646C" w:rsidRDefault="00000000"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000000"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000000"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000000"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000000" w:rsidP="00A73FC9">
      <w:pPr>
        <w:pStyle w:val="ToC"/>
      </w:pPr>
      <w:hyperlink w:anchor="a30_35" w:history="1">
        <w:r w:rsidR="00770AB7" w:rsidRPr="00AC646C">
          <w:rPr>
            <w:rStyle w:val="Hyperlink"/>
          </w:rPr>
          <w:t>30:35</w:t>
        </w:r>
      </w:hyperlink>
      <w:r w:rsidR="00770AB7" w:rsidRPr="00AC646C">
        <w:tab/>
        <w:t>Contract Interpretation — Construction Against Drafter</w:t>
      </w:r>
    </w:p>
    <w:p w14:paraId="3FAABF3E" w14:textId="77777777" w:rsidR="00AC646C" w:rsidRDefault="00000000"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000000" w:rsidP="00A73FC9">
      <w:pPr>
        <w:pStyle w:val="ToC"/>
      </w:pPr>
      <w:hyperlink w:anchor="IntroNoteE" w:history="1">
        <w:r w:rsidR="00AC646C" w:rsidRPr="006F590D">
          <w:rPr>
            <w:rStyle w:val="Hyperlink"/>
          </w:rPr>
          <w:t>Introductory Note</w:t>
        </w:r>
      </w:hyperlink>
    </w:p>
    <w:p w14:paraId="38AB42C7" w14:textId="77777777" w:rsidR="00AC646C" w:rsidRDefault="00000000"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000000"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000000"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000000"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000000"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000000"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000000"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000000"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000000"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000000"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6FB56603" w:rsidR="00AC646C" w:rsidRDefault="00000000" w:rsidP="00A73FC9">
      <w:pPr>
        <w:pStyle w:val="ToC"/>
      </w:pPr>
      <w:hyperlink w:anchor="a30_47" w:history="1">
        <w:r w:rsidR="00770AB7" w:rsidRPr="00AC646C">
          <w:rPr>
            <w:rStyle w:val="Hyperlink"/>
          </w:rPr>
          <w:t>30:47</w:t>
        </w:r>
      </w:hyperlink>
      <w:r w:rsidR="00AB477F">
        <w:tab/>
        <w:t xml:space="preserve">Definition — </w:t>
      </w:r>
      <w:r w:rsidR="00770AB7" w:rsidRPr="00AC646C">
        <w:t>Contract Price Agreed Upon</w:t>
      </w:r>
    </w:p>
    <w:p w14:paraId="0E17F2AA" w14:textId="28A878ED" w:rsidR="00AC646C" w:rsidRDefault="00000000" w:rsidP="00A73FC9">
      <w:pPr>
        <w:pStyle w:val="ToC"/>
      </w:pPr>
      <w:hyperlink w:anchor="a30_48" w:history="1">
        <w:r w:rsidR="00770AB7" w:rsidRPr="00AC646C">
          <w:rPr>
            <w:rStyle w:val="Hyperlink"/>
          </w:rPr>
          <w:t>30:48</w:t>
        </w:r>
      </w:hyperlink>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DED6FAD" w:rsidR="00AC646C" w:rsidRDefault="00000000" w:rsidP="00A73FC9">
      <w:pPr>
        <w:pStyle w:val="ToC"/>
      </w:pPr>
      <w:hyperlink w:anchor="a30_49" w:history="1">
        <w:r w:rsidR="00770AB7" w:rsidRPr="00AC646C">
          <w:rPr>
            <w:rStyle w:val="Hyperlink"/>
          </w:rPr>
          <w:t>30:49</w:t>
        </w:r>
      </w:hyperlink>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39BA702A" w:rsidR="00AC646C" w:rsidRDefault="00000000" w:rsidP="00A73FC9">
      <w:pPr>
        <w:pStyle w:val="ToC"/>
      </w:pPr>
      <w:hyperlink w:anchor="a30_50" w:history="1">
        <w:r w:rsidR="00770AB7" w:rsidRPr="00AC646C">
          <w:rPr>
            <w:rStyle w:val="Hyperlink"/>
          </w:rPr>
          <w:t>30:50</w:t>
        </w:r>
      </w:hyperlink>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4F392167" w:rsidR="00AC646C" w:rsidRDefault="00000000" w:rsidP="00A73FC9">
      <w:pPr>
        <w:pStyle w:val="ToC"/>
      </w:pPr>
      <w:hyperlink w:anchor="a30_51" w:history="1">
        <w:r w:rsidR="00770AB7" w:rsidRPr="00AC646C">
          <w:rPr>
            <w:rStyle w:val="Hyperlink"/>
          </w:rPr>
          <w:t>30:51</w:t>
        </w:r>
      </w:hyperlink>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2330F979" w:rsidR="00AC646C" w:rsidRDefault="00000000" w:rsidP="00A73FC9">
      <w:pPr>
        <w:pStyle w:val="ToC"/>
      </w:pPr>
      <w:hyperlink w:anchor="a30_52" w:history="1">
        <w:r w:rsidR="00770AB7" w:rsidRPr="00AC646C">
          <w:rPr>
            <w:rStyle w:val="Hyperlink"/>
          </w:rPr>
          <w:t>30:52</w:t>
        </w:r>
      </w:hyperlink>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000000"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Covenant Against Encumbrances</w:t>
      </w:r>
    </w:p>
    <w:p w14:paraId="5CBEA8BE" w14:textId="479181BA" w:rsidR="007A6434" w:rsidRDefault="00000000" w:rsidP="00A73FC9">
      <w:pPr>
        <w:pStyle w:val="ToC"/>
      </w:pPr>
      <w:hyperlink w:anchor="a30_54new" w:history="1">
        <w:r w:rsidR="007A6434" w:rsidRPr="00381B91">
          <w:rPr>
            <w:rStyle w:val="Hyperlink"/>
          </w:rPr>
          <w:t>30:54</w:t>
        </w:r>
      </w:hyperlink>
      <w:r w:rsidR="007A6434">
        <w:tab/>
        <w:t>Damages — Landlord for Tenant’s Breach of Commercial Lease</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4CD528DB" w:rsidR="002B5FCF" w:rsidRDefault="00000000" w:rsidP="002B5FCF">
      <w:pPr>
        <w:pStyle w:val="ToC"/>
      </w:pPr>
      <w:hyperlink w:anchor="a30_54" w:history="1">
        <w:r w:rsidR="00770AB7" w:rsidRPr="00AC646C">
          <w:rPr>
            <w:rStyle w:val="Hyperlink"/>
          </w:rPr>
          <w:t>30:5</w:t>
        </w:r>
        <w:r w:rsidR="007A6434">
          <w:rPr>
            <w:rStyle w:val="Hyperlink"/>
          </w:rPr>
          <w:t>5</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1B3EA0C" w:rsidR="00AC646C" w:rsidRDefault="00000000" w:rsidP="002B5FCF">
      <w:pPr>
        <w:pStyle w:val="ToC"/>
      </w:pPr>
      <w:hyperlink w:anchor="a30_55" w:history="1">
        <w:r w:rsidR="00770AB7" w:rsidRPr="00AC646C">
          <w:rPr>
            <w:rStyle w:val="Hyperlink"/>
          </w:rPr>
          <w:t>30:5</w:t>
        </w:r>
        <w:r w:rsidR="007A6434">
          <w:rPr>
            <w:rStyle w:val="Hyperlink"/>
          </w:rPr>
          <w:t>6</w:t>
        </w:r>
      </w:hyperlink>
      <w:r w:rsidR="00AB477F">
        <w:tab/>
        <w:t xml:space="preserve">Definition — </w:t>
      </w:r>
      <w:r w:rsidR="00770AB7" w:rsidRPr="00AC646C">
        <w:t>Building Contractor’s Implied Warranties</w:t>
      </w:r>
    </w:p>
    <w:p w14:paraId="303BC84D" w14:textId="06BF92FE" w:rsidR="00AC646C" w:rsidRDefault="00000000" w:rsidP="002B5FCF">
      <w:pPr>
        <w:pStyle w:val="ToC"/>
      </w:pPr>
      <w:hyperlink w:anchor="a30_56" w:history="1">
        <w:r w:rsidR="00770AB7" w:rsidRPr="00AC646C">
          <w:rPr>
            <w:rStyle w:val="Hyperlink"/>
          </w:rPr>
          <w:t>30:5</w:t>
        </w:r>
        <w:r w:rsidR="007A6434">
          <w:rPr>
            <w:rStyle w:val="Hyperlink"/>
          </w:rPr>
          <w:t>7</w:t>
        </w:r>
      </w:hyperlink>
      <w:r w:rsidR="00AB477F">
        <w:tab/>
        <w:t xml:space="preserve">Claim — Real Estate Commission — </w:t>
      </w:r>
      <w:r w:rsidR="00770AB7" w:rsidRPr="00AC646C">
        <w:t xml:space="preserve">Elements </w:t>
      </w:r>
      <w:r w:rsidR="00770AB7">
        <w:t xml:space="preserve">of </w:t>
      </w:r>
      <w:r w:rsidR="00770AB7" w:rsidRPr="00AC646C">
        <w:t>Liability</w:t>
      </w:r>
    </w:p>
    <w:p w14:paraId="5FA9C6C3" w14:textId="77777777" w:rsidR="00F821F8" w:rsidRDefault="00F821F8" w:rsidP="002B5FCF">
      <w:pPr>
        <w:pStyle w:val="ToC"/>
      </w:pPr>
    </w:p>
    <w:p w14:paraId="2DC1A145" w14:textId="77777777" w:rsidR="00F821F8" w:rsidRPr="00F821F8" w:rsidRDefault="00F821F8" w:rsidP="00F821F8">
      <w:pPr>
        <w:spacing w:after="240"/>
        <w:rPr>
          <w:rFonts w:eastAsia="Times New Roman"/>
          <w:bCs/>
          <w:sz w:val="24"/>
          <w:szCs w:val="24"/>
        </w:rPr>
      </w:pPr>
      <w:r w:rsidRPr="00F821F8">
        <w:rPr>
          <w:rFonts w:eastAsia="Times New Roman"/>
          <w:bCs/>
          <w:sz w:val="24"/>
          <w:szCs w:val="24"/>
        </w:rPr>
        <w:t>G. CLAIMS BASED ON IMPLIED AGREEMENTS</w:t>
      </w:r>
    </w:p>
    <w:p w14:paraId="7FBE3A6A" w14:textId="5C128B3A" w:rsidR="00F821F8" w:rsidRPr="00F821F8" w:rsidRDefault="00000000" w:rsidP="00F821F8">
      <w:pPr>
        <w:pStyle w:val="ToC"/>
        <w:rPr>
          <w:bCs/>
        </w:rPr>
      </w:pPr>
      <w:hyperlink w:anchor="a30_58" w:history="1">
        <w:r w:rsidR="00F821F8" w:rsidRPr="00381B91">
          <w:rPr>
            <w:rStyle w:val="Hyperlink"/>
            <w:bCs/>
            <w:szCs w:val="24"/>
          </w:rPr>
          <w:t>30:58</w:t>
        </w:r>
      </w:hyperlink>
      <w:r w:rsidR="00F821F8" w:rsidRPr="00F821F8">
        <w:rPr>
          <w:bCs/>
          <w:szCs w:val="24"/>
        </w:rPr>
        <w:tab/>
      </w:r>
      <w:r w:rsidR="00F821F8">
        <w:rPr>
          <w:bCs/>
          <w:szCs w:val="24"/>
        </w:rPr>
        <w:t>Goods and Services Rendered (Quantum Meruit/Quantum Valebat)</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0" w:name="IntroNote"/>
      <w:bookmarkEnd w:id="0"/>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with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1" w:name="a30_01"/>
      <w:bookmarkEnd w:id="1"/>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2F02B95"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144 Colo. 219, 355 P.2d 948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Indus. Prods. Int’l, Inc. v. Emo Trans, Inc.</w:t>
      </w:r>
      <w:r w:rsidRPr="008F3AE7">
        <w:rPr>
          <w:rFonts w:eastAsia="Times New Roman"/>
          <w:sz w:val="24"/>
          <w:szCs w:val="24"/>
        </w:rPr>
        <w:t xml:space="preserve">, 962 P.2d 983 (Colo. App. 1997). </w:t>
      </w:r>
    </w:p>
    <w:p w14:paraId="79AC0EBB" w14:textId="24C58018" w:rsidR="004B3F74" w:rsidRDefault="008F3AE7" w:rsidP="008F3AE7">
      <w:pPr>
        <w:spacing w:after="240"/>
        <w:ind w:firstLine="720"/>
        <w:rPr>
          <w:rFonts w:eastAsia="Times New Roman"/>
          <w:sz w:val="24"/>
          <w:szCs w:val="24"/>
        </w:rPr>
      </w:pPr>
      <w:r w:rsidRPr="008F3AE7">
        <w:rPr>
          <w:rFonts w:eastAsia="Times New Roman"/>
          <w:sz w:val="24"/>
          <w:szCs w:val="24"/>
        </w:rPr>
        <w:t xml:space="preserve">2. </w:t>
      </w:r>
      <w:r w:rsidR="004B3F74">
        <w:rPr>
          <w:rFonts w:eastAsia="Times New Roman"/>
          <w:sz w:val="24"/>
          <w:szCs w:val="24"/>
        </w:rPr>
        <w:t xml:space="preserve">A party seeking to enforce a contract generally must show that the parties agreed to definite material terms. </w:t>
      </w:r>
      <w:r w:rsidR="003E47F0" w:rsidRPr="00E075AD">
        <w:rPr>
          <w:rFonts w:eastAsia="Times New Roman"/>
          <w:b/>
          <w:bCs/>
          <w:sz w:val="24"/>
          <w:szCs w:val="24"/>
        </w:rPr>
        <w:t>Doe v. Univ</w:t>
      </w:r>
      <w:r w:rsidR="003E47F0">
        <w:rPr>
          <w:rFonts w:eastAsia="Times New Roman"/>
          <w:b/>
          <w:bCs/>
          <w:sz w:val="24"/>
          <w:szCs w:val="24"/>
        </w:rPr>
        <w:t>.</w:t>
      </w:r>
      <w:r w:rsidR="003E47F0" w:rsidRPr="00E075AD">
        <w:rPr>
          <w:rFonts w:eastAsia="Times New Roman"/>
          <w:b/>
          <w:bCs/>
          <w:sz w:val="24"/>
          <w:szCs w:val="24"/>
        </w:rPr>
        <w:t xml:space="preserve"> of Denver</w:t>
      </w:r>
      <w:r w:rsidR="003E47F0">
        <w:rPr>
          <w:rFonts w:eastAsia="Times New Roman"/>
          <w:sz w:val="24"/>
          <w:szCs w:val="24"/>
        </w:rPr>
        <w:t>, 2022 COA 57, ¶ 45</w:t>
      </w:r>
      <w:r w:rsidR="00275682">
        <w:rPr>
          <w:rFonts w:eastAsia="Times New Roman"/>
          <w:sz w:val="24"/>
          <w:szCs w:val="24"/>
        </w:rPr>
        <w:t>, 516 P.3d 946, 955</w:t>
      </w:r>
      <w:r w:rsidR="003E47F0">
        <w:rPr>
          <w:rFonts w:eastAsia="Times New Roman"/>
          <w:sz w:val="24"/>
          <w:szCs w:val="24"/>
        </w:rPr>
        <w:t xml:space="preserve"> (“[T]he contractual term providing for a ‘thorough, impartial and fair’ investigation . . . is sufficiently definite and certain to be enforced under Colorado contract law.”); </w:t>
      </w:r>
      <w:r w:rsidR="004B3F74" w:rsidRPr="009D7322">
        <w:rPr>
          <w:rFonts w:eastAsia="Times New Roman"/>
          <w:b/>
          <w:bCs/>
          <w:sz w:val="24"/>
          <w:szCs w:val="24"/>
        </w:rPr>
        <w:t>Tuscany Custom Homes, LLC v. Westover</w:t>
      </w:r>
      <w:r w:rsidR="004B3F74">
        <w:rPr>
          <w:rFonts w:eastAsia="Times New Roman"/>
          <w:sz w:val="24"/>
          <w:szCs w:val="24"/>
        </w:rPr>
        <w:t>, 2020 COA 178, ¶ 56, 490 P.3d 1039, 1049 (</w:t>
      </w:r>
      <w:r w:rsidR="00011100">
        <w:rPr>
          <w:rFonts w:eastAsia="Times New Roman"/>
          <w:sz w:val="24"/>
          <w:szCs w:val="24"/>
        </w:rPr>
        <w:t>plaintiffs</w:t>
      </w:r>
      <w:r w:rsidR="004B3F74">
        <w:rPr>
          <w:rFonts w:eastAsia="Times New Roman"/>
          <w:sz w:val="24"/>
          <w:szCs w:val="24"/>
        </w:rPr>
        <w:t xml:space="preserve"> did not </w:t>
      </w:r>
      <w:r w:rsidR="00011100">
        <w:rPr>
          <w:rFonts w:eastAsia="Times New Roman"/>
          <w:sz w:val="24"/>
          <w:szCs w:val="24"/>
        </w:rPr>
        <w:t>“</w:t>
      </w:r>
      <w:r w:rsidR="004B3F74">
        <w:rPr>
          <w:rFonts w:eastAsia="Times New Roman"/>
          <w:sz w:val="24"/>
          <w:szCs w:val="24"/>
        </w:rPr>
        <w:t>carry their burden to present sufficient admissible evidence of an enforceable settlement agreement”).</w:t>
      </w:r>
      <w:r w:rsidR="004B3F74" w:rsidRPr="008F3AE7">
        <w:rPr>
          <w:rFonts w:eastAsia="Times New Roman"/>
          <w:sz w:val="24"/>
          <w:szCs w:val="24"/>
        </w:rPr>
        <w:t xml:space="preserve"> </w:t>
      </w:r>
    </w:p>
    <w:p w14:paraId="4B1C4FF4" w14:textId="5C6B503E" w:rsidR="008F3AE7" w:rsidRPr="008F3AE7" w:rsidRDefault="004B3F74" w:rsidP="008F3AE7">
      <w:pPr>
        <w:spacing w:after="240"/>
        <w:ind w:firstLine="720"/>
        <w:rPr>
          <w:rFonts w:eastAsia="Times New Roman"/>
          <w:sz w:val="24"/>
          <w:szCs w:val="24"/>
        </w:rPr>
      </w:pPr>
      <w:r>
        <w:rPr>
          <w:rFonts w:eastAsia="Times New Roman"/>
          <w:sz w:val="24"/>
          <w:szCs w:val="24"/>
        </w:rPr>
        <w:t xml:space="preserve">3. </w:t>
      </w:r>
      <w:r w:rsidR="008F3AE7" w:rsidRPr="008F3AE7">
        <w:rPr>
          <w:rFonts w:eastAsia="Times New Roman"/>
          <w:sz w:val="24"/>
          <w:szCs w:val="24"/>
        </w:rPr>
        <w:t xml:space="preserve">“The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r w:rsidR="008F3AE7" w:rsidRPr="008F3AE7">
        <w:rPr>
          <w:rFonts w:eastAsia="Times New Roman"/>
          <w:b/>
          <w:sz w:val="24"/>
          <w:szCs w:val="24"/>
        </w:rPr>
        <w:t>Sunshine v. M. R. Mansfield Realty, Inc.</w:t>
      </w:r>
      <w:r w:rsidR="008F3AE7" w:rsidRPr="008F3AE7">
        <w:rPr>
          <w:rFonts w:eastAsia="Times New Roman"/>
          <w:sz w:val="24"/>
          <w:szCs w:val="24"/>
        </w:rPr>
        <w:t xml:space="preserve">, 195 Colo. 95, 98, 575 P.2d 847, 849 (1978) (citation omitted). Moreover, when the parties to a bargain, sufficiently defined to be a contract, have not agreed to an essential term, the court may supply a term that is reasonable under the circumstances. </w:t>
      </w:r>
      <w:r w:rsidR="008F3AE7" w:rsidRPr="008F3AE7">
        <w:rPr>
          <w:rFonts w:eastAsia="Times New Roman"/>
          <w:b/>
          <w:sz w:val="24"/>
          <w:szCs w:val="24"/>
        </w:rPr>
        <w:t>Costello v. Cook</w:t>
      </w:r>
      <w:r w:rsidR="008F3AE7" w:rsidRPr="008F3AE7">
        <w:rPr>
          <w:rFonts w:eastAsia="Times New Roman"/>
          <w:sz w:val="24"/>
          <w:szCs w:val="24"/>
        </w:rPr>
        <w:t>,</w:t>
      </w:r>
      <w:r w:rsidR="008F3AE7" w:rsidRPr="008F3AE7">
        <w:rPr>
          <w:rFonts w:eastAsia="Times New Roman"/>
          <w:b/>
          <w:sz w:val="24"/>
          <w:szCs w:val="24"/>
        </w:rPr>
        <w:t xml:space="preserve"> </w:t>
      </w:r>
      <w:r w:rsidR="008F3AE7" w:rsidRPr="008F3AE7">
        <w:rPr>
          <w:rFonts w:eastAsia="Times New Roman"/>
          <w:sz w:val="24"/>
          <w:szCs w:val="24"/>
        </w:rPr>
        <w:t xml:space="preserve">852 P.2d 1330 (Colo. App. 1993). Also, a contract will not fail for indefiniteness if missing terms can be </w:t>
      </w:r>
      <w:r w:rsidR="008F3AE7" w:rsidRPr="008F3AE7">
        <w:rPr>
          <w:rFonts w:eastAsia="Times New Roman"/>
          <w:sz w:val="24"/>
          <w:szCs w:val="24"/>
        </w:rPr>
        <w:lastRenderedPageBreak/>
        <w:t xml:space="preserve">supplied by law, presumption, or custom. </w:t>
      </w:r>
      <w:r w:rsidR="008F3AE7" w:rsidRPr="008F3AE7">
        <w:rPr>
          <w:rFonts w:eastAsia="Times New Roman"/>
          <w:b/>
          <w:sz w:val="24"/>
          <w:szCs w:val="24"/>
        </w:rPr>
        <w:t>Winston Fin. Group, Inc. v. Fults Mgmt. Inc.</w:t>
      </w:r>
      <w:r w:rsidR="008F3AE7" w:rsidRPr="008F3AE7">
        <w:rPr>
          <w:rFonts w:eastAsia="Times New Roman"/>
          <w:sz w:val="24"/>
          <w:szCs w:val="24"/>
        </w:rPr>
        <w:t>, 872 P.2d 1356 (Colo. App. 1994). And, a contract is not fatally vague or indefinite simply because the parties disagree</w:t>
      </w:r>
      <w:r w:rsidR="00275682" w:rsidRPr="008F3AE7">
        <w:rPr>
          <w:rFonts w:eastAsia="Times New Roman"/>
          <w:sz w:val="24"/>
          <w:szCs w:val="24"/>
        </w:rPr>
        <w:t xml:space="preserve"> </w:t>
      </w:r>
      <w:r w:rsidR="008F3AE7" w:rsidRPr="008F3AE7">
        <w:rPr>
          <w:rFonts w:eastAsia="Times New Roman"/>
          <w:sz w:val="24"/>
          <w:szCs w:val="24"/>
        </w:rPr>
        <w:t xml:space="preserve">as to its meaning. </w:t>
      </w:r>
      <w:r w:rsidR="008F3AE7" w:rsidRPr="008F3AE7">
        <w:rPr>
          <w:rFonts w:eastAsia="Times New Roman"/>
          <w:b/>
          <w:sz w:val="24"/>
          <w:szCs w:val="24"/>
        </w:rPr>
        <w:t>Hauser v. Rose Health Care Sys.</w:t>
      </w:r>
      <w:r w:rsidR="008F3AE7" w:rsidRPr="008F3AE7">
        <w:rPr>
          <w:rFonts w:eastAsia="Times New Roman"/>
          <w:sz w:val="24"/>
          <w:szCs w:val="24"/>
        </w:rPr>
        <w:t xml:space="preserve">, 857 P.2d 524 (Colo. App. 1993); </w:t>
      </w:r>
      <w:r w:rsidR="008F3AE7" w:rsidRPr="008F3AE7">
        <w:rPr>
          <w:rFonts w:eastAsia="Times New Roman"/>
          <w:i/>
          <w:sz w:val="24"/>
          <w:szCs w:val="24"/>
        </w:rPr>
        <w:t>see</w:t>
      </w:r>
      <w:r w:rsidR="008F3AE7" w:rsidRPr="008F3AE7">
        <w:rPr>
          <w:rFonts w:eastAsia="Times New Roman"/>
          <w:sz w:val="24"/>
          <w:szCs w:val="24"/>
        </w:rPr>
        <w:t xml:space="preserve"> </w:t>
      </w:r>
      <w:r w:rsidR="008F3AE7" w:rsidRPr="008F3AE7">
        <w:rPr>
          <w:rFonts w:eastAsia="Times New Roman"/>
          <w:b/>
          <w:sz w:val="24"/>
          <w:szCs w:val="24"/>
        </w:rPr>
        <w:t>In re May</w:t>
      </w:r>
      <w:r w:rsidR="008F3AE7" w:rsidRPr="008F3AE7">
        <w:rPr>
          <w:rFonts w:eastAsia="Times New Roman"/>
          <w:sz w:val="24"/>
          <w:szCs w:val="24"/>
        </w:rPr>
        <w:t>, 756 P.2d 362, 369 (Colo. 1988) (“The fact that the parties have different opinions about the interpretation of the contract does not of itself create an ambiguity.”)</w:t>
      </w:r>
      <w:r w:rsidR="00FA664D">
        <w:rPr>
          <w:rFonts w:eastAsia="Times New Roman"/>
          <w:sz w:val="24"/>
          <w:szCs w:val="24"/>
        </w:rPr>
        <w:t xml:space="preserve">; </w:t>
      </w:r>
      <w:r w:rsidR="00FA664D" w:rsidRPr="00703911">
        <w:rPr>
          <w:rFonts w:eastAsia="Times New Roman"/>
          <w:b/>
          <w:bCs/>
          <w:sz w:val="24"/>
          <w:szCs w:val="24"/>
        </w:rPr>
        <w:t>802 E</w:t>
      </w:r>
      <w:r w:rsidR="00390234">
        <w:rPr>
          <w:rFonts w:eastAsia="Times New Roman"/>
          <w:b/>
          <w:bCs/>
          <w:sz w:val="24"/>
          <w:szCs w:val="24"/>
        </w:rPr>
        <w:t>.</w:t>
      </w:r>
      <w:r w:rsidR="00FA664D" w:rsidRPr="00703911">
        <w:rPr>
          <w:rFonts w:eastAsia="Times New Roman"/>
          <w:b/>
          <w:bCs/>
          <w:sz w:val="24"/>
          <w:szCs w:val="24"/>
        </w:rPr>
        <w:t xml:space="preserve"> Cooper, LLC v. Z-GKids, LLC</w:t>
      </w:r>
      <w:r w:rsidR="00FA664D" w:rsidRPr="00086139">
        <w:rPr>
          <w:rFonts w:eastAsia="Times New Roman"/>
          <w:sz w:val="24"/>
          <w:szCs w:val="24"/>
        </w:rPr>
        <w:t>, 2023 COA</w:t>
      </w:r>
      <w:r w:rsidR="00FA664D">
        <w:rPr>
          <w:rFonts w:eastAsia="Times New Roman"/>
          <w:sz w:val="24"/>
          <w:szCs w:val="24"/>
        </w:rPr>
        <w:t xml:space="preserve"> 48</w:t>
      </w:r>
      <w:r w:rsidR="00703911">
        <w:rPr>
          <w:rFonts w:eastAsia="Times New Roman"/>
          <w:sz w:val="24"/>
          <w:szCs w:val="24"/>
        </w:rPr>
        <w:t>,</w:t>
      </w:r>
      <w:r w:rsidR="00FA664D">
        <w:rPr>
          <w:rFonts w:eastAsia="Times New Roman"/>
          <w:sz w:val="24"/>
          <w:szCs w:val="24"/>
        </w:rPr>
        <w:t xml:space="preserve"> ¶</w:t>
      </w:r>
      <w:r w:rsidR="00703911">
        <w:rPr>
          <w:rFonts w:eastAsia="Times New Roman"/>
          <w:sz w:val="24"/>
          <w:szCs w:val="24"/>
        </w:rPr>
        <w:t xml:space="preserve"> </w:t>
      </w:r>
      <w:r w:rsidR="00FA664D">
        <w:rPr>
          <w:rFonts w:eastAsia="Times New Roman"/>
          <w:sz w:val="24"/>
          <w:szCs w:val="24"/>
        </w:rPr>
        <w:t>2</w:t>
      </w:r>
      <w:r w:rsidR="00703911">
        <w:rPr>
          <w:rFonts w:eastAsia="Times New Roman"/>
          <w:sz w:val="24"/>
          <w:szCs w:val="24"/>
        </w:rPr>
        <w:t xml:space="preserve">3 </w:t>
      </w:r>
      <w:r w:rsidR="00FA664D">
        <w:rPr>
          <w:rFonts w:eastAsia="Times New Roman"/>
          <w:sz w:val="24"/>
          <w:szCs w:val="24"/>
        </w:rPr>
        <w:t>(“Disagreement between the parties regarding the interpretation of the document does not itself create an ambiguity in the document</w:t>
      </w:r>
      <w:r w:rsidR="00703911">
        <w:rPr>
          <w:rFonts w:eastAsia="Times New Roman"/>
          <w:sz w:val="24"/>
          <w:szCs w:val="24"/>
        </w:rPr>
        <w:t>.</w:t>
      </w:r>
      <w:r w:rsidR="00FA664D">
        <w:rPr>
          <w:rFonts w:eastAsia="Times New Roman"/>
          <w:sz w:val="24"/>
          <w:szCs w:val="24"/>
        </w:rPr>
        <w:t>”)</w:t>
      </w:r>
      <w:r w:rsidR="008F3AE7" w:rsidRPr="008F3AE7">
        <w:rPr>
          <w:rFonts w:eastAsia="Times New Roman"/>
          <w:sz w:val="24"/>
          <w:szCs w:val="24"/>
        </w:rPr>
        <w:t xml:space="preserve">. However, where a mistake is made by one party on the basic nature of a material contract provision, a resulting unconscionable contract may be avoided. </w:t>
      </w:r>
      <w:r w:rsidR="008F3AE7" w:rsidRPr="008F3AE7">
        <w:rPr>
          <w:rFonts w:eastAsia="Times New Roman"/>
          <w:b/>
          <w:sz w:val="24"/>
          <w:szCs w:val="24"/>
        </w:rPr>
        <w:t>Sumerel v. Goodyear Tire &amp; Rubber Co.</w:t>
      </w:r>
      <w:r w:rsidR="008F3AE7"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008F3AE7" w:rsidRPr="008F3AE7">
        <w:rPr>
          <w:rFonts w:eastAsia="Times New Roman"/>
          <w:smallCaps/>
          <w:sz w:val="24"/>
          <w:szCs w:val="24"/>
        </w:rPr>
        <w:t>Restatement (Second) of Contracts</w:t>
      </w:r>
      <w:r w:rsidR="008F3AE7" w:rsidRPr="008F3AE7">
        <w:rPr>
          <w:rFonts w:eastAsia="Times New Roman"/>
          <w:sz w:val="24"/>
          <w:szCs w:val="24"/>
        </w:rPr>
        <w:t xml:space="preserve"> §§ 153-54 (1981)).</w:t>
      </w:r>
    </w:p>
    <w:p w14:paraId="18342E1E" w14:textId="723476D1" w:rsidR="008F3AE7" w:rsidRPr="008F3AE7" w:rsidRDefault="004B3F74" w:rsidP="008F3AE7">
      <w:pPr>
        <w:spacing w:after="240"/>
        <w:ind w:firstLine="720"/>
        <w:rPr>
          <w:rFonts w:eastAsia="Times New Roman"/>
          <w:b/>
          <w:sz w:val="24"/>
          <w:szCs w:val="24"/>
        </w:rPr>
      </w:pPr>
      <w:r>
        <w:rPr>
          <w:rFonts w:eastAsia="Times New Roman"/>
          <w:sz w:val="24"/>
          <w:szCs w:val="24"/>
        </w:rPr>
        <w:t>4</w:t>
      </w:r>
      <w:r w:rsidR="008F3AE7" w:rsidRPr="008F3AE7">
        <w:rPr>
          <w:rFonts w:eastAsia="Times New Roman"/>
          <w:sz w:val="24"/>
          <w:szCs w:val="24"/>
        </w:rPr>
        <w:t xml:space="preserve">. Generally, there can be no binding contract if further negotiations are required to come to an agreement as to important and essential terms of the contract. </w:t>
      </w:r>
      <w:r w:rsidR="008F3AE7" w:rsidRPr="008F3AE7">
        <w:rPr>
          <w:rFonts w:eastAsia="Times New Roman"/>
          <w:b/>
          <w:sz w:val="24"/>
          <w:szCs w:val="24"/>
        </w:rPr>
        <w:t>Sumerel</w:t>
      </w:r>
      <w:r w:rsidR="008F3AE7" w:rsidRPr="008F3AE7">
        <w:rPr>
          <w:rFonts w:eastAsia="Times New Roman"/>
          <w:sz w:val="24"/>
          <w:szCs w:val="24"/>
        </w:rPr>
        <w:t xml:space="preserve">, 232 P.3d at 136-37 (discussion to resolve dispute did not include offer sufficiently definite to be capable of acceptance); </w:t>
      </w:r>
      <w:r w:rsidR="008F3AE7" w:rsidRPr="008F3AE7">
        <w:rPr>
          <w:rFonts w:eastAsia="Times New Roman"/>
          <w:b/>
          <w:sz w:val="24"/>
          <w:szCs w:val="24"/>
        </w:rPr>
        <w:t>DiFrancesco v. Particle Interconnect Corp.</w:t>
      </w:r>
      <w:r w:rsidR="008F3AE7"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61BF3359" w:rsidR="008F3AE7" w:rsidRDefault="004B3F74" w:rsidP="008F3AE7">
      <w:pPr>
        <w:spacing w:after="240"/>
        <w:ind w:firstLine="720"/>
        <w:rPr>
          <w:rFonts w:eastAsia="Times New Roman"/>
          <w:sz w:val="24"/>
          <w:szCs w:val="24"/>
        </w:rPr>
      </w:pPr>
      <w:r>
        <w:rPr>
          <w:rFonts w:eastAsia="Times New Roman"/>
          <w:sz w:val="24"/>
          <w:szCs w:val="24"/>
        </w:rPr>
        <w:t>5</w:t>
      </w:r>
      <w:r w:rsidR="008F3AE7" w:rsidRPr="008F3AE7">
        <w:rPr>
          <w:rFonts w:eastAsia="Times New Roman"/>
          <w:sz w:val="24"/>
          <w:szCs w:val="24"/>
        </w:rPr>
        <w:t xml:space="preserve">. Where extrinsic evidence shows that parties did not intend the contract to be a binding agreement, and where they have previously agreed that their written promises would not bind them, such contract is a mere sham and lacks any legal effect. </w:t>
      </w:r>
      <w:r w:rsidR="008F3AE7" w:rsidRPr="008F3AE7">
        <w:rPr>
          <w:rFonts w:eastAsia="Times New Roman"/>
          <w:b/>
          <w:sz w:val="24"/>
          <w:szCs w:val="24"/>
        </w:rPr>
        <w:t>Landmark Towers Ass’n, Inc. v. UMB Bank, N.A</w:t>
      </w:r>
      <w:r w:rsidR="008F3AE7" w:rsidRPr="008F3AE7">
        <w:rPr>
          <w:rFonts w:eastAsia="Times New Roman"/>
          <w:sz w:val="24"/>
          <w:szCs w:val="24"/>
        </w:rPr>
        <w:t>, 2016 COA 61, ¶ 63</w:t>
      </w:r>
      <w:r w:rsidR="00676566">
        <w:rPr>
          <w:rFonts w:eastAsia="Times New Roman"/>
          <w:sz w:val="24"/>
          <w:szCs w:val="24"/>
        </w:rPr>
        <w:t>, 436 P.3d 1126</w:t>
      </w:r>
      <w:r w:rsidR="008F3AE7"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008F3AE7"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2" w:name="a30_02"/>
      <w:bookmarkEnd w:id="2"/>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4EF23CD3" w:rsidR="00EF5096" w:rsidRDefault="004B3F74" w:rsidP="00EF5096">
      <w:pPr>
        <w:spacing w:after="240"/>
        <w:ind w:firstLine="720"/>
        <w:rPr>
          <w:rFonts w:eastAsia="Times New Roman"/>
          <w:sz w:val="24"/>
          <w:szCs w:val="24"/>
        </w:rPr>
      </w:pPr>
      <w:r>
        <w:rPr>
          <w:rFonts w:eastAsia="Times New Roman"/>
          <w:sz w:val="24"/>
          <w:szCs w:val="24"/>
        </w:rPr>
        <w:t xml:space="preserve">1. </w:t>
      </w:r>
      <w:r w:rsidR="00EF5096" w:rsidRPr="00EF5096">
        <w:rPr>
          <w:rFonts w:eastAsia="Times New Roman"/>
          <w:sz w:val="24"/>
          <w:szCs w:val="24"/>
        </w:rPr>
        <w:t xml:space="preserve">This instruction is supported by </w:t>
      </w:r>
      <w:r w:rsidRPr="0074358E">
        <w:rPr>
          <w:rFonts w:eastAsia="Times New Roman"/>
          <w:b/>
          <w:sz w:val="24"/>
          <w:szCs w:val="24"/>
        </w:rPr>
        <w:t>Yaekle v. Andrews</w:t>
      </w:r>
      <w:r w:rsidRPr="00CB0006">
        <w:rPr>
          <w:rFonts w:eastAsia="Times New Roman"/>
          <w:bCs/>
          <w:sz w:val="24"/>
          <w:szCs w:val="24"/>
        </w:rPr>
        <w:t>, 195 P.3d 1101, 1107 (Colo</w:t>
      </w:r>
      <w:r>
        <w:rPr>
          <w:rFonts w:eastAsia="Times New Roman"/>
          <w:bCs/>
          <w:sz w:val="24"/>
          <w:szCs w:val="24"/>
        </w:rPr>
        <w:t>.</w:t>
      </w:r>
      <w:r w:rsidRPr="00CB0006">
        <w:rPr>
          <w:rFonts w:eastAsia="Times New Roman"/>
          <w:bCs/>
          <w:sz w:val="24"/>
          <w:szCs w:val="24"/>
        </w:rPr>
        <w:t xml:space="preserve"> 2008) (“common law contract principles . . . allow for the formation of contracts without signatures of the parties bound by them”);</w:t>
      </w:r>
      <w:r w:rsidRPr="00EF5096">
        <w:rPr>
          <w:rFonts w:eastAsia="Times New Roman"/>
          <w:sz w:val="24"/>
          <w:szCs w:val="24"/>
        </w:rPr>
        <w:t xml:space="preserve"> </w:t>
      </w:r>
      <w:r w:rsidR="00EF5096" w:rsidRPr="00EF5096">
        <w:rPr>
          <w:rFonts w:eastAsia="Times New Roman"/>
          <w:b/>
          <w:sz w:val="24"/>
          <w:szCs w:val="24"/>
        </w:rPr>
        <w:t>E-21 Engineering v. Steve Stock &amp; Associates, Inc.</w:t>
      </w:r>
      <w:r w:rsidR="00EF5096" w:rsidRPr="00EF5096">
        <w:rPr>
          <w:rFonts w:eastAsia="Times New Roman"/>
          <w:sz w:val="24"/>
          <w:szCs w:val="24"/>
        </w:rPr>
        <w:t xml:space="preserve">, 252 P.3d 36 (Colo. App. 2010) (contracts may be formed without signatures of the parties bound by them). </w:t>
      </w:r>
      <w:r w:rsidR="00EF5096" w:rsidRPr="00EF5096">
        <w:rPr>
          <w:rFonts w:eastAsia="Times New Roman"/>
          <w:i/>
          <w:sz w:val="24"/>
          <w:szCs w:val="24"/>
        </w:rPr>
        <w:t>See also</w:t>
      </w:r>
      <w:r w:rsidR="00EF5096" w:rsidRPr="00EF5096">
        <w:rPr>
          <w:rFonts w:eastAsia="Times New Roman"/>
          <w:sz w:val="24"/>
          <w:szCs w:val="24"/>
        </w:rPr>
        <w:t xml:space="preserve"> </w:t>
      </w:r>
      <w:r w:rsidR="00EF5096" w:rsidRPr="00EF5096">
        <w:rPr>
          <w:rFonts w:eastAsia="Times New Roman"/>
          <w:b/>
          <w:sz w:val="24"/>
          <w:szCs w:val="24"/>
        </w:rPr>
        <w:t>Lee v. Great Empire Broad., Inc.</w:t>
      </w:r>
      <w:r w:rsidR="00EF5096" w:rsidRPr="00EF5096">
        <w:rPr>
          <w:rFonts w:eastAsia="Times New Roman"/>
          <w:sz w:val="24"/>
          <w:szCs w:val="24"/>
        </w:rPr>
        <w:t xml:space="preserve">, 794 P.2d 1032 (Colo. App. 1989) (employment agreement); </w:t>
      </w:r>
      <w:r w:rsidR="00EF5096" w:rsidRPr="00EF5096">
        <w:rPr>
          <w:rFonts w:eastAsia="Times New Roman"/>
          <w:smallCaps/>
          <w:sz w:val="24"/>
          <w:szCs w:val="24"/>
        </w:rPr>
        <w:t>Restatement (Second) of Contracts</w:t>
      </w:r>
      <w:r w:rsidR="00EF5096" w:rsidRPr="00EF5096">
        <w:rPr>
          <w:rFonts w:eastAsia="Times New Roman"/>
          <w:sz w:val="24"/>
          <w:szCs w:val="24"/>
        </w:rPr>
        <w:t xml:space="preserve"> § 4 (1981) (“A promise may be stated in words either oral or written, or may be inferred wholly or partly from conduct.”).</w:t>
      </w:r>
    </w:p>
    <w:p w14:paraId="2AFBE69F" w14:textId="77777777" w:rsidR="004B3F74" w:rsidRDefault="004B3F74" w:rsidP="004B3F74">
      <w:pPr>
        <w:spacing w:after="240"/>
        <w:ind w:firstLine="720"/>
        <w:rPr>
          <w:rFonts w:eastAsia="Times New Roman"/>
          <w:sz w:val="24"/>
          <w:szCs w:val="24"/>
        </w:rPr>
      </w:pPr>
      <w:r>
        <w:rPr>
          <w:rFonts w:eastAsia="Times New Roman"/>
          <w:sz w:val="24"/>
          <w:szCs w:val="24"/>
        </w:rPr>
        <w:t xml:space="preserve">2. Agreements between spouses falling within the Colorado Marital Agreements Act (CMAA) and Uniform Premarital and Marital Agreements Act must be in writing. </w:t>
      </w:r>
      <w:r w:rsidRPr="00CB0006">
        <w:rPr>
          <w:rFonts w:eastAsia="Times New Roman"/>
          <w:b/>
          <w:bCs/>
          <w:sz w:val="24"/>
          <w:szCs w:val="24"/>
        </w:rPr>
        <w:t>In re Marriage of Zander</w:t>
      </w:r>
      <w:r>
        <w:rPr>
          <w:rFonts w:eastAsia="Times New Roman"/>
          <w:sz w:val="24"/>
          <w:szCs w:val="24"/>
        </w:rPr>
        <w:t>, 2021 CO 12, ¶ 20, 480 P.3d 676, 681 (because the agreement “was neither in writing nor signed by both parties, it did not fulfill the requisite legal formalities under the CMAA” and was not enforceable).</w:t>
      </w:r>
    </w:p>
    <w:p w14:paraId="46A7B5F2" w14:textId="1F9FF855" w:rsidR="004B3F74" w:rsidRDefault="004B3F74" w:rsidP="004B3F74">
      <w:pPr>
        <w:spacing w:after="240"/>
        <w:ind w:firstLine="720"/>
        <w:rPr>
          <w:rFonts w:eastAsia="Times New Roman"/>
          <w:sz w:val="24"/>
          <w:szCs w:val="24"/>
        </w:rPr>
      </w:pPr>
      <w:r>
        <w:rPr>
          <w:rFonts w:eastAsia="Times New Roman"/>
          <w:sz w:val="24"/>
          <w:szCs w:val="24"/>
        </w:rPr>
        <w:t xml:space="preserve">3. The HealthCare Availability Act requires arbitration agreements to be in writing and signed by the parties. </w:t>
      </w:r>
      <w:r w:rsidRPr="00CB0006">
        <w:rPr>
          <w:rFonts w:eastAsia="Times New Roman"/>
          <w:b/>
          <w:bCs/>
          <w:sz w:val="24"/>
          <w:szCs w:val="24"/>
        </w:rPr>
        <w:t>Johnson v. Rowan, Inc</w:t>
      </w:r>
      <w:r w:rsidRPr="003B308A">
        <w:rPr>
          <w:rFonts w:eastAsia="Times New Roman"/>
          <w:b/>
          <w:sz w:val="24"/>
          <w:szCs w:val="24"/>
        </w:rPr>
        <w:t>.</w:t>
      </w:r>
      <w:r>
        <w:rPr>
          <w:rFonts w:eastAsia="Times New Roman"/>
          <w:sz w:val="24"/>
          <w:szCs w:val="24"/>
        </w:rPr>
        <w:t xml:space="preserve">, 2021 COA 7, ¶ 51, 488 P.3d 1174, 1183 (“The formation of a contract </w:t>
      </w:r>
      <w:r w:rsidR="00011100">
        <w:rPr>
          <w:rFonts w:eastAsia="Times New Roman"/>
          <w:sz w:val="24"/>
          <w:szCs w:val="24"/>
        </w:rPr>
        <w:t xml:space="preserve">. . . </w:t>
      </w:r>
      <w:r>
        <w:rPr>
          <w:rFonts w:eastAsia="Times New Roman"/>
          <w:sz w:val="24"/>
          <w:szCs w:val="24"/>
        </w:rPr>
        <w:t>under common law principles is not determinative, however, because the Act imposes more stringent requirements for contract formation than does the common law of contracts.”).</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3" w:name="a30_03"/>
      <w:bookmarkEnd w:id="3"/>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099BA954"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r w:rsidRPr="005D1F16">
        <w:rPr>
          <w:rFonts w:eastAsia="Times New Roman"/>
          <w:b/>
          <w:sz w:val="24"/>
          <w:szCs w:val="24"/>
        </w:rPr>
        <w:t>Central Inv. Corp. v. Container Advert. Co.</w:t>
      </w:r>
      <w:r w:rsidRPr="005D1F16">
        <w:rPr>
          <w:rFonts w:eastAsia="Times New Roman"/>
          <w:sz w:val="24"/>
          <w:szCs w:val="24"/>
        </w:rPr>
        <w:t>, 28 Colo. App. 184, 187, 471 P.2d 647, 648 (1970).</w:t>
      </w:r>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r w:rsidRPr="005D1F16">
        <w:rPr>
          <w:rFonts w:eastAsia="Times New Roman"/>
          <w:b/>
          <w:sz w:val="24"/>
          <w:szCs w:val="24"/>
        </w:rPr>
        <w:t>Kuta v. Joint Dist. No. 50(J)</w:t>
      </w:r>
      <w:r w:rsidRPr="005D1F16">
        <w:rPr>
          <w:rFonts w:eastAsia="Times New Roman"/>
          <w:sz w:val="24"/>
          <w:szCs w:val="24"/>
        </w:rPr>
        <w:t>, 799 P.2d 379 (Colo. 1990).</w:t>
      </w:r>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Griffin v. State Farm Fire &amp; Cas. Co.</w:t>
      </w:r>
      <w:r w:rsidR="005D1F16" w:rsidRPr="005D1F16">
        <w:rPr>
          <w:rFonts w:eastAsia="Times New Roman"/>
          <w:sz w:val="24"/>
          <w:szCs w:val="24"/>
        </w:rPr>
        <w:t>, 104 P.3d 283 (Colo. App. 2004).</w:t>
      </w:r>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r w:rsidRPr="005D1F16">
        <w:rPr>
          <w:rFonts w:eastAsia="Times New Roman"/>
          <w:b/>
          <w:sz w:val="24"/>
          <w:szCs w:val="24"/>
        </w:rPr>
        <w:t>Sumerel v. Goodyear Tire &amp; Rubber Co.</w:t>
      </w:r>
      <w:r w:rsidRPr="005D1F16">
        <w:rPr>
          <w:rFonts w:eastAsia="Times New Roman"/>
          <w:sz w:val="24"/>
          <w:szCs w:val="24"/>
        </w:rPr>
        <w:t>, 232 P.3d 128 (Colo. App. 2009).</w:t>
      </w:r>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4" w:name="a30_04"/>
      <w:bookmarkEnd w:id="4"/>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r w:rsidRPr="003E773D">
        <w:rPr>
          <w:rFonts w:eastAsia="Times New Roman"/>
          <w:bCs/>
          <w:sz w:val="24"/>
          <w:szCs w:val="24"/>
        </w:rPr>
        <w:t>None.</w:t>
      </w:r>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w:t>
      </w:r>
      <w:r w:rsidRPr="00D30894">
        <w:rPr>
          <w:rFonts w:eastAsia="Times New Roman"/>
          <w:sz w:val="24"/>
          <w:szCs w:val="24"/>
        </w:rPr>
        <w:t>th</w:t>
      </w:r>
      <w:r w:rsidRPr="003E773D">
        <w:rPr>
          <w:rFonts w:eastAsia="Times New Roman"/>
          <w:sz w:val="24"/>
          <w:szCs w:val="24"/>
        </w:rPr>
        <w:t xml:space="preserve"> ed. 1999).</w:t>
      </w:r>
    </w:p>
    <w:p w14:paraId="666D4204" w14:textId="1F23638E"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 xml:space="preserve">Minneapolis &amp; St. Louis Ry. </w:t>
      </w:r>
      <w:r w:rsidR="00275682" w:rsidRPr="003E773D">
        <w:rPr>
          <w:rFonts w:eastAsia="Times New Roman"/>
          <w:b/>
          <w:iCs/>
          <w:sz w:val="24"/>
          <w:szCs w:val="24"/>
        </w:rPr>
        <w:t>V</w:t>
      </w:r>
      <w:r w:rsidRPr="003E773D">
        <w:rPr>
          <w:rFonts w:eastAsia="Times New Roman"/>
          <w:b/>
          <w:iCs/>
          <w:sz w:val="24"/>
          <w:szCs w:val="24"/>
        </w:rPr>
        <w:t>.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w:t>
      </w:r>
      <w:r w:rsidRPr="00D30894">
        <w:rPr>
          <w:rFonts w:eastAsia="Times New Roman"/>
          <w:sz w:val="24"/>
          <w:szCs w:val="24"/>
        </w:rPr>
        <w:t>th</w:t>
      </w:r>
      <w:r w:rsidRPr="003E773D">
        <w:rPr>
          <w:rFonts w:eastAsia="Times New Roman"/>
          <w:sz w:val="24"/>
          <w:szCs w:val="24"/>
        </w:rPr>
        <w:t xml:space="preserve">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5" w:name="a30_05"/>
      <w:bookmarkEnd w:id="5"/>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If the person to whom an offer is made changes the offer in any way, that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736 P.2d 391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6" w:name="a30_06"/>
      <w:bookmarkEnd w:id="6"/>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Superior Distrib. 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7" w:name="a30_07"/>
      <w:bookmarkEnd w:id="7"/>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578A57AA"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r w:rsidRPr="00317364">
        <w:rPr>
          <w:rFonts w:eastAsia="Times New Roman"/>
          <w:b/>
          <w:bCs/>
          <w:sz w:val="24"/>
          <w:szCs w:val="24"/>
        </w:rPr>
        <w:t>Burch v. Burch</w:t>
      </w:r>
      <w:r w:rsidRPr="00317364">
        <w:rPr>
          <w:rFonts w:eastAsia="Times New Roman"/>
          <w:bCs/>
          <w:sz w:val="24"/>
          <w:szCs w:val="24"/>
        </w:rPr>
        <w:t>, 145 Colo. 125, 358 P.2d 1011 (1960).</w:t>
      </w:r>
    </w:p>
    <w:p w14:paraId="72EA56CE" w14:textId="41F01A2C"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xml:space="preserve">, 5 Colo. App. 224, 37 P. 726 (1894).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r w:rsidRPr="00317364">
        <w:rPr>
          <w:rFonts w:eastAsia="Times New Roman"/>
          <w:b/>
          <w:bCs/>
          <w:sz w:val="24"/>
          <w:szCs w:val="24"/>
        </w:rPr>
        <w:t>Lucht’s Concrete Pumping, Inc. v. Horner</w:t>
      </w:r>
      <w:r w:rsidRPr="00317364">
        <w:rPr>
          <w:rFonts w:eastAsia="Times New Roman"/>
          <w:bCs/>
          <w:sz w:val="24"/>
          <w:szCs w:val="24"/>
        </w:rPr>
        <w:t>, 255 P.3d 1058 (Colo. 2011). And consideration is not insufficient merely beca</w:t>
      </w:r>
      <w:r w:rsidR="003333C4">
        <w:rPr>
          <w:rFonts w:eastAsia="Times New Roman"/>
          <w:bCs/>
          <w:sz w:val="24"/>
          <w:szCs w:val="24"/>
        </w:rPr>
        <w:t xml:space="preserve">use it comes from a third party. </w:t>
      </w:r>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r w:rsidRPr="00317364">
        <w:rPr>
          <w:rFonts w:eastAsia="Times New Roman"/>
          <w:b/>
          <w:bCs/>
          <w:sz w:val="24"/>
          <w:szCs w:val="24"/>
        </w:rPr>
        <w:t>Dawley v. Dawley’s Estate</w:t>
      </w:r>
      <w:r w:rsidRPr="00317364">
        <w:rPr>
          <w:rFonts w:eastAsia="Times New Roman"/>
          <w:bCs/>
          <w:sz w:val="24"/>
          <w:szCs w:val="24"/>
        </w:rPr>
        <w:t xml:space="preserve">, 60 Colo. 73, 152 P. 1171 (1915).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r w:rsidRPr="00317364">
        <w:rPr>
          <w:rFonts w:eastAsia="Times New Roman"/>
          <w:b/>
          <w:bCs/>
          <w:sz w:val="24"/>
          <w:szCs w:val="24"/>
        </w:rPr>
        <w:t>Rains v. Found. Health Sys. Life &amp; Health</w:t>
      </w:r>
      <w:r w:rsidRPr="00317364">
        <w:rPr>
          <w:rFonts w:eastAsia="Times New Roman"/>
          <w:bCs/>
          <w:sz w:val="24"/>
          <w:szCs w:val="24"/>
        </w:rPr>
        <w:t>, 23 P.3d 1249 (Colo. App. 2001) (arbitration provision not unenforceable simply because it did not require both parties to contract to arbitrate).</w:t>
      </w:r>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 xml:space="preserve">Cronk v. Intermountain Rural Elec. </w:t>
      </w:r>
      <w:r w:rsidRPr="00F40886">
        <w:rPr>
          <w:rFonts w:eastAsia="Times New Roman"/>
          <w:b/>
          <w:bCs/>
          <w:sz w:val="24"/>
          <w:szCs w:val="24"/>
          <w:lang w:val="fr-FR"/>
        </w:rPr>
        <w:t>Ass’n</w:t>
      </w:r>
      <w:r w:rsidRPr="00F40886">
        <w:rPr>
          <w:rFonts w:eastAsia="Times New Roman"/>
          <w:bCs/>
          <w:sz w:val="24"/>
          <w:szCs w:val="24"/>
          <w:lang w:val="fr-FR"/>
        </w:rPr>
        <w:t>,</w:t>
      </w:r>
      <w:r w:rsidRPr="00F40886">
        <w:rPr>
          <w:rFonts w:eastAsia="Times New Roman"/>
          <w:b/>
          <w:bCs/>
          <w:sz w:val="24"/>
          <w:szCs w:val="24"/>
          <w:lang w:val="fr-FR"/>
        </w:rPr>
        <w:t xml:space="preserve"> </w:t>
      </w:r>
      <w:r w:rsidRPr="00F40886">
        <w:rPr>
          <w:rFonts w:eastAsia="Times New Roman"/>
          <w:bCs/>
          <w:sz w:val="24"/>
          <w:szCs w:val="24"/>
          <w:lang w:val="fr-FR"/>
        </w:rPr>
        <w:t xml:space="preserve">765 P.2d 619 (Colo. App. 1988); </w:t>
      </w:r>
      <w:r w:rsidRPr="00F40886">
        <w:rPr>
          <w:rFonts w:eastAsia="Times New Roman"/>
          <w:b/>
          <w:bCs/>
          <w:sz w:val="24"/>
          <w:szCs w:val="24"/>
          <w:lang w:val="fr-FR"/>
        </w:rPr>
        <w:t xml:space="preserve">Galie v. RAM Assocs. Mgmt. </w:t>
      </w:r>
      <w:r w:rsidRPr="00317364">
        <w:rPr>
          <w:rFonts w:eastAsia="Times New Roman"/>
          <w:b/>
          <w:bCs/>
          <w:sz w:val="24"/>
          <w:szCs w:val="24"/>
        </w:rPr>
        <w:t>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E1233F"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r w:rsidRPr="00317364">
        <w:rPr>
          <w:rFonts w:eastAsia="Times New Roman"/>
          <w:b/>
          <w:bCs/>
          <w:sz w:val="24"/>
          <w:szCs w:val="24"/>
        </w:rPr>
        <w:t xml:space="preserve">Dep’t of Transp. </w:t>
      </w:r>
      <w:r w:rsidR="00275682" w:rsidRPr="00317364">
        <w:rPr>
          <w:rFonts w:eastAsia="Times New Roman"/>
          <w:b/>
          <w:bCs/>
          <w:sz w:val="24"/>
          <w:szCs w:val="24"/>
        </w:rPr>
        <w:t>V</w:t>
      </w:r>
      <w:r w:rsidRPr="00317364">
        <w:rPr>
          <w:rFonts w:eastAsia="Times New Roman"/>
          <w:b/>
          <w:bCs/>
          <w:sz w:val="24"/>
          <w:szCs w:val="24"/>
        </w:rPr>
        <w:t>. 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261 (Colo. App. 2006). A claim based on promissory estoppel lies in contract rather than tort and, therefore, is not barred by the Governmental Immunity Act. </w:t>
      </w:r>
      <w:r w:rsidRPr="00317364">
        <w:rPr>
          <w:rFonts w:eastAsia="Times New Roman"/>
          <w:b/>
          <w:bCs/>
          <w:sz w:val="24"/>
          <w:szCs w:val="24"/>
        </w:rPr>
        <w:t xml:space="preserve">Bd. </w:t>
      </w:r>
      <w:r w:rsidR="00275682" w:rsidRPr="00317364">
        <w:rPr>
          <w:rFonts w:eastAsia="Times New Roman"/>
          <w:b/>
          <w:bCs/>
          <w:sz w:val="24"/>
          <w:szCs w:val="24"/>
        </w:rPr>
        <w:t>O</w:t>
      </w:r>
      <w:r w:rsidRPr="00317364">
        <w:rPr>
          <w:rFonts w:eastAsia="Times New Roman"/>
          <w:b/>
          <w:bCs/>
          <w:sz w:val="24"/>
          <w:szCs w:val="24"/>
        </w:rPr>
        <w:t>f Cty. 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917 P.2d 714 (Colo. 1996).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8" w:name="a30_08"/>
      <w:bookmarkEnd w:id="8"/>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
    <w:p w14:paraId="2624BF55" w14:textId="5CFAF1CE" w:rsidR="001A5FFB" w:rsidRPr="00317364" w:rsidRDefault="001A5FFB" w:rsidP="00317364">
      <w:pPr>
        <w:spacing w:after="240"/>
        <w:ind w:firstLine="720"/>
        <w:rPr>
          <w:rFonts w:eastAsia="Times New Roman"/>
          <w:bCs/>
          <w:sz w:val="24"/>
          <w:szCs w:val="24"/>
        </w:rPr>
      </w:pPr>
      <w:r>
        <w:rPr>
          <w:rFonts w:eastAsia="Times New Roman"/>
          <w:bCs/>
          <w:sz w:val="24"/>
          <w:szCs w:val="24"/>
        </w:rPr>
        <w:t>3. The court</w:t>
      </w:r>
      <w:r w:rsidRPr="005E1577">
        <w:rPr>
          <w:rFonts w:eastAsia="Times New Roman"/>
          <w:bCs/>
          <w:szCs w:val="24"/>
        </w:rPr>
        <w:t xml:space="preserve"> </w:t>
      </w:r>
      <w:r w:rsidRPr="001A5FFB">
        <w:rPr>
          <w:rFonts w:eastAsia="Times New Roman"/>
          <w:bCs/>
          <w:sz w:val="24"/>
          <w:szCs w:val="24"/>
        </w:rPr>
        <w:t xml:space="preserve">is not a party to an agreement, and the parties may not enlist the court as their agent to write or modify terms. </w:t>
      </w:r>
      <w:r w:rsidRPr="001A5FFB">
        <w:rPr>
          <w:rFonts w:eastAsia="Times New Roman"/>
          <w:b/>
          <w:bCs/>
          <w:sz w:val="24"/>
          <w:szCs w:val="24"/>
        </w:rPr>
        <w:t>23 LTD v. Herman</w:t>
      </w:r>
      <w:r w:rsidRPr="001A5FFB">
        <w:rPr>
          <w:rFonts w:eastAsia="Times New Roman"/>
          <w:bCs/>
          <w:sz w:val="24"/>
          <w:szCs w:val="24"/>
        </w:rPr>
        <w:t>, 2019 COA 113, ¶ 33</w:t>
      </w:r>
      <w:r>
        <w:rPr>
          <w:rFonts w:eastAsia="Times New Roman"/>
          <w:bCs/>
          <w:sz w:val="24"/>
          <w:szCs w:val="24"/>
        </w:rPr>
        <w:t>,</w:t>
      </w:r>
      <w:r w:rsidRPr="001A5FFB">
        <w:rPr>
          <w:rFonts w:eastAsia="Times New Roman"/>
          <w:bCs/>
          <w:sz w:val="24"/>
          <w:szCs w:val="24"/>
        </w:rPr>
        <w:t xml:space="preserve"> 457 P.3d 754</w:t>
      </w:r>
      <w:r>
        <w:rPr>
          <w:rFonts w:eastAsia="Times New Roman"/>
          <w:bCs/>
          <w:sz w:val="24"/>
          <w:szCs w:val="24"/>
        </w:rPr>
        <w:t>, 759</w:t>
      </w:r>
      <w:r w:rsidRPr="001A5FFB">
        <w:rPr>
          <w:rFonts w:eastAsia="Times New Roman"/>
          <w:bCs/>
          <w:sz w:val="24"/>
          <w:szCs w:val="24"/>
        </w:rPr>
        <w:t xml:space="preserve"> (“</w:t>
      </w:r>
      <w:r>
        <w:rPr>
          <w:rFonts w:eastAsia="Times New Roman"/>
          <w:bCs/>
          <w:sz w:val="24"/>
          <w:szCs w:val="24"/>
        </w:rPr>
        <w:t>[</w:t>
      </w:r>
      <w:r w:rsidRPr="001A5FFB">
        <w:rPr>
          <w:rFonts w:eastAsia="Times New Roman"/>
          <w:bCs/>
          <w:sz w:val="24"/>
          <w:szCs w:val="24"/>
        </w:rPr>
        <w:t>P</w:t>
      </w:r>
      <w:r>
        <w:rPr>
          <w:rFonts w:eastAsia="Times New Roman"/>
          <w:bCs/>
          <w:sz w:val="24"/>
          <w:szCs w:val="24"/>
        </w:rPr>
        <w:t>]</w:t>
      </w:r>
      <w:r w:rsidRPr="001A5FFB">
        <w:rPr>
          <w:rFonts w:eastAsia="Times New Roman"/>
          <w:bCs/>
          <w:sz w:val="24"/>
          <w:szCs w:val="24"/>
        </w:rPr>
        <w:t>arties to an employment or noncompete agreement cannot contractually obligate a court to blue pencil noncompete provisions that it determines are unreasonable.”)</w:t>
      </w:r>
      <w:r>
        <w:rPr>
          <w:rFonts w:eastAsia="Times New Roman"/>
          <w:bCs/>
          <w:sz w:val="24"/>
          <w:szCs w:val="24"/>
        </w:rPr>
        <w:t>.</w:t>
      </w:r>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9" w:name="a30_09"/>
      <w:bookmarkEnd w:id="9"/>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36DA18D8"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w:t>
      </w:r>
      <w:r w:rsidR="00390234" w:rsidRPr="00086139">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None.</w:t>
      </w:r>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Jefferson County School Dist. No. 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Parrish Chiropractic Ctrs., P.C. v. Progressive Cas.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r w:rsidRPr="00427199">
        <w:rPr>
          <w:rFonts w:eastAsia="Times New Roman"/>
          <w:b/>
          <w:bCs/>
          <w:sz w:val="24"/>
          <w:szCs w:val="24"/>
        </w:rPr>
        <w:t>Smith v. TCI Commc’ns, Inc.</w:t>
      </w:r>
      <w:r w:rsidRPr="00427199">
        <w:rPr>
          <w:rFonts w:eastAsia="Times New Roman"/>
          <w:bCs/>
          <w:sz w:val="24"/>
          <w:szCs w:val="24"/>
        </w:rPr>
        <w:t>, 981 P.2d 690 (Colo. App. 1999).</w:t>
      </w:r>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r w:rsidRPr="00427199">
        <w:rPr>
          <w:rFonts w:eastAsia="Times New Roman"/>
          <w:b/>
          <w:bCs/>
          <w:sz w:val="24"/>
          <w:szCs w:val="24"/>
        </w:rPr>
        <w:t>E.B. Roberts Constr. Co. v. Concrete Contractors, Inc.</w:t>
      </w:r>
      <w:r w:rsidRPr="00427199">
        <w:rPr>
          <w:rFonts w:eastAsia="Times New Roman"/>
          <w:bCs/>
          <w:sz w:val="24"/>
          <w:szCs w:val="24"/>
        </w:rPr>
        <w:t>, 704 P.2d 859 (Colo. 1985).</w:t>
      </w:r>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w:t>
      </w:r>
      <w:r w:rsidRPr="00427199">
        <w:rPr>
          <w:rFonts w:eastAsia="Times New Roman"/>
          <w:bCs/>
          <w:sz w:val="24"/>
          <w:szCs w:val="24"/>
        </w:rPr>
        <w:lastRenderedPageBreak/>
        <w:t xml:space="preserve">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Bain v. Pioneer Plaza Shopping Center. 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xml:space="preserve">, 851 P.2d 236 (Colo. App. 1992) (plaintiff only an incidental beneficiary). If a contract is annulled, rescinded, or canceled by the parties to the contract before it is accepted by a third-party beneficiary, the contract may not be enforced by the third-party beneficiary. </w:t>
      </w:r>
      <w:r w:rsidRPr="00F40886">
        <w:rPr>
          <w:rFonts w:eastAsia="Times New Roman"/>
          <w:b/>
          <w:bCs/>
          <w:sz w:val="24"/>
          <w:szCs w:val="24"/>
          <w:lang w:val="fr-FR"/>
        </w:rPr>
        <w:t>Jardel Enters., Inc. v. Triconsultants, Inc.</w:t>
      </w:r>
      <w:r w:rsidRPr="00F40886">
        <w:rPr>
          <w:rFonts w:eastAsia="Times New Roman"/>
          <w:bCs/>
          <w:sz w:val="24"/>
          <w:szCs w:val="24"/>
          <w:lang w:val="fr-FR"/>
        </w:rPr>
        <w:t xml:space="preserve">, 770 P.2d 1301 (Colo. App. 1988); </w:t>
      </w:r>
      <w:r w:rsidRPr="00F40886">
        <w:rPr>
          <w:rFonts w:eastAsia="Times New Roman"/>
          <w:b/>
          <w:bCs/>
          <w:sz w:val="24"/>
          <w:szCs w:val="24"/>
          <w:lang w:val="fr-FR"/>
        </w:rPr>
        <w:t xml:space="preserve">Galie v. RAM Assocs. </w:t>
      </w:r>
      <w:r w:rsidRPr="00427199">
        <w:rPr>
          <w:rFonts w:eastAsia="Times New Roman"/>
          <w:b/>
          <w:bCs/>
          <w:sz w:val="24"/>
          <w:szCs w:val="24"/>
        </w:rPr>
        <w:t>Mgmt. Servs., Inc.</w:t>
      </w:r>
      <w:r w:rsidRPr="00427199">
        <w:rPr>
          <w:rFonts w:eastAsia="Times New Roman"/>
          <w:bCs/>
          <w:sz w:val="24"/>
          <w:szCs w:val="24"/>
        </w:rPr>
        <w:t>, 757 P.2d 176 (Colo. App. 1988) (third-party beneficiary need not be in privity).</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privity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r w:rsidRPr="00A10C0F">
        <w:rPr>
          <w:rFonts w:eastAsia="Times New Roman"/>
          <w:b/>
          <w:bCs/>
          <w:sz w:val="24"/>
          <w:szCs w:val="24"/>
        </w:rPr>
        <w:t>Bewley v. Semler</w:t>
      </w:r>
      <w:r w:rsidRPr="00A10C0F">
        <w:rPr>
          <w:rFonts w:eastAsia="Times New Roman"/>
          <w:bCs/>
          <w:sz w:val="24"/>
          <w:szCs w:val="24"/>
        </w:rPr>
        <w:t>, 2018 CO 79, ¶ 27, 432 P.3d 582, 589 (“</w:t>
      </w:r>
      <w:r w:rsidRPr="00A10C0F">
        <w:rPr>
          <w:color w:val="1E1E1E"/>
          <w:sz w:val="24"/>
          <w:szCs w:val="24"/>
          <w:shd w:val="clear" w:color="auto" w:fill="FFFFFF"/>
        </w:rPr>
        <w:t>The strict privity rule, as we defined it in </w:t>
      </w:r>
      <w:r w:rsidRPr="0098468C">
        <w:rPr>
          <w:b/>
          <w:sz w:val="24"/>
          <w:szCs w:val="24"/>
        </w:rPr>
        <w:t>Baker</w:t>
      </w:r>
      <w:r w:rsidRPr="00A10C0F">
        <w:rPr>
          <w:color w:val="1E1E1E"/>
          <w:sz w:val="24"/>
          <w:szCs w:val="24"/>
          <w:shd w:val="clear" w:color="auto" w:fill="FFFFFF"/>
        </w:rPr>
        <w:t xml:space="preserve">, is not as restricted as Semler contends; it ‘precludes attorney liability to non-clients absent fraud, malicious conduct, or negligent misrepresentation.’” (quoting </w:t>
      </w:r>
      <w:r w:rsidRPr="00A10C0F">
        <w:rPr>
          <w:b/>
          <w:sz w:val="24"/>
          <w:szCs w:val="24"/>
        </w:rPr>
        <w:t>Baker v. Wood, Ris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0" w:name="a30_10"/>
      <w:bookmarkEnd w:id="10"/>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3B883FF3"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xml:space="preserve">, on </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06BD73CB"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part of the contract) (or) (Plaintiff is excused from performance. Plaintiff is excused from performance of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lastRenderedPageBreak/>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54B6D028"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w:t>
      </w:r>
      <w:r w:rsidRPr="00427199">
        <w:rPr>
          <w:rFonts w:eastAsia="Times New Roman"/>
          <w:bCs/>
          <w:sz w:val="24"/>
          <w:szCs w:val="24"/>
        </w:rPr>
        <w:lastRenderedPageBreak/>
        <w:t xml:space="preserve">defendant, even though not every obligation was performed); and </w:t>
      </w:r>
      <w:r w:rsidRPr="00427199">
        <w:rPr>
          <w:rFonts w:eastAsia="Times New Roman"/>
          <w:b/>
          <w:bCs/>
          <w:sz w:val="24"/>
          <w:szCs w:val="24"/>
        </w:rPr>
        <w:t>D.R. Horton, Inc.-Denver v. 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r w:rsidRPr="00427199">
        <w:rPr>
          <w:rFonts w:eastAsia="Times New Roman"/>
          <w:b/>
          <w:bCs/>
          <w:sz w:val="24"/>
          <w:szCs w:val="24"/>
        </w:rPr>
        <w:t>Blood v. Qwest Servs.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Interbank Invs.,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2025A943"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 xml:space="preserve">City of </w:t>
      </w:r>
      <w:r w:rsidR="00F06ADD" w:rsidRPr="00F06ADD">
        <w:rPr>
          <w:rFonts w:eastAsia="Times New Roman"/>
          <w:b/>
          <w:bCs/>
          <w:sz w:val="24"/>
          <w:szCs w:val="24"/>
        </w:rPr>
        <w:lastRenderedPageBreak/>
        <w:t>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w:t>
      </w:r>
      <w:r w:rsidR="006459DB">
        <w:rPr>
          <w:rFonts w:eastAsia="Times New Roman"/>
          <w:bCs/>
          <w:sz w:val="24"/>
          <w:szCs w:val="24"/>
        </w:rPr>
        <w:t>, 474 P.3d 1231, 1238</w:t>
      </w:r>
      <w:r w:rsidR="00753103">
        <w:rPr>
          <w:rFonts w:eastAsia="Times New Roman"/>
          <w:bCs/>
          <w:sz w:val="24"/>
          <w:szCs w:val="24"/>
        </w:rPr>
        <w:t xml:space="preserve"> (“enforcement of contractual promises through the quasi-contractual theory of promissory estoppel and the restitution theory of unjust enrichment . . . sound firmly in contract” and are not barred by the CGIA);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Casey v. Colo. Higher Ed. Ins. Benefits All. Trust</w:t>
      </w:r>
      <w:r w:rsidRPr="00427199">
        <w:rPr>
          <w:rFonts w:eastAsia="Times New Roman"/>
          <w:bCs/>
          <w:sz w:val="24"/>
          <w:szCs w:val="24"/>
        </w:rPr>
        <w:t>, 2012 COA 134, ¶ 30, 310 P.3d 196 (same).</w:t>
      </w:r>
    </w:p>
    <w:p w14:paraId="2B1E1F31" w14:textId="7642ED21"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sidRPr="00FB3EF4">
        <w:rPr>
          <w:rFonts w:eastAsia="Times New Roman"/>
          <w:b/>
          <w:bCs/>
          <w:sz w:val="24"/>
          <w:szCs w:val="24"/>
        </w:rPr>
        <w:t>.</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w:t>
      </w:r>
      <w:r w:rsidR="00275682">
        <w:rPr>
          <w:rFonts w:eastAsia="Times New Roman"/>
          <w:bCs/>
          <w:sz w:val="24"/>
          <w:szCs w:val="24"/>
        </w:rPr>
        <w:t>, 488 P.3d 324, 334-35</w:t>
      </w:r>
      <w:r>
        <w:rPr>
          <w:rFonts w:eastAsia="Times New Roman"/>
          <w:bCs/>
          <w:sz w:val="24"/>
          <w:szCs w:val="24"/>
        </w:rPr>
        <w:t xml:space="preserve">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1" w:name="a30_11"/>
      <w:bookmarkEnd w:id="11"/>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4080E22C"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is not material if the other party received substantially what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DD5492">
        <w:rPr>
          <w:rFonts w:eastAsia="Times New Roman"/>
          <w:b/>
          <w:bCs/>
          <w:sz w:val="24"/>
          <w:szCs w:val="24"/>
        </w:rPr>
        <w:t xml:space="preserve">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2629788E" w:rsidR="00DD5492" w:rsidRPr="008E39FC"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2013 COA 7, ¶ 9, 297 P.3d 1042 (“A party has substantially performed when the other party has substantially received the expected benefit from the contract” and “[d]eviation from contract duties in trifling particulars . . . does not constitute a material breach”); an</w:t>
      </w:r>
      <w:r w:rsidRPr="008E39FC">
        <w:rPr>
          <w:rFonts w:eastAsia="Times New Roman"/>
          <w:bCs/>
          <w:sz w:val="24"/>
          <w:szCs w:val="24"/>
        </w:rPr>
        <w:t xml:space="preserve">d </w:t>
      </w:r>
      <w:r w:rsidR="004B3F74" w:rsidRPr="008E39FC">
        <w:rPr>
          <w:b/>
          <w:bCs/>
          <w:sz w:val="24"/>
          <w:szCs w:val="24"/>
        </w:rPr>
        <w:t>Coors v. Security Life of Denver Insurance Co</w:t>
      </w:r>
      <w:r w:rsidR="004B3F74" w:rsidRPr="005A7E19">
        <w:rPr>
          <w:b/>
          <w:i/>
          <w:iCs/>
          <w:sz w:val="24"/>
          <w:szCs w:val="24"/>
        </w:rPr>
        <w:t>.</w:t>
      </w:r>
      <w:r w:rsidR="004B3F74" w:rsidRPr="008E39FC">
        <w:rPr>
          <w:sz w:val="24"/>
          <w:szCs w:val="24"/>
        </w:rPr>
        <w:t>, 112 P.3d 59, 64</w:t>
      </w:r>
      <w:r w:rsidR="004B3F74" w:rsidRPr="008E39FC">
        <w:rPr>
          <w:i/>
          <w:iCs/>
          <w:sz w:val="24"/>
          <w:szCs w:val="24"/>
        </w:rPr>
        <w:t xml:space="preserve"> </w:t>
      </w:r>
      <w:r w:rsidR="004B3F74" w:rsidRPr="008E39FC">
        <w:rPr>
          <w:sz w:val="24"/>
          <w:szCs w:val="24"/>
        </w:rPr>
        <w:t>(Colo. 2005) (“Under contract</w:t>
      </w:r>
      <w:r w:rsidR="004B3F74" w:rsidRPr="008E39FC">
        <w:rPr>
          <w:b/>
          <w:bCs/>
          <w:sz w:val="24"/>
          <w:szCs w:val="24"/>
        </w:rPr>
        <w:t xml:space="preserve"> </w:t>
      </w:r>
      <w:r w:rsidR="004B3F74" w:rsidRPr="008E39FC">
        <w:rPr>
          <w:sz w:val="24"/>
          <w:szCs w:val="24"/>
        </w:rPr>
        <w:t>law, a party to a contract</w:t>
      </w:r>
      <w:r w:rsidR="004B3F74" w:rsidRPr="008E39FC">
        <w:rPr>
          <w:b/>
          <w:bCs/>
          <w:sz w:val="24"/>
          <w:szCs w:val="24"/>
        </w:rPr>
        <w:t xml:space="preserve"> </w:t>
      </w:r>
      <w:r w:rsidR="004B3F74" w:rsidRPr="008E39FC">
        <w:rPr>
          <w:sz w:val="24"/>
          <w:szCs w:val="24"/>
        </w:rPr>
        <w:t>cannot claim its benefit where he is the first to violate its</w:t>
      </w:r>
      <w:r w:rsidR="004B3F74" w:rsidRPr="008E39FC">
        <w:rPr>
          <w:b/>
          <w:bCs/>
          <w:sz w:val="24"/>
          <w:szCs w:val="24"/>
        </w:rPr>
        <w:t xml:space="preserve"> </w:t>
      </w:r>
      <w:r w:rsidR="004B3F74" w:rsidRPr="008E39FC">
        <w:rPr>
          <w:sz w:val="24"/>
          <w:szCs w:val="24"/>
        </w:rPr>
        <w:t xml:space="preserve">terms.”). </w:t>
      </w:r>
    </w:p>
    <w:p w14:paraId="25BCA9C5" w14:textId="77777777" w:rsidR="003E47F0" w:rsidRDefault="004B3F74" w:rsidP="005A7E19">
      <w:pPr>
        <w:spacing w:after="240"/>
        <w:ind w:firstLine="720"/>
        <w:rPr>
          <w:rFonts w:eastAsia="Times New Roman"/>
          <w:bCs/>
          <w:sz w:val="24"/>
          <w:szCs w:val="24"/>
        </w:rPr>
      </w:pPr>
      <w:r>
        <w:rPr>
          <w:rFonts w:eastAsia="Times New Roman"/>
          <w:bCs/>
          <w:sz w:val="24"/>
          <w:szCs w:val="24"/>
        </w:rPr>
        <w:t xml:space="preserve">3. The scope of an insured’s promise to cooperate depends on the specific policy provision at issue, and whether there has been a breach of contract is a question of fact to be decided by the jury. </w:t>
      </w:r>
      <w:r w:rsidRPr="004A6200">
        <w:rPr>
          <w:rFonts w:eastAsia="Times New Roman"/>
          <w:b/>
          <w:sz w:val="24"/>
          <w:szCs w:val="24"/>
        </w:rPr>
        <w:t>State Farm</w:t>
      </w:r>
      <w:r>
        <w:rPr>
          <w:rFonts w:eastAsia="Times New Roman"/>
          <w:b/>
          <w:sz w:val="24"/>
          <w:szCs w:val="24"/>
        </w:rPr>
        <w:t xml:space="preserve"> Mut. Auto. Ins. Co.</w:t>
      </w:r>
      <w:r w:rsidRPr="004A6200">
        <w:rPr>
          <w:rFonts w:eastAsia="Times New Roman"/>
          <w:b/>
          <w:sz w:val="24"/>
          <w:szCs w:val="24"/>
        </w:rPr>
        <w:t xml:space="preserve"> v. Goddard</w:t>
      </w:r>
      <w:r w:rsidRPr="00C0406C">
        <w:rPr>
          <w:rFonts w:eastAsia="Times New Roman"/>
          <w:sz w:val="24"/>
          <w:szCs w:val="24"/>
        </w:rPr>
        <w:t>,</w:t>
      </w:r>
      <w:r>
        <w:rPr>
          <w:rFonts w:eastAsia="Times New Roman"/>
          <w:bCs/>
          <w:sz w:val="24"/>
          <w:szCs w:val="24"/>
        </w:rPr>
        <w:t xml:space="preserve"> 2021 COA 15, ¶ 45, 484 P.3d 765 (jury found that defendant breached promises to State Farm by submitting the issue of damages to arbitration and by failing to comply with State Farm’s requests for information).</w:t>
      </w:r>
    </w:p>
    <w:p w14:paraId="487678D5" w14:textId="659668F6" w:rsidR="00FB3EF4" w:rsidRDefault="003E47F0" w:rsidP="005A7E19">
      <w:pPr>
        <w:spacing w:after="240"/>
        <w:ind w:firstLine="720"/>
        <w:rPr>
          <w:rFonts w:eastAsia="Times New Roman"/>
          <w:bCs/>
          <w:sz w:val="24"/>
          <w:szCs w:val="24"/>
        </w:rPr>
      </w:pPr>
      <w:r>
        <w:rPr>
          <w:rFonts w:eastAsia="Times New Roman"/>
          <w:bCs/>
          <w:sz w:val="24"/>
          <w:szCs w:val="24"/>
        </w:rPr>
        <w:lastRenderedPageBreak/>
        <w:t>4.</w:t>
      </w:r>
      <w:r w:rsidRPr="003E47F0">
        <w:rPr>
          <w:rFonts w:eastAsia="Times New Roman"/>
          <w:bCs/>
          <w:sz w:val="24"/>
          <w:szCs w:val="24"/>
        </w:rPr>
        <w:t xml:space="preserve"> </w:t>
      </w:r>
      <w:r>
        <w:rPr>
          <w:rFonts w:eastAsia="Times New Roman"/>
          <w:bCs/>
          <w:sz w:val="24"/>
          <w:szCs w:val="24"/>
        </w:rPr>
        <w:t>A material breach excuses the injured party from further performance and allow</w:t>
      </w:r>
      <w:r w:rsidR="00736474">
        <w:rPr>
          <w:rFonts w:eastAsia="Times New Roman"/>
          <w:bCs/>
          <w:sz w:val="24"/>
          <w:szCs w:val="24"/>
        </w:rPr>
        <w:t>s</w:t>
      </w:r>
      <w:r>
        <w:rPr>
          <w:rFonts w:eastAsia="Times New Roman"/>
          <w:bCs/>
          <w:sz w:val="24"/>
          <w:szCs w:val="24"/>
        </w:rPr>
        <w:t xml:space="preserve"> the recovery of damages. </w:t>
      </w:r>
      <w:r w:rsidRPr="00357ACC">
        <w:rPr>
          <w:rFonts w:eastAsia="Times New Roman"/>
          <w:b/>
          <w:sz w:val="24"/>
          <w:szCs w:val="24"/>
        </w:rPr>
        <w:t xml:space="preserve">Gravina Siding </w:t>
      </w:r>
      <w:r w:rsidR="00736474">
        <w:rPr>
          <w:rFonts w:eastAsia="Times New Roman"/>
          <w:b/>
          <w:sz w:val="24"/>
          <w:szCs w:val="24"/>
        </w:rPr>
        <w:t>&amp;</w:t>
      </w:r>
      <w:r w:rsidRPr="00357ACC">
        <w:rPr>
          <w:rFonts w:eastAsia="Times New Roman"/>
          <w:b/>
          <w:sz w:val="24"/>
          <w:szCs w:val="24"/>
        </w:rPr>
        <w:t xml:space="preserve"> Windows Co. v. Gravina</w:t>
      </w:r>
      <w:r>
        <w:rPr>
          <w:rFonts w:eastAsia="Times New Roman"/>
          <w:bCs/>
          <w:sz w:val="24"/>
          <w:szCs w:val="24"/>
        </w:rPr>
        <w:t>, 2022 COA 50, ¶ 28</w:t>
      </w:r>
      <w:r w:rsidR="00275682">
        <w:rPr>
          <w:rFonts w:eastAsia="Times New Roman"/>
          <w:bCs/>
          <w:sz w:val="24"/>
          <w:szCs w:val="24"/>
        </w:rPr>
        <w:t>, 516 P.3d 37, 45</w:t>
      </w:r>
      <w:r>
        <w:rPr>
          <w:rFonts w:eastAsia="Times New Roman"/>
          <w:bCs/>
          <w:sz w:val="24"/>
          <w:szCs w:val="24"/>
        </w:rPr>
        <w:t xml:space="preserve"> (“by failing to complete the work in a timely and satisfactory manner, Gravina breached material terms of the contract and . . . [the plaintiffs] were entitled to terminate the agreement and recover actual damages”); </w:t>
      </w:r>
      <w:r w:rsidRPr="00357ACC">
        <w:rPr>
          <w:rFonts w:eastAsia="Times New Roman"/>
          <w:b/>
          <w:sz w:val="24"/>
          <w:szCs w:val="24"/>
        </w:rPr>
        <w:t>Morris v. Belfor USA Grp., Inc</w:t>
      </w:r>
      <w:r w:rsidRPr="00FB3EF4">
        <w:rPr>
          <w:rFonts w:eastAsia="Times New Roman"/>
          <w:b/>
          <w:bCs/>
          <w:sz w:val="24"/>
          <w:szCs w:val="24"/>
        </w:rPr>
        <w:t>.</w:t>
      </w:r>
      <w:r>
        <w:rPr>
          <w:rFonts w:eastAsia="Times New Roman"/>
          <w:bCs/>
          <w:sz w:val="24"/>
          <w:szCs w:val="24"/>
        </w:rPr>
        <w:t>, 201 P.3d 1253 (Colo. App. 2008).</w:t>
      </w:r>
    </w:p>
    <w:p w14:paraId="5645A39F" w14:textId="6F0D481F" w:rsidR="000627ED" w:rsidRDefault="00F425A4" w:rsidP="005A7E19">
      <w:pPr>
        <w:spacing w:after="240"/>
        <w:ind w:firstLine="720"/>
        <w:rPr>
          <w:rFonts w:eastAsia="Times New Roman"/>
          <w:bCs/>
          <w:sz w:val="24"/>
          <w:szCs w:val="24"/>
        </w:rPr>
      </w:pPr>
      <w:r>
        <w:rPr>
          <w:rFonts w:eastAsia="Times New Roman"/>
          <w:bCs/>
          <w:sz w:val="24"/>
          <w:szCs w:val="24"/>
        </w:rPr>
        <w:t xml:space="preserve">5. A payment on a security agreement becomes due on the date required by the contract’s original terms. </w:t>
      </w:r>
      <w:r w:rsidRPr="00703911">
        <w:rPr>
          <w:rFonts w:eastAsia="Times New Roman"/>
          <w:b/>
          <w:sz w:val="24"/>
          <w:szCs w:val="24"/>
        </w:rPr>
        <w:t>US Bank Nat</w:t>
      </w:r>
      <w:r w:rsidR="00703911">
        <w:rPr>
          <w:rFonts w:eastAsia="Times New Roman"/>
          <w:b/>
          <w:sz w:val="24"/>
          <w:szCs w:val="24"/>
        </w:rPr>
        <w:t>’</w:t>
      </w:r>
      <w:r w:rsidRPr="00703911">
        <w:rPr>
          <w:rFonts w:eastAsia="Times New Roman"/>
          <w:b/>
          <w:sz w:val="24"/>
          <w:szCs w:val="24"/>
        </w:rPr>
        <w:t>l Assoc. v. Silvernagel</w:t>
      </w:r>
      <w:r>
        <w:rPr>
          <w:rFonts w:eastAsia="Times New Roman"/>
          <w:bCs/>
          <w:sz w:val="24"/>
          <w:szCs w:val="24"/>
        </w:rPr>
        <w:t>, 2023 CO</w:t>
      </w:r>
      <w:r w:rsidR="00703911">
        <w:rPr>
          <w:rFonts w:eastAsia="Times New Roman"/>
          <w:bCs/>
          <w:sz w:val="24"/>
          <w:szCs w:val="24"/>
        </w:rPr>
        <w:t xml:space="preserve"> </w:t>
      </w:r>
      <w:r>
        <w:rPr>
          <w:rFonts w:eastAsia="Times New Roman"/>
          <w:bCs/>
          <w:sz w:val="24"/>
          <w:szCs w:val="24"/>
        </w:rPr>
        <w:t>17</w:t>
      </w:r>
      <w:r w:rsidR="00703911">
        <w:rPr>
          <w:rFonts w:eastAsia="Times New Roman"/>
          <w:bCs/>
          <w:sz w:val="24"/>
          <w:szCs w:val="24"/>
        </w:rPr>
        <w:t>,</w:t>
      </w:r>
      <w:r>
        <w:rPr>
          <w:rFonts w:eastAsia="Times New Roman"/>
          <w:bCs/>
          <w:sz w:val="24"/>
          <w:szCs w:val="24"/>
        </w:rPr>
        <w:t xml:space="preserve"> ¶ 13, 528 P.3d 163</w:t>
      </w:r>
      <w:r w:rsidR="00703911">
        <w:rPr>
          <w:rFonts w:eastAsia="Times New Roman"/>
          <w:bCs/>
          <w:sz w:val="24"/>
          <w:szCs w:val="24"/>
        </w:rPr>
        <w:t>, 166</w:t>
      </w:r>
      <w:r>
        <w:rPr>
          <w:rFonts w:eastAsia="Times New Roman"/>
          <w:bCs/>
          <w:sz w:val="24"/>
          <w:szCs w:val="24"/>
        </w:rPr>
        <w:t xml:space="preserve"> (“If a security agreement mandates regular monthly payments . . . the debt becomes due when each installment is missed.”)</w:t>
      </w:r>
      <w:r w:rsidR="00703911">
        <w:rPr>
          <w:rFonts w:eastAsia="Times New Roman"/>
          <w:bCs/>
          <w:sz w:val="24"/>
          <w:szCs w:val="24"/>
        </w:rPr>
        <w:t>.</w:t>
      </w:r>
    </w:p>
    <w:p w14:paraId="2F4FA74C" w14:textId="58DD9A54" w:rsidR="00527AD3" w:rsidRDefault="00527AD3" w:rsidP="005A7E19">
      <w:pPr>
        <w:spacing w:after="240"/>
        <w:ind w:firstLine="720"/>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2" w:name="a30_12"/>
      <w:bookmarkEnd w:id="12"/>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3A29CCD0"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A party (substantially performs) (or) (substantially complies with) the terms of a contract when the party performs the essential obligations under the contract, and the other party receives substantially what </w:t>
      </w:r>
      <w:r w:rsidR="00390234" w:rsidRPr="0070684C">
        <w:rPr>
          <w:rFonts w:eastAsia="Times New Roman"/>
          <w:i/>
          <w:iCs/>
          <w:sz w:val="24"/>
          <w:szCs w:val="24"/>
        </w:rPr>
        <w:t>(insert applicable pronoun</w:t>
      </w:r>
      <w:r w:rsidR="00390234">
        <w:rPr>
          <w:rFonts w:eastAsia="Times New Roman"/>
          <w:i/>
          <w:iCs/>
          <w:sz w:val="24"/>
          <w:szCs w:val="24"/>
        </w:rPr>
        <w:t>)</w:t>
      </w:r>
      <w:r w:rsidRPr="00527AD3">
        <w:rPr>
          <w:rFonts w:eastAsia="Times New Roman"/>
          <w:b/>
          <w:bCs/>
          <w:sz w:val="24"/>
          <w:szCs w:val="24"/>
        </w:rPr>
        <w:t xml:space="preserve">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F40886">
        <w:rPr>
          <w:rFonts w:eastAsia="Times New Roman"/>
          <w:b/>
          <w:bCs/>
          <w:sz w:val="24"/>
          <w:szCs w:val="24"/>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r w:rsidRPr="00527AD3">
        <w:rPr>
          <w:rFonts w:eastAsia="Times New Roman"/>
          <w:b/>
          <w:bCs/>
          <w:sz w:val="24"/>
          <w:szCs w:val="24"/>
        </w:rPr>
        <w:t>Interbank Invs.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 xml:space="preserve">Blood v. </w:t>
      </w:r>
      <w:r w:rsidRPr="00527AD3">
        <w:rPr>
          <w:rFonts w:eastAsia="Times New Roman"/>
          <w:b/>
          <w:bCs/>
          <w:sz w:val="24"/>
          <w:szCs w:val="24"/>
        </w:rPr>
        <w:lastRenderedPageBreak/>
        <w:t>Qwest Servs.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641EEF55"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r w:rsidRPr="00527AD3">
        <w:rPr>
          <w:rFonts w:eastAsia="Times New Roman"/>
          <w:b/>
          <w:bCs/>
          <w:sz w:val="24"/>
          <w:szCs w:val="24"/>
        </w:rPr>
        <w:t>Morris v. Belfor USA Grp</w:t>
      </w:r>
      <w:r w:rsidR="003E47F0">
        <w:rPr>
          <w:rFonts w:eastAsia="Times New Roman"/>
          <w:b/>
          <w:bCs/>
          <w:sz w:val="24"/>
          <w:szCs w:val="24"/>
        </w:rPr>
        <w:t>.</w:t>
      </w:r>
      <w:r w:rsidRPr="00527AD3">
        <w:rPr>
          <w:rFonts w:eastAsia="Times New Roman"/>
          <w:b/>
          <w:bCs/>
          <w:sz w:val="24"/>
          <w:szCs w:val="24"/>
        </w:rPr>
        <w:t>, Inc.</w:t>
      </w:r>
      <w:r w:rsidRPr="00527AD3">
        <w:rPr>
          <w:rFonts w:eastAsia="Times New Roman"/>
          <w:bCs/>
          <w:sz w:val="24"/>
          <w:szCs w:val="24"/>
        </w:rPr>
        <w:t xml:space="preserve">, 201 P.3d 1253 (Colo. App. 2008); </w:t>
      </w:r>
      <w:r w:rsidRPr="00527AD3">
        <w:rPr>
          <w:rFonts w:eastAsia="Times New Roman"/>
          <w:b/>
          <w:bCs/>
          <w:sz w:val="24"/>
          <w:szCs w:val="24"/>
        </w:rPr>
        <w:t>Kaiser v. Market Square Disc.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her a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r w:rsidRPr="00527AD3">
        <w:rPr>
          <w:rFonts w:eastAsia="Times New Roman"/>
          <w:b/>
          <w:bCs/>
          <w:sz w:val="24"/>
          <w:szCs w:val="24"/>
        </w:rPr>
        <w:t>Little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16C3F1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w:t>
      </w:r>
      <w:r w:rsidR="003E47F0">
        <w:rPr>
          <w:rFonts w:eastAsia="Times New Roman"/>
          <w:bCs/>
          <w:sz w:val="24"/>
          <w:szCs w:val="24"/>
        </w:rPr>
        <w:t>by partial performance</w:t>
      </w:r>
      <w:r w:rsidR="003E47F0" w:rsidRPr="00527AD3">
        <w:rPr>
          <w:rFonts w:eastAsia="Times New Roman"/>
          <w:bCs/>
          <w:sz w:val="24"/>
          <w:szCs w:val="24"/>
        </w:rPr>
        <w:t xml:space="preserve"> </w:t>
      </w:r>
      <w:r w:rsidRPr="00527AD3">
        <w:rPr>
          <w:rFonts w:eastAsia="Times New Roman"/>
          <w:bCs/>
          <w:sz w:val="24"/>
          <w:szCs w:val="24"/>
        </w:rPr>
        <w:t xml:space="preserve">to the extent those benefits exceed the loss caused by the party’s breach. </w:t>
      </w:r>
      <w:r w:rsidR="003E47F0" w:rsidRPr="00357ACC">
        <w:rPr>
          <w:rFonts w:eastAsia="Times New Roman"/>
          <w:b/>
          <w:sz w:val="24"/>
          <w:szCs w:val="24"/>
        </w:rPr>
        <w:t>Gravina</w:t>
      </w:r>
      <w:r w:rsidR="003E47F0">
        <w:rPr>
          <w:rFonts w:eastAsia="Times New Roman"/>
          <w:bCs/>
          <w:sz w:val="24"/>
          <w:szCs w:val="24"/>
        </w:rPr>
        <w:t xml:space="preserve"> </w:t>
      </w:r>
      <w:r w:rsidR="003E47F0" w:rsidRPr="00357ACC">
        <w:rPr>
          <w:rFonts w:eastAsia="Times New Roman"/>
          <w:b/>
          <w:sz w:val="24"/>
          <w:szCs w:val="24"/>
        </w:rPr>
        <w:t xml:space="preserve">Siding </w:t>
      </w:r>
      <w:r w:rsidR="00736474">
        <w:rPr>
          <w:rFonts w:eastAsia="Times New Roman"/>
          <w:b/>
          <w:sz w:val="24"/>
          <w:szCs w:val="24"/>
        </w:rPr>
        <w:t>&amp;</w:t>
      </w:r>
      <w:r w:rsidR="003E47F0" w:rsidRPr="00357ACC">
        <w:rPr>
          <w:rFonts w:eastAsia="Times New Roman"/>
          <w:b/>
          <w:sz w:val="24"/>
          <w:szCs w:val="24"/>
        </w:rPr>
        <w:t xml:space="preserve"> Windows Co. v. Gravina</w:t>
      </w:r>
      <w:r w:rsidR="003E47F0">
        <w:rPr>
          <w:rFonts w:eastAsia="Times New Roman"/>
          <w:bCs/>
          <w:sz w:val="24"/>
          <w:szCs w:val="24"/>
        </w:rPr>
        <w:t>, 2022 COA 50, ¶¶ 44, 76-77</w:t>
      </w:r>
      <w:r w:rsidR="004B108D">
        <w:rPr>
          <w:rFonts w:eastAsia="Times New Roman"/>
          <w:bCs/>
          <w:sz w:val="24"/>
          <w:szCs w:val="24"/>
        </w:rPr>
        <w:t>, 516 P.3d 37, 47</w:t>
      </w:r>
      <w:r w:rsidR="003E47F0">
        <w:rPr>
          <w:rFonts w:eastAsia="Times New Roman"/>
          <w:bCs/>
          <w:sz w:val="24"/>
          <w:szCs w:val="24"/>
        </w:rPr>
        <w:t xml:space="preserve"> (the non-breaching plaintiffs “received a benefit in the form of installation of siding on a portion of their home[,] done at Gravina’s expense,” for which </w:t>
      </w:r>
      <w:r w:rsidR="003E47F0" w:rsidRPr="00D30894">
        <w:rPr>
          <w:rFonts w:eastAsia="Times New Roman"/>
          <w:bCs/>
          <w:sz w:val="24"/>
          <w:szCs w:val="24"/>
        </w:rPr>
        <w:t>Gravina</w:t>
      </w:r>
      <w:r w:rsidR="003E47F0" w:rsidRPr="00357ACC">
        <w:rPr>
          <w:rFonts w:eastAsia="Times New Roman"/>
          <w:b/>
          <w:sz w:val="24"/>
          <w:szCs w:val="24"/>
        </w:rPr>
        <w:t xml:space="preserve"> </w:t>
      </w:r>
      <w:r w:rsidR="003E47F0">
        <w:rPr>
          <w:rFonts w:eastAsia="Times New Roman"/>
          <w:bCs/>
          <w:sz w:val="24"/>
          <w:szCs w:val="24"/>
        </w:rPr>
        <w:t xml:space="preserve">was entitled to recover); </w:t>
      </w:r>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616 P.2d at 991-92.</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3" w:name="a30_13"/>
      <w:bookmarkEnd w:id="13"/>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4E2505B2"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A party to a contract who shows a clear and definite intention not to perform the contract before the time when </w:t>
      </w:r>
      <w:r w:rsidR="00390234" w:rsidRPr="0070684C">
        <w:rPr>
          <w:rFonts w:eastAsia="Times New Roman"/>
          <w:i/>
          <w:iCs/>
          <w:sz w:val="24"/>
          <w:szCs w:val="24"/>
        </w:rPr>
        <w:t>(insert applicable pronoun</w:t>
      </w:r>
      <w:r w:rsidR="00390234">
        <w:rPr>
          <w:rFonts w:eastAsia="Times New Roman"/>
          <w:i/>
          <w:iCs/>
          <w:sz w:val="24"/>
          <w:szCs w:val="24"/>
        </w:rPr>
        <w:t>)</w:t>
      </w:r>
      <w:r w:rsidRPr="00527AD3">
        <w:rPr>
          <w:rFonts w:eastAsia="Times New Roman"/>
          <w:b/>
          <w:bCs/>
          <w:sz w:val="24"/>
          <w:szCs w:val="24"/>
        </w:rPr>
        <w:t xml:space="preserve">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r w:rsidRPr="00527AD3">
        <w:rPr>
          <w:rFonts w:eastAsia="Times New Roman"/>
          <w:b/>
          <w:bCs/>
          <w:sz w:val="24"/>
          <w:szCs w:val="24"/>
        </w:rPr>
        <w:t>Interbank Invs. LLC v. Vail Valley Consol. Water Dist.</w:t>
      </w:r>
      <w:r w:rsidRPr="00527AD3">
        <w:rPr>
          <w:rFonts w:eastAsia="Times New Roman"/>
          <w:bCs/>
          <w:sz w:val="24"/>
          <w:szCs w:val="24"/>
        </w:rPr>
        <w:t>, 12 P.3d 1224 (Colo. App. 2000).</w:t>
      </w:r>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4" w:name="a30_14"/>
      <w:bookmarkEnd w:id="14"/>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057BB24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003E47F0" w:rsidRPr="005D74C0">
        <w:rPr>
          <w:rFonts w:eastAsia="Times New Roman"/>
          <w:b/>
          <w:sz w:val="24"/>
          <w:szCs w:val="24"/>
        </w:rPr>
        <w:t>Shull v. Sexton</w:t>
      </w:r>
      <w:r w:rsidR="003E47F0">
        <w:rPr>
          <w:rFonts w:eastAsia="Times New Roman"/>
          <w:bCs/>
          <w:sz w:val="24"/>
          <w:szCs w:val="24"/>
        </w:rPr>
        <w:t>, 154 Colo. 311, 390 P.2d 313 (1964); and</w:t>
      </w:r>
      <w:r w:rsidR="003E47F0" w:rsidRPr="00527AD3">
        <w:rPr>
          <w:rFonts w:eastAsia="Times New Roman"/>
          <w:bCs/>
          <w:sz w:val="24"/>
          <w:szCs w:val="24"/>
        </w:rPr>
        <w:t xml:space="preserve">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00736474" w:rsidRPr="005D74C0">
        <w:rPr>
          <w:rFonts w:eastAsia="Times New Roman"/>
          <w:b/>
          <w:sz w:val="24"/>
          <w:szCs w:val="24"/>
        </w:rPr>
        <w:t xml:space="preserve">Gravina Siding </w:t>
      </w:r>
      <w:r w:rsidR="00736474">
        <w:rPr>
          <w:rFonts w:eastAsia="Times New Roman"/>
          <w:b/>
          <w:sz w:val="24"/>
          <w:szCs w:val="24"/>
        </w:rPr>
        <w:t>&amp;</w:t>
      </w:r>
      <w:r w:rsidR="00736474" w:rsidRPr="005D74C0">
        <w:rPr>
          <w:rFonts w:eastAsia="Times New Roman"/>
          <w:b/>
          <w:sz w:val="24"/>
          <w:szCs w:val="24"/>
        </w:rPr>
        <w:t xml:space="preserve"> Windows Co.</w:t>
      </w:r>
      <w:r w:rsidR="00736474">
        <w:rPr>
          <w:rFonts w:eastAsia="Times New Roman"/>
          <w:b/>
          <w:sz w:val="24"/>
          <w:szCs w:val="24"/>
        </w:rPr>
        <w:t xml:space="preserve"> v. </w:t>
      </w:r>
      <w:r w:rsidR="003E47F0" w:rsidRPr="005D74C0">
        <w:rPr>
          <w:rFonts w:eastAsia="Times New Roman"/>
          <w:b/>
          <w:sz w:val="24"/>
          <w:szCs w:val="24"/>
        </w:rPr>
        <w:t>Gravina</w:t>
      </w:r>
      <w:r w:rsidR="003E47F0">
        <w:rPr>
          <w:rFonts w:eastAsia="Times New Roman"/>
          <w:bCs/>
          <w:sz w:val="24"/>
          <w:szCs w:val="24"/>
        </w:rPr>
        <w:t>, 2022 COA 50, ¶ 20</w:t>
      </w:r>
      <w:r w:rsidR="00D30894">
        <w:rPr>
          <w:rFonts w:eastAsia="Times New Roman"/>
          <w:bCs/>
          <w:sz w:val="24"/>
          <w:szCs w:val="24"/>
        </w:rPr>
        <w:t>, 516 P.3d 37, 43</w:t>
      </w:r>
      <w:r w:rsidR="003E47F0">
        <w:rPr>
          <w:rFonts w:eastAsia="Times New Roman"/>
          <w:bCs/>
          <w:sz w:val="24"/>
          <w:szCs w:val="24"/>
        </w:rPr>
        <w:t xml:space="preserve"> (“if a contract contains no explicit provision concerning the time for a party’s performance of obligations, the party must perform within a ‘reasonable time’ as determined by the circumstances of the case”)</w:t>
      </w:r>
      <w:r w:rsidR="0070700B">
        <w:rPr>
          <w:rFonts w:eastAsia="Times New Roman"/>
          <w:bCs/>
          <w:sz w:val="24"/>
          <w:szCs w:val="24"/>
        </w:rPr>
        <w:t xml:space="preserve">; </w:t>
      </w:r>
      <w:r w:rsidRPr="00527AD3">
        <w:rPr>
          <w:rFonts w:eastAsia="Times New Roman"/>
          <w:b/>
          <w:bCs/>
          <w:sz w:val="24"/>
          <w:szCs w:val="24"/>
        </w:rPr>
        <w:t>Ranta Const., Inc. v. Anderson</w:t>
      </w:r>
      <w:r w:rsidRPr="00527AD3">
        <w:rPr>
          <w:rFonts w:eastAsia="Times New Roman"/>
          <w:bCs/>
          <w:sz w:val="24"/>
          <w:szCs w:val="24"/>
        </w:rPr>
        <w:t>, 190 P.3d 835</w:t>
      </w:r>
      <w:r w:rsidR="0070700B">
        <w:rPr>
          <w:rFonts w:eastAsia="Times New Roman"/>
          <w:bCs/>
          <w:sz w:val="24"/>
          <w:szCs w:val="24"/>
        </w:rPr>
        <w:t>, 841</w:t>
      </w:r>
      <w:r w:rsidRPr="00527AD3">
        <w:rPr>
          <w:rFonts w:eastAsia="Times New Roman"/>
          <w:bCs/>
          <w:sz w:val="24"/>
          <w:szCs w:val="24"/>
        </w:rPr>
        <w:t xml:space="preserve"> (Colo. App. 2008)</w:t>
      </w:r>
      <w:r w:rsidR="0070700B" w:rsidRPr="0070700B">
        <w:rPr>
          <w:rFonts w:eastAsia="Times New Roman"/>
          <w:bCs/>
          <w:sz w:val="24"/>
          <w:szCs w:val="24"/>
        </w:rPr>
        <w:t xml:space="preserve"> </w:t>
      </w:r>
      <w:r w:rsidR="0070700B">
        <w:rPr>
          <w:rFonts w:eastAsia="Times New Roman"/>
          <w:bCs/>
          <w:sz w:val="24"/>
          <w:szCs w:val="24"/>
        </w:rPr>
        <w:t>(“‘[I]n the absence of a specific time for performance in the contract, the law implies a reasonable time,’ measured by the circumstances of the case.” (</w:t>
      </w:r>
      <w:r w:rsidR="0070700B">
        <w:t xml:space="preserve">quoting </w:t>
      </w:r>
      <w:r w:rsidR="0070700B" w:rsidRPr="00FB3EF4">
        <w:rPr>
          <w:rStyle w:val="Emphasis"/>
          <w:b/>
          <w:bCs/>
          <w:i w:val="0"/>
          <w:iCs w:val="0"/>
        </w:rPr>
        <w:t>Adams v. City of Westminster</w:t>
      </w:r>
      <w:r w:rsidR="0070700B" w:rsidRPr="00FB3EF4">
        <w:t>, 140 P.3d 8, 11 (Colo. App. 2005)</w:t>
      </w:r>
      <w:r w:rsidR="0070700B">
        <w:t>)</w:t>
      </w:r>
      <w:r w:rsidR="0070700B">
        <w:rPr>
          <w:rFonts w:eastAsia="Times New Roman"/>
          <w:bCs/>
          <w:sz w:val="24"/>
          <w:szCs w:val="24"/>
        </w:rPr>
        <w:t>)</w:t>
      </w:r>
      <w:r w:rsidRPr="00527AD3">
        <w:rPr>
          <w:rFonts w:eastAsia="Times New Roman"/>
          <w:bCs/>
          <w:sz w:val="24"/>
          <w:szCs w:val="24"/>
        </w:rPr>
        <w:t>.</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r w:rsidRPr="00527AD3">
        <w:rPr>
          <w:rFonts w:eastAsia="Times New Roman"/>
          <w:b/>
          <w:bCs/>
          <w:sz w:val="24"/>
          <w:szCs w:val="24"/>
        </w:rPr>
        <w:t>Larimer v. Salida Granite Corp.</w:t>
      </w:r>
      <w:r w:rsidRPr="00527AD3">
        <w:rPr>
          <w:rFonts w:eastAsia="Times New Roman"/>
          <w:bCs/>
          <w:sz w:val="24"/>
          <w:szCs w:val="24"/>
        </w:rPr>
        <w:t xml:space="preserve">, 112 Colo. 598, 153 P.2d 998 (1944).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5" w:name="a30_15"/>
      <w:bookmarkEnd w:id="15"/>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r w:rsidRPr="00F57A28">
        <w:rPr>
          <w:rFonts w:eastAsia="Times New Roman"/>
          <w:bCs/>
          <w:smallCaps/>
          <w:sz w:val="24"/>
          <w:szCs w:val="24"/>
        </w:rPr>
        <w:t>Restatement (Second) of Contracts</w:t>
      </w:r>
      <w:r w:rsidRPr="00F57A28">
        <w:rPr>
          <w:rFonts w:eastAsia="Times New Roman"/>
          <w:bCs/>
          <w:sz w:val="24"/>
          <w:szCs w:val="24"/>
        </w:rPr>
        <w:t xml:space="preserve"> § 224 (1981).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r w:rsidRPr="00F57A28">
        <w:rPr>
          <w:rFonts w:eastAsia="Times New Roman"/>
          <w:b/>
          <w:bCs/>
          <w:sz w:val="24"/>
          <w:szCs w:val="24"/>
        </w:rPr>
        <w:t>Blood v. Qwest Servs.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36175FA1"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Main Elec., Ltd. v. Printz Servs. Corp.</w:t>
      </w:r>
      <w:r w:rsidRPr="00F57A28">
        <w:rPr>
          <w:rFonts w:eastAsia="Times New Roman"/>
          <w:bCs/>
          <w:sz w:val="24"/>
          <w:szCs w:val="24"/>
        </w:rPr>
        <w:t>, 980 P.2d 522 (Colo. 1999).</w:t>
      </w:r>
    </w:p>
    <w:p w14:paraId="39BC6A5F" w14:textId="66FCF7FB" w:rsidR="00986A4E" w:rsidRDefault="00986A4E" w:rsidP="00F57A28">
      <w:pPr>
        <w:spacing w:after="240"/>
        <w:ind w:firstLine="720"/>
        <w:rPr>
          <w:rFonts w:eastAsia="Times New Roman"/>
          <w:bCs/>
          <w:sz w:val="24"/>
          <w:szCs w:val="24"/>
        </w:rPr>
      </w:pPr>
      <w:r>
        <w:rPr>
          <w:rFonts w:eastAsia="Times New Roman"/>
          <w:bCs/>
          <w:sz w:val="24"/>
          <w:szCs w:val="24"/>
        </w:rPr>
        <w:t>4</w:t>
      </w:r>
      <w:r w:rsidRPr="0000321C">
        <w:rPr>
          <w:rFonts w:eastAsia="Times New Roman"/>
          <w:bCs/>
          <w:sz w:val="24"/>
          <w:szCs w:val="24"/>
        </w:rPr>
        <w:t xml:space="preserve">. In some instances, a demand or notice may be a condition precedent to creating a cause of action for breach of contract. </w:t>
      </w:r>
      <w:r w:rsidRPr="0000321C">
        <w:rPr>
          <w:rFonts w:eastAsia="Times New Roman"/>
          <w:bCs/>
          <w:i/>
          <w:sz w:val="24"/>
          <w:szCs w:val="24"/>
        </w:rPr>
        <w:t>See, e.g.</w:t>
      </w:r>
      <w:r w:rsidRPr="0000321C">
        <w:rPr>
          <w:rFonts w:eastAsia="Times New Roman"/>
          <w:bCs/>
          <w:sz w:val="24"/>
          <w:szCs w:val="24"/>
        </w:rPr>
        <w:t xml:space="preserve">, </w:t>
      </w:r>
      <w:r w:rsidRPr="00357ACC">
        <w:rPr>
          <w:rFonts w:eastAsia="Times New Roman"/>
          <w:b/>
          <w:sz w:val="24"/>
          <w:szCs w:val="24"/>
        </w:rPr>
        <w:t>Gregory v. Safeco Ins. Co.</w:t>
      </w:r>
      <w:r>
        <w:rPr>
          <w:rFonts w:eastAsia="Times New Roman"/>
          <w:bCs/>
          <w:sz w:val="24"/>
          <w:szCs w:val="24"/>
        </w:rPr>
        <w:t xml:space="preserve">, 2022 COA 45, ¶ 38, 514 P.3d 971, 979 (“Gregory’s policy [required] that she report hail damage within 365 days . . . </w:t>
      </w:r>
      <w:r>
        <w:rPr>
          <w:rFonts w:eastAsia="Times New Roman"/>
          <w:bCs/>
          <w:sz w:val="24"/>
          <w:szCs w:val="24"/>
        </w:rPr>
        <w:lastRenderedPageBreak/>
        <w:t>[therefore] Gregory’s timely notice of loss was a condition precedent to her contractual right to recover for the hail damage to her home.”)</w:t>
      </w:r>
      <w:r w:rsidRPr="0000321C">
        <w:rPr>
          <w:rFonts w:eastAsia="Times New Roman"/>
          <w:bCs/>
          <w:sz w:val="24"/>
          <w:szCs w:val="24"/>
        </w:rPr>
        <w:t>.</w:t>
      </w:r>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6" w:name="a30_16"/>
      <w:bookmarkEnd w:id="16"/>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28FE7D8D"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 xml:space="preserve">A party performs a contract in good faith when </w:t>
      </w:r>
      <w:r w:rsidR="00390234" w:rsidRPr="0070684C">
        <w:rPr>
          <w:rFonts w:eastAsia="Times New Roman"/>
          <w:i/>
          <w:iCs/>
          <w:sz w:val="24"/>
          <w:szCs w:val="24"/>
        </w:rPr>
        <w:t>(insert applicable pronoun</w:t>
      </w:r>
      <w:r w:rsidR="00390234">
        <w:rPr>
          <w:rFonts w:eastAsia="Times New Roman"/>
          <w:i/>
          <w:iCs/>
          <w:sz w:val="24"/>
          <w:szCs w:val="24"/>
        </w:rPr>
        <w:t>)</w:t>
      </w:r>
      <w:r w:rsidRPr="00B96786">
        <w:rPr>
          <w:rFonts w:eastAsia="Times New Roman"/>
          <w:b/>
          <w:bCs/>
          <w:sz w:val="24"/>
          <w:szCs w:val="24"/>
        </w:rPr>
        <w:t xml:space="preserve">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r w:rsidRPr="00B96786">
        <w:rPr>
          <w:rFonts w:eastAsia="Times New Roman"/>
          <w:bCs/>
          <w:sz w:val="24"/>
          <w:szCs w:val="24"/>
        </w:rPr>
        <w:t>None.</w:t>
      </w:r>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348 P.3d 957; </w:t>
      </w:r>
      <w:r w:rsidRPr="00EA3B32">
        <w:rPr>
          <w:rFonts w:eastAsia="Times New Roman"/>
          <w:b/>
          <w:bCs/>
          <w:sz w:val="24"/>
          <w:szCs w:val="24"/>
        </w:rPr>
        <w:t>Platt v. Aspenwood Condo. Ass’n, Inc.</w:t>
      </w:r>
      <w:r w:rsidRPr="00EA3B32">
        <w:rPr>
          <w:rFonts w:eastAsia="Times New Roman"/>
          <w:bCs/>
          <w:sz w:val="24"/>
          <w:szCs w:val="24"/>
        </w:rPr>
        <w:t xml:space="preserve">, 214 P.3d 1060 (Colo. App. 2009).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t>Lutfi v. Brighton Cmty. 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 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xml:space="preserve">, 929 P.2d 42 (Colo. App. 1996).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lastRenderedPageBreak/>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State Farm Mut. Auto. Ins. Co. v. Nissen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Davis v. M.L.G.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ADT Sec. Servs.,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Nissen</w:t>
      </w:r>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Dupre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r w:rsidRPr="00EA3B32">
        <w:rPr>
          <w:rFonts w:eastAsia="Times New Roman"/>
          <w:b/>
          <w:bCs/>
          <w:sz w:val="24"/>
          <w:szCs w:val="24"/>
        </w:rPr>
        <w:t>Spaur v. Allstate Ins. Co.</w:t>
      </w:r>
      <w:r w:rsidRPr="00EA3B32">
        <w:rPr>
          <w:rFonts w:eastAsia="Times New Roman"/>
          <w:bCs/>
          <w:sz w:val="24"/>
          <w:szCs w:val="24"/>
        </w:rPr>
        <w:t xml:space="preserve">, 942 P.2d 1261 (Colo. App. 1996); </w:t>
      </w:r>
      <w:r w:rsidRPr="00EA3B32">
        <w:rPr>
          <w:rFonts w:eastAsia="Times New Roman"/>
          <w:b/>
          <w:bCs/>
          <w:sz w:val="24"/>
          <w:szCs w:val="24"/>
        </w:rPr>
        <w:t>Shean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712 P.2d 990-91.</w:t>
      </w:r>
    </w:p>
    <w:p w14:paraId="4F2B5946" w14:textId="4EDF274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712 P.2d at 990;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Spaur</w:t>
      </w:r>
      <w:r w:rsidRPr="00EA3B32">
        <w:rPr>
          <w:rFonts w:eastAsia="Times New Roman"/>
          <w:bCs/>
          <w:sz w:val="24"/>
          <w:szCs w:val="24"/>
        </w:rPr>
        <w:t xml:space="preserve">, 942 P.2d 1265; </w:t>
      </w:r>
      <w:r w:rsidRPr="00EA3B32">
        <w:rPr>
          <w:rFonts w:eastAsia="Times New Roman"/>
          <w:b/>
          <w:bCs/>
          <w:sz w:val="24"/>
          <w:szCs w:val="24"/>
        </w:rPr>
        <w:t>Shelter Mut. Ins. Co. v. Breit</w:t>
      </w:r>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24, 490 P.3d 1063 (a party signing an agreement is presumed to know its contents and to have assented to its terms)</w:t>
      </w:r>
      <w:r w:rsidRPr="00EA3B32">
        <w:rPr>
          <w:rFonts w:eastAsia="Times New Roman"/>
          <w:bCs/>
          <w:sz w:val="24"/>
          <w:szCs w:val="24"/>
        </w:rPr>
        <w:t>.</w:t>
      </w:r>
    </w:p>
    <w:p w14:paraId="4D0C9FD5" w14:textId="462F0CF5"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w:t>
      </w:r>
      <w:r w:rsidR="0070700B">
        <w:rPr>
          <w:rFonts w:eastAsia="Times New Roman"/>
          <w:bCs/>
          <w:sz w:val="24"/>
          <w:szCs w:val="24"/>
        </w:rPr>
        <w:t xml:space="preserve">The implied </w:t>
      </w:r>
      <w:r w:rsidR="0015641B">
        <w:rPr>
          <w:rFonts w:eastAsia="Times New Roman"/>
          <w:bCs/>
          <w:sz w:val="24"/>
          <w:szCs w:val="24"/>
        </w:rPr>
        <w:t xml:space="preserve">contractual </w:t>
      </w:r>
      <w:r w:rsidR="0070700B">
        <w:rPr>
          <w:rFonts w:eastAsia="Times New Roman"/>
          <w:bCs/>
          <w:sz w:val="24"/>
          <w:szCs w:val="24"/>
        </w:rPr>
        <w:t xml:space="preserve">duty of good faith and fair dealing may displace tort duties applicable to the same conduct under the economic loss rule. </w:t>
      </w:r>
      <w:r w:rsidR="0070700B" w:rsidRPr="00FA35C9">
        <w:rPr>
          <w:rFonts w:eastAsia="Times New Roman"/>
          <w:b/>
          <w:sz w:val="24"/>
          <w:szCs w:val="24"/>
        </w:rPr>
        <w:t>Dream Finders Homes LLC v. Wey</w:t>
      </w:r>
      <w:r w:rsidR="0070700B">
        <w:rPr>
          <w:rFonts w:eastAsia="Times New Roman"/>
          <w:b/>
          <w:sz w:val="24"/>
          <w:szCs w:val="24"/>
        </w:rPr>
        <w:t>er</w:t>
      </w:r>
      <w:r w:rsidR="0070700B" w:rsidRPr="00FA35C9">
        <w:rPr>
          <w:rFonts w:eastAsia="Times New Roman"/>
          <w:b/>
          <w:sz w:val="24"/>
          <w:szCs w:val="24"/>
        </w:rPr>
        <w:t>haeuser NR Co</w:t>
      </w:r>
      <w:r w:rsidR="0070700B">
        <w:rPr>
          <w:rFonts w:eastAsia="Times New Roman"/>
          <w:b/>
          <w:sz w:val="24"/>
          <w:szCs w:val="24"/>
        </w:rPr>
        <w:t>.</w:t>
      </w:r>
      <w:r w:rsidR="0070700B" w:rsidRPr="00CF7D11">
        <w:rPr>
          <w:rFonts w:eastAsia="Times New Roman"/>
          <w:sz w:val="24"/>
          <w:szCs w:val="24"/>
        </w:rPr>
        <w:t>,</w:t>
      </w:r>
      <w:r w:rsidR="0070700B">
        <w:rPr>
          <w:rFonts w:eastAsia="Times New Roman"/>
          <w:bCs/>
          <w:sz w:val="24"/>
          <w:szCs w:val="24"/>
        </w:rPr>
        <w:t xml:space="preserve"> 2021 COA 143, ¶¶ 68-69, 506 P.3d 108, 123 (</w:t>
      </w:r>
      <w:r w:rsidR="00736474">
        <w:rPr>
          <w:rFonts w:eastAsia="Times New Roman"/>
          <w:bCs/>
          <w:sz w:val="24"/>
          <w:szCs w:val="24"/>
        </w:rPr>
        <w:t>Defendant</w:t>
      </w:r>
      <w:r w:rsidR="0070700B">
        <w:rPr>
          <w:rFonts w:eastAsia="Times New Roman"/>
          <w:bCs/>
          <w:sz w:val="24"/>
          <w:szCs w:val="24"/>
        </w:rPr>
        <w:t xml:space="preserve"> owed a</w:t>
      </w:r>
      <w:r w:rsidR="0015641B">
        <w:rPr>
          <w:rFonts w:eastAsia="Times New Roman"/>
          <w:bCs/>
          <w:sz w:val="24"/>
          <w:szCs w:val="24"/>
        </w:rPr>
        <w:t>n implied</w:t>
      </w:r>
      <w:r w:rsidR="0070700B">
        <w:rPr>
          <w:rFonts w:eastAsia="Times New Roman"/>
          <w:bCs/>
          <w:sz w:val="24"/>
          <w:szCs w:val="24"/>
        </w:rPr>
        <w:t xml:space="preserve"> contractual duty </w:t>
      </w:r>
      <w:r w:rsidR="0015641B">
        <w:rPr>
          <w:rFonts w:eastAsia="Times New Roman"/>
          <w:bCs/>
          <w:sz w:val="24"/>
          <w:szCs w:val="24"/>
        </w:rPr>
        <w:t xml:space="preserve">of good faith and fair dealing </w:t>
      </w:r>
      <w:r w:rsidR="0070700B">
        <w:rPr>
          <w:rFonts w:eastAsia="Times New Roman"/>
          <w:bCs/>
          <w:sz w:val="24"/>
          <w:szCs w:val="24"/>
        </w:rPr>
        <w:t xml:space="preserve">not to misrepresent the quality and safety </w:t>
      </w:r>
      <w:r w:rsidR="00736474">
        <w:rPr>
          <w:rFonts w:eastAsia="Times New Roman"/>
          <w:bCs/>
          <w:sz w:val="24"/>
          <w:szCs w:val="24"/>
        </w:rPr>
        <w:t xml:space="preserve">of </w:t>
      </w:r>
      <w:r w:rsidR="0070700B">
        <w:rPr>
          <w:rFonts w:eastAsia="Times New Roman"/>
          <w:bCs/>
          <w:sz w:val="24"/>
          <w:szCs w:val="24"/>
        </w:rPr>
        <w:t>its product and a concurrent tort duty not to misrepresent the condition and safety of the same product. “Because the duties overlapped . . . a breach of the duties support a claim for breach of contract but not a tort claim.”).</w:t>
      </w:r>
    </w:p>
    <w:p w14:paraId="785C7A34" w14:textId="49CC3C0A"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r w:rsidRPr="00EA3B32">
        <w:rPr>
          <w:rFonts w:eastAsia="Times New Roman"/>
          <w:b/>
          <w:bCs/>
          <w:sz w:val="24"/>
          <w:szCs w:val="24"/>
        </w:rPr>
        <w:t>City of Boulder v. Pub. Serv. Co.</w:t>
      </w:r>
      <w:r w:rsidRPr="00EA3B32">
        <w:rPr>
          <w:rFonts w:eastAsia="Times New Roman"/>
          <w:bCs/>
          <w:sz w:val="24"/>
          <w:szCs w:val="24"/>
        </w:rPr>
        <w:t xml:space="preserve">, 996 P.2d 198 (Colo. App. 1999); </w:t>
      </w:r>
      <w:r w:rsidRPr="00EA3B32">
        <w:rPr>
          <w:rFonts w:eastAsia="Times New Roman"/>
          <w:b/>
          <w:bCs/>
          <w:sz w:val="24"/>
          <w:szCs w:val="24"/>
        </w:rPr>
        <w:t>Soderlun v. Pub. Serv.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lastRenderedPageBreak/>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r w:rsidRPr="00EA3B32">
        <w:rPr>
          <w:rFonts w:eastAsia="Times New Roman"/>
          <w:b/>
          <w:bCs/>
          <w:sz w:val="24"/>
          <w:szCs w:val="24"/>
        </w:rPr>
        <w:t>Mortg. Fin., Inc. v. Podleski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Newflower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r w:rsidRPr="00EA3B32">
        <w:rPr>
          <w:rFonts w:eastAsia="Times New Roman"/>
          <w:b/>
          <w:bCs/>
          <w:sz w:val="24"/>
          <w:szCs w:val="24"/>
        </w:rPr>
        <w:t>Lutfi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151 P.3d 685 (Colo. App. 2006).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908 P.2d at 498-99.</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cmt. e (1981));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Ranta Constr., Inc. v. Anderson</w:t>
      </w:r>
      <w:r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924 P.2d at 154.</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r w:rsidRPr="00EA3B32">
        <w:rPr>
          <w:rFonts w:eastAsia="Times New Roman"/>
          <w:b/>
          <w:bCs/>
          <w:sz w:val="24"/>
          <w:szCs w:val="24"/>
        </w:rPr>
        <w:t>Soderlun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944 P.2d at 623.</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r w:rsidRPr="00EA3B32">
        <w:rPr>
          <w:rFonts w:eastAsia="Times New Roman"/>
          <w:b/>
          <w:bCs/>
          <w:sz w:val="24"/>
          <w:szCs w:val="24"/>
        </w:rPr>
        <w:t>Decker v. Browning-Ferris Indus. of Colo., Inc.</w:t>
      </w:r>
      <w:r w:rsidRPr="00EA3B32">
        <w:rPr>
          <w:rFonts w:eastAsia="Times New Roman"/>
          <w:bCs/>
          <w:sz w:val="24"/>
          <w:szCs w:val="24"/>
        </w:rPr>
        <w:t xml:space="preserve">, 931 P.2d 436 (Colo. 1997). </w:t>
      </w:r>
      <w:r w:rsidRPr="00EA3B32">
        <w:rPr>
          <w:rFonts w:eastAsia="Times New Roman"/>
          <w:bCs/>
          <w:sz w:val="24"/>
          <w:szCs w:val="24"/>
        </w:rPr>
        <w:lastRenderedPageBreak/>
        <w:t xml:space="preserve">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2012 COA 214, ¶ 22, 293 P.3d 598.</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7" w:name="a30_17"/>
      <w:bookmarkEnd w:id="17"/>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1B2A97FC"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w:t>
      </w:r>
      <w:r w:rsidR="00390234" w:rsidRPr="0070684C">
        <w:rPr>
          <w:rFonts w:eastAsia="Times New Roman"/>
          <w:i/>
          <w:iCs/>
          <w:sz w:val="24"/>
          <w:szCs w:val="24"/>
        </w:rPr>
        <w:t>(insert applicable pronoun</w:t>
      </w:r>
      <w:r w:rsidR="00390234">
        <w:rPr>
          <w:rFonts w:eastAsia="Times New Roman"/>
          <w:i/>
          <w:iCs/>
          <w:sz w:val="24"/>
          <w:szCs w:val="24"/>
        </w:rPr>
        <w:t>)</w:t>
      </w:r>
      <w:r w:rsidRPr="00F755B7">
        <w:rPr>
          <w:rFonts w:eastAsia="Times New Roman"/>
          <w:b/>
          <w:bCs/>
          <w:sz w:val="24"/>
          <w:szCs w:val="24"/>
        </w:rPr>
        <w:t xml:space="preserve">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r w:rsidRPr="00F755B7">
        <w:rPr>
          <w:rFonts w:eastAsia="Times New Roman"/>
          <w:bCs/>
          <w:smallCaps/>
          <w:sz w:val="24"/>
          <w:szCs w:val="24"/>
        </w:rPr>
        <w:t>Restatement (Second) of Contracts</w:t>
      </w:r>
      <w:r w:rsidRPr="00F755B7">
        <w:rPr>
          <w:rFonts w:eastAsia="Times New Roman"/>
          <w:bCs/>
          <w:sz w:val="24"/>
          <w:szCs w:val="24"/>
        </w:rPr>
        <w:t xml:space="preserve"> § 317(1) (1981).</w:t>
      </w:r>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18" w:name="IntroNoteC"/>
      <w:bookmarkEnd w:id="18"/>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Casey v. Colo. Higher Educ. Ins. Benefits All. 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127 Colo. 416, 257 P.2d 412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5CC8CBC0"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176 P.3d 737 (Colo. 2007) (contract for renewal authority to acquire certain property by eminent domain condemnation if necessary not void);</w:t>
      </w:r>
      <w:r w:rsidR="000A705F">
        <w:rPr>
          <w:rFonts w:eastAsia="Times New Roman"/>
          <w:bCs/>
          <w:sz w:val="24"/>
          <w:szCs w:val="24"/>
        </w:rPr>
        <w:t xml:space="preserve"> </w:t>
      </w:r>
      <w:r w:rsidR="000A705F" w:rsidRPr="00703911">
        <w:rPr>
          <w:rFonts w:eastAsia="Times New Roman"/>
          <w:b/>
          <w:sz w:val="24"/>
          <w:szCs w:val="24"/>
        </w:rPr>
        <w:t>Heights Healthcare Co., LLC v. BCER Eng</w:t>
      </w:r>
      <w:r w:rsidR="00703911">
        <w:rPr>
          <w:rFonts w:eastAsia="Times New Roman"/>
          <w:b/>
          <w:sz w:val="24"/>
          <w:szCs w:val="24"/>
        </w:rPr>
        <w:t>’</w:t>
      </w:r>
      <w:r w:rsidR="000A705F" w:rsidRPr="00703911">
        <w:rPr>
          <w:rFonts w:eastAsia="Times New Roman"/>
          <w:b/>
          <w:sz w:val="24"/>
          <w:szCs w:val="24"/>
        </w:rPr>
        <w:t>g</w:t>
      </w:r>
      <w:r w:rsidR="00703911">
        <w:rPr>
          <w:rFonts w:eastAsia="Times New Roman"/>
          <w:b/>
          <w:sz w:val="24"/>
          <w:szCs w:val="24"/>
        </w:rPr>
        <w:t>, Inc.</w:t>
      </w:r>
      <w:r w:rsidR="000A705F">
        <w:rPr>
          <w:rFonts w:eastAsia="Times New Roman"/>
          <w:bCs/>
          <w:sz w:val="24"/>
          <w:szCs w:val="24"/>
        </w:rPr>
        <w:t>, 2023 COA 44, ¶</w:t>
      </w:r>
      <w:r w:rsidR="00703911">
        <w:rPr>
          <w:rFonts w:eastAsia="Times New Roman"/>
          <w:bCs/>
          <w:sz w:val="24"/>
          <w:szCs w:val="24"/>
        </w:rPr>
        <w:t xml:space="preserve"> </w:t>
      </w:r>
      <w:r w:rsidR="000A705F">
        <w:rPr>
          <w:rFonts w:eastAsia="Times New Roman"/>
          <w:bCs/>
          <w:sz w:val="24"/>
          <w:szCs w:val="24"/>
        </w:rPr>
        <w:t>26 (“Heights Healthcare is a ‘residential property’ . . . therefore</w:t>
      </w:r>
      <w:r w:rsidR="00390234">
        <w:rPr>
          <w:rFonts w:eastAsia="Times New Roman"/>
          <w:bCs/>
          <w:sz w:val="24"/>
          <w:szCs w:val="24"/>
        </w:rPr>
        <w:t>,</w:t>
      </w:r>
      <w:r w:rsidR="000A705F">
        <w:rPr>
          <w:rFonts w:eastAsia="Times New Roman"/>
          <w:bCs/>
          <w:sz w:val="24"/>
          <w:szCs w:val="24"/>
        </w:rPr>
        <w:t xml:space="preserve"> the trial court erred by enforcing” the contract term limiting liability under the Homeowner Protection Act);</w:t>
      </w:r>
      <w:r w:rsidRPr="00F755B7">
        <w:rPr>
          <w:rFonts w:eastAsia="Times New Roman"/>
          <w:bCs/>
          <w:sz w:val="24"/>
          <w:szCs w:val="24"/>
        </w:rPr>
        <w:t xml:space="preserve">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raised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
    <w:p w14:paraId="70CD4F95" w14:textId="28CAA926" w:rsidR="00753103" w:rsidRPr="00A84688"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r w:rsidRPr="00A84688">
        <w:rPr>
          <w:rFonts w:eastAsia="Times New Roman"/>
          <w:bCs/>
          <w:sz w:val="24"/>
          <w:szCs w:val="24"/>
        </w:rPr>
        <w:t xml:space="preserve"> </w:t>
      </w:r>
      <w:r w:rsidR="0015641B">
        <w:rPr>
          <w:rFonts w:eastAsia="Times New Roman"/>
          <w:bCs/>
          <w:sz w:val="24"/>
          <w:szCs w:val="24"/>
        </w:rPr>
        <w:t xml:space="preserve">A contract term that violates </w:t>
      </w:r>
      <w:r w:rsidR="0070700B">
        <w:rPr>
          <w:rFonts w:eastAsia="Times New Roman"/>
          <w:bCs/>
          <w:sz w:val="24"/>
          <w:szCs w:val="24"/>
        </w:rPr>
        <w:t xml:space="preserve">Colorado Rule of Professional Conduct 5.6(a), which governs restrictions on the practice of law after departure from a firm, </w:t>
      </w:r>
      <w:r w:rsidR="006454FD">
        <w:rPr>
          <w:rFonts w:eastAsia="Times New Roman"/>
          <w:bCs/>
          <w:sz w:val="24"/>
          <w:szCs w:val="24"/>
        </w:rPr>
        <w:t>is void as against</w:t>
      </w:r>
      <w:r w:rsidR="0070700B">
        <w:rPr>
          <w:rFonts w:eastAsia="Times New Roman"/>
          <w:bCs/>
          <w:sz w:val="24"/>
          <w:szCs w:val="24"/>
        </w:rPr>
        <w:t xml:space="preserve"> public policy</w:t>
      </w:r>
      <w:r w:rsidR="006454FD">
        <w:rPr>
          <w:rFonts w:eastAsia="Times New Roman"/>
          <w:bCs/>
          <w:sz w:val="24"/>
          <w:szCs w:val="24"/>
        </w:rPr>
        <w:t>,</w:t>
      </w:r>
      <w:r w:rsidR="0015641B">
        <w:rPr>
          <w:rFonts w:eastAsia="Times New Roman"/>
          <w:bCs/>
          <w:sz w:val="24"/>
          <w:szCs w:val="24"/>
        </w:rPr>
        <w:t xml:space="preserve"> </w:t>
      </w:r>
      <w:r w:rsidR="0070700B">
        <w:rPr>
          <w:rFonts w:eastAsia="Times New Roman"/>
          <w:bCs/>
          <w:sz w:val="24"/>
          <w:szCs w:val="24"/>
        </w:rPr>
        <w:t xml:space="preserve">but </w:t>
      </w:r>
      <w:r w:rsidR="006454FD">
        <w:rPr>
          <w:rFonts w:eastAsia="Times New Roman"/>
          <w:bCs/>
          <w:sz w:val="24"/>
          <w:szCs w:val="24"/>
        </w:rPr>
        <w:t>the remainder of the agr</w:t>
      </w:r>
      <w:r w:rsidR="0070700B">
        <w:rPr>
          <w:rFonts w:eastAsia="Times New Roman"/>
          <w:bCs/>
          <w:sz w:val="24"/>
          <w:szCs w:val="24"/>
        </w:rPr>
        <w:t xml:space="preserve">eement </w:t>
      </w:r>
      <w:r w:rsidR="006454FD">
        <w:rPr>
          <w:rFonts w:eastAsia="Times New Roman"/>
          <w:bCs/>
          <w:sz w:val="24"/>
          <w:szCs w:val="24"/>
        </w:rPr>
        <w:t xml:space="preserve">is </w:t>
      </w:r>
      <w:r w:rsidR="0070700B">
        <w:rPr>
          <w:rFonts w:eastAsia="Times New Roman"/>
          <w:bCs/>
          <w:sz w:val="24"/>
          <w:szCs w:val="24"/>
        </w:rPr>
        <w:t xml:space="preserve">enforceable. </w:t>
      </w:r>
      <w:r w:rsidR="0070700B" w:rsidRPr="002E2D9E">
        <w:rPr>
          <w:rFonts w:eastAsia="Times New Roman"/>
          <w:b/>
          <w:sz w:val="24"/>
          <w:szCs w:val="24"/>
        </w:rPr>
        <w:t>Johnson Family Law</w:t>
      </w:r>
      <w:r w:rsidR="0070700B">
        <w:rPr>
          <w:rFonts w:eastAsia="Times New Roman"/>
          <w:b/>
          <w:sz w:val="24"/>
          <w:szCs w:val="24"/>
        </w:rPr>
        <w:t>,</w:t>
      </w:r>
      <w:r w:rsidR="0070700B" w:rsidRPr="002E2D9E">
        <w:rPr>
          <w:rFonts w:eastAsia="Times New Roman"/>
          <w:b/>
          <w:sz w:val="24"/>
          <w:szCs w:val="24"/>
        </w:rPr>
        <w:t xml:space="preserve"> P.C. v. Bursek</w:t>
      </w:r>
      <w:r w:rsidR="0070700B" w:rsidRPr="00162471">
        <w:rPr>
          <w:rFonts w:eastAsia="Times New Roman"/>
          <w:sz w:val="24"/>
          <w:szCs w:val="24"/>
        </w:rPr>
        <w:t>,</w:t>
      </w:r>
      <w:r w:rsidR="0070700B" w:rsidRPr="002E2D9E">
        <w:rPr>
          <w:rFonts w:eastAsia="Times New Roman"/>
          <w:b/>
          <w:sz w:val="24"/>
          <w:szCs w:val="24"/>
        </w:rPr>
        <w:t xml:space="preserve"> </w:t>
      </w:r>
      <w:r w:rsidR="0070700B">
        <w:rPr>
          <w:rFonts w:eastAsia="Times New Roman"/>
          <w:bCs/>
          <w:sz w:val="24"/>
          <w:szCs w:val="24"/>
        </w:rPr>
        <w:t>2022 COA 48, ¶ 62</w:t>
      </w:r>
      <w:r w:rsidR="00275682">
        <w:rPr>
          <w:rFonts w:eastAsia="Times New Roman"/>
          <w:bCs/>
          <w:sz w:val="24"/>
          <w:szCs w:val="24"/>
        </w:rPr>
        <w:t>, 515 P.3d 179, 191</w:t>
      </w:r>
      <w:r w:rsidR="0070700B">
        <w:rPr>
          <w:rFonts w:eastAsia="Times New Roman"/>
          <w:bCs/>
          <w:sz w:val="24"/>
          <w:szCs w:val="24"/>
        </w:rPr>
        <w:t xml:space="preserve"> (“we conclude that the provisions of the Agreement imposing the $1,052 per client fee are void as a matter of public policy, but the rest of the Agreement remains enforceable”).</w:t>
      </w:r>
    </w:p>
    <w:p w14:paraId="7F791D4C" w14:textId="34AF46DD" w:rsidR="00F755B7" w:rsidRDefault="00753103" w:rsidP="00F755B7">
      <w:pPr>
        <w:spacing w:after="240"/>
        <w:ind w:firstLine="720"/>
        <w:rPr>
          <w:rFonts w:eastAsia="Times New Roman"/>
          <w:bCs/>
          <w:sz w:val="24"/>
          <w:szCs w:val="24"/>
        </w:rPr>
      </w:pPr>
      <w:r>
        <w:rPr>
          <w:rFonts w:eastAsia="Times New Roman"/>
          <w:bCs/>
          <w:sz w:val="24"/>
          <w:szCs w:val="24"/>
        </w:rPr>
        <w:t>8</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w:t>
      </w:r>
      <w:r w:rsidR="00F755B7" w:rsidRPr="00F755B7">
        <w:rPr>
          <w:rFonts w:eastAsia="Times New Roman"/>
          <w:bCs/>
          <w:sz w:val="24"/>
          <w:szCs w:val="24"/>
        </w:rPr>
        <w:lastRenderedPageBreak/>
        <w:t xml:space="preserve">(1)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McShane v. Stirling Ranch Prop. Owners Ass’n,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31, 490 P.3d 1063, 1071 (“We conclude that the two exculpatory agreements are clear: The purchaser of the boots and the holder of the ticket are ‘to assume all risks of skiing, whether inherent to skiing or not.’”)</w:t>
      </w:r>
      <w:r w:rsidR="00F755B7" w:rsidRPr="00F755B7">
        <w:rPr>
          <w:rFonts w:eastAsia="Times New Roman"/>
          <w:bCs/>
          <w:sz w:val="24"/>
          <w:szCs w:val="24"/>
        </w:rPr>
        <w:t>.</w:t>
      </w:r>
    </w:p>
    <w:p w14:paraId="6630CA06" w14:textId="6B81F56D" w:rsidR="00753103" w:rsidRPr="00F755B7" w:rsidRDefault="00753103" w:rsidP="00F755B7">
      <w:pPr>
        <w:spacing w:after="240"/>
        <w:ind w:firstLine="720"/>
        <w:rPr>
          <w:rFonts w:eastAsia="Times New Roman"/>
          <w:bCs/>
          <w:sz w:val="24"/>
          <w:szCs w:val="24"/>
        </w:rPr>
      </w:pPr>
      <w:r>
        <w:rPr>
          <w:rFonts w:eastAsia="Times New Roman"/>
          <w:bCs/>
          <w:sz w:val="24"/>
          <w:szCs w:val="24"/>
        </w:rPr>
        <w:t>9</w:t>
      </w:r>
      <w:r w:rsidRPr="002612AD">
        <w:rPr>
          <w:rFonts w:eastAsia="Times New Roman"/>
          <w:bCs/>
          <w:sz w:val="24"/>
          <w:szCs w:val="24"/>
        </w:rPr>
        <w:t xml:space="preserve">. </w:t>
      </w:r>
      <w:r w:rsidRPr="00A6332F">
        <w:rPr>
          <w:color w:val="1E1E1E"/>
          <w:sz w:val="24"/>
          <w:szCs w:val="24"/>
          <w:shd w:val="clear" w:color="auto" w:fill="FFFFFF"/>
        </w:rPr>
        <w:t xml:space="preserve">Whether a contract disclaimer is clear and conspicuous is a question of law for the court. </w:t>
      </w:r>
      <w:r w:rsidRPr="00A6332F">
        <w:rPr>
          <w:b/>
          <w:color w:val="1E1E1E"/>
          <w:sz w:val="24"/>
          <w:szCs w:val="24"/>
          <w:shd w:val="clear" w:color="auto" w:fill="FFFFFF"/>
        </w:rPr>
        <w:t>Cummings v. Arapahoe Cty</w:t>
      </w:r>
      <w:r>
        <w:rPr>
          <w:b/>
          <w:color w:val="1E1E1E"/>
          <w:sz w:val="24"/>
          <w:szCs w:val="24"/>
          <w:shd w:val="clear" w:color="auto" w:fill="FFFFFF"/>
        </w:rPr>
        <w:t>.</w:t>
      </w:r>
      <w:r w:rsidRPr="00A6332F">
        <w:rPr>
          <w:b/>
          <w:color w:val="1E1E1E"/>
          <w:sz w:val="24"/>
          <w:szCs w:val="24"/>
          <w:shd w:val="clear" w:color="auto" w:fill="FFFFFF"/>
        </w:rPr>
        <w:t xml:space="preserve"> Sheriff’s Dep</w:t>
      </w:r>
      <w:r>
        <w:rPr>
          <w:b/>
          <w:color w:val="1E1E1E"/>
          <w:sz w:val="24"/>
          <w:szCs w:val="24"/>
          <w:shd w:val="clear" w:color="auto" w:fill="FFFFFF"/>
        </w:rPr>
        <w:t>’</w:t>
      </w:r>
      <w:r w:rsidRPr="00A6332F">
        <w:rPr>
          <w:b/>
          <w:color w:val="1E1E1E"/>
          <w:sz w:val="24"/>
          <w:szCs w:val="24"/>
          <w:shd w:val="clear" w:color="auto" w:fill="FFFFFF"/>
        </w:rPr>
        <w:t>t</w:t>
      </w:r>
      <w:r w:rsidRPr="00A6332F">
        <w:rPr>
          <w:color w:val="1E1E1E"/>
          <w:sz w:val="24"/>
          <w:szCs w:val="24"/>
          <w:shd w:val="clear" w:color="auto" w:fill="FFFFFF"/>
        </w:rPr>
        <w:t>, 20</w:t>
      </w:r>
      <w:r>
        <w:rPr>
          <w:color w:val="1E1E1E"/>
          <w:sz w:val="24"/>
          <w:szCs w:val="24"/>
          <w:shd w:val="clear" w:color="auto" w:fill="FFFFFF"/>
        </w:rPr>
        <w:t>1</w:t>
      </w:r>
      <w:r w:rsidRPr="00A6332F">
        <w:rPr>
          <w:color w:val="1E1E1E"/>
          <w:sz w:val="24"/>
          <w:szCs w:val="24"/>
          <w:shd w:val="clear" w:color="auto" w:fill="FFFFFF"/>
        </w:rPr>
        <w:t>8 COA 136</w:t>
      </w:r>
      <w:r w:rsidR="00891A22">
        <w:rPr>
          <w:color w:val="1E1E1E"/>
          <w:sz w:val="24"/>
          <w:szCs w:val="24"/>
          <w:shd w:val="clear" w:color="auto" w:fill="FFFFFF"/>
        </w:rPr>
        <w:t>,</w:t>
      </w:r>
      <w:r w:rsidRPr="00A6332F">
        <w:rPr>
          <w:color w:val="1E1E1E"/>
          <w:sz w:val="24"/>
          <w:szCs w:val="24"/>
          <w:shd w:val="clear" w:color="auto" w:fill="FFFFFF"/>
        </w:rPr>
        <w:t xml:space="preserve"> ¶ 56</w:t>
      </w:r>
      <w:r>
        <w:rPr>
          <w:color w:val="1E1E1E"/>
          <w:sz w:val="24"/>
          <w:szCs w:val="24"/>
          <w:shd w:val="clear" w:color="auto" w:fill="FFFFFF"/>
        </w:rPr>
        <w:t>, 440 P.3d 1179</w:t>
      </w:r>
      <w:r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Pr>
          <w:color w:val="1E1E1E"/>
          <w:sz w:val="24"/>
          <w:szCs w:val="24"/>
          <w:shd w:val="clear" w:color="auto" w:fill="FFFFFF"/>
        </w:rPr>
        <w:t>.</w:t>
      </w:r>
    </w:p>
    <w:p w14:paraId="6465F7F9" w14:textId="5D7D7972" w:rsidR="00F755B7" w:rsidRDefault="00753103" w:rsidP="00F755B7">
      <w:pPr>
        <w:spacing w:after="240"/>
        <w:ind w:firstLine="720"/>
        <w:rPr>
          <w:rFonts w:eastAsia="Times New Roman"/>
          <w:bCs/>
          <w:sz w:val="24"/>
          <w:szCs w:val="24"/>
        </w:rPr>
      </w:pPr>
      <w:r>
        <w:rPr>
          <w:rFonts w:eastAsia="Times New Roman"/>
          <w:bCs/>
          <w:sz w:val="24"/>
          <w:szCs w:val="24"/>
        </w:rPr>
        <w:t>10</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Davis v. M.L.G.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1A8E9B9" w14:textId="058C41F9" w:rsidR="0070700B" w:rsidRPr="00F755B7" w:rsidRDefault="0070700B" w:rsidP="00F755B7">
      <w:pPr>
        <w:spacing w:after="240"/>
        <w:ind w:firstLine="720"/>
        <w:rPr>
          <w:rFonts w:eastAsia="Times New Roman"/>
          <w:bCs/>
          <w:sz w:val="24"/>
          <w:szCs w:val="24"/>
        </w:rPr>
      </w:pPr>
      <w:r>
        <w:rPr>
          <w:rFonts w:eastAsia="Times New Roman"/>
          <w:bCs/>
          <w:sz w:val="24"/>
          <w:szCs w:val="24"/>
        </w:rPr>
        <w:t xml:space="preserve">11. Contractual limitations of liability and exculpatory agreements are different in kind.  Ambiguous exculpatory agreements are void; the meaning of ambiguous contractual limitations clauses must be resolved by the trier of fact. </w:t>
      </w:r>
      <w:r w:rsidRPr="002E2D9E">
        <w:rPr>
          <w:rFonts w:eastAsia="Times New Roman"/>
          <w:b/>
          <w:sz w:val="24"/>
          <w:szCs w:val="24"/>
        </w:rPr>
        <w:t>Johnson Nathan Strohe, P.C. v. MEP Eng</w:t>
      </w:r>
      <w:r>
        <w:rPr>
          <w:rFonts w:eastAsia="Times New Roman"/>
          <w:b/>
          <w:sz w:val="24"/>
          <w:szCs w:val="24"/>
        </w:rPr>
        <w:t>’</w:t>
      </w:r>
      <w:r w:rsidRPr="002E2D9E">
        <w:rPr>
          <w:rFonts w:eastAsia="Times New Roman"/>
          <w:b/>
          <w:sz w:val="24"/>
          <w:szCs w:val="24"/>
        </w:rPr>
        <w:t>g, Inc.</w:t>
      </w:r>
      <w:r w:rsidR="00162471">
        <w:rPr>
          <w:rFonts w:eastAsia="Times New Roman"/>
          <w:sz w:val="24"/>
          <w:szCs w:val="24"/>
        </w:rPr>
        <w:t>,</w:t>
      </w:r>
      <w:r>
        <w:rPr>
          <w:rFonts w:eastAsia="Times New Roman"/>
          <w:bCs/>
          <w:sz w:val="24"/>
          <w:szCs w:val="24"/>
        </w:rPr>
        <w:t xml:space="preserve"> 2021 COA 125, ¶¶ 17, 29, 501 P.3d 826, 830, 832 (clause limiting liability to “twice The Engineer’s fee . . . as consequential damages” was ambiguous, but not void).</w:t>
      </w:r>
    </w:p>
    <w:p w14:paraId="36E705F7" w14:textId="5F72AC2B" w:rsidR="00F755B7" w:rsidRPr="00F755B7" w:rsidRDefault="00753103" w:rsidP="00F755B7">
      <w:pPr>
        <w:spacing w:after="240"/>
        <w:ind w:firstLine="720"/>
        <w:rPr>
          <w:rFonts w:eastAsia="Times New Roman"/>
          <w:bCs/>
          <w:sz w:val="24"/>
          <w:szCs w:val="24"/>
        </w:rPr>
      </w:pPr>
      <w:r>
        <w:rPr>
          <w:rFonts w:eastAsia="Times New Roman"/>
          <w:bCs/>
          <w:sz w:val="24"/>
          <w:szCs w:val="24"/>
        </w:rPr>
        <w:t>1</w:t>
      </w:r>
      <w:r w:rsidR="0070700B">
        <w:rPr>
          <w:rFonts w:eastAsia="Times New Roman"/>
          <w:bCs/>
          <w:sz w:val="24"/>
          <w:szCs w:val="24"/>
        </w:rPr>
        <w:t>2</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Core-Mark Midcontinent, Inc. v. Sonitrol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4D43D11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70700B">
        <w:rPr>
          <w:rFonts w:eastAsia="Times New Roman"/>
          <w:bCs/>
          <w:sz w:val="24"/>
          <w:szCs w:val="24"/>
        </w:rPr>
        <w:t>3</w:t>
      </w:r>
      <w:r w:rsidRPr="00F755B7">
        <w:rPr>
          <w:rFonts w:eastAsia="Times New Roman"/>
          <w:bCs/>
          <w:sz w:val="24"/>
          <w:szCs w:val="24"/>
        </w:rPr>
        <w:t xml:space="preserve">. The defense of noncooperation in an insurance context must be pleaded as either an affirmative defense or a failure of condition precedent. </w:t>
      </w:r>
      <w:r w:rsidRPr="00F755B7">
        <w:rPr>
          <w:rFonts w:eastAsia="Times New Roman"/>
          <w:b/>
          <w:bCs/>
          <w:sz w:val="24"/>
          <w:szCs w:val="24"/>
        </w:rPr>
        <w:t>Soicher v. State Farm Mut. Auto. Ins. Co</w:t>
      </w:r>
      <w:r w:rsidRPr="00F755B7">
        <w:rPr>
          <w:rFonts w:eastAsia="Times New Roman"/>
          <w:bCs/>
          <w:sz w:val="24"/>
          <w:szCs w:val="24"/>
        </w:rPr>
        <w:t>., 2015 COA 46, ¶ 2, 351 P.3d 559 (holding that failure to cooperate may not be raised for first time in a proposed verdict form).</w:t>
      </w:r>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19" w:name="a30_18"/>
      <w:bookmarkEnd w:id="19"/>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5CCD4CB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5. The defendant’s reliance caused </w:t>
      </w:r>
      <w:r w:rsidR="00390234" w:rsidRPr="0070684C">
        <w:rPr>
          <w:rFonts w:eastAsia="Times New Roman"/>
          <w:i/>
          <w:iCs/>
          <w:sz w:val="24"/>
          <w:szCs w:val="24"/>
        </w:rPr>
        <w:t>(insert applicable pronoun</w:t>
      </w:r>
      <w:r w:rsidR="00390234">
        <w:rPr>
          <w:rFonts w:eastAsia="Times New Roman"/>
          <w:i/>
          <w:iCs/>
          <w:sz w:val="24"/>
          <w:szCs w:val="24"/>
        </w:rPr>
        <w:t>)</w:t>
      </w:r>
      <w:r w:rsidRPr="002E1D1B">
        <w:rPr>
          <w:rFonts w:eastAsia="Times New Roman"/>
          <w:b/>
          <w:bCs/>
          <w:sz w:val="24"/>
          <w:szCs w:val="24"/>
        </w:rPr>
        <w:t xml:space="preserve">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 xml:space="preserve">Restatement (Second) </w:t>
      </w:r>
      <w:r w:rsidRPr="002E1D1B">
        <w:rPr>
          <w:rFonts w:eastAsia="Times New Roman"/>
          <w:bCs/>
          <w:smallCaps/>
          <w:sz w:val="24"/>
          <w:szCs w:val="24"/>
        </w:rPr>
        <w:lastRenderedPageBreak/>
        <w:t>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797 P.2d 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may:</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he or she may take course a or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counterclaim for a or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w:t>
      </w:r>
      <w:r w:rsidRPr="002E1D1B">
        <w:rPr>
          <w:rFonts w:eastAsia="Times New Roman"/>
          <w:bCs/>
          <w:sz w:val="24"/>
          <w:szCs w:val="24"/>
        </w:rPr>
        <w:lastRenderedPageBreak/>
        <w:t xml:space="preserve">(1960). On many occasions, the courts have also stated the rule that the defrauded person, having learned of the fraud, must, if that person elects to rescind, give notice promptly of his or her intention to do so.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 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r w:rsidRPr="002E1D1B">
        <w:rPr>
          <w:rFonts w:eastAsia="Times New Roman"/>
          <w:b/>
          <w:bCs/>
          <w:sz w:val="24"/>
          <w:szCs w:val="24"/>
        </w:rPr>
        <w:t>Stewart v. Blanning</w:t>
      </w:r>
      <w:r w:rsidRPr="002E1D1B">
        <w:rPr>
          <w:rFonts w:eastAsia="Times New Roman"/>
          <w:bCs/>
          <w:sz w:val="24"/>
          <w:szCs w:val="24"/>
        </w:rPr>
        <w:t>, 677 P.2d 1382 (Colo. App. 1984).</w:t>
      </w:r>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288 P.2d at 359. When one uses fraud in the inducement as a defense to a breach of contract action that person is in effect claiming a right to “rescind” the contract and consider himself or herself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666 P.2d 1122, 1124-25 (Colo. App. 1983).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w:t>
      </w:r>
      <w:r w:rsidRPr="002E1D1B">
        <w:rPr>
          <w:rFonts w:eastAsia="Times New Roman"/>
          <w:bCs/>
          <w:sz w:val="24"/>
          <w:szCs w:val="24"/>
        </w:rPr>
        <w:lastRenderedPageBreak/>
        <w:t xml:space="preserve">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0" w:name="a30_19"/>
      <w:bookmarkEnd w:id="20"/>
      <w:r w:rsidRPr="002E1D1B">
        <w:rPr>
          <w:rFonts w:eastAsia="Times New Roman"/>
          <w:b/>
          <w:bCs/>
          <w:sz w:val="24"/>
          <w:szCs w:val="24"/>
        </w:rPr>
        <w:lastRenderedPageBreak/>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25479C1"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1. At the time the defendant entered into the (claimed) contract, the defendant was not acting of </w:t>
      </w:r>
      <w:r w:rsidR="00390234" w:rsidRPr="0070684C">
        <w:rPr>
          <w:rFonts w:eastAsia="Times New Roman"/>
          <w:i/>
          <w:iCs/>
          <w:sz w:val="24"/>
          <w:szCs w:val="24"/>
        </w:rPr>
        <w:t>(insert applicable pronoun</w:t>
      </w:r>
      <w:r w:rsidR="00390234">
        <w:rPr>
          <w:rFonts w:eastAsia="Times New Roman"/>
          <w:i/>
          <w:iCs/>
          <w:sz w:val="24"/>
          <w:szCs w:val="24"/>
        </w:rPr>
        <w:t>)</w:t>
      </w:r>
      <w:r w:rsidRPr="002E1D1B">
        <w:rPr>
          <w:rFonts w:eastAsia="Times New Roman"/>
          <w:b/>
          <w:bCs/>
          <w:sz w:val="24"/>
          <w:szCs w:val="24"/>
        </w:rPr>
        <w:t xml:space="preserve">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The burdens of pleading and proving undue influence in an arm’s length transaction are on the party asserting it. C.R.C.P. 8(c).</w:t>
      </w:r>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b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1" w:name="a30_20"/>
      <w:bookmarkEnd w:id="21"/>
      <w:r w:rsidRPr="00BC29F9">
        <w:rPr>
          <w:rFonts w:eastAsia="Times New Roman"/>
          <w:b/>
          <w:bCs/>
          <w:sz w:val="24"/>
          <w:szCs w:val="24"/>
        </w:rPr>
        <w:lastRenderedPageBreak/>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5C3724B6"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At the time the defendant entered into the (claimed) contract, the defendant was not acting of </w:t>
      </w:r>
      <w:r w:rsidR="00390234" w:rsidRPr="0070684C">
        <w:rPr>
          <w:rFonts w:eastAsia="Times New Roman"/>
          <w:i/>
          <w:iCs/>
          <w:sz w:val="24"/>
          <w:szCs w:val="24"/>
        </w:rPr>
        <w:t>(insert applicable pronoun</w:t>
      </w:r>
      <w:r w:rsidR="00390234">
        <w:rPr>
          <w:rFonts w:eastAsia="Times New Roman"/>
          <w:i/>
          <w:iCs/>
          <w:sz w:val="24"/>
          <w:szCs w:val="24"/>
        </w:rPr>
        <w:t>)</w:t>
      </w:r>
      <w:r w:rsidRPr="00BC29F9">
        <w:rPr>
          <w:rFonts w:eastAsia="Times New Roman"/>
          <w:b/>
          <w:bCs/>
          <w:sz w:val="24"/>
          <w:szCs w:val="24"/>
        </w:rPr>
        <w:t xml:space="preserve">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burdens of pleading and proving duress in an arm’s length transaction are on the party asserting it. C.R.C.P. 8(c).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law[.]”); </w:t>
      </w:r>
      <w:r w:rsidRPr="00BC29F9">
        <w:rPr>
          <w:rFonts w:eastAsia="Times New Roman"/>
          <w:b/>
          <w:bCs/>
          <w:sz w:val="24"/>
          <w:szCs w:val="24"/>
        </w:rPr>
        <w:t>Wiesen v. Short</w:t>
      </w:r>
      <w:r w:rsidRPr="00BC29F9">
        <w:rPr>
          <w:rFonts w:eastAsia="Times New Roman"/>
          <w:bCs/>
          <w:sz w:val="24"/>
          <w:szCs w:val="24"/>
        </w:rPr>
        <w:t xml:space="preserve">, 43 </w:t>
      </w:r>
      <w:r w:rsidRPr="00BC29F9">
        <w:rPr>
          <w:rFonts w:eastAsia="Times New Roman"/>
          <w:bCs/>
          <w:sz w:val="24"/>
          <w:szCs w:val="24"/>
        </w:rPr>
        <w:lastRenderedPageBreak/>
        <w:t xml:space="preserve">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2" w:name="a30_21"/>
      <w:bookmarkEnd w:id="22"/>
      <w:r w:rsidRPr="00BC29F9">
        <w:rPr>
          <w:rFonts w:eastAsia="Times New Roman"/>
          <w:b/>
          <w:bCs/>
          <w:sz w:val="24"/>
          <w:szCs w:val="24"/>
        </w:rPr>
        <w:lastRenderedPageBreak/>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138 Colo. at 38-39, 328 P.2d at 1081.</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3" w:name="a30_22"/>
      <w:bookmarkEnd w:id="23"/>
      <w:r w:rsidRPr="00BC29F9">
        <w:rPr>
          <w:rFonts w:eastAsia="Times New Roman"/>
          <w:b/>
          <w:bCs/>
          <w:sz w:val="24"/>
          <w:szCs w:val="24"/>
        </w:rPr>
        <w:lastRenderedPageBreak/>
        <w:t>30:22</w:t>
      </w:r>
      <w:r w:rsidRPr="00BC29F9">
        <w:rPr>
          <w:rFonts w:eastAsia="Times New Roman"/>
          <w:b/>
          <w:bCs/>
          <w:sz w:val="24"/>
          <w:szCs w:val="24"/>
        </w:rPr>
        <w:tab/>
        <w:t>DEFENSE ― MENTAL INCAPACITY</w:t>
      </w:r>
    </w:p>
    <w:p w14:paraId="7DF5007C" w14:textId="20D9F7D3"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w:t>
      </w:r>
      <w:r w:rsidR="00390234" w:rsidRPr="0070684C">
        <w:rPr>
          <w:rFonts w:eastAsia="Times New Roman"/>
          <w:i/>
          <w:iCs/>
          <w:sz w:val="24"/>
          <w:szCs w:val="24"/>
        </w:rPr>
        <w:t>(insert applicable pronoun</w:t>
      </w:r>
      <w:r w:rsidR="00390234">
        <w:rPr>
          <w:rFonts w:eastAsia="Times New Roman"/>
          <w:i/>
          <w:iCs/>
          <w:sz w:val="24"/>
          <w:szCs w:val="24"/>
        </w:rPr>
        <w:t>)</w:t>
      </w:r>
      <w:r w:rsidRPr="00BC29F9">
        <w:rPr>
          <w:rFonts w:eastAsia="Times New Roman"/>
          <w:b/>
          <w:bCs/>
          <w:sz w:val="24"/>
          <w:szCs w:val="24"/>
        </w:rPr>
        <w:t xml:space="preserv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650514C5"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with Instruction 34:12, which defines the term “insane delusion.”</w:t>
      </w:r>
    </w:p>
    <w:p w14:paraId="2BC5D6AD" w14:textId="0EFAAF79"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with Instruction 3:5 regarding presumptions. There is always, in civil as well as criminal actions, a presumption of sanity. </w:t>
      </w:r>
      <w:r w:rsidRPr="00BC29F9">
        <w:rPr>
          <w:rFonts w:eastAsia="Times New Roman"/>
          <w:b/>
          <w:bCs/>
          <w:sz w:val="24"/>
          <w:szCs w:val="24"/>
        </w:rPr>
        <w:t>Hanks v. McNeil Coal Corp</w:t>
      </w:r>
      <w:r w:rsidRPr="00BC29F9">
        <w:rPr>
          <w:rFonts w:eastAsia="Times New Roman"/>
          <w:bCs/>
          <w:sz w:val="24"/>
          <w:szCs w:val="24"/>
        </w:rPr>
        <w:t xml:space="preserve">., 114 Colo. 578, 168 P.2d 256 (1946).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168 P.2d at 261-62. </w:t>
      </w:r>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4" w:name="a30_23"/>
      <w:bookmarkEnd w:id="24"/>
      <w:r w:rsidRPr="00BC29F9">
        <w:rPr>
          <w:rFonts w:eastAsia="Times New Roman"/>
          <w:b/>
          <w:bCs/>
          <w:sz w:val="24"/>
          <w:szCs w:val="24"/>
        </w:rPr>
        <w:lastRenderedPageBreak/>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02339ED"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w:t>
      </w:r>
      <w:r w:rsidR="007A6434">
        <w:rPr>
          <w:rFonts w:eastAsia="Times New Roman"/>
          <w:bCs/>
          <w:sz w:val="24"/>
          <w:szCs w:val="24"/>
        </w:rPr>
        <w:t xml:space="preserve">This instruction should not be given when the parties intended to allocate the risk of an event in their agreement, such as through a force-majeure clause. </w:t>
      </w:r>
      <w:r w:rsidR="007A6434" w:rsidRPr="007A6434">
        <w:rPr>
          <w:rFonts w:eastAsia="Times New Roman"/>
          <w:bCs/>
          <w:i/>
          <w:iCs/>
          <w:sz w:val="24"/>
          <w:szCs w:val="24"/>
        </w:rPr>
        <w:t>See</w:t>
      </w:r>
      <w:r w:rsidR="007A6434">
        <w:rPr>
          <w:rFonts w:eastAsia="Times New Roman"/>
          <w:b/>
          <w:sz w:val="24"/>
          <w:szCs w:val="24"/>
        </w:rPr>
        <w:t xml:space="preserve"> </w:t>
      </w:r>
      <w:r w:rsidR="007A6434" w:rsidRPr="00703911">
        <w:rPr>
          <w:rFonts w:eastAsia="Times New Roman"/>
          <w:b/>
          <w:sz w:val="24"/>
          <w:szCs w:val="24"/>
        </w:rPr>
        <w:t>Highlands Broadway OPCO, LLC v. Barre Boss LLC</w:t>
      </w:r>
      <w:r w:rsidR="007A6434">
        <w:rPr>
          <w:rFonts w:eastAsia="Times New Roman"/>
          <w:bCs/>
          <w:sz w:val="24"/>
          <w:szCs w:val="24"/>
        </w:rPr>
        <w:t>, 2023 COA 5, ¶ 14 (“Because the affirmative defenses of impossibility and frustration of purpose are premised on the occurrence of an unanticipated event, neither defense applies when, through their contract, the parties allocated the risk of such an event.”).</w:t>
      </w:r>
      <w:r w:rsidR="007A6434" w:rsidRPr="004816AF">
        <w:rPr>
          <w:rFonts w:eastAsia="Times New Roman"/>
          <w:bCs/>
          <w:sz w:val="24"/>
          <w:szCs w:val="24"/>
        </w:rPr>
        <w:t xml:space="preserve"> </w:t>
      </w:r>
      <w:r w:rsidRPr="00BC29F9" w:rsidDel="004816AF">
        <w:rPr>
          <w:rFonts w:eastAsia="Times New Roman"/>
          <w:bCs/>
          <w:sz w:val="24"/>
          <w:szCs w:val="24"/>
        </w:rPr>
        <w:t>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lastRenderedPageBreak/>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Magnetic Copy Servs.,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costly,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489EDF4C" w14:textId="348C0AF8" w:rsidR="006676DA" w:rsidRPr="0000321C" w:rsidRDefault="0000321C" w:rsidP="007A6434">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176 P.3d 737 (Colo. 2007).</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5" w:name="a30_24"/>
      <w:bookmarkEnd w:id="25"/>
      <w:r w:rsidRPr="0000321C">
        <w:rPr>
          <w:rFonts w:eastAsia="Times New Roman"/>
          <w:b/>
          <w:bCs/>
          <w:sz w:val="24"/>
          <w:szCs w:val="24"/>
        </w:rPr>
        <w:lastRenderedPageBreak/>
        <w:t>30:24</w:t>
      </w:r>
      <w:r w:rsidRPr="0000321C">
        <w:rPr>
          <w:rFonts w:eastAsia="Times New Roman"/>
          <w:b/>
          <w:bCs/>
          <w:sz w:val="24"/>
          <w:szCs w:val="24"/>
        </w:rPr>
        <w:tab/>
        <w:t>DEFENSE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604B371C"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By words or conduct, or both, the plaintiff caused the defendant not to perform </w:t>
      </w:r>
      <w:r w:rsidR="00390234" w:rsidRPr="0070684C">
        <w:rPr>
          <w:rFonts w:eastAsia="Times New Roman"/>
          <w:i/>
          <w:iCs/>
          <w:sz w:val="24"/>
          <w:szCs w:val="24"/>
        </w:rPr>
        <w:t>(insert applicable pronoun</w:t>
      </w:r>
      <w:r w:rsidR="00390234">
        <w:rPr>
          <w:rFonts w:eastAsia="Times New Roman"/>
          <w:i/>
          <w:iCs/>
          <w:sz w:val="24"/>
          <w:szCs w:val="24"/>
        </w:rPr>
        <w:t>)</w:t>
      </w:r>
      <w:r w:rsidRPr="0000321C">
        <w:rPr>
          <w:rFonts w:eastAsia="Times New Roman"/>
          <w:b/>
          <w:bCs/>
          <w:sz w:val="24"/>
          <w:szCs w:val="24"/>
        </w:rPr>
        <w:t xml:space="preserve"> obligation as required by the (claimed) contract; and</w:t>
      </w:r>
    </w:p>
    <w:p w14:paraId="68F958F6" w14:textId="40EBB4D2"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actually knew, or knew there was a substantial likelihood, </w:t>
      </w:r>
      <w:r w:rsidR="00390234" w:rsidRPr="0070684C">
        <w:rPr>
          <w:rFonts w:eastAsia="Times New Roman"/>
          <w:i/>
          <w:iCs/>
          <w:sz w:val="24"/>
          <w:szCs w:val="24"/>
        </w:rPr>
        <w:t>(insert applicable pronoun</w:t>
      </w:r>
      <w:r w:rsidR="00390234">
        <w:rPr>
          <w:rFonts w:eastAsia="Times New Roman"/>
          <w:i/>
          <w:iCs/>
          <w:sz w:val="24"/>
          <w:szCs w:val="24"/>
        </w:rPr>
        <w:t>)</w:t>
      </w:r>
      <w:r w:rsidRPr="0000321C">
        <w:rPr>
          <w:rFonts w:eastAsia="Times New Roman"/>
          <w:b/>
          <w:bCs/>
          <w:sz w:val="24"/>
          <w:szCs w:val="24"/>
        </w:rPr>
        <w:t xml:space="preserve">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6" w:name="a30_25"/>
      <w:bookmarkEnd w:id="26"/>
      <w:r w:rsidRPr="0000321C">
        <w:rPr>
          <w:rFonts w:eastAsia="Times New Roman"/>
          <w:b/>
          <w:bCs/>
          <w:sz w:val="24"/>
          <w:szCs w:val="24"/>
        </w:rPr>
        <w:lastRenderedPageBreak/>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34758198"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w:t>
      </w:r>
      <w:r w:rsidR="004F22EF" w:rsidRPr="0070684C">
        <w:rPr>
          <w:rFonts w:eastAsia="Times New Roman"/>
          <w:i/>
          <w:iCs/>
          <w:sz w:val="24"/>
          <w:szCs w:val="24"/>
        </w:rPr>
        <w:t>(insert applicable pronoun</w:t>
      </w:r>
      <w:r w:rsidR="004F22EF">
        <w:rPr>
          <w:rFonts w:eastAsia="Times New Roman"/>
          <w:i/>
          <w:iCs/>
          <w:sz w:val="24"/>
          <w:szCs w:val="24"/>
        </w:rPr>
        <w:t>)</w:t>
      </w:r>
      <w:r w:rsidRPr="0000321C">
        <w:rPr>
          <w:rFonts w:eastAsia="Times New Roman"/>
          <w:b/>
          <w:bCs/>
          <w:sz w:val="24"/>
          <w:szCs w:val="24"/>
        </w:rPr>
        <w:t xml:space="preserve">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1946444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w:t>
      </w:r>
      <w:r w:rsidR="004F22EF" w:rsidRPr="0070684C">
        <w:rPr>
          <w:rFonts w:eastAsia="Times New Roman"/>
          <w:i/>
          <w:iCs/>
          <w:sz w:val="24"/>
          <w:szCs w:val="24"/>
        </w:rPr>
        <w:t>(insert applicable pronoun</w:t>
      </w:r>
      <w:r w:rsidR="004F22EF">
        <w:rPr>
          <w:rFonts w:eastAsia="Times New Roman"/>
          <w:i/>
          <w:iCs/>
          <w:sz w:val="24"/>
          <w:szCs w:val="24"/>
        </w:rPr>
        <w:t>)</w:t>
      </w:r>
      <w:r w:rsidRPr="0000321C">
        <w:rPr>
          <w:rFonts w:eastAsia="Times New Roman"/>
          <w:b/>
          <w:bCs/>
          <w:sz w:val="24"/>
          <w:szCs w:val="24"/>
        </w:rPr>
        <w:t xml:space="preserve">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 xml:space="preserve">Tripp v. </w:t>
      </w:r>
      <w:r w:rsidRPr="0000321C">
        <w:rPr>
          <w:rFonts w:eastAsia="Times New Roman"/>
          <w:b/>
          <w:bCs/>
          <w:sz w:val="24"/>
          <w:szCs w:val="24"/>
        </w:rPr>
        <w:lastRenderedPageBreak/>
        <w:t>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66874739"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w:t>
      </w:r>
      <w:r w:rsidR="00260CCC" w:rsidRPr="004C3FF2">
        <w:rPr>
          <w:rFonts w:eastAsia="Times New Roman"/>
          <w:bCs/>
          <w:sz w:val="24"/>
          <w:szCs w:val="24"/>
        </w:rPr>
        <w:t xml:space="preserve">A party may waive a provision that was included in a contract for that party’s sole benefit, but may not waive a term that would deprive the nonwaiving party of some benefit. </w:t>
      </w:r>
      <w:r w:rsidR="00260CCC" w:rsidRPr="004C3FF2">
        <w:rPr>
          <w:rFonts w:eastAsia="Times New Roman"/>
          <w:b/>
          <w:bCs/>
          <w:sz w:val="24"/>
          <w:szCs w:val="24"/>
        </w:rPr>
        <w:t>Avicanna Inc. v. Mewhinney</w:t>
      </w:r>
      <w:r w:rsidR="00260CCC" w:rsidRPr="004C3FF2">
        <w:rPr>
          <w:rFonts w:eastAsia="Times New Roman"/>
          <w:bCs/>
          <w:sz w:val="24"/>
          <w:szCs w:val="24"/>
        </w:rPr>
        <w:t>, 2019 COA 129, ¶ 13</w:t>
      </w:r>
      <w:r w:rsidR="006459DB">
        <w:rPr>
          <w:rFonts w:eastAsia="Times New Roman"/>
          <w:bCs/>
          <w:sz w:val="24"/>
          <w:szCs w:val="24"/>
        </w:rPr>
        <w:t>, 487 P.3d 1110</w:t>
      </w:r>
      <w:r w:rsidR="00260CCC" w:rsidRPr="004C3FF2">
        <w:rPr>
          <w:rFonts w:eastAsia="Times New Roman"/>
          <w:bCs/>
          <w:sz w:val="24"/>
          <w:szCs w:val="24"/>
        </w:rPr>
        <w:t xml:space="preserve"> (enforcing unambiguous forum selection clause</w:t>
      </w:r>
      <w:r w:rsidR="00260CCC" w:rsidRPr="004C3FF2">
        <w:rPr>
          <w:sz w:val="24"/>
          <w:szCs w:val="24"/>
        </w:rPr>
        <w:t xml:space="preserve">); </w:t>
      </w:r>
      <w:r w:rsidR="00260CCC" w:rsidRPr="004C3FF2">
        <w:rPr>
          <w:rFonts w:eastAsia="Times New Roman"/>
          <w:b/>
          <w:bCs/>
          <w:sz w:val="24"/>
          <w:szCs w:val="24"/>
        </w:rPr>
        <w:t>Fravert v. Fesler</w:t>
      </w:r>
      <w:r w:rsidR="008F7C04">
        <w:rPr>
          <w:rFonts w:eastAsia="Times New Roman"/>
          <w:bCs/>
          <w:sz w:val="24"/>
          <w:szCs w:val="24"/>
        </w:rPr>
        <w:t>,</w:t>
      </w:r>
      <w:r w:rsidR="00260CCC" w:rsidRPr="004C3FF2">
        <w:rPr>
          <w:rFonts w:eastAsia="Times New Roman"/>
          <w:bCs/>
          <w:sz w:val="24"/>
          <w:szCs w:val="24"/>
        </w:rPr>
        <w:t xml:space="preserve"> 11 Colo. App. 387, 53 P. 288 (1898)</w:t>
      </w:r>
      <w:r w:rsidR="00260CCC" w:rsidRPr="004C3FF2">
        <w:rPr>
          <w:sz w:val="24"/>
          <w:szCs w:val="24"/>
        </w:rPr>
        <w:t>.</w:t>
      </w:r>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2014 COA 74, ¶ 28, 365 P.3d 378.</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7" w:name="a30_26"/>
      <w:bookmarkEnd w:id="27"/>
      <w:r w:rsidRPr="0000321C">
        <w:rPr>
          <w:rFonts w:eastAsia="Times New Roman"/>
          <w:b/>
          <w:bCs/>
          <w:sz w:val="24"/>
          <w:szCs w:val="24"/>
        </w:rPr>
        <w:lastRenderedPageBreak/>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r w:rsidRPr="0000321C">
        <w:rPr>
          <w:rFonts w:eastAsia="Times New Roman"/>
          <w:b/>
          <w:bCs/>
          <w:sz w:val="24"/>
          <w:szCs w:val="24"/>
        </w:rPr>
        <w:t>Jackson v. Am. Family Mut. Ins. Co.</w:t>
      </w:r>
      <w:r w:rsidRPr="0000321C">
        <w:rPr>
          <w:rFonts w:eastAsia="Times New Roman"/>
          <w:bCs/>
          <w:sz w:val="24"/>
          <w:szCs w:val="24"/>
        </w:rPr>
        <w:t>, 258 P.3d 328 (Colo. App. 2011).</w:t>
      </w:r>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Portercare Adventist Health Sys. v.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Cs/>
          <w:sz w:val="24"/>
          <w:szCs w:val="24"/>
        </w:rPr>
        <w:lastRenderedPageBreak/>
        <w:t xml:space="preserve">§ 4-2-725(1), C.R.S. (incorporating the period of limitation set out in section 13-80-101(1)(a),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C.R.C.P. 8(c).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Van Diest v. Towle</w:t>
      </w:r>
      <w:r w:rsidR="0000321C" w:rsidRPr="0000321C">
        <w:rPr>
          <w:rFonts w:eastAsia="Times New Roman"/>
          <w:bCs/>
          <w:sz w:val="24"/>
          <w:szCs w:val="24"/>
        </w:rPr>
        <w:t>, 116 Colo. 204, 179 P.2d 984 (1947).</w:t>
      </w:r>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8" w:name="a30_27"/>
      <w:bookmarkEnd w:id="28"/>
      <w:r w:rsidRPr="00E43BF9">
        <w:rPr>
          <w:rFonts w:eastAsia="Times New Roman"/>
          <w:b/>
          <w:bCs/>
          <w:sz w:val="24"/>
          <w:szCs w:val="24"/>
        </w:rPr>
        <w:lastRenderedPageBreak/>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00501E41"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2. Before any party to the contract fully performed all </w:t>
      </w:r>
      <w:r w:rsidR="004F22EF" w:rsidRPr="0070684C">
        <w:rPr>
          <w:rFonts w:eastAsia="Times New Roman"/>
          <w:i/>
          <w:iCs/>
          <w:sz w:val="24"/>
          <w:szCs w:val="24"/>
        </w:rPr>
        <w:t>(insert applicable pronoun</w:t>
      </w:r>
      <w:r w:rsidR="004F22EF">
        <w:rPr>
          <w:rFonts w:eastAsia="Times New Roman"/>
          <w:i/>
          <w:iCs/>
          <w:sz w:val="24"/>
          <w:szCs w:val="24"/>
        </w:rPr>
        <w:t>)</w:t>
      </w:r>
      <w:r w:rsidRPr="00E43BF9">
        <w:rPr>
          <w:rFonts w:eastAsia="Times New Roman"/>
          <w:b/>
          <w:bCs/>
          <w:sz w:val="24"/>
          <w:szCs w:val="24"/>
        </w:rPr>
        <w:t xml:space="preserve">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w:t>
      </w:r>
      <w:r w:rsidRPr="00E43BF9">
        <w:rPr>
          <w:rFonts w:eastAsia="Times New Roman"/>
          <w:bCs/>
          <w:sz w:val="24"/>
          <w:szCs w:val="24"/>
        </w:rPr>
        <w:lastRenderedPageBreak/>
        <w:t xml:space="preserve">understanding of the parties’. . . . Where mutual rescission is founded on the acts and conduct of the parties, . . . such acts must be ‘inconsistent with the existence of the contract.’” (quoting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An agreement of rescission is an affirmative defense for which the party asserting it has the burdens of pleading and proof. C.R.C.P. 8(c).</w:t>
      </w:r>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29" w:name="a30_28"/>
      <w:bookmarkEnd w:id="29"/>
      <w:r w:rsidRPr="00E43BF9">
        <w:rPr>
          <w:rFonts w:eastAsia="Times New Roman"/>
          <w:b/>
          <w:bCs/>
          <w:sz w:val="24"/>
          <w:szCs w:val="24"/>
        </w:rPr>
        <w:lastRenderedPageBreak/>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0F7C4B40"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3. The defendant has fully performed the (duty) (duties) </w:t>
      </w:r>
      <w:r w:rsidR="004F22EF" w:rsidRPr="0070684C">
        <w:rPr>
          <w:rFonts w:eastAsia="Times New Roman"/>
          <w:i/>
          <w:iCs/>
          <w:sz w:val="24"/>
          <w:szCs w:val="24"/>
        </w:rPr>
        <w:t>(insert applicable pronoun</w:t>
      </w:r>
      <w:r w:rsidR="004F22EF">
        <w:rPr>
          <w:rFonts w:eastAsia="Times New Roman"/>
          <w:i/>
          <w:iCs/>
          <w:sz w:val="24"/>
          <w:szCs w:val="24"/>
        </w:rPr>
        <w:t>)</w:t>
      </w:r>
      <w:r w:rsidRPr="00E43BF9">
        <w:rPr>
          <w:rFonts w:eastAsia="Times New Roman"/>
          <w:b/>
          <w:bCs/>
          <w:sz w:val="24"/>
          <w:szCs w:val="24"/>
        </w:rPr>
        <w:t xml:space="preserve">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C.R.C.P. 8(c).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r w:rsidRPr="00E43BF9">
        <w:rPr>
          <w:rFonts w:eastAsia="Times New Roman"/>
          <w:bCs/>
          <w:i/>
          <w:sz w:val="24"/>
          <w:szCs w:val="24"/>
        </w:rPr>
        <w:t>Id.</w:t>
      </w:r>
      <w:r w:rsidRPr="00E43BF9">
        <w:rPr>
          <w:rFonts w:eastAsia="Times New Roman"/>
          <w:bCs/>
          <w:sz w:val="24"/>
          <w:szCs w:val="24"/>
        </w:rPr>
        <w:t xml:space="preserve"> at 49.</w:t>
      </w:r>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w:t>
      </w:r>
      <w:r w:rsidRPr="00E43BF9">
        <w:rPr>
          <w:rFonts w:eastAsia="Times New Roman"/>
          <w:bCs/>
          <w:sz w:val="24"/>
          <w:szCs w:val="24"/>
        </w:rPr>
        <w:lastRenderedPageBreak/>
        <w:t xml:space="preserve">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r w:rsidRPr="00E43BF9">
        <w:rPr>
          <w:rFonts w:eastAsia="Times New Roman"/>
          <w:b/>
          <w:bCs/>
          <w:sz w:val="24"/>
          <w:szCs w:val="24"/>
        </w:rPr>
        <w:t>Metro. State Bank v. Cox</w:t>
      </w:r>
      <w:r w:rsidRPr="00E43BF9">
        <w:rPr>
          <w:rFonts w:eastAsia="Times New Roman"/>
          <w:bCs/>
          <w:sz w:val="24"/>
          <w:szCs w:val="24"/>
        </w:rPr>
        <w:t>, 134 Colo. 260, 302 P.2d 188 (1956).</w:t>
      </w:r>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0" w:name="a30_29"/>
      <w:bookmarkEnd w:id="30"/>
      <w:r w:rsidRPr="00E43BF9">
        <w:rPr>
          <w:rFonts w:eastAsia="Times New Roman"/>
          <w:b/>
          <w:bCs/>
          <w:sz w:val="24"/>
          <w:szCs w:val="24"/>
        </w:rPr>
        <w:lastRenderedPageBreak/>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800 P.2d at 1323.</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r w:rsidRPr="00E43BF9">
        <w:rPr>
          <w:rFonts w:eastAsia="Times New Roman"/>
          <w:b/>
          <w:bCs/>
          <w:sz w:val="24"/>
          <w:szCs w:val="24"/>
        </w:rPr>
        <w:t>Cardwell Inv. Co. v. United Supply &amp; Mfg. Co.</w:t>
      </w:r>
      <w:r w:rsidRPr="00E43BF9">
        <w:rPr>
          <w:rFonts w:eastAsia="Times New Roman"/>
          <w:bCs/>
          <w:sz w:val="24"/>
          <w:szCs w:val="24"/>
        </w:rPr>
        <w:t>, 268 F.2d 857, 859 (10th Cir. 1959).</w:t>
      </w:r>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lastRenderedPageBreak/>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1" w:name="IntroNoteD"/>
      <w:bookmarkEnd w:id="31"/>
      <w:r w:rsidRPr="00F755B7">
        <w:rPr>
          <w:rFonts w:eastAsia="Times New Roman"/>
          <w:b/>
          <w:sz w:val="24"/>
          <w:szCs w:val="24"/>
        </w:rPr>
        <w:t>Introductory Note</w:t>
      </w:r>
    </w:p>
    <w:p w14:paraId="773B3753" w14:textId="29E1E777"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006B7995" w:rsidRPr="004A6200">
        <w:rPr>
          <w:rFonts w:eastAsia="Times New Roman"/>
          <w:b/>
          <w:sz w:val="24"/>
          <w:szCs w:val="24"/>
        </w:rPr>
        <w:t>People ex rel. Rein  v. Jacobs</w:t>
      </w:r>
      <w:r w:rsidR="006B7995">
        <w:rPr>
          <w:rFonts w:eastAsia="Times New Roman"/>
          <w:bCs/>
          <w:sz w:val="24"/>
          <w:szCs w:val="24"/>
        </w:rPr>
        <w:t xml:space="preserve">, 2020 CO 50, ¶ 43, 465 P.3d 1; </w:t>
      </w:r>
      <w:r w:rsidR="00753103">
        <w:rPr>
          <w:rFonts w:eastAsia="Times New Roman"/>
          <w:b/>
          <w:bCs/>
          <w:sz w:val="24"/>
          <w:szCs w:val="24"/>
        </w:rPr>
        <w:t xml:space="preserve">Klun v. Klun,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Denver Classroom Teachers Ass’n</w:t>
      </w:r>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Rocky Mountain Expl</w:t>
      </w:r>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r w:rsidRPr="00C63547">
        <w:rPr>
          <w:rFonts w:eastAsia="Times New Roman"/>
          <w:b/>
          <w:bCs/>
          <w:sz w:val="24"/>
          <w:szCs w:val="24"/>
        </w:rPr>
        <w:t>USI Props. 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938 P.2d 168 (Colo. 1997). Where possible, the intent of the parties is to be determined from the language of the written contract itself. </w:t>
      </w:r>
      <w:r w:rsidRPr="00C63547">
        <w:rPr>
          <w:rFonts w:eastAsia="Times New Roman"/>
          <w:bCs/>
          <w:i/>
          <w:sz w:val="24"/>
          <w:szCs w:val="24"/>
        </w:rPr>
        <w:t>Id.</w:t>
      </w:r>
    </w:p>
    <w:p w14:paraId="46B6783B" w14:textId="68BF5781" w:rsidR="00753103" w:rsidRDefault="00753103" w:rsidP="00934CAE">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Lazy Dog Ranch v. Telluray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r w:rsidR="00C63547" w:rsidRPr="00C63547">
        <w:rPr>
          <w:rFonts w:eastAsia="Times New Roman"/>
          <w:b/>
          <w:bCs/>
          <w:sz w:val="24"/>
          <w:szCs w:val="24"/>
        </w:rPr>
        <w:t>Lobato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
    <w:p w14:paraId="76586FC0" w14:textId="5E121D92" w:rsidR="00C63547" w:rsidRPr="00C63547" w:rsidRDefault="00753103" w:rsidP="00934CAE">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Craft v. Philadelphia Indem. Ins. Co</w:t>
      </w:r>
      <w:r w:rsidR="00C63547" w:rsidRPr="00C63547">
        <w:rPr>
          <w:rFonts w:eastAsia="Times New Roman"/>
          <w:bCs/>
          <w:sz w:val="24"/>
          <w:szCs w:val="24"/>
        </w:rPr>
        <w:t>., 2015 CO 11, ¶ 34, 343 P.3d 951</w:t>
      </w:r>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r w:rsidRPr="00695DD0">
        <w:rPr>
          <w:rFonts w:eastAsia="Times New Roman"/>
          <w:b/>
          <w:bCs/>
          <w:sz w:val="24"/>
          <w:szCs w:val="24"/>
        </w:rPr>
        <w:t>Renfandt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78BF8C82"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w:t>
      </w:r>
      <w:r w:rsidR="006B7995">
        <w:rPr>
          <w:rFonts w:eastAsia="Times New Roman"/>
          <w:bCs/>
          <w:sz w:val="24"/>
          <w:szCs w:val="24"/>
        </w:rPr>
        <w:t>Determining</w:t>
      </w:r>
      <w:r w:rsidR="006B7995" w:rsidRPr="00C63547">
        <w:rPr>
          <w:rFonts w:eastAsia="Times New Roman"/>
          <w:bCs/>
          <w:sz w:val="24"/>
          <w:szCs w:val="24"/>
        </w:rPr>
        <w:t xml:space="preserve"> </w:t>
      </w:r>
      <w:r w:rsidR="00C63547" w:rsidRPr="00C63547">
        <w:rPr>
          <w:rFonts w:eastAsia="Times New Roman"/>
          <w:bCs/>
          <w:sz w:val="24"/>
          <w:szCs w:val="24"/>
        </w:rPr>
        <w:t xml:space="preserve">whether an ambiguity exists in a written contract is a question of law for the court. </w:t>
      </w:r>
      <w:r w:rsidR="006B7995" w:rsidRPr="006D0BA6">
        <w:rPr>
          <w:rFonts w:eastAsia="Times New Roman"/>
          <w:b/>
          <w:sz w:val="24"/>
          <w:szCs w:val="24"/>
        </w:rPr>
        <w:t>Jacobs</w:t>
      </w:r>
      <w:r w:rsidR="006B7995">
        <w:rPr>
          <w:rFonts w:eastAsia="Times New Roman"/>
          <w:bCs/>
          <w:sz w:val="24"/>
          <w:szCs w:val="24"/>
        </w:rPr>
        <w:t>, 2020 CO 50, ¶ 49, 465 P.3d at 12 (“</w:t>
      </w:r>
      <w:r w:rsidR="00B15998">
        <w:rPr>
          <w:rFonts w:eastAsia="Times New Roman"/>
          <w:bCs/>
          <w:sz w:val="24"/>
          <w:szCs w:val="24"/>
        </w:rPr>
        <w:t>[W]</w:t>
      </w:r>
      <w:r w:rsidR="006B7995">
        <w:rPr>
          <w:rFonts w:eastAsia="Times New Roman"/>
          <w:bCs/>
          <w:sz w:val="24"/>
          <w:szCs w:val="24"/>
        </w:rPr>
        <w:t>e conclude, as a matter of law, that the Inclusion Agreement did not provide Jacobs with a legal fill and re-fill source for the ponds</w:t>
      </w:r>
      <w:r w:rsidR="00B15998">
        <w:rPr>
          <w:rFonts w:eastAsia="Times New Roman"/>
          <w:bCs/>
          <w:sz w:val="24"/>
          <w:szCs w:val="24"/>
        </w:rPr>
        <w:t>.</w:t>
      </w:r>
      <w:r w:rsidR="006B7995">
        <w:rPr>
          <w:rFonts w:eastAsia="Times New Roman"/>
          <w:bCs/>
          <w:sz w:val="24"/>
          <w:szCs w:val="24"/>
        </w:rPr>
        <w:t xml:space="preserve">”); </w:t>
      </w:r>
      <w:r w:rsidR="00C63547" w:rsidRPr="00C63547">
        <w:rPr>
          <w:rFonts w:eastAsia="Times New Roman"/>
          <w:b/>
          <w:bCs/>
          <w:sz w:val="24"/>
          <w:szCs w:val="24"/>
        </w:rPr>
        <w:t>Nat’l Cas. Co. v. Great Sw. Fire Ins. Co.</w:t>
      </w:r>
      <w:r w:rsidR="00C63547" w:rsidRPr="00C63547">
        <w:rPr>
          <w:rFonts w:eastAsia="Times New Roman"/>
          <w:bCs/>
          <w:sz w:val="24"/>
          <w:szCs w:val="24"/>
        </w:rPr>
        <w:t>, 833 P.2d 741 (Colo. 1992)</w:t>
      </w:r>
      <w:r w:rsidR="006B7995">
        <w:rPr>
          <w:rFonts w:eastAsia="Times New Roman"/>
          <w:bCs/>
          <w:sz w:val="24"/>
          <w:szCs w:val="24"/>
        </w:rPr>
        <w:t xml:space="preserve">; </w:t>
      </w:r>
      <w:r w:rsidR="006B7995" w:rsidRPr="00DF4635">
        <w:rPr>
          <w:rFonts w:eastAsia="Times New Roman"/>
          <w:b/>
          <w:sz w:val="24"/>
          <w:szCs w:val="24"/>
        </w:rPr>
        <w:t>Hess v. Hobart</w:t>
      </w:r>
      <w:r w:rsidR="006B7995">
        <w:rPr>
          <w:rFonts w:eastAsia="Times New Roman"/>
          <w:bCs/>
          <w:sz w:val="24"/>
          <w:szCs w:val="24"/>
        </w:rPr>
        <w:t>, 2020 COA 139M2, ¶ 10, 477 P.3d 771, 774 (“</w:t>
      </w:r>
      <w:r w:rsidR="00B15998">
        <w:rPr>
          <w:rFonts w:eastAsia="Times New Roman"/>
          <w:bCs/>
          <w:sz w:val="24"/>
          <w:szCs w:val="24"/>
        </w:rPr>
        <w:t>[W]</w:t>
      </w:r>
      <w:r w:rsidR="006B7995">
        <w:rPr>
          <w:rFonts w:eastAsia="Times New Roman"/>
          <w:bCs/>
          <w:sz w:val="24"/>
          <w:szCs w:val="24"/>
        </w:rPr>
        <w:t>e conclude that the phrase reserving ‘a life estate in all mineral rights’ unambiguously conveys a life estate” without any sharing of income with the fee holder</w:t>
      </w:r>
      <w:r w:rsidR="00B15998">
        <w:rPr>
          <w:rFonts w:eastAsia="Times New Roman"/>
          <w:bCs/>
          <w:sz w:val="24"/>
          <w:szCs w:val="24"/>
        </w:rPr>
        <w:t>.</w:t>
      </w:r>
      <w:r w:rsidR="006B7995">
        <w:rPr>
          <w:rFonts w:eastAsia="Times New Roman"/>
          <w:bCs/>
          <w:sz w:val="24"/>
          <w:szCs w:val="24"/>
        </w:rPr>
        <w:t>)</w:t>
      </w:r>
      <w:r w:rsidR="00C63547" w:rsidRPr="00C63547">
        <w:rPr>
          <w:rFonts w:eastAsia="Times New Roman"/>
          <w:bCs/>
          <w:sz w:val="24"/>
          <w:szCs w:val="24"/>
        </w:rPr>
        <w:t xml:space="preserve">. The provisions of a contract are ambiguous when they are susceptible to more than one reasonable interpretation. </w:t>
      </w:r>
      <w:r w:rsidR="00C63547" w:rsidRPr="00C63547">
        <w:rPr>
          <w:rFonts w:eastAsia="Times New Roman"/>
          <w:b/>
          <w:bCs/>
          <w:sz w:val="24"/>
          <w:szCs w:val="24"/>
        </w:rPr>
        <w:t>Am. Family Mut.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Union Ins. Co. v. Houtz</w:t>
      </w:r>
      <w:r w:rsidR="00C63547" w:rsidRPr="00C63547">
        <w:rPr>
          <w:rFonts w:eastAsia="Times New Roman"/>
          <w:bCs/>
          <w:sz w:val="24"/>
          <w:szCs w:val="24"/>
        </w:rPr>
        <w:t xml:space="preserve">, 883 P.2d 1057 (Colo. 1994); </w:t>
      </w:r>
      <w:r w:rsidR="00C63547" w:rsidRPr="00C63547">
        <w:rPr>
          <w:rFonts w:eastAsia="Times New Roman"/>
          <w:b/>
          <w:bCs/>
          <w:sz w:val="24"/>
          <w:szCs w:val="24"/>
        </w:rPr>
        <w:t>Ballow v. PHICO Ins. Co.</w:t>
      </w:r>
      <w:r w:rsidR="00C63547" w:rsidRPr="00C63547">
        <w:rPr>
          <w:rFonts w:eastAsia="Times New Roman"/>
          <w:bCs/>
          <w:sz w:val="24"/>
          <w:szCs w:val="24"/>
        </w:rPr>
        <w:t xml:space="preserve">, 875 P.2d 1354 (Colo. 1993). The fact that the parties may </w:t>
      </w:r>
      <w:r w:rsidR="00934CAE">
        <w:rPr>
          <w:rFonts w:eastAsia="Times New Roman"/>
          <w:bCs/>
          <w:sz w:val="24"/>
          <w:szCs w:val="24"/>
        </w:rPr>
        <w:t xml:space="preserve">disagree about </w:t>
      </w:r>
      <w:r w:rsidR="00C63547" w:rsidRPr="00C63547">
        <w:rPr>
          <w:rFonts w:eastAsia="Times New Roman"/>
          <w:bCs/>
          <w:sz w:val="24"/>
          <w:szCs w:val="24"/>
        </w:rPr>
        <w:t xml:space="preserve">the </w:t>
      </w:r>
      <w:r w:rsidR="00934CAE">
        <w:rPr>
          <w:rFonts w:eastAsia="Times New Roman"/>
          <w:bCs/>
          <w:sz w:val="24"/>
          <w:szCs w:val="24"/>
        </w:rPr>
        <w:t>meaning</w:t>
      </w:r>
      <w:r w:rsidR="00C63547" w:rsidRPr="00C63547">
        <w:rPr>
          <w:rFonts w:eastAsia="Times New Roman"/>
          <w:bCs/>
          <w:sz w:val="24"/>
          <w:szCs w:val="24"/>
        </w:rPr>
        <w:t xml:space="preserve"> of a </w:t>
      </w:r>
      <w:r w:rsidR="00934CAE">
        <w:rPr>
          <w:rFonts w:eastAsia="Times New Roman"/>
          <w:bCs/>
          <w:sz w:val="24"/>
          <w:szCs w:val="24"/>
        </w:rPr>
        <w:t>term</w:t>
      </w:r>
      <w:r w:rsidR="00C63547" w:rsidRPr="00C63547">
        <w:rPr>
          <w:rFonts w:eastAsia="Times New Roman"/>
          <w:bCs/>
          <w:sz w:val="24"/>
          <w:szCs w:val="24"/>
        </w:rPr>
        <w:t xml:space="preserve"> does not </w:t>
      </w:r>
      <w:r w:rsidR="00934CAE">
        <w:rPr>
          <w:rFonts w:eastAsia="Times New Roman"/>
          <w:bCs/>
          <w:sz w:val="24"/>
          <w:szCs w:val="24"/>
        </w:rPr>
        <w:t>create an ambiguity.</w:t>
      </w:r>
      <w:r w:rsidR="004D74F2">
        <w:rPr>
          <w:rFonts w:eastAsia="Times New Roman"/>
          <w:bCs/>
          <w:sz w:val="24"/>
          <w:szCs w:val="24"/>
        </w:rPr>
        <w:t xml:space="preserve"> </w:t>
      </w:r>
      <w:r w:rsidR="004D74F2" w:rsidRPr="00934CAE">
        <w:rPr>
          <w:b/>
          <w:sz w:val="24"/>
          <w:szCs w:val="24"/>
        </w:rPr>
        <w:t>Morley v. U</w:t>
      </w:r>
      <w:r w:rsidR="009A0224">
        <w:rPr>
          <w:b/>
          <w:sz w:val="24"/>
          <w:szCs w:val="24"/>
        </w:rPr>
        <w:t>nited</w:t>
      </w:r>
      <w:r w:rsidR="004D74F2" w:rsidRPr="00934CAE">
        <w:rPr>
          <w:b/>
          <w:sz w:val="24"/>
          <w:szCs w:val="24"/>
        </w:rPr>
        <w:t xml:space="preserve"> Servs. Auto. Ass’n</w:t>
      </w:r>
      <w:r w:rsidR="004D74F2">
        <w:rPr>
          <w:sz w:val="24"/>
          <w:szCs w:val="24"/>
        </w:rPr>
        <w:t>, 2019 COA 169, ¶ 16</w:t>
      </w:r>
      <w:r w:rsidR="009A0224">
        <w:rPr>
          <w:sz w:val="24"/>
          <w:szCs w:val="24"/>
        </w:rPr>
        <w:t>, 465 P.3d 71</w:t>
      </w:r>
      <w:r w:rsidR="004D74F2">
        <w:rPr>
          <w:sz w:val="24"/>
          <w:szCs w:val="24"/>
        </w:rPr>
        <w:t xml:space="preserve">; </w:t>
      </w:r>
      <w:r w:rsidRPr="00B01305">
        <w:rPr>
          <w:b/>
          <w:bCs/>
          <w:sz w:val="24"/>
          <w:szCs w:val="24"/>
        </w:rPr>
        <w:t>Filatov v. Turnage</w:t>
      </w:r>
      <w:r w:rsidRPr="00B01305">
        <w:rPr>
          <w:sz w:val="24"/>
          <w:szCs w:val="24"/>
        </w:rPr>
        <w:t>, 2019 COA 120, ¶ 14</w:t>
      </w:r>
      <w:r w:rsidR="009A0224">
        <w:rPr>
          <w:sz w:val="24"/>
          <w:szCs w:val="24"/>
        </w:rPr>
        <w:t>, 451 P.3d 1263, 1266</w:t>
      </w:r>
      <w:r w:rsidRPr="00B01305">
        <w:rPr>
          <w:sz w:val="24"/>
          <w:szCs w:val="24"/>
        </w:rPr>
        <w:t xml:space="preserve"> (“While the parties agree that these provisions are unambiguous, they disagree as to how they should be interpreted.”);</w:t>
      </w:r>
      <w:r w:rsidRPr="00B01305">
        <w:t xml:space="preserve"> </w:t>
      </w:r>
      <w:r w:rsidR="00C63547" w:rsidRPr="00C63547">
        <w:rPr>
          <w:rFonts w:eastAsia="Times New Roman"/>
          <w:b/>
          <w:bCs/>
          <w:sz w:val="24"/>
          <w:szCs w:val="24"/>
        </w:rPr>
        <w:t>Mashburn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701 P.2d 67 (Colo. App. 1984)</w:t>
      </w:r>
      <w:r w:rsidR="00934CAE">
        <w:rPr>
          <w:rFonts w:eastAsia="Times New Roman"/>
          <w:bCs/>
          <w:sz w:val="24"/>
          <w:szCs w:val="24"/>
        </w:rPr>
        <w:t>.</w:t>
      </w:r>
      <w:r w:rsidR="00C63547" w:rsidRPr="00C63547">
        <w:rPr>
          <w:rFonts w:eastAsia="Times New Roman"/>
          <w:bCs/>
          <w:sz w:val="24"/>
          <w:szCs w:val="24"/>
        </w:rPr>
        <w:t xml:space="preserve"> </w:t>
      </w:r>
      <w:r w:rsidR="00934CAE">
        <w:rPr>
          <w:rFonts w:eastAsia="Times New Roman"/>
          <w:bCs/>
          <w:sz w:val="24"/>
          <w:szCs w:val="24"/>
        </w:rPr>
        <w:t>B</w:t>
      </w:r>
      <w:r w:rsidR="00C63547" w:rsidRPr="00C63547">
        <w:rPr>
          <w:rFonts w:eastAsia="Times New Roman"/>
          <w:bCs/>
          <w:sz w:val="24"/>
          <w:szCs w:val="24"/>
        </w:rPr>
        <w:t xml:space="preserve">ut the court may conclude that a contract is ambiguous even if the </w:t>
      </w:r>
      <w:r w:rsidR="00C63547" w:rsidRPr="00C63547">
        <w:rPr>
          <w:rFonts w:eastAsia="Times New Roman"/>
          <w:bCs/>
          <w:sz w:val="24"/>
          <w:szCs w:val="24"/>
        </w:rPr>
        <w:lastRenderedPageBreak/>
        <w:t>parties d</w:t>
      </w:r>
      <w:r w:rsidR="00934CAE">
        <w:rPr>
          <w:rFonts w:eastAsia="Times New Roman"/>
          <w:bCs/>
          <w:sz w:val="24"/>
          <w:szCs w:val="24"/>
        </w:rPr>
        <w:t>o</w:t>
      </w:r>
      <w:r w:rsidR="00C63547" w:rsidRPr="00C63547">
        <w:rPr>
          <w:rFonts w:eastAsia="Times New Roman"/>
          <w:bCs/>
          <w:sz w:val="24"/>
          <w:szCs w:val="24"/>
        </w:rPr>
        <w:t xml:space="preserve"> not so argue. </w:t>
      </w:r>
      <w:r w:rsidR="00C63547" w:rsidRPr="00C63547">
        <w:rPr>
          <w:rFonts w:eastAsia="Times New Roman"/>
          <w:b/>
          <w:bCs/>
          <w:sz w:val="24"/>
          <w:szCs w:val="24"/>
        </w:rPr>
        <w:t>Gagne v. Gagne</w:t>
      </w:r>
      <w:r w:rsidR="00C63547" w:rsidRPr="00C63547">
        <w:rPr>
          <w:rFonts w:eastAsia="Times New Roman"/>
          <w:bCs/>
          <w:sz w:val="24"/>
          <w:szCs w:val="24"/>
        </w:rPr>
        <w:t>, 2014 COA 127, ¶¶ 50, 60, 338 P.3d 1152 (holding that terms in a contract were subject to “a myriad of reasonable interpretations”).</w:t>
      </w:r>
    </w:p>
    <w:p w14:paraId="2F692392" w14:textId="6E5B8E53"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 14</w:t>
      </w:r>
      <w:r w:rsidR="00275682">
        <w:rPr>
          <w:rFonts w:eastAsia="Times New Roman"/>
          <w:bCs/>
          <w:sz w:val="24"/>
          <w:szCs w:val="24"/>
        </w:rPr>
        <w:t>, 433 P.3d at 41</w:t>
      </w:r>
      <w:r w:rsidRPr="00812A4B">
        <w:rPr>
          <w:rFonts w:eastAsia="Times New Roman"/>
          <w:bCs/>
          <w:sz w:val="24"/>
          <w:szCs w:val="24"/>
        </w:rPr>
        <w:t xml:space="preserve">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Preserve at the Fort, Ltd. v. Prudential Huntoon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1F9437B2"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r w:rsidR="0070700B" w:rsidRPr="003D18F5">
        <w:rPr>
          <w:rFonts w:eastAsia="Times New Roman"/>
          <w:b/>
          <w:sz w:val="24"/>
          <w:szCs w:val="24"/>
        </w:rPr>
        <w:t>French v. Centura Health Corp</w:t>
      </w:r>
      <w:r w:rsidR="0070700B" w:rsidRPr="00721341">
        <w:rPr>
          <w:rFonts w:eastAsia="Times New Roman"/>
          <w:b/>
          <w:bCs/>
          <w:sz w:val="24"/>
          <w:szCs w:val="24"/>
        </w:rPr>
        <w:t>.</w:t>
      </w:r>
      <w:r w:rsidR="0070700B">
        <w:rPr>
          <w:rFonts w:eastAsia="Times New Roman"/>
          <w:bCs/>
          <w:sz w:val="24"/>
          <w:szCs w:val="24"/>
        </w:rPr>
        <w:t xml:space="preserve">, 2022 CO 20, ¶ 25, 509 P.3d 443, 449 (“In interpreting a contract, our primary goal is to give effect to the parties’ intent.”);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0F8467B0" w14:textId="39FA2BBB"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7B112205"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w:t>
      </w:r>
      <w:r w:rsidR="00655FDA">
        <w:rPr>
          <w:rFonts w:eastAsia="Times New Roman"/>
          <w:bCs/>
          <w:sz w:val="24"/>
          <w:szCs w:val="24"/>
        </w:rPr>
        <w:t>Statutory law</w:t>
      </w:r>
      <w:r w:rsidR="0019543E">
        <w:rPr>
          <w:rFonts w:eastAsia="Times New Roman"/>
          <w:bCs/>
          <w:sz w:val="24"/>
          <w:szCs w:val="24"/>
        </w:rPr>
        <w:t xml:space="preserve">, existing at the time a contract is made, and </w:t>
      </w:r>
      <w:r w:rsidR="00655FDA">
        <w:rPr>
          <w:rFonts w:eastAsia="Times New Roman"/>
          <w:bCs/>
          <w:sz w:val="24"/>
          <w:szCs w:val="24"/>
        </w:rPr>
        <w:t>which pertains to the terms of a contract</w:t>
      </w:r>
      <w:r w:rsidR="0019543E">
        <w:rPr>
          <w:rFonts w:eastAsia="Times New Roman"/>
          <w:bCs/>
          <w:sz w:val="24"/>
          <w:szCs w:val="24"/>
        </w:rPr>
        <w:t>, is part of the parties’ agreement.</w:t>
      </w:r>
      <w:r w:rsidR="00655FDA">
        <w:rPr>
          <w:rFonts w:eastAsia="Times New Roman"/>
          <w:bCs/>
          <w:sz w:val="24"/>
          <w:szCs w:val="24"/>
        </w:rPr>
        <w:t xml:space="preserve"> </w:t>
      </w:r>
      <w:r w:rsidR="00655FDA" w:rsidRPr="00C15B88">
        <w:rPr>
          <w:rFonts w:eastAsia="Times New Roman"/>
          <w:b/>
          <w:sz w:val="24"/>
          <w:szCs w:val="24"/>
        </w:rPr>
        <w:t>Alderman v. Bd</w:t>
      </w:r>
      <w:r w:rsidR="00C15B88">
        <w:rPr>
          <w:rFonts w:eastAsia="Times New Roman"/>
          <w:b/>
          <w:sz w:val="24"/>
          <w:szCs w:val="24"/>
        </w:rPr>
        <w:t>.</w:t>
      </w:r>
      <w:r w:rsidR="00655FDA" w:rsidRPr="00C15B88">
        <w:rPr>
          <w:rFonts w:eastAsia="Times New Roman"/>
          <w:b/>
          <w:sz w:val="24"/>
          <w:szCs w:val="24"/>
        </w:rPr>
        <w:t xml:space="preserve"> of Governors</w:t>
      </w:r>
      <w:r w:rsidR="006D5DE4" w:rsidRPr="00C15B88">
        <w:rPr>
          <w:rFonts w:eastAsia="Times New Roman"/>
          <w:b/>
          <w:sz w:val="24"/>
          <w:szCs w:val="24"/>
        </w:rPr>
        <w:t xml:space="preserve"> of Colo</w:t>
      </w:r>
      <w:r w:rsidR="00C15B88">
        <w:rPr>
          <w:rFonts w:eastAsia="Times New Roman"/>
          <w:b/>
          <w:sz w:val="24"/>
          <w:szCs w:val="24"/>
        </w:rPr>
        <w:t>.</w:t>
      </w:r>
      <w:r w:rsidR="006D5DE4" w:rsidRPr="00C15B88">
        <w:rPr>
          <w:rFonts w:eastAsia="Times New Roman"/>
          <w:b/>
          <w:sz w:val="24"/>
          <w:szCs w:val="24"/>
        </w:rPr>
        <w:t xml:space="preserve"> State Univ</w:t>
      </w:r>
      <w:r w:rsidR="00C15B88">
        <w:rPr>
          <w:rFonts w:eastAsia="Times New Roman"/>
          <w:b/>
          <w:sz w:val="24"/>
          <w:szCs w:val="24"/>
        </w:rPr>
        <w:t>.</w:t>
      </w:r>
      <w:r w:rsidR="006D5DE4">
        <w:rPr>
          <w:rFonts w:eastAsia="Times New Roman"/>
          <w:bCs/>
          <w:sz w:val="24"/>
          <w:szCs w:val="24"/>
        </w:rPr>
        <w:t>, 2023 COA 61, ¶</w:t>
      </w:r>
      <w:r w:rsidR="00C15B88">
        <w:rPr>
          <w:rFonts w:eastAsia="Times New Roman"/>
          <w:bCs/>
          <w:sz w:val="24"/>
          <w:szCs w:val="24"/>
        </w:rPr>
        <w:t>¶</w:t>
      </w:r>
      <w:r w:rsidR="006D5DE4">
        <w:rPr>
          <w:rFonts w:eastAsia="Times New Roman"/>
          <w:bCs/>
          <w:sz w:val="24"/>
          <w:szCs w:val="24"/>
        </w:rPr>
        <w:t xml:space="preserve"> </w:t>
      </w:r>
      <w:r w:rsidR="00C15B88">
        <w:rPr>
          <w:rFonts w:eastAsia="Times New Roman"/>
          <w:bCs/>
          <w:sz w:val="24"/>
          <w:szCs w:val="24"/>
        </w:rPr>
        <w:t xml:space="preserve">6, </w:t>
      </w:r>
      <w:r w:rsidR="006D5DE4">
        <w:rPr>
          <w:rFonts w:eastAsia="Times New Roman"/>
          <w:bCs/>
          <w:sz w:val="24"/>
          <w:szCs w:val="24"/>
        </w:rPr>
        <w:t>15 (statutory provision that allow</w:t>
      </w:r>
      <w:r w:rsidR="006A1932">
        <w:rPr>
          <w:rFonts w:eastAsia="Times New Roman"/>
          <w:bCs/>
          <w:sz w:val="24"/>
          <w:szCs w:val="24"/>
        </w:rPr>
        <w:t>s</w:t>
      </w:r>
      <w:r w:rsidR="006D5DE4">
        <w:rPr>
          <w:rFonts w:eastAsia="Times New Roman"/>
          <w:bCs/>
          <w:sz w:val="24"/>
          <w:szCs w:val="24"/>
        </w:rPr>
        <w:t xml:space="preserve"> the </w:t>
      </w:r>
      <w:r w:rsidR="0019543E">
        <w:rPr>
          <w:rFonts w:eastAsia="Times New Roman"/>
          <w:bCs/>
          <w:sz w:val="24"/>
          <w:szCs w:val="24"/>
        </w:rPr>
        <w:t>B</w:t>
      </w:r>
      <w:r w:rsidR="006D5DE4">
        <w:rPr>
          <w:rFonts w:eastAsia="Times New Roman"/>
          <w:bCs/>
          <w:sz w:val="24"/>
          <w:szCs w:val="24"/>
        </w:rPr>
        <w:t>oard to “</w:t>
      </w:r>
      <w:r w:rsidR="0019543E">
        <w:rPr>
          <w:rFonts w:eastAsia="Times New Roman"/>
          <w:bCs/>
          <w:sz w:val="24"/>
          <w:szCs w:val="24"/>
        </w:rPr>
        <w:t>temporarily</w:t>
      </w:r>
      <w:r w:rsidR="006D5DE4">
        <w:rPr>
          <w:rFonts w:eastAsia="Times New Roman"/>
          <w:bCs/>
          <w:sz w:val="24"/>
          <w:szCs w:val="24"/>
        </w:rPr>
        <w:t xml:space="preserve"> suspend a university in case of . . .</w:t>
      </w:r>
      <w:r w:rsidR="00C15B88">
        <w:rPr>
          <w:rFonts w:eastAsia="Times New Roman"/>
          <w:bCs/>
          <w:sz w:val="24"/>
          <w:szCs w:val="24"/>
        </w:rPr>
        <w:t xml:space="preserve"> </w:t>
      </w:r>
      <w:r w:rsidR="006D5DE4">
        <w:rPr>
          <w:rFonts w:eastAsia="Times New Roman"/>
          <w:bCs/>
          <w:sz w:val="24"/>
          <w:szCs w:val="24"/>
        </w:rPr>
        <w:t xml:space="preserve">the prevalence of fatal diseases” </w:t>
      </w:r>
      <w:r w:rsidR="006A1932">
        <w:rPr>
          <w:rFonts w:eastAsia="Times New Roman"/>
          <w:bCs/>
          <w:sz w:val="24"/>
          <w:szCs w:val="24"/>
        </w:rPr>
        <w:t>is</w:t>
      </w:r>
      <w:r w:rsidR="006D5DE4">
        <w:rPr>
          <w:rFonts w:eastAsia="Times New Roman"/>
          <w:bCs/>
          <w:sz w:val="24"/>
          <w:szCs w:val="24"/>
        </w:rPr>
        <w:t xml:space="preserve"> </w:t>
      </w:r>
      <w:r w:rsidR="006A1932">
        <w:rPr>
          <w:rFonts w:eastAsia="Times New Roman"/>
          <w:bCs/>
          <w:sz w:val="24"/>
          <w:szCs w:val="24"/>
        </w:rPr>
        <w:t>part of</w:t>
      </w:r>
      <w:r w:rsidR="006D5DE4">
        <w:rPr>
          <w:rFonts w:eastAsia="Times New Roman"/>
          <w:bCs/>
          <w:sz w:val="24"/>
          <w:szCs w:val="24"/>
        </w:rPr>
        <w:t xml:space="preserve"> the </w:t>
      </w:r>
      <w:r w:rsidR="006A1932">
        <w:rPr>
          <w:rFonts w:eastAsia="Times New Roman"/>
          <w:bCs/>
          <w:sz w:val="24"/>
          <w:szCs w:val="24"/>
        </w:rPr>
        <w:t>contract between a student and the university</w:t>
      </w:r>
      <w:r w:rsidR="006D5DE4">
        <w:rPr>
          <w:rFonts w:eastAsia="Times New Roman"/>
          <w:bCs/>
          <w:sz w:val="24"/>
          <w:szCs w:val="24"/>
        </w:rPr>
        <w:t>)</w:t>
      </w:r>
      <w:r w:rsidR="006A1932">
        <w:rPr>
          <w:rFonts w:eastAsia="Times New Roman"/>
          <w:bCs/>
          <w:sz w:val="24"/>
          <w:szCs w:val="24"/>
        </w:rPr>
        <w:t xml:space="preserve">; </w:t>
      </w:r>
      <w:r w:rsidR="006A1932" w:rsidRPr="00C15B88">
        <w:rPr>
          <w:rFonts w:eastAsia="Times New Roman"/>
          <w:b/>
          <w:sz w:val="24"/>
          <w:szCs w:val="24"/>
        </w:rPr>
        <w:t>Keelan v. Van Waters &amp; Rogers, Inc</w:t>
      </w:r>
      <w:r w:rsidR="006A1932" w:rsidRPr="00D82193">
        <w:rPr>
          <w:rFonts w:eastAsia="Times New Roman"/>
          <w:b/>
          <w:sz w:val="24"/>
          <w:szCs w:val="24"/>
        </w:rPr>
        <w:t>.</w:t>
      </w:r>
      <w:r w:rsidR="006A1932">
        <w:rPr>
          <w:rFonts w:eastAsia="Times New Roman"/>
          <w:bCs/>
          <w:sz w:val="24"/>
          <w:szCs w:val="24"/>
        </w:rPr>
        <w:t>, 820 P.</w:t>
      </w:r>
      <w:r w:rsidR="00C15B88">
        <w:rPr>
          <w:rFonts w:eastAsia="Times New Roman"/>
          <w:bCs/>
          <w:sz w:val="24"/>
          <w:szCs w:val="24"/>
        </w:rPr>
        <w:t xml:space="preserve">2d </w:t>
      </w:r>
      <w:r w:rsidR="006A1932">
        <w:rPr>
          <w:rFonts w:eastAsia="Times New Roman"/>
          <w:bCs/>
          <w:sz w:val="24"/>
          <w:szCs w:val="24"/>
        </w:rPr>
        <w:t xml:space="preserve">1145 (Colo. App 1991); </w:t>
      </w:r>
      <w:r w:rsidR="006A1932" w:rsidRPr="00C15B88">
        <w:rPr>
          <w:rFonts w:eastAsia="Times New Roman"/>
          <w:b/>
          <w:sz w:val="24"/>
          <w:szCs w:val="24"/>
        </w:rPr>
        <w:t>Colo</w:t>
      </w:r>
      <w:r w:rsidR="00FB33C7">
        <w:rPr>
          <w:rFonts w:eastAsia="Times New Roman"/>
          <w:b/>
          <w:sz w:val="24"/>
          <w:szCs w:val="24"/>
        </w:rPr>
        <w:t>.</w:t>
      </w:r>
      <w:r w:rsidR="006A1932" w:rsidRPr="00C15B88">
        <w:rPr>
          <w:rFonts w:eastAsia="Times New Roman"/>
          <w:b/>
          <w:sz w:val="24"/>
          <w:szCs w:val="24"/>
        </w:rPr>
        <w:t xml:space="preserve"> Inv</w:t>
      </w:r>
      <w:r w:rsidR="00FB33C7">
        <w:rPr>
          <w:rFonts w:eastAsia="Times New Roman"/>
          <w:b/>
          <w:sz w:val="24"/>
          <w:szCs w:val="24"/>
        </w:rPr>
        <w:t>.</w:t>
      </w:r>
      <w:r w:rsidR="006A1932" w:rsidRPr="00C15B88">
        <w:rPr>
          <w:rFonts w:eastAsia="Times New Roman"/>
          <w:b/>
          <w:sz w:val="24"/>
          <w:szCs w:val="24"/>
        </w:rPr>
        <w:t xml:space="preserve"> Servs</w:t>
      </w:r>
      <w:r w:rsidR="00FB33C7">
        <w:rPr>
          <w:rFonts w:eastAsia="Times New Roman"/>
          <w:b/>
          <w:sz w:val="24"/>
          <w:szCs w:val="24"/>
        </w:rPr>
        <w:t>.</w:t>
      </w:r>
      <w:r w:rsidR="006A1932" w:rsidRPr="00C15B88">
        <w:rPr>
          <w:rFonts w:eastAsia="Times New Roman"/>
          <w:b/>
          <w:sz w:val="24"/>
          <w:szCs w:val="24"/>
        </w:rPr>
        <w:t xml:space="preserve">, Inc. v. </w:t>
      </w:r>
      <w:r w:rsidR="00FB33C7">
        <w:rPr>
          <w:rFonts w:eastAsia="Times New Roman"/>
          <w:b/>
          <w:sz w:val="24"/>
          <w:szCs w:val="24"/>
        </w:rPr>
        <w:t xml:space="preserve">City of </w:t>
      </w:r>
      <w:r w:rsidR="006A1932" w:rsidRPr="00C15B88">
        <w:rPr>
          <w:rFonts w:eastAsia="Times New Roman"/>
          <w:b/>
          <w:sz w:val="24"/>
          <w:szCs w:val="24"/>
        </w:rPr>
        <w:t>Westminster</w:t>
      </w:r>
      <w:r w:rsidR="006A1932">
        <w:rPr>
          <w:rFonts w:eastAsia="Times New Roman"/>
          <w:bCs/>
          <w:sz w:val="24"/>
          <w:szCs w:val="24"/>
        </w:rPr>
        <w:t>, 636 P.2d 1316 (Colo. App. 1981)</w:t>
      </w:r>
      <w:r w:rsidR="00FB33C7">
        <w:rPr>
          <w:rFonts w:eastAsia="Times New Roman"/>
          <w:bCs/>
          <w:sz w:val="24"/>
          <w:szCs w:val="24"/>
        </w:rPr>
        <w:t>.</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2" w:name="a30_30"/>
      <w:bookmarkEnd w:id="32"/>
      <w:r w:rsidRPr="00C63547">
        <w:rPr>
          <w:rFonts w:eastAsia="Times New Roman"/>
          <w:b/>
          <w:bCs/>
          <w:sz w:val="24"/>
          <w:szCs w:val="24"/>
        </w:rPr>
        <w:lastRenderedPageBreak/>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r w:rsidRPr="00C63547">
        <w:rPr>
          <w:rFonts w:eastAsia="Times New Roman"/>
          <w:bCs/>
          <w:i/>
          <w:iCs/>
          <w:sz w:val="24"/>
          <w:szCs w:val="24"/>
        </w:rPr>
        <w:t>insert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Ass’n</w:t>
      </w:r>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3" w:name="a30_31"/>
      <w:bookmarkEnd w:id="33"/>
      <w:r w:rsidRPr="00C63547">
        <w:rPr>
          <w:rFonts w:eastAsia="Times New Roman"/>
          <w:b/>
          <w:bCs/>
          <w:sz w:val="24"/>
          <w:szCs w:val="24"/>
        </w:rPr>
        <w:lastRenderedPageBreak/>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1EBF5CF5" w14:textId="61DE4004" w:rsidR="00321DC6" w:rsidRDefault="00321DC6" w:rsidP="00883159">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r w:rsidRPr="00A6332F">
        <w:rPr>
          <w:rFonts w:eastAsia="Times New Roman"/>
          <w:b/>
          <w:bCs/>
          <w:sz w:val="24"/>
          <w:szCs w:val="24"/>
        </w:rPr>
        <w:t>Klun v. Klun</w:t>
      </w:r>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r w:rsidRPr="00EF62AA">
        <w:rPr>
          <w:rFonts w:eastAsia="Times New Roman"/>
          <w:b/>
          <w:bCs/>
          <w:sz w:val="24"/>
          <w:szCs w:val="24"/>
        </w:rPr>
        <w:t>Pepcol Mfg. v. Denver Union Corp.,</w:t>
      </w:r>
      <w:r w:rsidR="00EA32B8">
        <w:rPr>
          <w:rFonts w:eastAsia="Times New Roman"/>
          <w:bCs/>
          <w:sz w:val="24"/>
          <w:szCs w:val="24"/>
        </w:rPr>
        <w:t xml:space="preserve"> 687 P.2d 1310 (Colo. 1984).</w:t>
      </w:r>
    </w:p>
    <w:p w14:paraId="528C3361" w14:textId="1B839DBF" w:rsidR="00C63547" w:rsidRPr="00C63547" w:rsidRDefault="00321DC6" w:rsidP="00883159">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r w:rsidR="00C63547" w:rsidRPr="00C63547">
        <w:rPr>
          <w:rFonts w:eastAsia="Times New Roman"/>
          <w:b/>
          <w:bCs/>
          <w:sz w:val="24"/>
          <w:szCs w:val="24"/>
        </w:rPr>
        <w:t>Hildebrand v. New Vista Homes II, LLC</w:t>
      </w:r>
      <w:r w:rsidR="00C63547" w:rsidRPr="00C63547">
        <w:rPr>
          <w:rFonts w:eastAsia="Times New Roman"/>
          <w:bCs/>
          <w:sz w:val="24"/>
          <w:szCs w:val="24"/>
        </w:rPr>
        <w:t xml:space="preserve">, 252 P.3d 1159 (Colo. App. 2010). In cases involving an ambiguity in a written contract, the jury’s </w:t>
      </w:r>
      <w:r w:rsidR="00C63547" w:rsidRPr="00C63547">
        <w:rPr>
          <w:rFonts w:eastAsia="Times New Roman"/>
          <w:bCs/>
          <w:sz w:val="24"/>
          <w:szCs w:val="24"/>
        </w:rPr>
        <w:lastRenderedPageBreak/>
        <w:t xml:space="preserve">function is to determine the intention of the parties as a question of fact. </w:t>
      </w:r>
      <w:r w:rsidR="00C63547" w:rsidRPr="00C63547">
        <w:rPr>
          <w:rFonts w:eastAsia="Times New Roman"/>
          <w:b/>
          <w:bCs/>
          <w:sz w:val="24"/>
          <w:szCs w:val="24"/>
        </w:rPr>
        <w:t>Fire Ins. Exch. v. Rael</w:t>
      </w:r>
      <w:r w:rsidR="00C63547" w:rsidRPr="00C63547">
        <w:rPr>
          <w:rFonts w:eastAsia="Times New Roman"/>
          <w:bCs/>
          <w:sz w:val="24"/>
          <w:szCs w:val="24"/>
        </w:rPr>
        <w:t xml:space="preserve">, 895 P.2d 1139 (Colo. App. 1995). Determining the parties’ intent from the circumstances surrounding the execution of a contract is the primary method for determining the meaning of an ambiguous term. </w:t>
      </w:r>
    </w:p>
    <w:p w14:paraId="679BFC82" w14:textId="3C34F7A0"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
    <w:p w14:paraId="6632F31F" w14:textId="570C89DE"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r w:rsidR="00883159" w:rsidRPr="00883159">
        <w:rPr>
          <w:rFonts w:eastAsia="Times New Roman"/>
          <w:b/>
          <w:bCs/>
          <w:sz w:val="24"/>
          <w:szCs w:val="24"/>
        </w:rPr>
        <w:t>Owners Ins. Co. v. Dakota Station II Condo</w:t>
      </w:r>
      <w:r w:rsidR="00777C59">
        <w:rPr>
          <w:rFonts w:eastAsia="Times New Roman"/>
          <w:b/>
          <w:bCs/>
          <w:sz w:val="24"/>
          <w:szCs w:val="24"/>
        </w:rPr>
        <w:t>.</w:t>
      </w:r>
      <w:r w:rsidR="00883159" w:rsidRPr="00883159">
        <w:rPr>
          <w:rFonts w:eastAsia="Times New Roman"/>
          <w:b/>
          <w:bCs/>
          <w:sz w:val="24"/>
          <w:szCs w:val="24"/>
        </w:rPr>
        <w:t xml:space="preserve"> Ass’n</w:t>
      </w:r>
      <w:r w:rsidR="00883159">
        <w:rPr>
          <w:rFonts w:eastAsia="Times New Roman"/>
          <w:bCs/>
          <w:sz w:val="24"/>
          <w:szCs w:val="24"/>
        </w:rPr>
        <w:t>, 2019 CO 65, ¶ 31, 443 P.3d 47, 51 (“</w:t>
      </w:r>
      <w:r w:rsidR="00883159" w:rsidRPr="00883159">
        <w:rPr>
          <w:rFonts w:eastAsia="Times New Roman"/>
          <w:bCs/>
          <w:sz w:val="24"/>
          <w:szCs w:val="24"/>
        </w:rPr>
        <w:t>Insurance policies are contracts, interpretations of which we review de novo</w:t>
      </w:r>
      <w:r w:rsidR="00883159">
        <w:rPr>
          <w:rFonts w:eastAsia="Times New Roman"/>
          <w:bCs/>
          <w:sz w:val="24"/>
          <w:szCs w:val="24"/>
        </w:rPr>
        <w:t xml:space="preserve">.”); </w:t>
      </w:r>
      <w:r w:rsidR="00C63547" w:rsidRPr="00C63547">
        <w:rPr>
          <w:rFonts w:eastAsia="Times New Roman"/>
          <w:b/>
          <w:bCs/>
          <w:sz w:val="24"/>
          <w:szCs w:val="24"/>
        </w:rPr>
        <w:t>Travelers Prop. Cas. Co. of Am. v. Stresscon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Allstate Ins. Co. v. Huizar</w:t>
      </w:r>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Novell v. Am. Guar. &amp; Liab.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Mt. Hawley Ins. Co. v. Casson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r w:rsidR="00C63547" w:rsidRPr="00C63547">
        <w:rPr>
          <w:rFonts w:eastAsia="Times New Roman"/>
          <w:b/>
          <w:bCs/>
          <w:sz w:val="24"/>
          <w:szCs w:val="24"/>
        </w:rPr>
        <w:t>Bengtson v. USAA Prop. &amp; Cas. 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xml:space="preserve">, 15 P.3d at 778.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73B7A1FC"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Main Elec., Ltd. v. Printz Servs. 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
    <w:p w14:paraId="34E97FDF" w14:textId="66CE306A"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4" w:name="a30_32"/>
      <w:bookmarkEnd w:id="34"/>
      <w:r w:rsidRPr="00E32C6D">
        <w:rPr>
          <w:rFonts w:eastAsia="Times New Roman"/>
          <w:b/>
          <w:bCs/>
          <w:sz w:val="24"/>
          <w:szCs w:val="24"/>
        </w:rPr>
        <w:lastRenderedPageBreak/>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3572E59B"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w:t>
      </w:r>
      <w:r w:rsidR="004F6C99" w:rsidRPr="00E32C6D">
        <w:rPr>
          <w:rFonts w:eastAsia="Times New Roman"/>
          <w:b/>
          <w:bCs/>
          <w:sz w:val="24"/>
          <w:szCs w:val="24"/>
        </w:rPr>
        <w:t>Federal Deposit Insurance Corp. v. Fisher</w:t>
      </w:r>
      <w:r w:rsidR="004F6C99" w:rsidRPr="00E32C6D">
        <w:rPr>
          <w:rFonts w:eastAsia="Times New Roman"/>
          <w:bCs/>
          <w:sz w:val="24"/>
          <w:szCs w:val="24"/>
        </w:rPr>
        <w:t xml:space="preserve">, 2013 COA 5, ¶ 11, 292 P.3d 934; </w:t>
      </w:r>
      <w:r w:rsidR="004F6C99" w:rsidRPr="003D18F5">
        <w:rPr>
          <w:rFonts w:eastAsia="Times New Roman"/>
          <w:b/>
          <w:sz w:val="24"/>
          <w:szCs w:val="24"/>
        </w:rPr>
        <w:t>Taubman Cherry Creek Shopping C</w:t>
      </w:r>
      <w:r w:rsidR="004F6C99">
        <w:rPr>
          <w:rFonts w:eastAsia="Times New Roman"/>
          <w:b/>
          <w:sz w:val="24"/>
          <w:szCs w:val="24"/>
        </w:rPr>
        <w:t>en</w:t>
      </w:r>
      <w:r w:rsidR="004F6C99" w:rsidRPr="003D18F5">
        <w:rPr>
          <w:rFonts w:eastAsia="Times New Roman"/>
          <w:b/>
          <w:sz w:val="24"/>
          <w:szCs w:val="24"/>
        </w:rPr>
        <w:t>t</w:t>
      </w:r>
      <w:r w:rsidR="004F6C99">
        <w:rPr>
          <w:rFonts w:eastAsia="Times New Roman"/>
          <w:b/>
          <w:sz w:val="24"/>
          <w:szCs w:val="24"/>
        </w:rPr>
        <w:t>e</w:t>
      </w:r>
      <w:r w:rsidR="004F6C99" w:rsidRPr="003D18F5">
        <w:rPr>
          <w:rFonts w:eastAsia="Times New Roman"/>
          <w:b/>
          <w:sz w:val="24"/>
          <w:szCs w:val="24"/>
        </w:rPr>
        <w:t>r, LLC v. Neiman-Marcus Gr</w:t>
      </w:r>
      <w:r w:rsidR="004F6C99">
        <w:rPr>
          <w:rFonts w:eastAsia="Times New Roman"/>
          <w:b/>
          <w:sz w:val="24"/>
          <w:szCs w:val="24"/>
        </w:rPr>
        <w:t>ou</w:t>
      </w:r>
      <w:r w:rsidR="004F6C99" w:rsidRPr="003D18F5">
        <w:rPr>
          <w:rFonts w:eastAsia="Times New Roman"/>
          <w:b/>
          <w:sz w:val="24"/>
          <w:szCs w:val="24"/>
        </w:rPr>
        <w:t>p, Inc.</w:t>
      </w:r>
      <w:r w:rsidR="004F6C99">
        <w:rPr>
          <w:rFonts w:eastAsia="Times New Roman"/>
          <w:bCs/>
          <w:sz w:val="24"/>
          <w:szCs w:val="24"/>
        </w:rPr>
        <w:t xml:space="preserve">, 251 P.3d 1091 (Colo. App. 2010); </w:t>
      </w:r>
      <w:r w:rsidRPr="00E32C6D">
        <w:rPr>
          <w:rFonts w:eastAsia="Times New Roman"/>
          <w:bCs/>
          <w:sz w:val="24"/>
          <w:szCs w:val="24"/>
        </w:rPr>
        <w:t xml:space="preserve">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r w:rsidR="00FB29B2">
        <w:rPr>
          <w:rFonts w:eastAsia="Times New Roman"/>
          <w:b/>
          <w:bCs/>
          <w:sz w:val="24"/>
          <w:szCs w:val="24"/>
        </w:rPr>
        <w:t>Pulte Home Corp.</w:t>
      </w:r>
      <w:r w:rsidRPr="00E32C6D">
        <w:rPr>
          <w:rFonts w:eastAsia="Times New Roman"/>
          <w:b/>
          <w:bCs/>
          <w:sz w:val="24"/>
          <w:szCs w:val="24"/>
        </w:rPr>
        <w:t xml:space="preserve"> v. Countryside Cmty. Ass’n, Inc.</w:t>
      </w:r>
      <w:r w:rsidRPr="00E32C6D">
        <w:rPr>
          <w:rFonts w:eastAsia="Times New Roman"/>
          <w:bCs/>
          <w:sz w:val="24"/>
          <w:szCs w:val="24"/>
        </w:rPr>
        <w:t>, 2016 CO 64, ¶ 23, 382 P.3d 821, 826.</w:t>
      </w:r>
    </w:p>
    <w:p w14:paraId="2C087AA7" w14:textId="68D10EA5" w:rsidR="006B7995" w:rsidRDefault="006B7995" w:rsidP="00E32C6D">
      <w:pPr>
        <w:spacing w:after="240"/>
        <w:ind w:firstLine="720"/>
        <w:rPr>
          <w:rFonts w:eastAsia="Times New Roman"/>
          <w:bCs/>
          <w:sz w:val="24"/>
          <w:szCs w:val="24"/>
        </w:rPr>
      </w:pPr>
      <w:r>
        <w:rPr>
          <w:rFonts w:eastAsia="Times New Roman"/>
          <w:bCs/>
          <w:sz w:val="24"/>
          <w:szCs w:val="24"/>
        </w:rPr>
        <w:t xml:space="preserve">3. Oil leases, like all contracts, must be interpreted in their entirety, harmonizing and giving effect to all provisions. </w:t>
      </w:r>
      <w:r w:rsidRPr="00FE6136">
        <w:rPr>
          <w:rFonts w:eastAsia="Times New Roman"/>
          <w:b/>
          <w:sz w:val="24"/>
          <w:szCs w:val="24"/>
        </w:rPr>
        <w:t>Bd</w:t>
      </w:r>
      <w:r>
        <w:rPr>
          <w:rFonts w:eastAsia="Times New Roman"/>
          <w:b/>
          <w:sz w:val="24"/>
          <w:szCs w:val="24"/>
        </w:rPr>
        <w:t>.</w:t>
      </w:r>
      <w:r w:rsidRPr="00FE6136">
        <w:rPr>
          <w:rFonts w:eastAsia="Times New Roman"/>
          <w:b/>
          <w:sz w:val="24"/>
          <w:szCs w:val="24"/>
        </w:rPr>
        <w:t xml:space="preserve"> of Cty</w:t>
      </w:r>
      <w:r>
        <w:rPr>
          <w:rFonts w:eastAsia="Times New Roman"/>
          <w:b/>
          <w:sz w:val="24"/>
          <w:szCs w:val="24"/>
        </w:rPr>
        <w:t>.</w:t>
      </w:r>
      <w:r w:rsidRPr="00FE6136">
        <w:rPr>
          <w:rFonts w:eastAsia="Times New Roman"/>
          <w:b/>
          <w:sz w:val="24"/>
          <w:szCs w:val="24"/>
        </w:rPr>
        <w:t xml:space="preserve"> Comm</w:t>
      </w:r>
      <w:r>
        <w:rPr>
          <w:rFonts w:eastAsia="Times New Roman"/>
          <w:b/>
          <w:sz w:val="24"/>
          <w:szCs w:val="24"/>
        </w:rPr>
        <w:t>’</w:t>
      </w:r>
      <w:r w:rsidRPr="00FE6136">
        <w:rPr>
          <w:rFonts w:eastAsia="Times New Roman"/>
          <w:b/>
          <w:sz w:val="24"/>
          <w:szCs w:val="24"/>
        </w:rPr>
        <w:t>rs v. Crestone Peak Res</w:t>
      </w:r>
      <w:r>
        <w:rPr>
          <w:rFonts w:eastAsia="Times New Roman"/>
          <w:b/>
          <w:sz w:val="24"/>
          <w:szCs w:val="24"/>
        </w:rPr>
        <w:t>.</w:t>
      </w:r>
      <w:r w:rsidRPr="00FE6136">
        <w:rPr>
          <w:rFonts w:eastAsia="Times New Roman"/>
          <w:b/>
          <w:sz w:val="24"/>
          <w:szCs w:val="24"/>
        </w:rPr>
        <w:t xml:space="preserve"> Operating LLC</w:t>
      </w:r>
      <w:r>
        <w:rPr>
          <w:rFonts w:eastAsia="Times New Roman"/>
          <w:bCs/>
          <w:sz w:val="24"/>
          <w:szCs w:val="24"/>
        </w:rPr>
        <w:t>, 2021 COA 67, ¶ 26</w:t>
      </w:r>
      <w:r w:rsidR="006459DB">
        <w:rPr>
          <w:rFonts w:eastAsia="Times New Roman"/>
          <w:bCs/>
          <w:sz w:val="24"/>
          <w:szCs w:val="24"/>
        </w:rPr>
        <w:t>, 493 P.3d 917, 922</w:t>
      </w:r>
      <w:r>
        <w:rPr>
          <w:rFonts w:eastAsia="Times New Roman"/>
          <w:bCs/>
          <w:sz w:val="24"/>
          <w:szCs w:val="24"/>
        </w:rPr>
        <w:t xml:space="preserve"> (“Boulder’s position (that production includes extraction) renders the leases’ clauses for shut-in royalties inoperative.”).</w:t>
      </w:r>
    </w:p>
    <w:p w14:paraId="010C0BBD" w14:textId="45ABA718" w:rsidR="00655FDA" w:rsidRPr="00655FDA" w:rsidRDefault="004F6C99" w:rsidP="00FB33C7">
      <w:pPr>
        <w:spacing w:after="240"/>
        <w:ind w:firstLine="720"/>
        <w:rPr>
          <w:rFonts w:eastAsia="Times New Roman"/>
          <w:sz w:val="24"/>
          <w:szCs w:val="24"/>
        </w:rPr>
      </w:pPr>
      <w:r>
        <w:rPr>
          <w:rFonts w:eastAsia="Times New Roman"/>
          <w:bCs/>
          <w:sz w:val="24"/>
          <w:szCs w:val="24"/>
        </w:rPr>
        <w:t>4.</w:t>
      </w:r>
      <w:r w:rsidRPr="004F6C99">
        <w:rPr>
          <w:rFonts w:eastAsia="Times New Roman"/>
          <w:bCs/>
          <w:sz w:val="24"/>
          <w:szCs w:val="24"/>
        </w:rPr>
        <w:t xml:space="preserve"> </w:t>
      </w:r>
      <w:r>
        <w:rPr>
          <w:rFonts w:eastAsia="Times New Roman"/>
          <w:bCs/>
          <w:sz w:val="24"/>
          <w:szCs w:val="24"/>
        </w:rPr>
        <w:t xml:space="preserve">For contract terms outside of the four corners of the contract to be incorporated by reference into the contract, the term to be incorporated generally must be clearly and expressly identified. </w:t>
      </w:r>
      <w:r w:rsidRPr="00353039">
        <w:rPr>
          <w:rFonts w:eastAsia="Times New Roman"/>
          <w:b/>
          <w:bCs/>
          <w:sz w:val="24"/>
          <w:szCs w:val="24"/>
        </w:rPr>
        <w:t>French v. Centura Health Corp</w:t>
      </w:r>
      <w:r>
        <w:rPr>
          <w:rFonts w:eastAsia="Times New Roman"/>
          <w:b/>
          <w:bCs/>
          <w:sz w:val="24"/>
          <w:szCs w:val="24"/>
        </w:rPr>
        <w:t>.</w:t>
      </w:r>
      <w:r w:rsidRPr="003D18F5">
        <w:rPr>
          <w:rFonts w:eastAsia="Times New Roman"/>
          <w:sz w:val="24"/>
          <w:szCs w:val="24"/>
        </w:rPr>
        <w:t>,</w:t>
      </w:r>
      <w:r>
        <w:rPr>
          <w:rFonts w:eastAsia="Times New Roman"/>
          <w:b/>
          <w:bCs/>
          <w:sz w:val="24"/>
          <w:szCs w:val="24"/>
        </w:rPr>
        <w:t xml:space="preserve"> </w:t>
      </w:r>
      <w:r w:rsidRPr="00357ACC">
        <w:rPr>
          <w:rFonts w:eastAsia="Times New Roman"/>
          <w:sz w:val="24"/>
          <w:szCs w:val="24"/>
        </w:rPr>
        <w:t>2022 CO 20, ¶ 29</w:t>
      </w:r>
      <w:r w:rsidR="00275682">
        <w:rPr>
          <w:rFonts w:eastAsia="Times New Roman"/>
          <w:sz w:val="24"/>
          <w:szCs w:val="24"/>
        </w:rPr>
        <w:t>, 509 P.3d 443, 449</w:t>
      </w:r>
      <w:r w:rsidRPr="00357ACC">
        <w:rPr>
          <w:rFonts w:eastAsia="Times New Roman"/>
          <w:sz w:val="24"/>
          <w:szCs w:val="24"/>
        </w:rPr>
        <w:t xml:space="preserve"> (“</w:t>
      </w:r>
      <w:r>
        <w:rPr>
          <w:rFonts w:eastAsia="Times New Roman"/>
          <w:sz w:val="24"/>
          <w:szCs w:val="24"/>
        </w:rPr>
        <w:t>Because French had no knowledge of and did not clearly and knowingly assent” to the defendant’s list of rates, the price term was left open and “the trial court properly tasked the jury with determining the reasonable value of the goods and services.</w:t>
      </w:r>
      <w:r w:rsidRPr="00357ACC">
        <w:rPr>
          <w:rFonts w:eastAsia="Times New Roman"/>
          <w:sz w:val="24"/>
          <w:szCs w:val="24"/>
        </w:rPr>
        <w:t>”)</w:t>
      </w:r>
      <w:r>
        <w:rPr>
          <w:rFonts w:eastAsia="Times New Roman"/>
          <w:sz w:val="24"/>
          <w:szCs w:val="24"/>
        </w:rPr>
        <w:t>.</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5" w:name="a30_33"/>
      <w:bookmarkEnd w:id="35"/>
      <w:r w:rsidRPr="00E32C6D">
        <w:rPr>
          <w:rFonts w:eastAsia="Times New Roman"/>
          <w:b/>
          <w:bCs/>
          <w:sz w:val="24"/>
          <w:szCs w:val="24"/>
        </w:rPr>
        <w:lastRenderedPageBreak/>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3FB13F9A" w:rsidR="00E32C6D" w:rsidRDefault="00777C59" w:rsidP="00E32C6D">
      <w:pPr>
        <w:spacing w:after="240"/>
        <w:ind w:firstLine="720"/>
        <w:rPr>
          <w:rFonts w:eastAsia="Times New Roman"/>
          <w:bCs/>
          <w:sz w:val="24"/>
          <w:szCs w:val="24"/>
        </w:rPr>
      </w:pPr>
      <w:r>
        <w:rPr>
          <w:rFonts w:eastAsia="Times New Roman"/>
          <w:bCs/>
          <w:sz w:val="24"/>
          <w:szCs w:val="24"/>
        </w:rPr>
        <w:t xml:space="preserve">1. </w:t>
      </w:r>
      <w:r w:rsidR="00E32C6D" w:rsidRPr="00E32C6D">
        <w:rPr>
          <w:rFonts w:eastAsia="Times New Roman"/>
          <w:bCs/>
          <w:sz w:val="24"/>
          <w:szCs w:val="24"/>
        </w:rPr>
        <w:t xml:space="preserve">This instruction is supported by </w:t>
      </w:r>
      <w:r w:rsidR="00E32C6D" w:rsidRPr="00E32C6D">
        <w:rPr>
          <w:rFonts w:eastAsia="Times New Roman"/>
          <w:b/>
          <w:bCs/>
          <w:sz w:val="24"/>
          <w:szCs w:val="24"/>
        </w:rPr>
        <w:t>Columbus Investments v. Lewis</w:t>
      </w:r>
      <w:r w:rsidR="00E32C6D" w:rsidRPr="00E32C6D">
        <w:rPr>
          <w:rFonts w:eastAsia="Times New Roman"/>
          <w:bCs/>
          <w:sz w:val="24"/>
          <w:szCs w:val="24"/>
        </w:rPr>
        <w:t xml:space="preserve">, 48 P.3d 1222 (Colo. 2002); </w:t>
      </w:r>
      <w:r w:rsidR="00E32C6D" w:rsidRPr="00E32C6D">
        <w:rPr>
          <w:rFonts w:eastAsia="Times New Roman"/>
          <w:b/>
          <w:bCs/>
          <w:sz w:val="24"/>
          <w:szCs w:val="24"/>
        </w:rPr>
        <w:t>Allstate Insurance Co. v. Huizar</w:t>
      </w:r>
      <w:r w:rsidR="00E32C6D" w:rsidRPr="00E32C6D">
        <w:rPr>
          <w:rFonts w:eastAsia="Times New Roman"/>
          <w:bCs/>
          <w:sz w:val="24"/>
          <w:szCs w:val="24"/>
        </w:rPr>
        <w:t xml:space="preserve">, 52 P.3d 816 (Colo. 2002) (interpretation of insurance contracts); </w:t>
      </w:r>
      <w:r w:rsidR="00E32C6D" w:rsidRPr="00E32C6D">
        <w:rPr>
          <w:rFonts w:eastAsia="Times New Roman"/>
          <w:b/>
          <w:bCs/>
          <w:sz w:val="24"/>
          <w:szCs w:val="24"/>
        </w:rPr>
        <w:t>Copper Mountain, Inc. v. Industrial Systems, Inc.</w:t>
      </w:r>
      <w:r w:rsidR="00E32C6D" w:rsidRPr="00E32C6D">
        <w:rPr>
          <w:rFonts w:eastAsia="Times New Roman"/>
          <w:bCs/>
          <w:sz w:val="24"/>
          <w:szCs w:val="24"/>
        </w:rPr>
        <w:t>,</w:t>
      </w:r>
      <w:r w:rsidR="00E32C6D" w:rsidRPr="00E32C6D">
        <w:rPr>
          <w:rFonts w:eastAsia="Times New Roman"/>
          <w:b/>
          <w:bCs/>
          <w:sz w:val="24"/>
          <w:szCs w:val="24"/>
        </w:rPr>
        <w:t xml:space="preserve"> </w:t>
      </w:r>
      <w:r w:rsidR="00E32C6D" w:rsidRPr="00E32C6D">
        <w:rPr>
          <w:rFonts w:eastAsia="Times New Roman"/>
          <w:bCs/>
          <w:sz w:val="24"/>
          <w:szCs w:val="24"/>
        </w:rPr>
        <w:t xml:space="preserve">208 P.3d 692 (Colo. 2009); and </w:t>
      </w:r>
      <w:r w:rsidR="00E32C6D" w:rsidRPr="00E32C6D">
        <w:rPr>
          <w:rFonts w:eastAsia="Times New Roman"/>
          <w:b/>
          <w:bCs/>
          <w:sz w:val="24"/>
          <w:szCs w:val="24"/>
        </w:rPr>
        <w:t>Smith v. State Farm Mutual Automobile Insurance Co</w:t>
      </w:r>
      <w:r w:rsidR="00E32C6D"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5CB9F54E" w14:textId="023AAB6A" w:rsidR="00777C59" w:rsidRPr="00E32C6D" w:rsidRDefault="00777C59" w:rsidP="00E32C6D">
      <w:pPr>
        <w:spacing w:after="240"/>
        <w:ind w:firstLine="720"/>
        <w:rPr>
          <w:rFonts w:eastAsia="Times New Roman"/>
          <w:bCs/>
          <w:sz w:val="24"/>
          <w:szCs w:val="24"/>
        </w:rPr>
      </w:pPr>
      <w:r>
        <w:rPr>
          <w:rFonts w:eastAsia="Times New Roman"/>
          <w:bCs/>
          <w:sz w:val="24"/>
          <w:szCs w:val="24"/>
        </w:rPr>
        <w:t xml:space="preserve">2. </w:t>
      </w:r>
      <w:r w:rsidRPr="00777C59">
        <w:rPr>
          <w:rFonts w:eastAsia="Times New Roman"/>
          <w:bCs/>
          <w:sz w:val="24"/>
          <w:szCs w:val="24"/>
        </w:rPr>
        <w:t>Dictionary definitions may be consulted to determine plain, ordinary, and generally accept</w:t>
      </w:r>
      <w:r w:rsidR="00DA3650">
        <w:rPr>
          <w:rFonts w:eastAsia="Times New Roman"/>
          <w:bCs/>
          <w:sz w:val="24"/>
          <w:szCs w:val="24"/>
        </w:rPr>
        <w:t>ed</w:t>
      </w:r>
      <w:r w:rsidRPr="00777C59">
        <w:rPr>
          <w:rFonts w:eastAsia="Times New Roman"/>
          <w:bCs/>
          <w:sz w:val="24"/>
          <w:szCs w:val="24"/>
        </w:rPr>
        <w:t xml:space="preserve"> meaning of words used in contracts. </w:t>
      </w:r>
      <w:r w:rsidRPr="00777C59">
        <w:rPr>
          <w:rFonts w:eastAsia="Times New Roman"/>
          <w:b/>
          <w:bCs/>
          <w:sz w:val="24"/>
          <w:szCs w:val="24"/>
        </w:rPr>
        <w:t>Owners Ins. Co. v. Dakota Station II Condo</w:t>
      </w:r>
      <w:r>
        <w:rPr>
          <w:rFonts w:eastAsia="Times New Roman"/>
          <w:b/>
          <w:bCs/>
          <w:sz w:val="24"/>
          <w:szCs w:val="24"/>
        </w:rPr>
        <w:t>. Ass’n</w:t>
      </w:r>
      <w:r w:rsidRPr="00777C59">
        <w:rPr>
          <w:rFonts w:eastAsia="Times New Roman"/>
          <w:bCs/>
          <w:sz w:val="24"/>
          <w:szCs w:val="24"/>
        </w:rPr>
        <w:t>, 2019 CO 65, ¶ 3</w:t>
      </w:r>
      <w:r>
        <w:rPr>
          <w:rFonts w:eastAsia="Times New Roman"/>
          <w:bCs/>
          <w:sz w:val="24"/>
          <w:szCs w:val="24"/>
        </w:rPr>
        <w:t>9</w:t>
      </w:r>
      <w:r w:rsidRPr="00777C59">
        <w:rPr>
          <w:rFonts w:eastAsia="Times New Roman"/>
          <w:bCs/>
          <w:sz w:val="24"/>
          <w:szCs w:val="24"/>
        </w:rPr>
        <w:t>, 443 P.3d 47 (c</w:t>
      </w:r>
      <w:r>
        <w:rPr>
          <w:rFonts w:eastAsia="Times New Roman"/>
          <w:bCs/>
          <w:sz w:val="24"/>
          <w:szCs w:val="24"/>
        </w:rPr>
        <w:t>onsulting dictionary to determ</w:t>
      </w:r>
      <w:r w:rsidRPr="00777C59">
        <w:rPr>
          <w:rFonts w:eastAsia="Times New Roman"/>
          <w:bCs/>
          <w:sz w:val="24"/>
          <w:szCs w:val="24"/>
        </w:rPr>
        <w:t xml:space="preserve">ine ordinary meaning of “impartial” </w:t>
      </w:r>
      <w:r>
        <w:rPr>
          <w:rFonts w:eastAsia="Times New Roman"/>
          <w:bCs/>
          <w:sz w:val="24"/>
          <w:szCs w:val="24"/>
        </w:rPr>
        <w:t>and “advocate”</w:t>
      </w:r>
      <w:r w:rsidRPr="00777C59">
        <w:rPr>
          <w:rFonts w:eastAsia="Times New Roman"/>
          <w:bCs/>
          <w:sz w:val="24"/>
          <w:szCs w:val="24"/>
        </w:rPr>
        <w:t xml:space="preserve">); </w:t>
      </w:r>
      <w:r w:rsidRPr="00777C59">
        <w:rPr>
          <w:rFonts w:eastAsia="Times New Roman"/>
          <w:b/>
          <w:bCs/>
          <w:sz w:val="24"/>
          <w:szCs w:val="24"/>
        </w:rPr>
        <w:t>Renfandt v. N.Y. Life Ins. Co.</w:t>
      </w:r>
      <w:r>
        <w:rPr>
          <w:rFonts w:eastAsia="Times New Roman"/>
          <w:bCs/>
          <w:sz w:val="24"/>
          <w:szCs w:val="24"/>
        </w:rPr>
        <w:t>,</w:t>
      </w:r>
      <w:r w:rsidRPr="00777C59">
        <w:rPr>
          <w:rFonts w:eastAsia="Times New Roman"/>
          <w:bCs/>
          <w:sz w:val="24"/>
          <w:szCs w:val="24"/>
        </w:rPr>
        <w:t xml:space="preserve"> 2018 CO 49, ¶</w:t>
      </w:r>
      <w:r>
        <w:rPr>
          <w:rFonts w:eastAsia="Times New Roman"/>
          <w:bCs/>
          <w:sz w:val="24"/>
          <w:szCs w:val="24"/>
        </w:rPr>
        <w:t xml:space="preserve"> </w:t>
      </w:r>
      <w:r w:rsidRPr="00777C59">
        <w:rPr>
          <w:rFonts w:eastAsia="Times New Roman"/>
          <w:bCs/>
          <w:sz w:val="24"/>
          <w:szCs w:val="24"/>
        </w:rPr>
        <w:t>18, 419 P</w:t>
      </w:r>
      <w:r w:rsidR="00275682">
        <w:rPr>
          <w:rFonts w:eastAsia="Times New Roman"/>
          <w:bCs/>
          <w:sz w:val="24"/>
          <w:szCs w:val="24"/>
        </w:rPr>
        <w:t>.</w:t>
      </w:r>
      <w:r w:rsidRPr="00777C59">
        <w:rPr>
          <w:rFonts w:eastAsia="Times New Roman"/>
          <w:bCs/>
          <w:sz w:val="24"/>
          <w:szCs w:val="24"/>
        </w:rPr>
        <w:t>3d 576, 580 (“When determining the plain and ordinary meaning of words, we may consider definitions in a recognized dictionary.”)</w:t>
      </w:r>
      <w:r>
        <w:rPr>
          <w:rFonts w:eastAsia="Times New Roman"/>
          <w:bCs/>
          <w:sz w:val="24"/>
          <w:szCs w:val="24"/>
        </w:rPr>
        <w:t>.</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6" w:name="a30_34"/>
      <w:bookmarkEnd w:id="36"/>
      <w:r w:rsidRPr="00FE48F2">
        <w:rPr>
          <w:rFonts w:eastAsia="Times New Roman"/>
          <w:b/>
          <w:bCs/>
          <w:sz w:val="24"/>
          <w:szCs w:val="24"/>
        </w:rPr>
        <w:lastRenderedPageBreak/>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7844488A" w14:textId="7A23FFB7" w:rsidR="00777C59" w:rsidRDefault="00777C59" w:rsidP="00C63547">
      <w:pPr>
        <w:spacing w:after="240"/>
        <w:ind w:firstLine="720"/>
        <w:rPr>
          <w:rFonts w:eastAsia="Times New Roman"/>
          <w:bCs/>
          <w:sz w:val="24"/>
          <w:szCs w:val="24"/>
        </w:rPr>
      </w:pPr>
      <w:r>
        <w:rPr>
          <w:rFonts w:eastAsia="Times New Roman"/>
          <w:bCs/>
          <w:sz w:val="24"/>
          <w:szCs w:val="24"/>
        </w:rPr>
        <w:t xml:space="preserve">4. </w:t>
      </w:r>
      <w:r w:rsidRPr="00777C59">
        <w:rPr>
          <w:rFonts w:eastAsia="Times New Roman"/>
          <w:bCs/>
          <w:sz w:val="24"/>
          <w:szCs w:val="24"/>
        </w:rPr>
        <w:t>A technical term with a generally accepted meaning may be redefined for purposes of a particular contract by</w:t>
      </w:r>
      <w:r>
        <w:rPr>
          <w:rFonts w:eastAsia="Times New Roman"/>
          <w:bCs/>
          <w:sz w:val="24"/>
          <w:szCs w:val="24"/>
        </w:rPr>
        <w:t xml:space="preserve"> mutual assent of the parties. </w:t>
      </w:r>
      <w:r w:rsidRPr="00777C59">
        <w:rPr>
          <w:rFonts w:eastAsia="Times New Roman"/>
          <w:b/>
          <w:bCs/>
          <w:sz w:val="24"/>
          <w:szCs w:val="24"/>
        </w:rPr>
        <w:t xml:space="preserve">W. Stone </w:t>
      </w:r>
      <w:r>
        <w:rPr>
          <w:rFonts w:eastAsia="Times New Roman"/>
          <w:b/>
          <w:bCs/>
          <w:sz w:val="24"/>
          <w:szCs w:val="24"/>
        </w:rPr>
        <w:t>&amp;</w:t>
      </w:r>
      <w:r w:rsidRPr="00777C59">
        <w:rPr>
          <w:rFonts w:eastAsia="Times New Roman"/>
          <w:b/>
          <w:bCs/>
          <w:sz w:val="24"/>
          <w:szCs w:val="24"/>
        </w:rPr>
        <w:t xml:space="preserve"> Metal Corp v. DIG HP1 LLC</w:t>
      </w:r>
      <w:r w:rsidRPr="00777C59">
        <w:rPr>
          <w:rFonts w:eastAsia="Times New Roman"/>
          <w:bCs/>
          <w:sz w:val="24"/>
          <w:szCs w:val="24"/>
        </w:rPr>
        <w:t xml:space="preserve">, </w:t>
      </w:r>
      <w:r w:rsidRPr="00777C59">
        <w:rPr>
          <w:rFonts w:eastAsia="Times New Roman"/>
          <w:bCs/>
          <w:sz w:val="24"/>
          <w:szCs w:val="24"/>
        </w:rPr>
        <w:lastRenderedPageBreak/>
        <w:t>2020 COA 58, ¶ 9</w:t>
      </w:r>
      <w:r w:rsidR="006459DB">
        <w:rPr>
          <w:rFonts w:eastAsia="Times New Roman"/>
          <w:bCs/>
          <w:sz w:val="24"/>
          <w:szCs w:val="24"/>
        </w:rPr>
        <w:t>, 465 P.3d 105, 107</w:t>
      </w:r>
      <w:r w:rsidRPr="00777C59">
        <w:rPr>
          <w:rFonts w:eastAsia="Times New Roman"/>
          <w:bCs/>
          <w:sz w:val="24"/>
          <w:szCs w:val="24"/>
        </w:rPr>
        <w:t xml:space="preserve"> (“</w:t>
      </w:r>
      <w:r w:rsidR="007A087B">
        <w:rPr>
          <w:rFonts w:eastAsia="Times New Roman"/>
          <w:bCs/>
          <w:sz w:val="24"/>
          <w:szCs w:val="24"/>
        </w:rPr>
        <w:t>[P]</w:t>
      </w:r>
      <w:r w:rsidRPr="00777C59">
        <w:rPr>
          <w:rFonts w:eastAsia="Times New Roman"/>
          <w:bCs/>
          <w:sz w:val="24"/>
          <w:szCs w:val="24"/>
        </w:rPr>
        <w:t>arties to a contract may agree to redefine [terms] for disputes arising under their agreement.”)</w:t>
      </w:r>
      <w:r>
        <w:rPr>
          <w:rFonts w:eastAsia="Times New Roman"/>
          <w:bCs/>
          <w:sz w:val="24"/>
          <w:szCs w:val="24"/>
        </w:rPr>
        <w:t>.</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7" w:name="a30_35"/>
      <w:bookmarkEnd w:id="37"/>
      <w:r w:rsidRPr="008857D3">
        <w:rPr>
          <w:rFonts w:eastAsia="Times New Roman"/>
          <w:b/>
          <w:bCs/>
          <w:sz w:val="24"/>
          <w:szCs w:val="24"/>
        </w:rPr>
        <w:lastRenderedPageBreak/>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r w:rsidRPr="008857D3">
        <w:rPr>
          <w:rFonts w:eastAsia="Times New Roman"/>
          <w:b/>
          <w:bCs/>
          <w:sz w:val="24"/>
          <w:szCs w:val="24"/>
        </w:rPr>
        <w:t>Patterson v. Gage</w:t>
      </w:r>
      <w:r w:rsidRPr="008857D3">
        <w:rPr>
          <w:rFonts w:eastAsia="Times New Roman"/>
          <w:bCs/>
          <w:sz w:val="24"/>
          <w:szCs w:val="24"/>
        </w:rPr>
        <w:t>, 11 Colo. 50, 16 P. 560 (1888).</w:t>
      </w:r>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66EA3D84"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U.S. Fid. &amp; Guar. Co. v. Budget Rent-A-Car Sys.,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Perl-Mack Enters. 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 Auto. 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8" w:name="a30_36"/>
      <w:bookmarkEnd w:id="38"/>
      <w:r w:rsidRPr="00C737F3">
        <w:rPr>
          <w:rFonts w:eastAsia="Times New Roman"/>
          <w:b/>
          <w:bCs/>
          <w:sz w:val="24"/>
          <w:szCs w:val="24"/>
        </w:rPr>
        <w:lastRenderedPageBreak/>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lastRenderedPageBreak/>
        <w:t>E. DAMAGES</w:t>
      </w:r>
    </w:p>
    <w:p w14:paraId="0C46ADBB" w14:textId="77777777" w:rsidR="00A63D35" w:rsidRPr="0054263B" w:rsidRDefault="00A63D35" w:rsidP="00A63D35">
      <w:pPr>
        <w:keepNext/>
        <w:spacing w:after="240"/>
        <w:jc w:val="center"/>
        <w:rPr>
          <w:rFonts w:eastAsia="Times New Roman"/>
          <w:b/>
          <w:sz w:val="24"/>
          <w:szCs w:val="24"/>
        </w:rPr>
      </w:pPr>
      <w:bookmarkStart w:id="39" w:name="IntroNoteE"/>
      <w:bookmarkEnd w:id="39"/>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exists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HMO Sys.,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lastRenderedPageBreak/>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6. Under section 5-12-102(1)(a)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717 P.2d 1009, 1014-15 (Colo. App. 1986). </w:t>
      </w:r>
      <w:r w:rsidRPr="00A63D35">
        <w:rPr>
          <w:rFonts w:eastAsia="Times New Roman"/>
          <w:bCs/>
          <w:i/>
          <w:sz w:val="24"/>
          <w:szCs w:val="24"/>
        </w:rPr>
        <w:t>But see</w:t>
      </w:r>
      <w:r w:rsidRPr="00A63D35">
        <w:rPr>
          <w:rFonts w:eastAsia="Times New Roman"/>
          <w:bCs/>
          <w:sz w:val="24"/>
          <w:szCs w:val="24"/>
        </w:rPr>
        <w:t xml:space="preserve"> § 5-12-102(1)(a)–(b)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w:t>
      </w:r>
      <w:r w:rsidRPr="00A63D35">
        <w:rPr>
          <w:rFonts w:eastAsia="Times New Roman"/>
          <w:bCs/>
          <w:sz w:val="24"/>
          <w:szCs w:val="24"/>
        </w:rPr>
        <w:lastRenderedPageBreak/>
        <w:t xml:space="preserve">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Colo. Law.</w:t>
      </w:r>
      <w:r w:rsidRPr="00A63D35">
        <w:rPr>
          <w:rFonts w:eastAsia="Times New Roman"/>
          <w:bCs/>
          <w:sz w:val="24"/>
          <w:szCs w:val="24"/>
        </w:rPr>
        <w:t xml:space="preserve"> 1307 (1989).</w:t>
      </w:r>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r w:rsidRPr="00A63D35">
        <w:rPr>
          <w:rFonts w:eastAsia="Times New Roman"/>
          <w:b/>
          <w:bCs/>
          <w:sz w:val="24"/>
          <w:szCs w:val="24"/>
        </w:rPr>
        <w:t>Parker Excavating, Inc. v. City &amp; County of Denver</w:t>
      </w:r>
      <w:r w:rsidRPr="00A63D35">
        <w:rPr>
          <w:rFonts w:eastAsia="Times New Roman"/>
          <w:bCs/>
          <w:sz w:val="24"/>
          <w:szCs w:val="24"/>
        </w:rPr>
        <w:t xml:space="preserve">, 2012 COA 180, ¶ 18, 303 P.3d 1222.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0" w:name="a30_37"/>
      <w:bookmarkEnd w:id="40"/>
      <w:r w:rsidRPr="00E14F99">
        <w:rPr>
          <w:rFonts w:eastAsia="Times New Roman"/>
          <w:b/>
          <w:bCs/>
          <w:sz w:val="24"/>
          <w:szCs w:val="24"/>
        </w:rPr>
        <w:lastRenderedPageBreak/>
        <w:t>30:37</w:t>
      </w:r>
      <w:r w:rsidRPr="00E14F99">
        <w:rPr>
          <w:rFonts w:eastAsia="Times New Roman"/>
          <w:b/>
          <w:bCs/>
          <w:sz w:val="24"/>
          <w:szCs w:val="24"/>
        </w:rPr>
        <w:tab/>
        <w:t>DAMAGES ― INTRODUCTION</w:t>
      </w:r>
    </w:p>
    <w:p w14:paraId="10DAC338" w14:textId="56ACC9D9"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E14F99">
        <w:rPr>
          <w:rFonts w:eastAsia="Times New Roman"/>
          <w:b/>
          <w:bCs/>
          <w:sz w:val="24"/>
          <w:szCs w:val="24"/>
        </w:rPr>
        <w:t xml:space="preserve"> claim of breach of contract, then you must award </w:t>
      </w:r>
      <w:r w:rsidR="004F22EF" w:rsidRPr="0070684C">
        <w:rPr>
          <w:rFonts w:eastAsia="Times New Roman"/>
          <w:i/>
          <w:iCs/>
          <w:sz w:val="24"/>
          <w:szCs w:val="24"/>
        </w:rPr>
        <w:t>(insert applicable pronoun</w:t>
      </w:r>
      <w:r w:rsidR="004F22EF">
        <w:rPr>
          <w:rFonts w:eastAsia="Times New Roman"/>
          <w:i/>
          <w:iCs/>
          <w:sz w:val="24"/>
          <w:szCs w:val="24"/>
        </w:rPr>
        <w:t>)</w:t>
      </w:r>
      <w:r w:rsidRPr="00E14F99">
        <w:rPr>
          <w:rFonts w:eastAsia="Times New Roman"/>
          <w:b/>
          <w:bCs/>
          <w:sz w:val="24"/>
          <w:szCs w:val="24"/>
        </w:rPr>
        <w:t xml:space="preserve">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33 Colo. App. 305, 519 P.2d 1216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1" w:name="a30_38"/>
      <w:bookmarkEnd w:id="41"/>
      <w:r w:rsidRPr="00E14F99">
        <w:rPr>
          <w:rFonts w:eastAsia="Times New Roman"/>
          <w:b/>
          <w:bCs/>
          <w:sz w:val="24"/>
          <w:szCs w:val="24"/>
        </w:rPr>
        <w:lastRenderedPageBreak/>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bookmarkStart w:id="42" w:name="_Hlk142046475"/>
      <w:r w:rsidRPr="00930778">
        <w:rPr>
          <w:rFonts w:eastAsia="Times New Roman"/>
          <w:b/>
          <w:bCs/>
          <w:sz w:val="24"/>
          <w:szCs w:val="24"/>
        </w:rPr>
        <w:t>If general damages have been proved, you shall award:</w:t>
      </w:r>
    </w:p>
    <w:bookmarkEnd w:id="42"/>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287CE5DF"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w:t>
      </w:r>
      <w:r w:rsidR="00F360F7">
        <w:rPr>
          <w:rFonts w:eastAsia="Times New Roman"/>
          <w:bCs/>
          <w:sz w:val="24"/>
          <w:szCs w:val="24"/>
        </w:rPr>
        <w:t>4</w:t>
      </w:r>
      <w:r w:rsidRPr="00930778">
        <w:rPr>
          <w:rFonts w:eastAsia="Times New Roman"/>
          <w:bCs/>
          <w:sz w:val="24"/>
          <w:szCs w:val="24"/>
        </w:rPr>
        <w:t>.</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 xml:space="preserve">Kaiser v. Market </w:t>
      </w:r>
      <w:r w:rsidRPr="00930778">
        <w:rPr>
          <w:rFonts w:eastAsia="Times New Roman"/>
          <w:b/>
          <w:bCs/>
          <w:sz w:val="24"/>
          <w:szCs w:val="24"/>
        </w:rPr>
        <w:lastRenderedPageBreak/>
        <w:t>Square Disc.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Total Condo. 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
    <w:p w14:paraId="34619F0D" w14:textId="57735BE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 52</w:t>
      </w:r>
      <w:r w:rsidR="00275682">
        <w:rPr>
          <w:rFonts w:eastAsia="Times New Roman"/>
          <w:bCs/>
          <w:sz w:val="24"/>
          <w:szCs w:val="24"/>
        </w:rPr>
        <w:t>, 370 P.3d at 364</w:t>
      </w:r>
      <w:r w:rsidRPr="00930778">
        <w:rPr>
          <w:rFonts w:eastAsia="Times New Roman"/>
          <w:bCs/>
          <w:sz w:val="24"/>
          <w:szCs w:val="24"/>
        </w:rPr>
        <w:t xml:space="preserve">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3" w:name="a30_39"/>
      <w:bookmarkEnd w:id="43"/>
      <w:r w:rsidRPr="00930778">
        <w:rPr>
          <w:rFonts w:eastAsia="Times New Roman"/>
          <w:b/>
          <w:bCs/>
          <w:sz w:val="24"/>
          <w:szCs w:val="24"/>
        </w:rPr>
        <w:lastRenderedPageBreak/>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Special damages must be pled with particularity. C.R.C.P. 9(g).</w:t>
      </w:r>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w:t>
      </w:r>
      <w:r w:rsidRPr="00930778">
        <w:rPr>
          <w:rFonts w:eastAsia="Times New Roman"/>
          <w:bCs/>
          <w:sz w:val="24"/>
          <w:szCs w:val="24"/>
        </w:rPr>
        <w:lastRenderedPageBreak/>
        <w:t xml:space="preserve">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lastRenderedPageBreak/>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r w:rsidRPr="00930778">
        <w:rPr>
          <w:rFonts w:eastAsia="Times New Roman"/>
          <w:b/>
          <w:bCs/>
          <w:sz w:val="24"/>
          <w:szCs w:val="24"/>
        </w:rPr>
        <w:t>McDonald’s Corp. v. Brentwood Ctr., Ltd.</w:t>
      </w:r>
      <w:r w:rsidRPr="00930778">
        <w:rPr>
          <w:rFonts w:eastAsia="Times New Roman"/>
          <w:bCs/>
          <w:sz w:val="24"/>
          <w:szCs w:val="24"/>
        </w:rPr>
        <w:t>, 942 P.2d 1308 (Colo. App. 1997).</w:t>
      </w:r>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4" w:name="a30_40"/>
      <w:bookmarkEnd w:id="44"/>
      <w:r w:rsidRPr="00930778">
        <w:rPr>
          <w:rFonts w:eastAsia="Times New Roman"/>
          <w:b/>
          <w:bCs/>
          <w:sz w:val="24"/>
          <w:szCs w:val="24"/>
        </w:rPr>
        <w:lastRenderedPageBreak/>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133E67ED" w14:textId="3A3876A3" w:rsidR="002F232C" w:rsidRPr="00930778" w:rsidRDefault="00930778" w:rsidP="002F232C">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r w:rsidRPr="00930778">
        <w:rPr>
          <w:rFonts w:eastAsia="Times New Roman"/>
          <w:b/>
          <w:bCs/>
          <w:sz w:val="24"/>
          <w:szCs w:val="24"/>
        </w:rPr>
        <w:t>Klinger v. Adams Cty.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002F232C" w:rsidRPr="00FB33C7">
        <w:rPr>
          <w:rFonts w:eastAsia="Times New Roman"/>
          <w:bCs/>
          <w:sz w:val="24"/>
          <w:szCs w:val="24"/>
        </w:rPr>
        <w:t>;</w:t>
      </w:r>
      <w:r w:rsidR="002F232C">
        <w:rPr>
          <w:rFonts w:eastAsia="Times New Roman"/>
          <w:b/>
          <w:sz w:val="24"/>
          <w:szCs w:val="24"/>
        </w:rPr>
        <w:t xml:space="preserve"> </w:t>
      </w:r>
      <w:r w:rsidR="002F232C" w:rsidRPr="00FB33C7">
        <w:rPr>
          <w:rFonts w:eastAsia="Times New Roman"/>
          <w:b/>
          <w:sz w:val="24"/>
          <w:szCs w:val="24"/>
        </w:rPr>
        <w:t>Trem</w:t>
      </w:r>
      <w:r w:rsidR="00FB33C7">
        <w:rPr>
          <w:rFonts w:eastAsia="Times New Roman"/>
          <w:b/>
          <w:sz w:val="24"/>
          <w:szCs w:val="24"/>
        </w:rPr>
        <w:t>i</w:t>
      </w:r>
      <w:r w:rsidR="002F232C" w:rsidRPr="00FB33C7">
        <w:rPr>
          <w:rFonts w:eastAsia="Times New Roman"/>
          <w:b/>
          <w:sz w:val="24"/>
          <w:szCs w:val="24"/>
        </w:rPr>
        <w:t>tek, LLC v. Resilience Code</w:t>
      </w:r>
      <w:r w:rsidR="00FB33C7">
        <w:rPr>
          <w:rFonts w:eastAsia="Times New Roman"/>
          <w:b/>
          <w:sz w:val="24"/>
          <w:szCs w:val="24"/>
        </w:rPr>
        <w:t>,</w:t>
      </w:r>
      <w:r w:rsidR="002F232C" w:rsidRPr="00FB33C7">
        <w:rPr>
          <w:rFonts w:eastAsia="Times New Roman"/>
          <w:b/>
          <w:sz w:val="24"/>
          <w:szCs w:val="24"/>
        </w:rPr>
        <w:t xml:space="preserve"> LLC</w:t>
      </w:r>
      <w:r w:rsidR="002F232C">
        <w:rPr>
          <w:rFonts w:eastAsia="Times New Roman"/>
          <w:bCs/>
          <w:sz w:val="24"/>
          <w:szCs w:val="24"/>
        </w:rPr>
        <w:t xml:space="preserve">, 2023 COA 54, </w:t>
      </w:r>
      <w:r w:rsidR="00FB33C7">
        <w:rPr>
          <w:rFonts w:eastAsia="Times New Roman"/>
          <w:bCs/>
          <w:sz w:val="24"/>
          <w:szCs w:val="24"/>
        </w:rPr>
        <w:t xml:space="preserve">¶ 27 </w:t>
      </w:r>
      <w:r w:rsidR="002F232C">
        <w:rPr>
          <w:rFonts w:eastAsia="Times New Roman"/>
          <w:bCs/>
          <w:sz w:val="24"/>
          <w:szCs w:val="24"/>
        </w:rPr>
        <w:t>(“We conclude that the liquidated damages provision was not a reasonable estimate of the actual damages caused by tenant’s breach</w:t>
      </w:r>
      <w:r w:rsidR="00FB33C7">
        <w:rPr>
          <w:rFonts w:eastAsia="Times New Roman"/>
          <w:bCs/>
          <w:sz w:val="24"/>
          <w:szCs w:val="24"/>
        </w:rPr>
        <w:t>.</w:t>
      </w:r>
      <w:r w:rsidR="002F232C">
        <w:rPr>
          <w:rFonts w:eastAsia="Times New Roman"/>
          <w:bCs/>
          <w:sz w:val="24"/>
          <w:szCs w:val="24"/>
        </w:rPr>
        <w:t>”).</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t xml:space="preserve">3. </w:t>
      </w:r>
      <w:r w:rsidR="00930778" w:rsidRPr="00930778">
        <w:rPr>
          <w:rFonts w:eastAsia="Times New Roman"/>
          <w:bCs/>
          <w:sz w:val="24"/>
          <w:szCs w:val="24"/>
        </w:rPr>
        <w:t xml:space="preserve">The party contending that a damages clause is an improper penalty carries the burden of proving that contention. </w:t>
      </w:r>
      <w:r w:rsidR="00930778" w:rsidRPr="00930778">
        <w:rPr>
          <w:rFonts w:eastAsia="Times New Roman"/>
          <w:b/>
          <w:bCs/>
          <w:sz w:val="24"/>
          <w:szCs w:val="24"/>
        </w:rPr>
        <w:t>Jobe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34 Colo. App. 240, 242, 526 P.2d 151, 152 </w:t>
      </w:r>
      <w:r w:rsidR="00930778" w:rsidRPr="00930778">
        <w:rPr>
          <w:rFonts w:eastAsia="Times New Roman"/>
          <w:bCs/>
          <w:sz w:val="24"/>
          <w:szCs w:val="24"/>
        </w:rPr>
        <w:lastRenderedPageBreak/>
        <w:t xml:space="preserve">(1974) (“[u]nless it patently appears from the contract itself that the liquidated damages agreed upon are out of proportion to any possible loss . . . the party asserting that the damages clause 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r w:rsidR="00930778" w:rsidRPr="00930778">
        <w:rPr>
          <w:rFonts w:eastAsia="Times New Roman"/>
          <w:b/>
          <w:bCs/>
          <w:sz w:val="24"/>
          <w:szCs w:val="24"/>
        </w:rPr>
        <w:t>Rohauer</w:t>
      </w:r>
      <w:r w:rsidR="00930778" w:rsidRPr="00930778">
        <w:rPr>
          <w:rFonts w:eastAsia="Times New Roman"/>
          <w:bCs/>
          <w:sz w:val="24"/>
          <w:szCs w:val="24"/>
        </w:rPr>
        <w:t xml:space="preserve">, 736 P.2d at 410; </w:t>
      </w:r>
      <w:r w:rsidR="00930778" w:rsidRPr="00930778">
        <w:rPr>
          <w:rFonts w:eastAsia="Times New Roman"/>
          <w:b/>
          <w:bCs/>
          <w:sz w:val="24"/>
          <w:szCs w:val="24"/>
        </w:rPr>
        <w:t>Yerton</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00930778" w:rsidRPr="00930778">
        <w:rPr>
          <w:rFonts w:eastAsia="Times New Roman"/>
          <w:b/>
          <w:bCs/>
          <w:sz w:val="24"/>
          <w:szCs w:val="24"/>
        </w:rPr>
        <w:t>Wojtowicz v. Greeley Anesthesia Servs.,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r w:rsidRPr="00930778">
        <w:rPr>
          <w:rFonts w:eastAsia="Times New Roman"/>
          <w:b/>
          <w:bCs/>
          <w:sz w:val="24"/>
          <w:szCs w:val="24"/>
        </w:rPr>
        <w:t>Ravenstar LLC v. One Ski Hill Place LLC</w:t>
      </w:r>
      <w:r w:rsidRPr="00930778">
        <w:rPr>
          <w:rFonts w:eastAsia="Times New Roman"/>
          <w:bCs/>
          <w:sz w:val="24"/>
          <w:szCs w:val="24"/>
        </w:rPr>
        <w:t xml:space="preserve">, 2017 CO 83, ¶ 15, 401 P.3d 552. But the option must be exclusive. If a non-breaching party elects to pursue liquidated damages as allowed by the contract, the non-breaching party may not also seek actual damages. “Otherwise, an election to pursue liquidated damages would function as an invalid penalty.” </w:t>
      </w:r>
      <w:r w:rsidRPr="00930778">
        <w:rPr>
          <w:rFonts w:eastAsia="Times New Roman"/>
          <w:bCs/>
          <w:i/>
          <w:sz w:val="24"/>
          <w:szCs w:val="24"/>
        </w:rPr>
        <w:t>Id.</w:t>
      </w:r>
      <w:r w:rsidRPr="00930778">
        <w:rPr>
          <w:rFonts w:eastAsia="Times New Roman"/>
          <w:bCs/>
          <w:sz w:val="24"/>
          <w:szCs w:val="24"/>
        </w:rPr>
        <w:t xml:space="preserve"> at ¶ 16.</w:t>
      </w:r>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r w:rsidRPr="00930778">
        <w:rPr>
          <w:rFonts w:eastAsia="Times New Roman"/>
          <w:b/>
          <w:bCs/>
          <w:sz w:val="24"/>
          <w:szCs w:val="24"/>
        </w:rPr>
        <w:t>Bd. of Cty. Comm’rs v. City &amp; County of Denver</w:t>
      </w:r>
      <w:r w:rsidRPr="00930778">
        <w:rPr>
          <w:rFonts w:eastAsia="Times New Roman"/>
          <w:bCs/>
          <w:sz w:val="24"/>
          <w:szCs w:val="24"/>
        </w:rPr>
        <w:t xml:space="preserve">, 40 P.3d 25 (Colo. App. 2001).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r w:rsidRPr="00930778">
        <w:rPr>
          <w:rFonts w:eastAsia="Times New Roman"/>
          <w:b/>
          <w:bCs/>
          <w:sz w:val="24"/>
          <w:szCs w:val="24"/>
        </w:rPr>
        <w:t>Butler v. Lembeck</w:t>
      </w:r>
      <w:r w:rsidRPr="00930778">
        <w:rPr>
          <w:rFonts w:eastAsia="Times New Roman"/>
          <w:bCs/>
          <w:sz w:val="24"/>
          <w:szCs w:val="24"/>
        </w:rPr>
        <w:t>, 182 P.3d 1185 (Colo. App. 2007).</w:t>
      </w:r>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lastRenderedPageBreak/>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5" w:name="a30_41"/>
      <w:bookmarkEnd w:id="45"/>
      <w:r w:rsidRPr="00B538B9">
        <w:rPr>
          <w:rFonts w:eastAsia="Times New Roman"/>
          <w:b/>
          <w:bCs/>
          <w:sz w:val="24"/>
          <w:szCs w:val="24"/>
        </w:rPr>
        <w:lastRenderedPageBreak/>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(special),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6" w:name="a30_42"/>
      <w:bookmarkEnd w:id="46"/>
      <w:r w:rsidRPr="00B538B9">
        <w:rPr>
          <w:rFonts w:eastAsia="Times New Roman"/>
          <w:b/>
          <w:bCs/>
          <w:sz w:val="24"/>
          <w:szCs w:val="24"/>
        </w:rPr>
        <w:lastRenderedPageBreak/>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131D030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w:t>
      </w:r>
      <w:r w:rsidR="007E4729" w:rsidRPr="00647C5D">
        <w:rPr>
          <w:rFonts w:eastAsia="Times New Roman"/>
          <w:b/>
          <w:bCs/>
          <w:sz w:val="24"/>
          <w:szCs w:val="24"/>
        </w:rPr>
        <w:t>Kroesen v. Shenandoah Homeowners Ass’n</w:t>
      </w:r>
      <w:r w:rsidR="007E4729" w:rsidRPr="00647C5D">
        <w:rPr>
          <w:rFonts w:eastAsia="Times New Roman"/>
          <w:bCs/>
          <w:sz w:val="24"/>
          <w:szCs w:val="24"/>
        </w:rPr>
        <w:t>, 2020 COA 31, ¶ 57, 461 P.3d 672, 682 (“The standard measure of damages for the breach of a contract for the sale of real estate is the difference between the contract price and the fair market value of the property at the time of the breach.”)</w:t>
      </w:r>
      <w:r w:rsidR="007E4729" w:rsidRPr="006C5791">
        <w:rPr>
          <w:rFonts w:eastAsia="Times New Roman"/>
          <w:bCs/>
          <w:sz w:val="24"/>
          <w:szCs w:val="24"/>
        </w:rPr>
        <w:t xml:space="preserve">; </w:t>
      </w:r>
      <w:r w:rsidRPr="00B538B9">
        <w:rPr>
          <w:rFonts w:eastAsia="Times New Roman"/>
          <w:bCs/>
          <w:sz w:val="24"/>
          <w:szCs w:val="24"/>
        </w:rPr>
        <w:t xml:space="preserve">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7" w:name="a30_43"/>
      <w:bookmarkEnd w:id="47"/>
      <w:r w:rsidRPr="00190BD9">
        <w:rPr>
          <w:rFonts w:eastAsia="Times New Roman"/>
          <w:b/>
          <w:bCs/>
          <w:sz w:val="24"/>
          <w:szCs w:val="24"/>
        </w:rPr>
        <w:lastRenderedPageBreak/>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8" w:name="a30_44"/>
      <w:bookmarkEnd w:id="48"/>
      <w:r w:rsidRPr="00190BD9">
        <w:rPr>
          <w:rFonts w:eastAsia="Times New Roman"/>
          <w:b/>
          <w:bCs/>
          <w:sz w:val="24"/>
          <w:szCs w:val="24"/>
        </w:rPr>
        <w:lastRenderedPageBreak/>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9" w:name="a30_45"/>
      <w:bookmarkEnd w:id="49"/>
      <w:r w:rsidRPr="00190BD9">
        <w:rPr>
          <w:rFonts w:eastAsia="Times New Roman"/>
          <w:b/>
          <w:bCs/>
          <w:sz w:val="24"/>
          <w:szCs w:val="24"/>
        </w:rPr>
        <w:lastRenderedPageBreak/>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on the contract; and</w:t>
      </w:r>
    </w:p>
    <w:p w14:paraId="6D0C50BA" w14:textId="570B902B"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what it would have cost the plaintiff if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190BD9">
        <w:rPr>
          <w:rFonts w:eastAsia="Times New Roman"/>
          <w:b/>
          <w:bCs/>
          <w:sz w:val="24"/>
          <w:szCs w:val="24"/>
        </w:rPr>
        <w:t xml:space="preserv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a repudiation,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0" w:name="a30_46"/>
      <w:bookmarkEnd w:id="50"/>
      <w:r w:rsidRPr="00190BD9">
        <w:rPr>
          <w:rFonts w:eastAsia="Times New Roman"/>
          <w:b/>
          <w:bCs/>
          <w:sz w:val="24"/>
          <w:szCs w:val="24"/>
        </w:rPr>
        <w:lastRenderedPageBreak/>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154 Colo. 425, 391 P.2d 365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lastRenderedPageBreak/>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391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1" w:name="a30_47"/>
      <w:bookmarkEnd w:id="51"/>
      <w:r w:rsidRPr="00190BD9">
        <w:rPr>
          <w:rFonts w:eastAsia="Times New Roman"/>
          <w:b/>
          <w:bCs/>
          <w:sz w:val="24"/>
          <w:szCs w:val="24"/>
        </w:rPr>
        <w:lastRenderedPageBreak/>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2" w:name="a30_48"/>
      <w:bookmarkEnd w:id="52"/>
      <w:r w:rsidRPr="008B39B8">
        <w:rPr>
          <w:rFonts w:eastAsia="Times New Roman"/>
          <w:b/>
          <w:bCs/>
          <w:sz w:val="24"/>
          <w:szCs w:val="24"/>
        </w:rPr>
        <w:lastRenderedPageBreak/>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(The amount of any installment payment[s] due the plaintiff under the contract.)</w:t>
      </w:r>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3" w:name="a30_49"/>
      <w:bookmarkEnd w:id="53"/>
      <w:r w:rsidRPr="008B39B8">
        <w:rPr>
          <w:rFonts w:eastAsia="Times New Roman"/>
          <w:b/>
          <w:bCs/>
          <w:sz w:val="24"/>
          <w:szCs w:val="24"/>
        </w:rPr>
        <w:lastRenderedPageBreak/>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xml:space="preserve">, 626 P.2d 750, 752 (Colo. App. 1981).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facilities[,]”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Instruction 6:11,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lastRenderedPageBreak/>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r w:rsidR="008B39B8" w:rsidRPr="008B39B8">
        <w:rPr>
          <w:rFonts w:eastAsia="Times New Roman"/>
          <w:b/>
          <w:bCs/>
          <w:sz w:val="24"/>
          <w:szCs w:val="24"/>
        </w:rPr>
        <w:t>Hott v. Tillotson-Lewis Constr. Co.</w:t>
      </w:r>
      <w:r w:rsidR="008B39B8" w:rsidRPr="008B39B8">
        <w:rPr>
          <w:rFonts w:eastAsia="Times New Roman"/>
          <w:bCs/>
          <w:sz w:val="24"/>
          <w:szCs w:val="24"/>
        </w:rPr>
        <w:t xml:space="preserve">, 682 P.2d 1220 (Colo. App. 1983). Under section 5-12-102(1)(b), where damages for costs to replace a defective heating system are appropriate, interest accrues from the time of the replacement. </w:t>
      </w:r>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4" w:name="a30_50"/>
      <w:bookmarkEnd w:id="54"/>
      <w:r w:rsidRPr="008B39B8">
        <w:rPr>
          <w:rFonts w:eastAsia="Times New Roman"/>
          <w:b/>
          <w:bCs/>
          <w:sz w:val="24"/>
          <w:szCs w:val="24"/>
        </w:rPr>
        <w:lastRenderedPageBreak/>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5" w:name="a30_51"/>
      <w:bookmarkEnd w:id="55"/>
      <w:r w:rsidRPr="00A76271">
        <w:rPr>
          <w:rFonts w:eastAsia="Times New Roman"/>
          <w:b/>
          <w:bCs/>
          <w:sz w:val="24"/>
          <w:szCs w:val="24"/>
        </w:rPr>
        <w:lastRenderedPageBreak/>
        <w:t xml:space="preserve">30:51 </w:t>
      </w:r>
      <w:r w:rsidRPr="00A76271">
        <w:rPr>
          <w:rFonts w:eastAsia="Times New Roman"/>
          <w:b/>
          <w:bCs/>
          <w:sz w:val="24"/>
          <w:szCs w:val="24"/>
        </w:rPr>
        <w:tab/>
        <w:t>DAMAGES ― BROKER’S FOR BREACH OF REAL ESTATE COMMISSION CONTRACT</w:t>
      </w:r>
    </w:p>
    <w:p w14:paraId="4CF0B7B9" w14:textId="5D37C38F"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(That percentage of the sales price the defendant agreed to pay the plaintiff as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5B90A5BF"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w:t>
      </w:r>
      <w:r w:rsidR="007A6434">
        <w:rPr>
          <w:rFonts w:eastAsia="Times New Roman"/>
          <w:bCs/>
          <w:sz w:val="24"/>
          <w:szCs w:val="24"/>
        </w:rPr>
        <w:t>7</w:t>
      </w:r>
      <w:r w:rsidRPr="00A76271">
        <w:rPr>
          <w:rFonts w:eastAsia="Times New Roman"/>
          <w:bCs/>
          <w:sz w:val="24"/>
          <w:szCs w:val="24"/>
        </w:rPr>
        <w:t xml:space="preserve"> (listing elements of liability for a real estate commission claim), this instruction should be used as the insertion in Instruction 30:38.</w:t>
      </w:r>
    </w:p>
    <w:p w14:paraId="6E363A2F" w14:textId="134FEABA"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w:t>
      </w:r>
      <w:r w:rsidR="00355A8E">
        <w:rPr>
          <w:rFonts w:eastAsia="Times New Roman"/>
          <w:i/>
          <w:iCs/>
          <w:sz w:val="24"/>
          <w:szCs w:val="24"/>
        </w:rPr>
        <w:t>[</w:t>
      </w:r>
      <w:r w:rsidR="00355A8E" w:rsidRPr="0070684C">
        <w:rPr>
          <w:rFonts w:eastAsia="Times New Roman"/>
          <w:i/>
          <w:iCs/>
          <w:sz w:val="24"/>
          <w:szCs w:val="24"/>
        </w:rPr>
        <w:t>insert applicable pronoun</w:t>
      </w:r>
      <w:r w:rsidR="00355A8E">
        <w:rPr>
          <w:rFonts w:eastAsia="Times New Roman"/>
          <w:i/>
          <w:iCs/>
          <w:sz w:val="24"/>
          <w:szCs w:val="24"/>
        </w:rPr>
        <w:t>]</w:t>
      </w:r>
      <w:r w:rsidRPr="00A76271">
        <w:rPr>
          <w:rFonts w:eastAsia="Times New Roman"/>
          <w:bCs/>
          <w:sz w:val="24"/>
          <w:szCs w:val="24"/>
        </w:rPr>
        <w:t xml:space="preserve">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449F63BF"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w:t>
      </w:r>
      <w:r w:rsidR="007A6434">
        <w:rPr>
          <w:rFonts w:eastAsia="Times New Roman"/>
          <w:bCs/>
          <w:sz w:val="24"/>
          <w:szCs w:val="24"/>
        </w:rPr>
        <w:t>7</w:t>
      </w:r>
      <w:r w:rsidRPr="00A76271">
        <w:rPr>
          <w:rFonts w:eastAsia="Times New Roman"/>
          <w:bCs/>
          <w:sz w:val="24"/>
          <w:szCs w:val="24"/>
        </w:rPr>
        <w:t xml:space="preserve">.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6" w:name="a30_52"/>
      <w:bookmarkEnd w:id="56"/>
      <w:r>
        <w:rPr>
          <w:rFonts w:eastAsia="Times New Roman"/>
          <w:b/>
          <w:bCs/>
          <w:sz w:val="24"/>
          <w:szCs w:val="24"/>
        </w:rPr>
        <w:lastRenderedPageBreak/>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7" w:name="a30_53"/>
      <w:bookmarkStart w:id="58" w:name="_Hlk140934272"/>
      <w:bookmarkEnd w:id="57"/>
      <w:r w:rsidRPr="00A76271">
        <w:rPr>
          <w:rFonts w:eastAsia="Times New Roman"/>
          <w:b/>
          <w:bCs/>
          <w:sz w:val="24"/>
          <w:szCs w:val="24"/>
        </w:rPr>
        <w:lastRenderedPageBreak/>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(The difference between the fair market value of the property with and without the encumbrance.)</w:t>
      </w:r>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bookmarkEnd w:id="58"/>
    <w:p w14:paraId="1D51E996" w14:textId="77777777" w:rsidR="00381B91" w:rsidRDefault="00381B91">
      <w:pPr>
        <w:rPr>
          <w:rFonts w:eastAsia="Times New Roman"/>
          <w:bCs/>
          <w:sz w:val="24"/>
          <w:szCs w:val="24"/>
        </w:rPr>
      </w:pPr>
      <w:r>
        <w:rPr>
          <w:rFonts w:eastAsia="Times New Roman"/>
          <w:bCs/>
          <w:sz w:val="24"/>
          <w:szCs w:val="24"/>
        </w:rPr>
        <w:br w:type="page"/>
      </w:r>
    </w:p>
    <w:p w14:paraId="6A7ADD9B" w14:textId="77777777" w:rsidR="00381B91" w:rsidRPr="009E3DA4" w:rsidRDefault="00381B91" w:rsidP="00381B91">
      <w:pPr>
        <w:spacing w:after="240"/>
        <w:ind w:left="720" w:hanging="720"/>
        <w:rPr>
          <w:rFonts w:eastAsia="Times New Roman"/>
          <w:b/>
          <w:sz w:val="24"/>
          <w:szCs w:val="24"/>
        </w:rPr>
      </w:pPr>
      <w:bookmarkStart w:id="59" w:name="a30_54new"/>
      <w:bookmarkEnd w:id="59"/>
      <w:r w:rsidRPr="00A76271">
        <w:rPr>
          <w:rFonts w:eastAsia="Times New Roman"/>
          <w:b/>
          <w:bCs/>
          <w:sz w:val="24"/>
          <w:szCs w:val="24"/>
        </w:rPr>
        <w:lastRenderedPageBreak/>
        <w:t>30:</w:t>
      </w:r>
      <w:r>
        <w:rPr>
          <w:rFonts w:eastAsia="Times New Roman"/>
          <w:b/>
          <w:bCs/>
          <w:sz w:val="24"/>
          <w:szCs w:val="24"/>
        </w:rPr>
        <w:t xml:space="preserve">54 </w:t>
      </w:r>
      <w:r>
        <w:rPr>
          <w:rFonts w:eastAsia="Times New Roman"/>
          <w:b/>
          <w:bCs/>
          <w:sz w:val="24"/>
          <w:szCs w:val="24"/>
        </w:rPr>
        <w:tab/>
      </w:r>
      <w:r w:rsidRPr="00A76271">
        <w:rPr>
          <w:rFonts w:eastAsia="Times New Roman"/>
          <w:b/>
          <w:bCs/>
          <w:sz w:val="24"/>
          <w:szCs w:val="24"/>
        </w:rPr>
        <w:t xml:space="preserve">DAMAGES — </w:t>
      </w:r>
      <w:r>
        <w:rPr>
          <w:rFonts w:eastAsia="Times New Roman"/>
          <w:b/>
          <w:bCs/>
          <w:sz w:val="24"/>
          <w:szCs w:val="24"/>
        </w:rPr>
        <w:t>LANDLORD FOR TENANT’S BREACH OF COMMERCIAL LEASE</w:t>
      </w:r>
    </w:p>
    <w:p w14:paraId="06947368" w14:textId="77777777" w:rsidR="00381B91" w:rsidRDefault="00381B91" w:rsidP="00381B91">
      <w:pPr>
        <w:spacing w:after="240"/>
        <w:ind w:firstLine="720"/>
        <w:rPr>
          <w:rFonts w:eastAsia="Times New Roman"/>
          <w:b/>
          <w:bCs/>
          <w:sz w:val="24"/>
          <w:szCs w:val="24"/>
        </w:rPr>
      </w:pPr>
      <w:r w:rsidRPr="00A76271">
        <w:rPr>
          <w:rFonts w:eastAsia="Times New Roman"/>
          <w:b/>
          <w:bCs/>
          <w:sz w:val="24"/>
          <w:szCs w:val="24"/>
        </w:rPr>
        <w:t>(</w:t>
      </w:r>
      <w:r>
        <w:rPr>
          <w:rFonts w:eastAsia="Times New Roman"/>
          <w:b/>
          <w:bCs/>
          <w:sz w:val="24"/>
          <w:szCs w:val="24"/>
        </w:rPr>
        <w:t>The difference between the rent remaining to be paid on the lease and the reasonable rental value of the premises for the remainder of the lease term following the breach.</w:t>
      </w:r>
      <w:r w:rsidRPr="00A76271">
        <w:rPr>
          <w:rFonts w:eastAsia="Times New Roman"/>
          <w:b/>
          <w:bCs/>
          <w:sz w:val="24"/>
          <w:szCs w:val="24"/>
        </w:rPr>
        <w:t>)</w:t>
      </w:r>
    </w:p>
    <w:p w14:paraId="081C0612" w14:textId="77777777" w:rsidR="00381B91" w:rsidRDefault="00381B91" w:rsidP="00381B91">
      <w:pPr>
        <w:jc w:val="center"/>
        <w:rPr>
          <w:rFonts w:eastAsia="Times New Roman"/>
          <w:sz w:val="24"/>
          <w:szCs w:val="24"/>
        </w:rPr>
      </w:pPr>
    </w:p>
    <w:p w14:paraId="3621973D" w14:textId="77777777" w:rsidR="00381B91" w:rsidRPr="0054263B" w:rsidRDefault="00381B91" w:rsidP="00381B91">
      <w:pPr>
        <w:keepNext/>
        <w:spacing w:after="240"/>
        <w:jc w:val="center"/>
        <w:rPr>
          <w:rFonts w:eastAsia="Times New Roman"/>
          <w:b/>
          <w:sz w:val="24"/>
          <w:szCs w:val="24"/>
        </w:rPr>
      </w:pPr>
      <w:r w:rsidRPr="0054263B">
        <w:rPr>
          <w:rFonts w:eastAsia="Times New Roman"/>
          <w:b/>
          <w:sz w:val="24"/>
          <w:szCs w:val="24"/>
        </w:rPr>
        <w:t>Notes on Use</w:t>
      </w:r>
    </w:p>
    <w:p w14:paraId="41B3C990" w14:textId="77777777" w:rsidR="00381B9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1. </w:t>
      </w:r>
      <w:r w:rsidRPr="00FF6911">
        <w:rPr>
          <w:rFonts w:eastAsia="Times New Roman"/>
          <w:bCs/>
          <w:sz w:val="24"/>
          <w:szCs w:val="24"/>
        </w:rPr>
        <w:t>When applicable, this instruction should be used as the insertion in Instruction 30:38.</w:t>
      </w:r>
    </w:p>
    <w:p w14:paraId="29488151" w14:textId="77777777" w:rsidR="00381B91" w:rsidRDefault="00381B91" w:rsidP="000D55AD">
      <w:pPr>
        <w:pStyle w:val="ListParagraph"/>
        <w:spacing w:after="240"/>
        <w:ind w:left="0" w:firstLine="720"/>
        <w:rPr>
          <w:rFonts w:eastAsia="Times New Roman"/>
          <w:bCs/>
          <w:sz w:val="24"/>
          <w:szCs w:val="24"/>
        </w:rPr>
      </w:pPr>
    </w:p>
    <w:p w14:paraId="5D95B865" w14:textId="77777777" w:rsidR="00381B91" w:rsidRPr="00FF691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2. When supported by evidence, </w:t>
      </w:r>
      <w:r w:rsidRPr="00FF6911">
        <w:rPr>
          <w:rFonts w:eastAsia="Times New Roman"/>
          <w:bCs/>
          <w:sz w:val="24"/>
          <w:szCs w:val="24"/>
        </w:rPr>
        <w:t>Instruction 30:39</w:t>
      </w:r>
      <w:r>
        <w:rPr>
          <w:rFonts w:eastAsia="Times New Roman"/>
          <w:bCs/>
          <w:sz w:val="24"/>
          <w:szCs w:val="24"/>
        </w:rPr>
        <w:t xml:space="preserve"> on special/consequential damages should be given with this instruction.</w:t>
      </w:r>
    </w:p>
    <w:p w14:paraId="53CFEED4" w14:textId="77777777" w:rsidR="00381B91" w:rsidRPr="00FF6911" w:rsidRDefault="00381B91" w:rsidP="000D55AD">
      <w:pPr>
        <w:pStyle w:val="ListParagraph"/>
        <w:spacing w:after="240"/>
        <w:ind w:left="0" w:firstLine="720"/>
        <w:rPr>
          <w:rFonts w:eastAsia="Times New Roman"/>
          <w:bCs/>
          <w:sz w:val="24"/>
          <w:szCs w:val="24"/>
        </w:rPr>
      </w:pPr>
    </w:p>
    <w:p w14:paraId="6B0A29AF" w14:textId="77777777" w:rsidR="00381B91" w:rsidRPr="00FF691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3. </w:t>
      </w:r>
      <w:r w:rsidRPr="008303E6">
        <w:rPr>
          <w:rFonts w:eastAsia="Times New Roman"/>
          <w:bCs/>
          <w:sz w:val="24"/>
          <w:szCs w:val="24"/>
        </w:rPr>
        <w:t xml:space="preserve">If the landlord is unable to secure a suitable tenant after a reasonable effort or if the premises have </w:t>
      </w:r>
      <w:r>
        <w:rPr>
          <w:rFonts w:eastAsia="Times New Roman"/>
          <w:bCs/>
          <w:sz w:val="24"/>
          <w:szCs w:val="24"/>
        </w:rPr>
        <w:t>become</w:t>
      </w:r>
      <w:r w:rsidRPr="008303E6">
        <w:rPr>
          <w:rFonts w:eastAsia="Times New Roman"/>
          <w:bCs/>
          <w:sz w:val="24"/>
          <w:szCs w:val="24"/>
        </w:rPr>
        <w:t xml:space="preserve"> unmarketable, this instruction should be modified to award the landlord </w:t>
      </w:r>
      <w:r>
        <w:rPr>
          <w:rFonts w:eastAsia="Times New Roman"/>
          <w:bCs/>
          <w:sz w:val="24"/>
          <w:szCs w:val="24"/>
        </w:rPr>
        <w:t>the remaining amount to be paid on the lease.</w:t>
      </w:r>
    </w:p>
    <w:p w14:paraId="7FEE0346" w14:textId="77777777" w:rsidR="00381B91" w:rsidRPr="0054263B" w:rsidRDefault="00381B91" w:rsidP="00381B91">
      <w:pPr>
        <w:keepNext/>
        <w:spacing w:after="240"/>
        <w:jc w:val="center"/>
        <w:rPr>
          <w:rFonts w:eastAsia="Times New Roman"/>
          <w:b/>
          <w:sz w:val="24"/>
          <w:szCs w:val="24"/>
        </w:rPr>
      </w:pPr>
      <w:r>
        <w:rPr>
          <w:rFonts w:eastAsia="Times New Roman"/>
          <w:b/>
          <w:sz w:val="24"/>
          <w:szCs w:val="24"/>
        </w:rPr>
        <w:t>Source and Authority</w:t>
      </w:r>
    </w:p>
    <w:p w14:paraId="6900996D" w14:textId="77777777" w:rsidR="00381B91" w:rsidRPr="00FF6911" w:rsidRDefault="00381B91" w:rsidP="00381B91">
      <w:pPr>
        <w:pStyle w:val="ListParagraph"/>
        <w:spacing w:after="240"/>
        <w:ind w:left="0" w:firstLine="720"/>
        <w:rPr>
          <w:rFonts w:eastAsia="Times New Roman"/>
          <w:bCs/>
          <w:sz w:val="24"/>
          <w:szCs w:val="24"/>
        </w:rPr>
      </w:pPr>
      <w:r w:rsidRPr="00FF6911">
        <w:rPr>
          <w:rFonts w:eastAsia="Times New Roman"/>
          <w:bCs/>
          <w:sz w:val="24"/>
          <w:szCs w:val="24"/>
        </w:rPr>
        <w:t xml:space="preserve">This instruction is supported by </w:t>
      </w:r>
      <w:r w:rsidRPr="00FF6911">
        <w:rPr>
          <w:rFonts w:eastAsia="Times New Roman"/>
          <w:b/>
          <w:sz w:val="24"/>
          <w:szCs w:val="24"/>
        </w:rPr>
        <w:t>Schneiker v. Gordon</w:t>
      </w:r>
      <w:r w:rsidRPr="00FF6911">
        <w:rPr>
          <w:rFonts w:eastAsia="Times New Roman"/>
          <w:bCs/>
          <w:sz w:val="24"/>
          <w:szCs w:val="24"/>
        </w:rPr>
        <w:t>, 732 P.2d 603, 612 (Colo. 1987) (“The measure of damages is the amount it takes to place the landlord in the position he would have occupied had the breach not occurred, taking into account the landlord’s duty to mitigate</w:t>
      </w:r>
      <w:r>
        <w:rPr>
          <w:rFonts w:eastAsia="Times New Roman"/>
          <w:bCs/>
          <w:sz w:val="24"/>
          <w:szCs w:val="24"/>
        </w:rPr>
        <w:t xml:space="preserve"> </w:t>
      </w:r>
      <w:r w:rsidRPr="00FF6911">
        <w:rPr>
          <w:rFonts w:eastAsia="Times New Roman"/>
          <w:bCs/>
          <w:sz w:val="24"/>
          <w:szCs w:val="24"/>
        </w:rPr>
        <w:t>. . .</w:t>
      </w:r>
      <w:r>
        <w:rPr>
          <w:rFonts w:eastAsia="Times New Roman"/>
          <w:bCs/>
          <w:sz w:val="24"/>
          <w:szCs w:val="24"/>
        </w:rPr>
        <w:t xml:space="preserve"> .</w:t>
      </w:r>
      <w:r w:rsidRPr="00FF6911">
        <w:rPr>
          <w:rFonts w:eastAsia="Times New Roman"/>
          <w:bCs/>
          <w:sz w:val="24"/>
          <w:szCs w:val="24"/>
        </w:rPr>
        <w:t xml:space="preserve"> Usually this will be the difference between the rent reserved in the lease and the reasonable rental value of the premises for the duration of the term of the lease, plus any other consequential damages caused by the breach.”); </w:t>
      </w:r>
      <w:r w:rsidRPr="00FF6911">
        <w:rPr>
          <w:rFonts w:eastAsia="Times New Roman"/>
          <w:bCs/>
          <w:i/>
          <w:iCs/>
          <w:sz w:val="24"/>
          <w:szCs w:val="24"/>
        </w:rPr>
        <w:t>see also</w:t>
      </w:r>
      <w:r w:rsidRPr="00FF6911">
        <w:rPr>
          <w:rFonts w:eastAsia="Times New Roman"/>
          <w:bCs/>
          <w:sz w:val="24"/>
          <w:szCs w:val="24"/>
        </w:rPr>
        <w:t xml:space="preserve"> </w:t>
      </w:r>
      <w:r w:rsidRPr="00FF6911">
        <w:rPr>
          <w:rFonts w:eastAsia="Times New Roman"/>
          <w:b/>
          <w:sz w:val="24"/>
          <w:szCs w:val="24"/>
        </w:rPr>
        <w:t>Tremitek, LLC v. Resilience Code, LLC</w:t>
      </w:r>
      <w:r w:rsidRPr="00FF6911">
        <w:rPr>
          <w:rFonts w:eastAsia="Times New Roman"/>
          <w:bCs/>
          <w:sz w:val="24"/>
          <w:szCs w:val="24"/>
        </w:rPr>
        <w:t xml:space="preserve">, 2023 COA 54, ¶ 19 (same); </w:t>
      </w:r>
      <w:r w:rsidRPr="00FF6911">
        <w:rPr>
          <w:rFonts w:eastAsia="Times New Roman"/>
          <w:b/>
          <w:sz w:val="24"/>
          <w:szCs w:val="24"/>
        </w:rPr>
        <w:t>Highlands Broadway OPCO, LLC v. Barre Boss LLC</w:t>
      </w:r>
      <w:r w:rsidRPr="00FF6911">
        <w:rPr>
          <w:rFonts w:eastAsia="Times New Roman"/>
          <w:bCs/>
          <w:sz w:val="24"/>
          <w:szCs w:val="24"/>
        </w:rPr>
        <w:t>, 2023 COA 5, ¶ 23, 528 P.3d 517, 522  (“the record supports the trial court’s factual determination that landlord undertook reasonable efforts to mitigate its damages”);</w:t>
      </w:r>
      <w:r w:rsidRPr="00FF6911">
        <w:rPr>
          <w:rFonts w:eastAsia="Times New Roman"/>
          <w:b/>
          <w:sz w:val="24"/>
          <w:szCs w:val="24"/>
        </w:rPr>
        <w:t xml:space="preserve"> Renco Assocs. v. D’Lance, Inc.</w:t>
      </w:r>
      <w:r w:rsidRPr="00FF6911">
        <w:rPr>
          <w:rFonts w:eastAsia="Times New Roman"/>
          <w:bCs/>
          <w:sz w:val="24"/>
          <w:szCs w:val="24"/>
        </w:rPr>
        <w:t>, 214 P.3d 1069, 1071 (Colo. App. 2009) (“a plaintiff m</w:t>
      </w:r>
      <w:r>
        <w:rPr>
          <w:rFonts w:eastAsia="Times New Roman"/>
          <w:bCs/>
          <w:sz w:val="24"/>
          <w:szCs w:val="24"/>
        </w:rPr>
        <w:t>a</w:t>
      </w:r>
      <w:r w:rsidRPr="00FF6911">
        <w:rPr>
          <w:rFonts w:eastAsia="Times New Roman"/>
          <w:bCs/>
          <w:sz w:val="24"/>
          <w:szCs w:val="24"/>
        </w:rPr>
        <w:t xml:space="preserve">y recover past due rent, including late charges on rent in default, in an FED action involving a lease that provides for rental payments”); </w:t>
      </w:r>
      <w:r w:rsidRPr="00FF6911">
        <w:rPr>
          <w:rFonts w:eastAsia="Times New Roman"/>
          <w:b/>
          <w:sz w:val="24"/>
          <w:szCs w:val="24"/>
        </w:rPr>
        <w:t>Del E. Webb Realty and Mgmt. Co. v. Wessbecker</w:t>
      </w:r>
      <w:r w:rsidRPr="00FF6911">
        <w:rPr>
          <w:rFonts w:eastAsia="Times New Roman"/>
          <w:bCs/>
          <w:sz w:val="24"/>
          <w:szCs w:val="24"/>
        </w:rPr>
        <w:t xml:space="preserve">, 628 P.2d 114, 116 (Colo. App. 1980) (“the trial court’s finding that the landlord failed to mitigate damages is not supported by the evidence”).  </w:t>
      </w:r>
    </w:p>
    <w:p w14:paraId="3BB169D3" w14:textId="553E9629" w:rsidR="00A76271" w:rsidRDefault="00A76271">
      <w:pPr>
        <w:rPr>
          <w:rFonts w:eastAsia="Times New Roman"/>
          <w:bCs/>
          <w:sz w:val="24"/>
          <w:szCs w:val="24"/>
        </w:rPr>
      </w:pPr>
      <w:r>
        <w:rPr>
          <w:rFonts w:eastAsia="Times New Roman"/>
          <w:bCs/>
          <w:sz w:val="24"/>
          <w:szCs w:val="24"/>
        </w:rPr>
        <w:br w:type="page"/>
      </w:r>
    </w:p>
    <w:p w14:paraId="203589CA" w14:textId="46989644" w:rsidR="00A76271" w:rsidRDefault="00A76271" w:rsidP="00A76271">
      <w:pPr>
        <w:spacing w:after="240"/>
        <w:jc w:val="center"/>
        <w:rPr>
          <w:rFonts w:eastAsia="Times New Roman"/>
          <w:b/>
          <w:sz w:val="24"/>
          <w:szCs w:val="24"/>
        </w:rPr>
      </w:pPr>
      <w:bookmarkStart w:id="60" w:name="_Hlk140834632"/>
      <w:r w:rsidRPr="00A76271">
        <w:rPr>
          <w:rFonts w:eastAsia="Times New Roman"/>
          <w:b/>
          <w:sz w:val="24"/>
          <w:szCs w:val="24"/>
        </w:rPr>
        <w:lastRenderedPageBreak/>
        <w:t>F. PARTICULAR CONTRACTS</w:t>
      </w:r>
    </w:p>
    <w:p w14:paraId="40F3BE75" w14:textId="7AB1EA6B" w:rsidR="00A76271" w:rsidRPr="009E3DA4" w:rsidRDefault="00A76271" w:rsidP="00A76271">
      <w:pPr>
        <w:spacing w:after="240"/>
        <w:ind w:left="720" w:hanging="720"/>
        <w:rPr>
          <w:rFonts w:eastAsia="Times New Roman"/>
          <w:b/>
          <w:sz w:val="24"/>
          <w:szCs w:val="24"/>
        </w:rPr>
      </w:pPr>
      <w:bookmarkStart w:id="61" w:name="a30_54"/>
      <w:bookmarkEnd w:id="61"/>
      <w:r w:rsidRPr="00A76271">
        <w:rPr>
          <w:rFonts w:eastAsia="Times New Roman"/>
          <w:b/>
          <w:bCs/>
          <w:sz w:val="24"/>
          <w:szCs w:val="24"/>
        </w:rPr>
        <w:t>30:5</w:t>
      </w:r>
      <w:r w:rsidR="007A6434">
        <w:rPr>
          <w:rFonts w:eastAsia="Times New Roman"/>
          <w:b/>
          <w:bCs/>
          <w:sz w:val="24"/>
          <w:szCs w:val="24"/>
        </w:rPr>
        <w:t>5</w:t>
      </w:r>
      <w:r w:rsidRPr="00A76271">
        <w:rPr>
          <w:rFonts w:eastAsia="Times New Roman"/>
          <w:b/>
          <w:bCs/>
          <w:sz w:val="24"/>
          <w:szCs w:val="24"/>
        </w:rPr>
        <w:t xml:space="preserve">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bookmarkEnd w:id="60"/>
    <w:p w14:paraId="61DE718F" w14:textId="20FA36FD"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claim of breach of implied warranty, you must find both of the following have been proved by a preponderance of the evidence:</w:t>
      </w:r>
    </w:p>
    <w:p w14:paraId="2DB759BC" w14:textId="3A83C65A"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bookmarkStart w:id="62" w:name="_Hlk142046422"/>
      <w:r w:rsidRPr="00A76271">
        <w:rPr>
          <w:rFonts w:eastAsia="Times New Roman"/>
          <w:b/>
          <w:bCs/>
          <w:sz w:val="24"/>
          <w:szCs w:val="24"/>
        </w:rPr>
        <w:t>If you find that either one or both of these statements has not been proved, then your verdict must be for the defendant.</w:t>
      </w:r>
    </w:p>
    <w:bookmarkEnd w:id="62"/>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17379662"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w:t>
      </w:r>
      <w:r w:rsidR="007A6434">
        <w:rPr>
          <w:rFonts w:eastAsia="Times New Roman"/>
          <w:bCs/>
          <w:sz w:val="24"/>
          <w:szCs w:val="24"/>
        </w:rPr>
        <w:t>6</w:t>
      </w:r>
      <w:r w:rsidRPr="00A76271">
        <w:rPr>
          <w:rFonts w:eastAsia="Times New Roman"/>
          <w:bCs/>
          <w:sz w:val="24"/>
          <w:szCs w:val="24"/>
        </w:rPr>
        <w:t xml:space="preserve">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Omit either numbered paragraph, the facts of which are not in dispute, and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232F6BAE" w14:textId="77777777" w:rsidR="006B7995" w:rsidRDefault="00A76271" w:rsidP="00D21951">
      <w:pPr>
        <w:spacing w:after="240"/>
        <w:ind w:firstLine="720"/>
        <w:rPr>
          <w:rFonts w:eastAsia="Times New Roman"/>
          <w:bCs/>
          <w:sz w:val="24"/>
          <w:szCs w:val="24"/>
        </w:rPr>
      </w:pPr>
      <w:r w:rsidRPr="00A76271">
        <w:rPr>
          <w:rFonts w:eastAsia="Times New Roman"/>
          <w:bCs/>
          <w:sz w:val="24"/>
          <w:szCs w:val="24"/>
        </w:rPr>
        <w:t xml:space="preserve">2. </w:t>
      </w:r>
      <w:r w:rsidR="006B7995">
        <w:rPr>
          <w:rFonts w:eastAsia="Times New Roman"/>
          <w:bCs/>
          <w:sz w:val="24"/>
          <w:szCs w:val="24"/>
        </w:rPr>
        <w:t xml:space="preserve">This instruction, as revised by the trial court, was cited with approval in </w:t>
      </w:r>
      <w:r w:rsidR="006B7995" w:rsidRPr="001B22B7">
        <w:rPr>
          <w:rFonts w:eastAsia="Times New Roman"/>
          <w:b/>
          <w:sz w:val="24"/>
          <w:szCs w:val="24"/>
        </w:rPr>
        <w:t>Brooktree Village Homeowners Ass’n v. Brooktree Village</w:t>
      </w:r>
      <w:r w:rsidR="006B7995">
        <w:rPr>
          <w:rFonts w:eastAsia="Times New Roman"/>
          <w:b/>
          <w:sz w:val="24"/>
          <w:szCs w:val="24"/>
        </w:rPr>
        <w:t>,</w:t>
      </w:r>
      <w:r w:rsidR="006B7995" w:rsidRPr="001B22B7">
        <w:rPr>
          <w:rFonts w:eastAsia="Times New Roman"/>
          <w:b/>
          <w:sz w:val="24"/>
          <w:szCs w:val="24"/>
        </w:rPr>
        <w:t xml:space="preserve"> LLC</w:t>
      </w:r>
      <w:r w:rsidR="006B7995">
        <w:rPr>
          <w:rFonts w:eastAsia="Times New Roman"/>
          <w:bCs/>
          <w:sz w:val="24"/>
          <w:szCs w:val="24"/>
        </w:rPr>
        <w:t>, 2020 COA 165, ¶ 53, 479 P.3d 86, 97 (affirming jury verdict awarding damages to homeowner association for developer and builder’s breach of implied warranties in construction of common areas).</w:t>
      </w:r>
    </w:p>
    <w:p w14:paraId="573A4B65" w14:textId="334AE68C" w:rsidR="00A76271" w:rsidRPr="00A76271" w:rsidRDefault="006B7995" w:rsidP="00D21951">
      <w:pPr>
        <w:spacing w:after="240"/>
        <w:ind w:firstLine="720"/>
        <w:rPr>
          <w:rFonts w:eastAsia="Times New Roman"/>
          <w:bCs/>
          <w:sz w:val="24"/>
          <w:szCs w:val="24"/>
        </w:rPr>
      </w:pPr>
      <w:r>
        <w:rPr>
          <w:rFonts w:eastAsia="Times New Roman"/>
          <w:bCs/>
          <w:sz w:val="24"/>
          <w:szCs w:val="24"/>
        </w:rPr>
        <w:t xml:space="preserve">3. </w:t>
      </w:r>
      <w:r w:rsidR="00A76271" w:rsidRPr="00A76271">
        <w:rPr>
          <w:rFonts w:eastAsia="Times New Roman"/>
          <w:bCs/>
          <w:sz w:val="24"/>
          <w:szCs w:val="24"/>
        </w:rPr>
        <w:t xml:space="preserve">The failure to correct defects caused by hazards of soil, weather, labor, and other like conditions that are the responsibility of the builder is a failure to construct the building in a workmanlike manner. </w:t>
      </w:r>
      <w:r w:rsidR="00A76271" w:rsidRPr="00A76271">
        <w:rPr>
          <w:rFonts w:eastAsia="Times New Roman"/>
          <w:b/>
          <w:bCs/>
          <w:sz w:val="24"/>
          <w:szCs w:val="24"/>
        </w:rPr>
        <w:t>Newcomb v. Schaeffler</w:t>
      </w:r>
      <w:r w:rsidR="00A76271" w:rsidRPr="00A76271">
        <w:rPr>
          <w:rFonts w:eastAsia="Times New Roman"/>
          <w:bCs/>
          <w:sz w:val="24"/>
          <w:szCs w:val="24"/>
        </w:rPr>
        <w:t>, 131 Colo. 56, 279 P.2d 409 (1955).</w:t>
      </w:r>
    </w:p>
    <w:p w14:paraId="726B5334" w14:textId="47F4E6E2" w:rsidR="00A76271" w:rsidRPr="00A76271" w:rsidRDefault="006B7995" w:rsidP="00A76271">
      <w:pPr>
        <w:spacing w:after="240"/>
        <w:ind w:firstLine="720"/>
        <w:rPr>
          <w:rFonts w:eastAsia="Times New Roman"/>
          <w:bCs/>
          <w:sz w:val="24"/>
          <w:szCs w:val="24"/>
        </w:rPr>
      </w:pPr>
      <w:r>
        <w:rPr>
          <w:rFonts w:eastAsia="Times New Roman"/>
          <w:bCs/>
          <w:sz w:val="24"/>
          <w:szCs w:val="24"/>
        </w:rPr>
        <w:t>4</w:t>
      </w:r>
      <w:r w:rsidR="00A76271" w:rsidRPr="00A76271">
        <w:rPr>
          <w:rFonts w:eastAsia="Times New Roman"/>
          <w:bCs/>
          <w:sz w:val="24"/>
          <w:szCs w:val="24"/>
        </w:rPr>
        <w:t xml:space="preserve">. Privity is an essential element of claims for breach of implied warranties arising from transactions involving real property. </w:t>
      </w:r>
      <w:r w:rsidR="00A76271" w:rsidRPr="00A76271">
        <w:rPr>
          <w:rFonts w:eastAsia="Times New Roman"/>
          <w:b/>
          <w:bCs/>
          <w:sz w:val="24"/>
          <w:szCs w:val="24"/>
        </w:rPr>
        <w:t>Forest City Stapleton Inc. v. Rogers</w:t>
      </w:r>
      <w:r w:rsidR="00A76271"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00A76271" w:rsidRPr="00A76271">
        <w:rPr>
          <w:rFonts w:eastAsia="Times New Roman"/>
          <w:bCs/>
          <w:i/>
          <w:sz w:val="24"/>
          <w:szCs w:val="24"/>
        </w:rPr>
        <w:t>See</w:t>
      </w:r>
      <w:r w:rsidR="00A76271" w:rsidRPr="00A76271">
        <w:rPr>
          <w:rFonts w:eastAsia="Times New Roman"/>
          <w:bCs/>
          <w:sz w:val="24"/>
          <w:szCs w:val="24"/>
        </w:rPr>
        <w:t xml:space="preserve"> </w:t>
      </w:r>
      <w:r w:rsidR="00A76271" w:rsidRPr="00A76271">
        <w:rPr>
          <w:rFonts w:eastAsia="Times New Roman"/>
          <w:b/>
          <w:bCs/>
          <w:sz w:val="24"/>
          <w:szCs w:val="24"/>
        </w:rPr>
        <w:t>H.B. Bolas Enters., Inc. v. Zarlengo</w:t>
      </w:r>
      <w:r w:rsidR="00A76271" w:rsidRPr="00A76271">
        <w:rPr>
          <w:rFonts w:eastAsia="Times New Roman"/>
          <w:bCs/>
          <w:sz w:val="24"/>
          <w:szCs w:val="24"/>
        </w:rPr>
        <w:t xml:space="preserve">, 156 Colo. 530, 400 P.2d 447 (1965); </w:t>
      </w:r>
      <w:r w:rsidR="00A76271" w:rsidRPr="00A76271">
        <w:rPr>
          <w:rFonts w:eastAsia="Times New Roman"/>
          <w:bCs/>
          <w:i/>
          <w:sz w:val="24"/>
          <w:szCs w:val="24"/>
        </w:rPr>
        <w:t xml:space="preserve">see also </w:t>
      </w:r>
      <w:r w:rsidR="00A76271" w:rsidRPr="00A76271">
        <w:rPr>
          <w:rFonts w:eastAsia="Times New Roman"/>
          <w:b/>
          <w:bCs/>
          <w:sz w:val="24"/>
          <w:szCs w:val="24"/>
        </w:rPr>
        <w:t>Gallegos v. Graff</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00A76271" w:rsidRPr="00A76271">
        <w:rPr>
          <w:rFonts w:eastAsia="Times New Roman"/>
          <w:b/>
          <w:bCs/>
          <w:sz w:val="24"/>
          <w:szCs w:val="24"/>
        </w:rPr>
        <w:t>Utz v. Moss</w:t>
      </w:r>
      <w:r w:rsidR="00A76271"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00A76271" w:rsidRPr="00A76271">
        <w:rPr>
          <w:rFonts w:eastAsia="Times New Roman"/>
          <w:bCs/>
          <w:i/>
          <w:sz w:val="24"/>
          <w:szCs w:val="24"/>
        </w:rPr>
        <w:t>But see</w:t>
      </w:r>
      <w:r w:rsidR="00A76271" w:rsidRPr="00A76271">
        <w:rPr>
          <w:rFonts w:eastAsia="Times New Roman"/>
          <w:bCs/>
          <w:sz w:val="24"/>
          <w:szCs w:val="24"/>
        </w:rPr>
        <w:t xml:space="preserve"> </w:t>
      </w:r>
      <w:r w:rsidR="00A76271" w:rsidRPr="00A76271">
        <w:rPr>
          <w:rFonts w:eastAsia="Times New Roman"/>
          <w:b/>
          <w:bCs/>
          <w:sz w:val="24"/>
          <w:szCs w:val="24"/>
        </w:rPr>
        <w:t>Duncan v. Schuster-Graham Homes, Inc.</w:t>
      </w:r>
      <w:r w:rsidR="00A76271"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194A4CFD" w:rsidR="00A76271" w:rsidRPr="00A76271" w:rsidRDefault="006B7995" w:rsidP="00A76271">
      <w:pPr>
        <w:spacing w:after="240"/>
        <w:ind w:firstLine="720"/>
        <w:rPr>
          <w:rFonts w:eastAsia="Times New Roman"/>
          <w:bCs/>
          <w:sz w:val="24"/>
          <w:szCs w:val="24"/>
        </w:rPr>
      </w:pPr>
      <w:r>
        <w:rPr>
          <w:rFonts w:eastAsia="Times New Roman"/>
          <w:bCs/>
          <w:sz w:val="24"/>
          <w:szCs w:val="24"/>
        </w:rPr>
        <w:t>5</w:t>
      </w:r>
      <w:r w:rsidR="003333C4">
        <w:rPr>
          <w:rFonts w:eastAsia="Times New Roman"/>
          <w:bCs/>
          <w:sz w:val="24"/>
          <w:szCs w:val="24"/>
        </w:rPr>
        <w:t xml:space="preserve">.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r w:rsidR="00A76271" w:rsidRPr="00A76271">
        <w:rPr>
          <w:rFonts w:eastAsia="Times New Roman"/>
          <w:b/>
          <w:bCs/>
          <w:sz w:val="24"/>
          <w:szCs w:val="24"/>
        </w:rPr>
        <w:t xml:space="preserve">Rusch v. Lincoln-Devore Testing </w:t>
      </w:r>
      <w:r w:rsidR="00A76271" w:rsidRPr="00A76271">
        <w:rPr>
          <w:rFonts w:eastAsia="Times New Roman"/>
          <w:b/>
          <w:bCs/>
          <w:sz w:val="24"/>
          <w:szCs w:val="24"/>
        </w:rPr>
        <w:lastRenderedPageBreak/>
        <w:t>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sidR="003333C4">
        <w:rPr>
          <w:rFonts w:eastAsia="Times New Roman"/>
          <w:bCs/>
          <w:sz w:val="24"/>
          <w:szCs w:val="24"/>
        </w:rPr>
        <w:t>.</w:t>
      </w:r>
      <w:r w:rsidR="00A76271" w:rsidRPr="00A76271">
        <w:rPr>
          <w:rFonts w:eastAsia="Times New Roman"/>
          <w:bCs/>
          <w:sz w:val="24"/>
          <w:szCs w:val="24"/>
        </w:rPr>
        <w:t xml:space="preserve"> </w:t>
      </w:r>
    </w:p>
    <w:p w14:paraId="085C6842" w14:textId="52783411" w:rsidR="00A76271" w:rsidRPr="00A76271" w:rsidRDefault="006B7995" w:rsidP="00A76271">
      <w:pPr>
        <w:spacing w:after="240"/>
        <w:ind w:firstLine="720"/>
        <w:rPr>
          <w:rFonts w:eastAsia="Times New Roman"/>
          <w:bCs/>
          <w:sz w:val="24"/>
          <w:szCs w:val="24"/>
        </w:rPr>
      </w:pPr>
      <w:r>
        <w:rPr>
          <w:rFonts w:eastAsia="Times New Roman"/>
          <w:bCs/>
          <w:sz w:val="24"/>
          <w:szCs w:val="24"/>
        </w:rPr>
        <w:t>6</w:t>
      </w:r>
      <w:r w:rsidR="00A76271" w:rsidRPr="00A76271">
        <w:rPr>
          <w:rFonts w:eastAsia="Times New Roman"/>
          <w:bCs/>
          <w:sz w:val="24"/>
          <w:szCs w:val="24"/>
        </w:rPr>
        <w:t>.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warranty, see section 13-20-807.</w:t>
      </w:r>
    </w:p>
    <w:p w14:paraId="5C186512" w14:textId="687245D1" w:rsidR="00A76271" w:rsidRPr="00A76271" w:rsidRDefault="006B7995" w:rsidP="00A76271">
      <w:pPr>
        <w:spacing w:after="240"/>
        <w:ind w:firstLine="720"/>
        <w:rPr>
          <w:rFonts w:eastAsia="Times New Roman"/>
          <w:bCs/>
          <w:sz w:val="24"/>
          <w:szCs w:val="24"/>
        </w:rPr>
      </w:pPr>
      <w:r>
        <w:rPr>
          <w:rFonts w:eastAsia="Times New Roman"/>
          <w:bCs/>
          <w:sz w:val="24"/>
          <w:szCs w:val="24"/>
        </w:rPr>
        <w:t>7</w:t>
      </w:r>
      <w:r w:rsidR="00A76271" w:rsidRPr="00A76271">
        <w:rPr>
          <w:rFonts w:eastAsia="Times New Roman"/>
          <w:bCs/>
          <w:sz w:val="24"/>
          <w:szCs w:val="24"/>
        </w:rPr>
        <w:t xml:space="preserve">.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00A76271" w:rsidRPr="00A76271">
        <w:rPr>
          <w:rFonts w:eastAsia="Times New Roman"/>
          <w:b/>
          <w:bCs/>
          <w:sz w:val="24"/>
          <w:szCs w:val="24"/>
        </w:rPr>
        <w:t>Weller v. Cosmopolitan Homes, Inc.</w:t>
      </w:r>
      <w:r w:rsidR="00A76271" w:rsidRPr="00A76271">
        <w:rPr>
          <w:rFonts w:eastAsia="Times New Roman"/>
          <w:bCs/>
          <w:sz w:val="24"/>
          <w:szCs w:val="24"/>
        </w:rPr>
        <w:t xml:space="preserve">, 44 Colo. App. 470, 471, 622 P.2d 577, 578 (1980), </w:t>
      </w:r>
      <w:r w:rsidR="00A76271" w:rsidRPr="00A76271">
        <w:rPr>
          <w:rFonts w:eastAsia="Times New Roman"/>
          <w:bCs/>
          <w:i/>
          <w:sz w:val="24"/>
          <w:szCs w:val="24"/>
        </w:rPr>
        <w:t>aff’d</w:t>
      </w:r>
      <w:r w:rsidR="00A76271" w:rsidRPr="00A76271">
        <w:rPr>
          <w:rFonts w:eastAsia="Times New Roman"/>
          <w:bCs/>
          <w:sz w:val="24"/>
          <w:szCs w:val="24"/>
        </w:rPr>
        <w:t xml:space="preserve">, 663 P.2d 1041 (Colo. 1983) (limiting the rule of the case “to latent defects which the purchaser was unable to discover prior to purchase”);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Johnson v. Graham</w:t>
      </w:r>
      <w:r w:rsidR="00A76271" w:rsidRPr="00A76271">
        <w:rPr>
          <w:rFonts w:eastAsia="Times New Roman"/>
          <w:bCs/>
          <w:sz w:val="24"/>
          <w:szCs w:val="24"/>
        </w:rPr>
        <w:t xml:space="preserve">, 679 P.2d 1090 (Colo. App. 1983) (undiscovered failure to install drain or properly compact soil could be considered latent defects), </w:t>
      </w:r>
      <w:r w:rsidR="00A76271" w:rsidRPr="00A76271">
        <w:rPr>
          <w:rFonts w:eastAsia="Times New Roman"/>
          <w:bCs/>
          <w:i/>
          <w:sz w:val="24"/>
          <w:szCs w:val="24"/>
        </w:rPr>
        <w:t>rev’d in part on other grounds sub nom.</w:t>
      </w:r>
      <w:r w:rsidR="00A76271" w:rsidRPr="00A76271">
        <w:rPr>
          <w:rFonts w:eastAsia="Times New Roman"/>
          <w:bCs/>
          <w:sz w:val="24"/>
          <w:szCs w:val="24"/>
        </w:rPr>
        <w:t xml:space="preserve"> </w:t>
      </w:r>
      <w:r w:rsidR="00A76271" w:rsidRPr="00A76271">
        <w:rPr>
          <w:rFonts w:eastAsia="Times New Roman"/>
          <w:b/>
          <w:bCs/>
          <w:sz w:val="24"/>
          <w:szCs w:val="24"/>
        </w:rPr>
        <w:t>Tri-Aspen Constr. Co. v. Johnson</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714 P.2d 484 (Colo. 1986). </w:t>
      </w:r>
    </w:p>
    <w:p w14:paraId="2EEA4D1D" w14:textId="02ED545F" w:rsidR="00A76271" w:rsidRPr="00A76271" w:rsidRDefault="006B7995" w:rsidP="00A76271">
      <w:pPr>
        <w:spacing w:after="240"/>
        <w:ind w:firstLine="720"/>
        <w:rPr>
          <w:rFonts w:eastAsia="Times New Roman"/>
          <w:bCs/>
          <w:sz w:val="24"/>
          <w:szCs w:val="24"/>
        </w:rPr>
      </w:pPr>
      <w:r>
        <w:rPr>
          <w:rFonts w:eastAsia="Times New Roman"/>
          <w:bCs/>
          <w:sz w:val="24"/>
          <w:szCs w:val="24"/>
        </w:rPr>
        <w:t>8</w:t>
      </w:r>
      <w:r w:rsidR="00A76271" w:rsidRPr="00A76271">
        <w:rPr>
          <w:rFonts w:eastAsia="Times New Roman"/>
          <w:bCs/>
          <w:sz w:val="24"/>
          <w:szCs w:val="24"/>
        </w:rPr>
        <w:t xml:space="preserve">. To be liable as a builder under this instruction the defendant must have been a person regularly engaged in the “business of building” so that the sale is commercial in nature, rather than casual or personal. </w:t>
      </w:r>
      <w:r w:rsidR="00A76271" w:rsidRPr="00A76271">
        <w:rPr>
          <w:rFonts w:eastAsia="Times New Roman"/>
          <w:b/>
          <w:bCs/>
          <w:sz w:val="24"/>
          <w:szCs w:val="24"/>
        </w:rPr>
        <w:t>Mazurek v. Nielsen</w:t>
      </w:r>
      <w:r w:rsidR="00A76271" w:rsidRPr="00A76271">
        <w:rPr>
          <w:rFonts w:eastAsia="Times New Roman"/>
          <w:bCs/>
          <w:sz w:val="24"/>
          <w:szCs w:val="24"/>
        </w:rPr>
        <w:t xml:space="preserve">, 42 Colo. App. 386, 599 P.2d 269; </w:t>
      </w:r>
      <w:r w:rsidR="00A76271" w:rsidRPr="00A76271">
        <w:rPr>
          <w:rFonts w:eastAsia="Times New Roman"/>
          <w:bCs/>
          <w:i/>
          <w:sz w:val="24"/>
          <w:szCs w:val="24"/>
        </w:rPr>
        <w:t>accord</w:t>
      </w:r>
      <w:r w:rsidR="00A76271" w:rsidRPr="00A76271">
        <w:rPr>
          <w:rFonts w:eastAsia="Times New Roman"/>
          <w:bCs/>
          <w:sz w:val="24"/>
          <w:szCs w:val="24"/>
        </w:rPr>
        <w:t xml:space="preserve"> </w:t>
      </w:r>
      <w:r w:rsidR="00A76271" w:rsidRPr="00A76271">
        <w:rPr>
          <w:rFonts w:eastAsia="Times New Roman"/>
          <w:b/>
          <w:bCs/>
          <w:sz w:val="24"/>
          <w:szCs w:val="24"/>
        </w:rPr>
        <w:t>Erickson v. Oberlohr</w:t>
      </w:r>
      <w:r w:rsidR="00A76271"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00A76271" w:rsidRPr="00A76271">
        <w:rPr>
          <w:rFonts w:eastAsia="Times New Roman"/>
          <w:b/>
          <w:bCs/>
          <w:sz w:val="24"/>
          <w:szCs w:val="24"/>
        </w:rPr>
        <w:t>Sloat v. Matheny</w:t>
      </w:r>
      <w:r w:rsidR="00A76271" w:rsidRPr="00A76271">
        <w:rPr>
          <w:rFonts w:eastAsia="Times New Roman"/>
          <w:bCs/>
          <w:sz w:val="24"/>
          <w:szCs w:val="24"/>
        </w:rPr>
        <w:t xml:space="preserve">, 625 P.2d 1031 (Colo. 1981);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Davies v. Bradley</w:t>
      </w:r>
      <w:r w:rsidR="00A76271"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65CA7423" w:rsidR="00A76271" w:rsidRPr="00A76271" w:rsidRDefault="006B7995" w:rsidP="00A76271">
      <w:pPr>
        <w:spacing w:after="240"/>
        <w:ind w:firstLine="720"/>
        <w:rPr>
          <w:rFonts w:eastAsia="Times New Roman"/>
          <w:bCs/>
          <w:sz w:val="24"/>
          <w:szCs w:val="24"/>
        </w:rPr>
      </w:pPr>
      <w:r>
        <w:rPr>
          <w:rFonts w:eastAsia="Times New Roman"/>
          <w:bCs/>
          <w:sz w:val="24"/>
          <w:szCs w:val="24"/>
        </w:rPr>
        <w:t>9</w:t>
      </w:r>
      <w:r w:rsidR="00A76271" w:rsidRPr="00A76271">
        <w:rPr>
          <w:rFonts w:eastAsia="Times New Roman"/>
          <w:bCs/>
          <w:sz w:val="24"/>
          <w:szCs w:val="24"/>
        </w:rPr>
        <w:t xml:space="preserve">.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00A76271" w:rsidRPr="00A76271">
        <w:rPr>
          <w:rFonts w:eastAsia="Times New Roman"/>
          <w:bCs/>
          <w:i/>
          <w:sz w:val="24"/>
          <w:szCs w:val="24"/>
        </w:rPr>
        <w:t>Id</w:t>
      </w:r>
      <w:r w:rsidR="00A76271" w:rsidRPr="00A76271">
        <w:rPr>
          <w:rFonts w:eastAsia="Times New Roman"/>
          <w:bCs/>
          <w:sz w:val="24"/>
          <w:szCs w:val="24"/>
        </w:rPr>
        <w:t>.</w:t>
      </w:r>
    </w:p>
    <w:p w14:paraId="41313813" w14:textId="22D64254" w:rsidR="00A76271" w:rsidRPr="00A76271" w:rsidRDefault="006B7995" w:rsidP="00A76271">
      <w:pPr>
        <w:spacing w:after="240"/>
        <w:ind w:firstLine="720"/>
        <w:rPr>
          <w:rFonts w:eastAsia="Times New Roman"/>
          <w:bCs/>
          <w:sz w:val="24"/>
          <w:szCs w:val="24"/>
        </w:rPr>
      </w:pPr>
      <w:r>
        <w:rPr>
          <w:rFonts w:eastAsia="Times New Roman"/>
          <w:bCs/>
          <w:sz w:val="24"/>
          <w:szCs w:val="24"/>
        </w:rPr>
        <w:t>10</w:t>
      </w:r>
      <w:r w:rsidR="00A76271" w:rsidRPr="00A76271">
        <w:rPr>
          <w:rFonts w:eastAsia="Times New Roman"/>
          <w:bCs/>
          <w:sz w:val="24"/>
          <w:szCs w:val="24"/>
        </w:rPr>
        <w:t xml:space="preserve">. An implied warranty comparable to the warranties covered by this instruction may arise from the sale of land by a commercial developer who improves land and sells it for an express purpose. </w:t>
      </w:r>
      <w:r w:rsidR="00A76271" w:rsidRPr="00A76271">
        <w:rPr>
          <w:rFonts w:eastAsia="Times New Roman"/>
          <w:bCs/>
          <w:i/>
          <w:sz w:val="24"/>
          <w:szCs w:val="24"/>
        </w:rPr>
        <w:t>See, e.g.</w:t>
      </w:r>
      <w:r w:rsidR="00A76271" w:rsidRPr="00A76271">
        <w:rPr>
          <w:rFonts w:eastAsia="Times New Roman"/>
          <w:bCs/>
          <w:sz w:val="24"/>
          <w:szCs w:val="24"/>
        </w:rPr>
        <w:t xml:space="preserve">, </w:t>
      </w:r>
      <w:r w:rsidR="00A76271" w:rsidRPr="00A76271">
        <w:rPr>
          <w:rFonts w:eastAsia="Times New Roman"/>
          <w:b/>
          <w:bCs/>
          <w:sz w:val="24"/>
          <w:szCs w:val="24"/>
        </w:rPr>
        <w:t>Rusch</w:t>
      </w:r>
      <w:r w:rsidR="00A76271" w:rsidRPr="00A76271">
        <w:rPr>
          <w:rFonts w:eastAsia="Times New Roman"/>
          <w:bCs/>
          <w:sz w:val="24"/>
          <w:szCs w:val="24"/>
        </w:rPr>
        <w:t>, 698 P.2d at 835 (recognizing an implied warranty of fitness for a particular purpose).</w:t>
      </w:r>
    </w:p>
    <w:p w14:paraId="18410127" w14:textId="10BB524E" w:rsidR="00A76271" w:rsidRPr="00A76271" w:rsidRDefault="006B7995" w:rsidP="00A76271">
      <w:pPr>
        <w:spacing w:after="240"/>
        <w:ind w:firstLine="720"/>
        <w:rPr>
          <w:rFonts w:eastAsia="Times New Roman"/>
          <w:bCs/>
          <w:sz w:val="24"/>
          <w:szCs w:val="24"/>
        </w:rPr>
      </w:pPr>
      <w:r>
        <w:rPr>
          <w:rFonts w:eastAsia="Times New Roman"/>
          <w:bCs/>
          <w:sz w:val="24"/>
          <w:szCs w:val="24"/>
        </w:rPr>
        <w:t>11</w:t>
      </w:r>
      <w:r w:rsidR="00A76271" w:rsidRPr="00A76271">
        <w:rPr>
          <w:rFonts w:eastAsia="Times New Roman"/>
          <w:bCs/>
          <w:sz w:val="24"/>
          <w:szCs w:val="24"/>
        </w:rPr>
        <w:t xml:space="preserve">. A builder or developer of residential construction must “provide the purchaser with a copy of a summary report of the analysis and the site recommendations” concerning soils and </w:t>
      </w:r>
      <w:r w:rsidR="00A76271" w:rsidRPr="00A76271">
        <w:rPr>
          <w:rFonts w:eastAsia="Times New Roman"/>
          <w:bCs/>
          <w:sz w:val="24"/>
          <w:szCs w:val="24"/>
        </w:rPr>
        <w:lastRenderedPageBreak/>
        <w:t>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06F47F69" w:rsidR="00D21951" w:rsidRPr="009E3DA4" w:rsidRDefault="00D21951" w:rsidP="00D21951">
      <w:pPr>
        <w:spacing w:after="240"/>
        <w:ind w:left="720" w:hanging="720"/>
        <w:rPr>
          <w:rFonts w:eastAsia="Times New Roman"/>
          <w:b/>
          <w:sz w:val="24"/>
          <w:szCs w:val="24"/>
        </w:rPr>
      </w:pPr>
      <w:bookmarkStart w:id="63" w:name="a30_55"/>
      <w:bookmarkEnd w:id="63"/>
      <w:r w:rsidRPr="00D21951">
        <w:rPr>
          <w:rFonts w:eastAsia="Times New Roman"/>
          <w:b/>
          <w:bCs/>
          <w:sz w:val="24"/>
          <w:szCs w:val="24"/>
        </w:rPr>
        <w:lastRenderedPageBreak/>
        <w:t>30:5</w:t>
      </w:r>
      <w:r w:rsidR="007A6434">
        <w:rPr>
          <w:rFonts w:eastAsia="Times New Roman"/>
          <w:b/>
          <w:bCs/>
          <w:sz w:val="24"/>
          <w:szCs w:val="24"/>
        </w:rPr>
        <w:t>6</w:t>
      </w:r>
      <w:r w:rsidRPr="00D21951">
        <w:rPr>
          <w:rFonts w:eastAsia="Times New Roman"/>
          <w:b/>
          <w:bCs/>
          <w:sz w:val="24"/>
          <w:szCs w:val="24"/>
        </w:rPr>
        <w:t xml:space="preserve">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13A4558D"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w:t>
      </w:r>
      <w:r w:rsidR="007A6434">
        <w:rPr>
          <w:rFonts w:eastAsia="Times New Roman"/>
          <w:bCs/>
          <w:sz w:val="24"/>
          <w:szCs w:val="24"/>
        </w:rPr>
        <w:t>5</w:t>
      </w:r>
      <w:r w:rsidRPr="00D21951">
        <w:rPr>
          <w:rFonts w:eastAsia="Times New Roman"/>
          <w:bCs/>
          <w:sz w:val="24"/>
          <w:szCs w:val="24"/>
        </w:rPr>
        <w:t xml:space="preserve">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r w:rsidRPr="00D21951">
        <w:rPr>
          <w:rFonts w:eastAsia="Times New Roman"/>
          <w:b/>
          <w:bCs/>
          <w:sz w:val="24"/>
          <w:szCs w:val="24"/>
        </w:rPr>
        <w:t>Shiffers v. Cunningham Shepherd Builders Co.</w:t>
      </w:r>
      <w:r w:rsidRPr="00D21951">
        <w:rPr>
          <w:rFonts w:eastAsia="Times New Roman"/>
          <w:bCs/>
          <w:sz w:val="24"/>
          <w:szCs w:val="24"/>
        </w:rPr>
        <w:t xml:space="preserve">, 28 Colo. App. 29, 470 P.2d 593 (1970). The implied warranty of habitability of a house (i.e., “suitable for its intended use”) also includes a water supply sufficient in quantity and quality for its useful occupancy. </w:t>
      </w:r>
      <w:r w:rsidRPr="00D21951">
        <w:rPr>
          <w:rFonts w:eastAsia="Times New Roman"/>
          <w:b/>
          <w:bCs/>
          <w:sz w:val="24"/>
          <w:szCs w:val="24"/>
        </w:rPr>
        <w:t>Mazurek v. Nielsen</w:t>
      </w:r>
      <w:r w:rsidRPr="00D21951">
        <w:rPr>
          <w:rFonts w:eastAsia="Times New Roman"/>
          <w:bCs/>
          <w:sz w:val="24"/>
          <w:szCs w:val="24"/>
        </w:rPr>
        <w:t>, 42 Colo. App. 386, 599 P.2d 269 (1979).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r w:rsidRPr="00D21951">
        <w:rPr>
          <w:rFonts w:eastAsia="Times New Roman"/>
          <w:b/>
          <w:bCs/>
          <w:sz w:val="24"/>
          <w:szCs w:val="24"/>
        </w:rPr>
        <w:t>Dann v. Perrotti &amp; Hauptman Dev. Co.</w:t>
      </w:r>
      <w:r w:rsidRPr="00D21951">
        <w:rPr>
          <w:rFonts w:eastAsia="Times New Roman"/>
          <w:bCs/>
          <w:sz w:val="24"/>
          <w:szCs w:val="24"/>
        </w:rPr>
        <w:t>, 670 P.2d 448, 451 (Colo. App. 1983).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w:t>
      </w:r>
      <w:r w:rsidRPr="00D21951">
        <w:rPr>
          <w:rFonts w:eastAsia="Times New Roman"/>
          <w:bCs/>
          <w:sz w:val="24"/>
          <w:szCs w:val="24"/>
        </w:rPr>
        <w:lastRenderedPageBreak/>
        <w:t xml:space="preserve">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4E990801" w:rsidR="008D41E0" w:rsidRPr="009E3DA4" w:rsidRDefault="008D41E0" w:rsidP="008D41E0">
      <w:pPr>
        <w:spacing w:after="240"/>
        <w:ind w:left="720" w:hanging="720"/>
        <w:rPr>
          <w:rFonts w:eastAsia="Times New Roman"/>
          <w:b/>
          <w:sz w:val="24"/>
          <w:szCs w:val="24"/>
        </w:rPr>
      </w:pPr>
      <w:bookmarkStart w:id="64" w:name="a30_56"/>
      <w:bookmarkEnd w:id="64"/>
      <w:r w:rsidRPr="008D41E0">
        <w:rPr>
          <w:rFonts w:eastAsia="Times New Roman"/>
          <w:b/>
          <w:bCs/>
          <w:sz w:val="24"/>
          <w:szCs w:val="24"/>
        </w:rPr>
        <w:lastRenderedPageBreak/>
        <w:t>30:5</w:t>
      </w:r>
      <w:r w:rsidR="007A6434">
        <w:rPr>
          <w:rFonts w:eastAsia="Times New Roman"/>
          <w:b/>
          <w:bCs/>
          <w:sz w:val="24"/>
          <w:szCs w:val="24"/>
        </w:rPr>
        <w:t>7</w:t>
      </w:r>
      <w:r w:rsidRPr="008D41E0">
        <w:rPr>
          <w:rFonts w:eastAsia="Times New Roman"/>
          <w:b/>
          <w:bCs/>
          <w:sz w:val="24"/>
          <w:szCs w:val="24"/>
        </w:rPr>
        <w:t xml:space="preserve"> </w:t>
      </w:r>
      <w:r w:rsidRPr="008D41E0">
        <w:rPr>
          <w:rFonts w:eastAsia="Times New Roman"/>
          <w:b/>
          <w:bCs/>
          <w:sz w:val="24"/>
          <w:szCs w:val="24"/>
        </w:rPr>
        <w:tab/>
        <w:t>CLAIM ― REAL ESTATE COMMISSION ― ELEMENTS OF LIABILITY</w:t>
      </w:r>
    </w:p>
    <w:p w14:paraId="2C528581" w14:textId="433EA7E3"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8D41E0">
        <w:rPr>
          <w:rFonts w:eastAsia="Times New Roman"/>
          <w:b/>
          <w:bCs/>
          <w:sz w:val="24"/>
          <w:szCs w:val="24"/>
        </w:rPr>
        <w:t xml:space="preserve">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[insert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3057C6D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w:t>
      </w:r>
      <w:r w:rsidRPr="008D41E0">
        <w:rPr>
          <w:rFonts w:eastAsia="Times New Roman"/>
          <w:bCs/>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Lieff v. </w:t>
      </w:r>
      <w:r w:rsidRPr="008D41E0">
        <w:rPr>
          <w:rFonts w:eastAsia="Times New Roman"/>
          <w:b/>
          <w:bCs/>
          <w:sz w:val="24"/>
          <w:szCs w:val="24"/>
        </w:rPr>
        <w:lastRenderedPageBreak/>
        <w:t>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44 Colo. App. 59, 615 P.2d 42 (1980).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368 P.2d 195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w:t>
      </w:r>
      <w:r w:rsidRPr="008D41E0">
        <w:rPr>
          <w:rFonts w:eastAsia="Times New Roman"/>
          <w:bCs/>
          <w:sz w:val="24"/>
          <w:szCs w:val="24"/>
        </w:rPr>
        <w:lastRenderedPageBreak/>
        <w:t xml:space="preserve">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685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97C30ED" w14:textId="342A9729" w:rsidR="003257F6" w:rsidRDefault="008D41E0" w:rsidP="00FB33C7">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Also, the “broker is charged with knowledge that the substantial variation exists when he submits the offer.”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Re/Max </w:t>
      </w:r>
      <w:r w:rsidRPr="008D41E0">
        <w:rPr>
          <w:rFonts w:eastAsia="Times New Roman"/>
          <w:b/>
          <w:bCs/>
          <w:sz w:val="24"/>
          <w:szCs w:val="24"/>
        </w:rPr>
        <w:lastRenderedPageBreak/>
        <w:t>Suburban, Inc. v. Widener</w:t>
      </w:r>
      <w:r w:rsidRPr="008D41E0">
        <w:rPr>
          <w:rFonts w:eastAsia="Times New Roman"/>
          <w:bCs/>
          <w:sz w:val="24"/>
          <w:szCs w:val="24"/>
        </w:rPr>
        <w:t>, 633 P.2d 530 (Colo. App. 1981) (broker not entitled to commission when sale failed to close due to fault of broker).</w:t>
      </w:r>
    </w:p>
    <w:p w14:paraId="60F5CA85" w14:textId="50674D39" w:rsidR="00381B91" w:rsidRDefault="00381B91">
      <w:pPr>
        <w:rPr>
          <w:rFonts w:eastAsia="Times New Roman"/>
          <w:bCs/>
          <w:sz w:val="24"/>
          <w:szCs w:val="24"/>
        </w:rPr>
      </w:pPr>
      <w:r>
        <w:rPr>
          <w:rFonts w:eastAsia="Times New Roman"/>
          <w:bCs/>
          <w:sz w:val="24"/>
          <w:szCs w:val="24"/>
        </w:rPr>
        <w:br w:type="page"/>
      </w:r>
    </w:p>
    <w:p w14:paraId="33A7AAE7" w14:textId="77777777" w:rsidR="00381B91" w:rsidRPr="004A61D4" w:rsidRDefault="00381B91" w:rsidP="00381B91">
      <w:pPr>
        <w:spacing w:after="240"/>
        <w:jc w:val="center"/>
        <w:rPr>
          <w:rFonts w:eastAsia="Times New Roman"/>
          <w:b/>
          <w:sz w:val="24"/>
          <w:szCs w:val="24"/>
        </w:rPr>
      </w:pPr>
      <w:bookmarkStart w:id="65" w:name="a30_58"/>
      <w:bookmarkStart w:id="66" w:name="_Hlk144992122"/>
      <w:bookmarkEnd w:id="65"/>
      <w:r w:rsidRPr="004A61D4">
        <w:rPr>
          <w:rFonts w:eastAsia="Times New Roman"/>
          <w:b/>
          <w:sz w:val="24"/>
          <w:szCs w:val="24"/>
        </w:rPr>
        <w:lastRenderedPageBreak/>
        <w:t>G. CLAIMS BASED ON IMPLIED AGREEMENTS</w:t>
      </w:r>
    </w:p>
    <w:p w14:paraId="42542C45" w14:textId="77777777" w:rsidR="00381B91" w:rsidRPr="00483C32" w:rsidRDefault="00381B91" w:rsidP="00381B91">
      <w:pPr>
        <w:spacing w:after="240"/>
        <w:ind w:left="720" w:hanging="720"/>
        <w:rPr>
          <w:rFonts w:eastAsia="Times New Roman"/>
          <w:bCs/>
          <w:sz w:val="24"/>
          <w:szCs w:val="24"/>
        </w:rPr>
      </w:pPr>
      <w:r w:rsidRPr="00822E5D">
        <w:rPr>
          <w:rFonts w:eastAsia="Times New Roman"/>
          <w:b/>
          <w:sz w:val="24"/>
          <w:szCs w:val="24"/>
        </w:rPr>
        <w:t>30:5</w:t>
      </w:r>
      <w:r>
        <w:rPr>
          <w:rFonts w:eastAsia="Times New Roman"/>
          <w:b/>
          <w:sz w:val="24"/>
          <w:szCs w:val="24"/>
        </w:rPr>
        <w:t>8</w:t>
      </w:r>
      <w:r>
        <w:rPr>
          <w:rFonts w:eastAsia="Times New Roman"/>
          <w:bCs/>
          <w:sz w:val="24"/>
          <w:szCs w:val="24"/>
        </w:rPr>
        <w:tab/>
      </w:r>
      <w:r w:rsidRPr="004A61D4">
        <w:rPr>
          <w:rFonts w:eastAsia="Times New Roman"/>
          <w:b/>
          <w:caps/>
          <w:sz w:val="24"/>
          <w:szCs w:val="24"/>
        </w:rPr>
        <w:t>Goods and Services Rendered (Quantum Meruit/Quantum Valebat)</w:t>
      </w:r>
      <w:bookmarkEnd w:id="66"/>
    </w:p>
    <w:p w14:paraId="3233306E" w14:textId="77777777" w:rsidR="00381B91" w:rsidRPr="004A61D4" w:rsidRDefault="00381B91" w:rsidP="000D55AD">
      <w:pPr>
        <w:spacing w:after="240"/>
        <w:ind w:firstLine="720"/>
        <w:rPr>
          <w:rFonts w:eastAsia="Times New Roman"/>
          <w:b/>
          <w:sz w:val="24"/>
          <w:szCs w:val="24"/>
        </w:rPr>
      </w:pPr>
      <w:r w:rsidRPr="004A61D4">
        <w:rPr>
          <w:rFonts w:eastAsia="Times New Roman"/>
          <w:b/>
          <w:sz w:val="24"/>
          <w:szCs w:val="24"/>
        </w:rPr>
        <w:t xml:space="preserve">For the plaintiff, </w:t>
      </w:r>
      <w:r w:rsidRPr="004A61D4">
        <w:rPr>
          <w:rFonts w:eastAsia="Times New Roman"/>
          <w:bCs/>
          <w:i/>
          <w:sz w:val="24"/>
          <w:szCs w:val="24"/>
        </w:rPr>
        <w:t>(name)</w:t>
      </w:r>
      <w:r w:rsidRPr="004A61D4">
        <w:rPr>
          <w:rFonts w:eastAsia="Times New Roman"/>
          <w:b/>
          <w:sz w:val="24"/>
          <w:szCs w:val="24"/>
        </w:rPr>
        <w:t xml:space="preserve">, to recover from the defendant, </w:t>
      </w:r>
      <w:r w:rsidRPr="004A61D4">
        <w:rPr>
          <w:rFonts w:eastAsia="Times New Roman"/>
          <w:bCs/>
          <w:i/>
          <w:sz w:val="24"/>
          <w:szCs w:val="24"/>
        </w:rPr>
        <w:t>(name)</w:t>
      </w:r>
      <w:r w:rsidRPr="004A61D4">
        <w:rPr>
          <w:rFonts w:eastAsia="Times New Roman"/>
          <w:b/>
          <w:sz w:val="24"/>
          <w:szCs w:val="24"/>
        </w:rPr>
        <w:t xml:space="preserve">, on </w:t>
      </w:r>
      <w:r w:rsidRPr="005914E3">
        <w:rPr>
          <w:rFonts w:eastAsia="Times New Roman"/>
          <w:bCs/>
          <w:i/>
          <w:iCs/>
          <w:sz w:val="24"/>
          <w:szCs w:val="24"/>
        </w:rPr>
        <w:t>(insert applicable pronoun)</w:t>
      </w:r>
      <w:r w:rsidRPr="004A61D4">
        <w:rPr>
          <w:rFonts w:eastAsia="Times New Roman"/>
          <w:b/>
          <w:sz w:val="24"/>
          <w:szCs w:val="24"/>
        </w:rPr>
        <w:t xml:space="preserve"> claim for money for </w:t>
      </w:r>
      <w:r>
        <w:rPr>
          <w:rFonts w:eastAsia="Times New Roman"/>
          <w:b/>
          <w:sz w:val="24"/>
          <w:szCs w:val="24"/>
        </w:rPr>
        <w:t>(</w:t>
      </w:r>
      <w:r w:rsidRPr="004A61D4">
        <w:rPr>
          <w:rFonts w:eastAsia="Times New Roman"/>
          <w:b/>
          <w:sz w:val="24"/>
          <w:szCs w:val="24"/>
        </w:rPr>
        <w:t>goods delivered</w:t>
      </w:r>
      <w:r>
        <w:rPr>
          <w:rFonts w:eastAsia="Times New Roman"/>
          <w:b/>
          <w:sz w:val="24"/>
          <w:szCs w:val="24"/>
        </w:rPr>
        <w:t>) (</w:t>
      </w:r>
      <w:r w:rsidRPr="004A61D4">
        <w:rPr>
          <w:rFonts w:eastAsia="Times New Roman"/>
          <w:b/>
          <w:sz w:val="24"/>
          <w:szCs w:val="24"/>
        </w:rPr>
        <w:t>services rendered</w:t>
      </w:r>
      <w:r>
        <w:rPr>
          <w:rFonts w:eastAsia="Times New Roman"/>
          <w:b/>
          <w:sz w:val="24"/>
          <w:szCs w:val="24"/>
        </w:rPr>
        <w:t xml:space="preserve">), you must find that all of the </w:t>
      </w:r>
      <w:r w:rsidRPr="004A61D4">
        <w:rPr>
          <w:rFonts w:eastAsia="Times New Roman"/>
          <w:b/>
          <w:sz w:val="24"/>
          <w:szCs w:val="24"/>
        </w:rPr>
        <w:t xml:space="preserve">following </w:t>
      </w:r>
      <w:r>
        <w:rPr>
          <w:rFonts w:eastAsia="Times New Roman"/>
          <w:b/>
          <w:sz w:val="24"/>
          <w:szCs w:val="24"/>
        </w:rPr>
        <w:t xml:space="preserve">have been proved </w:t>
      </w:r>
      <w:r w:rsidRPr="004A61D4">
        <w:rPr>
          <w:rFonts w:eastAsia="Times New Roman"/>
          <w:b/>
          <w:sz w:val="24"/>
          <w:szCs w:val="24"/>
        </w:rPr>
        <w:t>by a preponderance of the evidence:</w:t>
      </w:r>
    </w:p>
    <w:p w14:paraId="70D5ABDF"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1. T</w:t>
      </w:r>
      <w:r w:rsidRPr="004A61D4">
        <w:rPr>
          <w:rFonts w:eastAsia="Times New Roman"/>
          <w:b/>
          <w:sz w:val="24"/>
          <w:szCs w:val="24"/>
        </w:rPr>
        <w:t xml:space="preserve">he defendant requested, by words or conduct, that the plaintiff </w:t>
      </w:r>
      <w:r>
        <w:rPr>
          <w:rFonts w:eastAsia="Times New Roman"/>
          <w:b/>
          <w:sz w:val="24"/>
          <w:szCs w:val="24"/>
        </w:rPr>
        <w:t>(</w:t>
      </w:r>
      <w:r w:rsidRPr="004A61D4">
        <w:rPr>
          <w:rFonts w:eastAsia="Times New Roman"/>
          <w:b/>
          <w:sz w:val="24"/>
          <w:szCs w:val="24"/>
        </w:rPr>
        <w:t>perform services</w:t>
      </w:r>
      <w:r>
        <w:rPr>
          <w:rFonts w:eastAsia="Times New Roman"/>
          <w:b/>
          <w:sz w:val="24"/>
          <w:szCs w:val="24"/>
        </w:rPr>
        <w:t>) (</w:t>
      </w:r>
      <w:r w:rsidRPr="004A61D4">
        <w:rPr>
          <w:rFonts w:eastAsia="Times New Roman"/>
          <w:b/>
          <w:sz w:val="24"/>
          <w:szCs w:val="24"/>
        </w:rPr>
        <w:t>deliver goods</w:t>
      </w:r>
      <w:r>
        <w:rPr>
          <w:rFonts w:eastAsia="Times New Roman"/>
          <w:b/>
          <w:sz w:val="24"/>
          <w:szCs w:val="24"/>
        </w:rPr>
        <w:t>)</w:t>
      </w:r>
      <w:r w:rsidRPr="004A61D4">
        <w:rPr>
          <w:rFonts w:eastAsia="Times New Roman"/>
          <w:b/>
          <w:sz w:val="24"/>
          <w:szCs w:val="24"/>
        </w:rPr>
        <w:t xml:space="preserve"> for the benefit of the defendant;</w:t>
      </w:r>
    </w:p>
    <w:p w14:paraId="4A7D15A9"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 xml:space="preserve">2. </w:t>
      </w:r>
      <w:r w:rsidRPr="004A61D4">
        <w:rPr>
          <w:rFonts w:eastAsia="Times New Roman"/>
          <w:b/>
          <w:sz w:val="24"/>
          <w:szCs w:val="24"/>
        </w:rPr>
        <w:t xml:space="preserve">The plaintiff </w:t>
      </w:r>
      <w:r>
        <w:rPr>
          <w:rFonts w:eastAsia="Times New Roman"/>
          <w:b/>
          <w:sz w:val="24"/>
          <w:szCs w:val="24"/>
        </w:rPr>
        <w:t>(</w:t>
      </w:r>
      <w:r w:rsidRPr="004A61D4">
        <w:rPr>
          <w:rFonts w:eastAsia="Times New Roman"/>
          <w:b/>
          <w:sz w:val="24"/>
          <w:szCs w:val="24"/>
        </w:rPr>
        <w:t>performed the services</w:t>
      </w:r>
      <w:r>
        <w:rPr>
          <w:rFonts w:eastAsia="Times New Roman"/>
          <w:b/>
          <w:sz w:val="24"/>
          <w:szCs w:val="24"/>
        </w:rPr>
        <w:t>) (</w:t>
      </w:r>
      <w:r w:rsidRPr="004A61D4">
        <w:rPr>
          <w:rFonts w:eastAsia="Times New Roman"/>
          <w:b/>
          <w:sz w:val="24"/>
          <w:szCs w:val="24"/>
        </w:rPr>
        <w:t>delivered the goods</w:t>
      </w:r>
      <w:r>
        <w:rPr>
          <w:rFonts w:eastAsia="Times New Roman"/>
          <w:b/>
          <w:sz w:val="24"/>
          <w:szCs w:val="24"/>
        </w:rPr>
        <w:t>)</w:t>
      </w:r>
      <w:r w:rsidRPr="004A61D4">
        <w:rPr>
          <w:rFonts w:eastAsia="Times New Roman"/>
          <w:b/>
          <w:sz w:val="24"/>
          <w:szCs w:val="24"/>
        </w:rPr>
        <w:t xml:space="preserve"> as requested; </w:t>
      </w:r>
      <w:r>
        <w:rPr>
          <w:rFonts w:eastAsia="Times New Roman"/>
          <w:b/>
          <w:sz w:val="24"/>
          <w:szCs w:val="24"/>
        </w:rPr>
        <w:t>and</w:t>
      </w:r>
    </w:p>
    <w:p w14:paraId="242D3064"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 xml:space="preserve">3. </w:t>
      </w:r>
      <w:r w:rsidRPr="004A61D4">
        <w:rPr>
          <w:rFonts w:eastAsia="Times New Roman"/>
          <w:b/>
          <w:sz w:val="24"/>
          <w:szCs w:val="24"/>
        </w:rPr>
        <w:t xml:space="preserve">The defendant has not paid </w:t>
      </w:r>
      <w:r>
        <w:rPr>
          <w:rFonts w:eastAsia="Times New Roman"/>
          <w:b/>
          <w:sz w:val="24"/>
          <w:szCs w:val="24"/>
        </w:rPr>
        <w:t xml:space="preserve">the </w:t>
      </w:r>
      <w:r w:rsidRPr="004A61D4">
        <w:rPr>
          <w:rFonts w:eastAsia="Times New Roman"/>
          <w:b/>
          <w:sz w:val="24"/>
          <w:szCs w:val="24"/>
        </w:rPr>
        <w:t xml:space="preserve">plaintiff </w:t>
      </w:r>
      <w:r>
        <w:rPr>
          <w:rFonts w:eastAsia="Times New Roman"/>
          <w:b/>
          <w:sz w:val="24"/>
          <w:szCs w:val="24"/>
        </w:rPr>
        <w:t>the reasonable value of</w:t>
      </w:r>
      <w:r w:rsidRPr="004A61D4">
        <w:rPr>
          <w:rFonts w:eastAsia="Times New Roman"/>
          <w:b/>
          <w:sz w:val="24"/>
          <w:szCs w:val="24"/>
        </w:rPr>
        <w:t xml:space="preserve"> the </w:t>
      </w:r>
      <w:r>
        <w:rPr>
          <w:rFonts w:eastAsia="Times New Roman"/>
          <w:b/>
          <w:sz w:val="24"/>
          <w:szCs w:val="24"/>
        </w:rPr>
        <w:t>(</w:t>
      </w:r>
      <w:r w:rsidRPr="004A61D4">
        <w:rPr>
          <w:rFonts w:eastAsia="Times New Roman"/>
          <w:b/>
          <w:sz w:val="24"/>
          <w:szCs w:val="24"/>
        </w:rPr>
        <w:t>services</w:t>
      </w:r>
      <w:r>
        <w:rPr>
          <w:rFonts w:eastAsia="Times New Roman"/>
          <w:b/>
          <w:sz w:val="24"/>
          <w:szCs w:val="24"/>
        </w:rPr>
        <w:t>) (</w:t>
      </w:r>
      <w:r w:rsidRPr="004A61D4">
        <w:rPr>
          <w:rFonts w:eastAsia="Times New Roman"/>
          <w:b/>
          <w:sz w:val="24"/>
          <w:szCs w:val="24"/>
        </w:rPr>
        <w:t>goods</w:t>
      </w:r>
      <w:r>
        <w:rPr>
          <w:rFonts w:eastAsia="Times New Roman"/>
          <w:b/>
          <w:sz w:val="24"/>
          <w:szCs w:val="24"/>
        </w:rPr>
        <w:t>).</w:t>
      </w:r>
    </w:p>
    <w:p w14:paraId="26DF33D3" w14:textId="77777777" w:rsidR="00381B91" w:rsidRPr="004A61D4"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If you find that any one or more of these </w:t>
      </w:r>
      <w:r>
        <w:rPr>
          <w:rFonts w:eastAsia="Times New Roman"/>
          <w:b/>
          <w:sz w:val="24"/>
          <w:szCs w:val="24"/>
        </w:rPr>
        <w:t>three</w:t>
      </w:r>
      <w:r w:rsidRPr="004A61D4">
        <w:rPr>
          <w:rFonts w:eastAsia="Times New Roman"/>
          <w:b/>
          <w:sz w:val="24"/>
          <w:szCs w:val="24"/>
        </w:rPr>
        <w:t xml:space="preserve"> statements has not been proved, then you</w:t>
      </w:r>
      <w:r>
        <w:rPr>
          <w:rFonts w:eastAsia="Times New Roman"/>
          <w:b/>
          <w:sz w:val="24"/>
          <w:szCs w:val="24"/>
        </w:rPr>
        <w:t>r</w:t>
      </w:r>
      <w:r w:rsidRPr="004A61D4">
        <w:rPr>
          <w:rFonts w:eastAsia="Times New Roman"/>
          <w:b/>
          <w:sz w:val="24"/>
          <w:szCs w:val="24"/>
        </w:rPr>
        <w:t xml:space="preserve"> verdict must be for the defendant.</w:t>
      </w:r>
    </w:p>
    <w:p w14:paraId="6D1A6C2B" w14:textId="77777777" w:rsidR="00381B91" w:rsidRPr="004A61D4"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On the other hand, if you find that all of these </w:t>
      </w:r>
      <w:r>
        <w:rPr>
          <w:rFonts w:eastAsia="Times New Roman"/>
          <w:b/>
          <w:sz w:val="24"/>
          <w:szCs w:val="24"/>
        </w:rPr>
        <w:t>three</w:t>
      </w:r>
      <w:r w:rsidRPr="004A61D4">
        <w:rPr>
          <w:rFonts w:eastAsia="Times New Roman"/>
          <w:b/>
          <w:sz w:val="24"/>
          <w:szCs w:val="24"/>
        </w:rPr>
        <w:t xml:space="preserve"> statements have been proved</w:t>
      </w:r>
      <w:r>
        <w:rPr>
          <w:rFonts w:eastAsia="Times New Roman"/>
          <w:b/>
          <w:sz w:val="24"/>
          <w:szCs w:val="24"/>
        </w:rPr>
        <w:t>,</w:t>
      </w:r>
      <w:r w:rsidRPr="004A61D4">
        <w:rPr>
          <w:rFonts w:eastAsia="Times New Roman"/>
          <w:b/>
          <w:sz w:val="24"/>
          <w:szCs w:val="24"/>
        </w:rPr>
        <w:t xml:space="preserve"> (then your verdict must be for the plaintiff) (then you must consider </w:t>
      </w:r>
      <w:r>
        <w:rPr>
          <w:rFonts w:eastAsia="Times New Roman"/>
          <w:b/>
          <w:sz w:val="24"/>
          <w:szCs w:val="24"/>
        </w:rPr>
        <w:t xml:space="preserve">the </w:t>
      </w:r>
      <w:r w:rsidRPr="004A61D4">
        <w:rPr>
          <w:rFonts w:eastAsia="Times New Roman"/>
          <w:b/>
          <w:sz w:val="24"/>
          <w:szCs w:val="24"/>
        </w:rPr>
        <w:t>defendant’s affirmative defense(s)</w:t>
      </w:r>
      <w:r>
        <w:rPr>
          <w:rFonts w:eastAsia="Times New Roman"/>
          <w:b/>
          <w:sz w:val="24"/>
          <w:szCs w:val="24"/>
        </w:rPr>
        <w:t xml:space="preserve"> of </w:t>
      </w:r>
      <w:r w:rsidRPr="00A76271">
        <w:rPr>
          <w:rFonts w:eastAsia="Times New Roman"/>
          <w:bCs/>
          <w:i/>
          <w:sz w:val="24"/>
          <w:szCs w:val="24"/>
        </w:rPr>
        <w:t>[insert any affirmative defense that would be a complete defense to plaintiff’s claim]</w:t>
      </w:r>
      <w:r w:rsidRPr="004A61D4">
        <w:rPr>
          <w:rFonts w:eastAsia="Times New Roman"/>
          <w:b/>
          <w:sz w:val="24"/>
          <w:szCs w:val="24"/>
        </w:rPr>
        <w:t>).</w:t>
      </w:r>
    </w:p>
    <w:p w14:paraId="13B10713" w14:textId="77777777" w:rsidR="00381B91"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However, if you find that </w:t>
      </w:r>
      <w:r>
        <w:rPr>
          <w:rFonts w:eastAsia="Times New Roman"/>
          <w:b/>
          <w:sz w:val="24"/>
          <w:szCs w:val="24"/>
        </w:rPr>
        <w:t>(this</w:t>
      </w:r>
      <w:r w:rsidRPr="004A61D4">
        <w:rPr>
          <w:rFonts w:eastAsia="Times New Roman"/>
          <w:b/>
          <w:sz w:val="24"/>
          <w:szCs w:val="24"/>
        </w:rPr>
        <w:t xml:space="preserve"> affirmative defense has not</w:t>
      </w:r>
      <w:r>
        <w:rPr>
          <w:rFonts w:eastAsia="Times New Roman"/>
          <w:b/>
          <w:sz w:val="24"/>
          <w:szCs w:val="24"/>
        </w:rPr>
        <w:t>) (</w:t>
      </w:r>
      <w:r w:rsidRPr="00A76271">
        <w:rPr>
          <w:rFonts w:eastAsia="Times New Roman"/>
          <w:b/>
          <w:bCs/>
          <w:sz w:val="24"/>
          <w:szCs w:val="24"/>
        </w:rPr>
        <w:t>none of these affirmative defenses have)</w:t>
      </w:r>
      <w:r w:rsidRPr="004A61D4">
        <w:rPr>
          <w:rFonts w:eastAsia="Times New Roman"/>
          <w:b/>
          <w:sz w:val="24"/>
          <w:szCs w:val="24"/>
        </w:rPr>
        <w:t xml:space="preserve"> been proved, then your verdict must be for the plaintiff</w:t>
      </w:r>
      <w:r>
        <w:rPr>
          <w:rFonts w:eastAsia="Times New Roman"/>
          <w:b/>
          <w:sz w:val="24"/>
          <w:szCs w:val="24"/>
        </w:rPr>
        <w:t>.</w:t>
      </w:r>
    </w:p>
    <w:p w14:paraId="09692073" w14:textId="77777777" w:rsidR="00381B91" w:rsidRPr="004A61D4" w:rsidRDefault="00381B91" w:rsidP="00381B91">
      <w:pPr>
        <w:pStyle w:val="ListParagraph"/>
        <w:spacing w:after="240"/>
        <w:ind w:left="0" w:firstLine="720"/>
        <w:rPr>
          <w:rFonts w:eastAsia="Times New Roman"/>
          <w:b/>
          <w:sz w:val="24"/>
          <w:szCs w:val="24"/>
        </w:rPr>
      </w:pPr>
    </w:p>
    <w:p w14:paraId="210E8644" w14:textId="77777777" w:rsidR="00381B91" w:rsidRPr="003718E5" w:rsidRDefault="00381B91" w:rsidP="00381B91">
      <w:pPr>
        <w:spacing w:after="240"/>
        <w:jc w:val="center"/>
        <w:rPr>
          <w:rFonts w:eastAsia="Times New Roman"/>
          <w:b/>
          <w:sz w:val="24"/>
          <w:szCs w:val="24"/>
        </w:rPr>
      </w:pPr>
      <w:r w:rsidRPr="003718E5">
        <w:rPr>
          <w:rFonts w:eastAsia="Times New Roman"/>
          <w:b/>
          <w:sz w:val="24"/>
          <w:szCs w:val="24"/>
        </w:rPr>
        <w:t>Notes on Use</w:t>
      </w:r>
    </w:p>
    <w:p w14:paraId="454191CE" w14:textId="77777777" w:rsidR="00381B91" w:rsidRDefault="00381B91" w:rsidP="000D55AD">
      <w:pPr>
        <w:pStyle w:val="ListParagraph"/>
        <w:spacing w:after="240"/>
        <w:ind w:left="0" w:firstLine="720"/>
        <w:contextualSpacing w:val="0"/>
        <w:rPr>
          <w:rFonts w:eastAsia="Times New Roman"/>
          <w:bCs/>
          <w:sz w:val="24"/>
          <w:szCs w:val="24"/>
        </w:rPr>
      </w:pPr>
      <w:r>
        <w:rPr>
          <w:rFonts w:eastAsia="Times New Roman"/>
          <w:bCs/>
          <w:sz w:val="24"/>
          <w:szCs w:val="24"/>
        </w:rPr>
        <w:t xml:space="preserve">1. </w:t>
      </w:r>
      <w:r w:rsidRPr="00060F82">
        <w:rPr>
          <w:rFonts w:eastAsia="Times New Roman"/>
          <w:bCs/>
          <w:sz w:val="24"/>
          <w:szCs w:val="24"/>
        </w:rPr>
        <w:t xml:space="preserve">Quantum meruit literally means “what </w:t>
      </w:r>
      <w:r>
        <w:rPr>
          <w:rFonts w:eastAsia="Times New Roman"/>
          <w:bCs/>
          <w:sz w:val="24"/>
          <w:szCs w:val="24"/>
        </w:rPr>
        <w:t>one</w:t>
      </w:r>
      <w:r w:rsidRPr="00060F82">
        <w:rPr>
          <w:rFonts w:eastAsia="Times New Roman"/>
          <w:bCs/>
          <w:sz w:val="24"/>
          <w:szCs w:val="24"/>
        </w:rPr>
        <w:t xml:space="preserve"> deserves” </w:t>
      </w:r>
      <w:r>
        <w:rPr>
          <w:rFonts w:eastAsia="Times New Roman"/>
          <w:bCs/>
          <w:sz w:val="24"/>
          <w:szCs w:val="24"/>
        </w:rPr>
        <w:t xml:space="preserve">or “as much as is deserved” and was a common law claim to recover the reasonable value of services rendered. Quantum valebat literally means “as much as it is worth” and was a common law claim to recover the reasonable value of goods provided. </w:t>
      </w:r>
      <w:r w:rsidRPr="00060F82">
        <w:rPr>
          <w:rFonts w:eastAsia="Times New Roman"/>
          <w:bCs/>
          <w:sz w:val="24"/>
          <w:szCs w:val="24"/>
        </w:rPr>
        <w:t>The common law claim</w:t>
      </w:r>
      <w:r>
        <w:rPr>
          <w:rFonts w:eastAsia="Times New Roman"/>
          <w:bCs/>
          <w:sz w:val="24"/>
          <w:szCs w:val="24"/>
        </w:rPr>
        <w:t xml:space="preserve">s reflected </w:t>
      </w:r>
      <w:r w:rsidRPr="00060F82">
        <w:rPr>
          <w:rFonts w:eastAsia="Times New Roman"/>
          <w:bCs/>
          <w:sz w:val="24"/>
          <w:szCs w:val="24"/>
        </w:rPr>
        <w:t xml:space="preserve">the </w:t>
      </w:r>
      <w:r>
        <w:rPr>
          <w:rFonts w:eastAsia="Times New Roman"/>
          <w:bCs/>
          <w:sz w:val="24"/>
          <w:szCs w:val="24"/>
        </w:rPr>
        <w:t>fundamental</w:t>
      </w:r>
      <w:r w:rsidRPr="00060F82">
        <w:rPr>
          <w:rFonts w:eastAsia="Times New Roman"/>
          <w:bCs/>
          <w:sz w:val="24"/>
          <w:szCs w:val="24"/>
        </w:rPr>
        <w:t xml:space="preserve"> principle that the law implies a promise to pay for services performed or goods delivered under circumstances establishing that they were not gratuitously rendered. Accordingly, to recover under quantum meruit</w:t>
      </w:r>
      <w:r>
        <w:rPr>
          <w:rFonts w:eastAsia="Times New Roman"/>
          <w:bCs/>
          <w:sz w:val="24"/>
          <w:szCs w:val="24"/>
        </w:rPr>
        <w:t xml:space="preserve"> or quantum valebat</w:t>
      </w:r>
      <w:r w:rsidRPr="00060F82">
        <w:rPr>
          <w:rFonts w:eastAsia="Times New Roman"/>
          <w:bCs/>
          <w:sz w:val="24"/>
          <w:szCs w:val="24"/>
        </w:rPr>
        <w:t xml:space="preserve"> a party must show that the services or goods were provided with an understanding by both parties that </w:t>
      </w:r>
      <w:r>
        <w:rPr>
          <w:rFonts w:eastAsia="Times New Roman"/>
          <w:bCs/>
          <w:sz w:val="24"/>
          <w:szCs w:val="24"/>
        </w:rPr>
        <w:t>there would be compensation</w:t>
      </w:r>
      <w:r w:rsidRPr="00060F82">
        <w:rPr>
          <w:rFonts w:eastAsia="Times New Roman"/>
          <w:bCs/>
          <w:sz w:val="24"/>
          <w:szCs w:val="24"/>
        </w:rPr>
        <w:t xml:space="preserve">. The </w:t>
      </w:r>
      <w:r>
        <w:rPr>
          <w:rFonts w:eastAsia="Times New Roman"/>
          <w:bCs/>
          <w:sz w:val="24"/>
          <w:szCs w:val="24"/>
        </w:rPr>
        <w:t>claim was recognized by common law courts applying contract law</w:t>
      </w:r>
      <w:r w:rsidRPr="00060F82">
        <w:rPr>
          <w:rFonts w:eastAsia="Times New Roman"/>
          <w:bCs/>
          <w:sz w:val="24"/>
          <w:szCs w:val="24"/>
        </w:rPr>
        <w:t xml:space="preserve"> to avoid unjust enrichment and restore the aggrieved party to his </w:t>
      </w:r>
      <w:r>
        <w:rPr>
          <w:rFonts w:eastAsia="Times New Roman"/>
          <w:bCs/>
          <w:sz w:val="24"/>
          <w:szCs w:val="24"/>
        </w:rPr>
        <w:t xml:space="preserve">or her </w:t>
      </w:r>
      <w:r w:rsidRPr="00060F82">
        <w:rPr>
          <w:rFonts w:eastAsia="Times New Roman"/>
          <w:bCs/>
          <w:sz w:val="24"/>
          <w:szCs w:val="24"/>
        </w:rPr>
        <w:t>former position by returning the thing or equivalent in money. The action was traditionally enforced by courts of law</w:t>
      </w:r>
      <w:r>
        <w:rPr>
          <w:rFonts w:eastAsia="Times New Roman"/>
          <w:bCs/>
          <w:sz w:val="24"/>
          <w:szCs w:val="24"/>
        </w:rPr>
        <w:t xml:space="preserve"> to prevent unjust enrichment</w:t>
      </w:r>
      <w:r w:rsidRPr="00060F82">
        <w:rPr>
          <w:rFonts w:eastAsia="Times New Roman"/>
          <w:bCs/>
          <w:sz w:val="24"/>
          <w:szCs w:val="24"/>
        </w:rPr>
        <w:t xml:space="preserve">, along with other </w:t>
      </w:r>
      <w:r>
        <w:rPr>
          <w:rFonts w:eastAsia="Times New Roman"/>
          <w:bCs/>
          <w:sz w:val="24"/>
          <w:szCs w:val="24"/>
        </w:rPr>
        <w:t>assumpsit</w:t>
      </w:r>
      <w:r w:rsidRPr="00060F82">
        <w:rPr>
          <w:rFonts w:eastAsia="Times New Roman"/>
          <w:bCs/>
          <w:sz w:val="24"/>
          <w:szCs w:val="24"/>
        </w:rPr>
        <w:t xml:space="preserve"> claims </w:t>
      </w:r>
      <w:r>
        <w:rPr>
          <w:rFonts w:eastAsia="Times New Roman"/>
          <w:bCs/>
          <w:sz w:val="24"/>
          <w:szCs w:val="24"/>
        </w:rPr>
        <w:t>such as</w:t>
      </w:r>
      <w:r w:rsidRPr="00060F82">
        <w:rPr>
          <w:rFonts w:eastAsia="Times New Roman"/>
          <w:bCs/>
          <w:sz w:val="24"/>
          <w:szCs w:val="24"/>
        </w:rPr>
        <w:t xml:space="preserve"> money had and received, account stated, and mistaken receipt</w:t>
      </w:r>
      <w:r>
        <w:rPr>
          <w:rFonts w:eastAsia="Times New Roman"/>
          <w:bCs/>
          <w:sz w:val="24"/>
          <w:szCs w:val="24"/>
        </w:rPr>
        <w:t>.</w:t>
      </w:r>
    </w:p>
    <w:p w14:paraId="6E2E3789" w14:textId="77777777" w:rsidR="00381B91" w:rsidRDefault="00381B91" w:rsidP="000D55AD">
      <w:pPr>
        <w:pStyle w:val="ListParagraph"/>
        <w:spacing w:after="240"/>
        <w:ind w:left="0" w:firstLine="720"/>
        <w:contextualSpacing w:val="0"/>
        <w:rPr>
          <w:rFonts w:eastAsia="Times New Roman"/>
          <w:bCs/>
          <w:sz w:val="24"/>
          <w:szCs w:val="24"/>
        </w:rPr>
      </w:pPr>
      <w:r>
        <w:rPr>
          <w:rFonts w:eastAsia="Times New Roman"/>
          <w:bCs/>
          <w:sz w:val="24"/>
          <w:szCs w:val="24"/>
        </w:rPr>
        <w:t xml:space="preserve">2. When a defendant has made partial payment he or she is entitled to credit against the reasonable value and these instructions should be modified accordingly. The verdict form should </w:t>
      </w:r>
      <w:r>
        <w:rPr>
          <w:rFonts w:eastAsia="Times New Roman"/>
          <w:bCs/>
          <w:sz w:val="24"/>
          <w:szCs w:val="24"/>
        </w:rPr>
        <w:lastRenderedPageBreak/>
        <w:t>ask the jury to state the amount the jury finds to be the reasonable value of the goods or services, and to state the amount of partial payments, if any, the jury finds were made by the defendant.</w:t>
      </w:r>
    </w:p>
    <w:p w14:paraId="7E15757B" w14:textId="77777777" w:rsidR="00381B91" w:rsidRPr="00F56F00" w:rsidRDefault="00381B91" w:rsidP="00381B91">
      <w:pPr>
        <w:spacing w:after="240"/>
        <w:jc w:val="center"/>
        <w:rPr>
          <w:rFonts w:eastAsia="Times New Roman"/>
          <w:b/>
          <w:sz w:val="24"/>
          <w:szCs w:val="24"/>
        </w:rPr>
      </w:pPr>
      <w:r w:rsidRPr="00F56F00">
        <w:rPr>
          <w:rFonts w:eastAsia="Times New Roman"/>
          <w:b/>
          <w:sz w:val="24"/>
          <w:szCs w:val="24"/>
        </w:rPr>
        <w:t>Source and Authority</w:t>
      </w:r>
    </w:p>
    <w:p w14:paraId="1848F37C" w14:textId="77777777" w:rsidR="00381B91" w:rsidRPr="0095133C" w:rsidRDefault="00381B91" w:rsidP="000D55AD">
      <w:pPr>
        <w:pStyle w:val="ListParagraph"/>
        <w:tabs>
          <w:tab w:val="left" w:pos="540"/>
        </w:tabs>
        <w:spacing w:after="240"/>
        <w:ind w:left="0" w:firstLine="720"/>
        <w:contextualSpacing w:val="0"/>
        <w:rPr>
          <w:sz w:val="24"/>
          <w:szCs w:val="24"/>
        </w:rPr>
      </w:pPr>
      <w:r>
        <w:rPr>
          <w:rFonts w:eastAsia="Times New Roman"/>
          <w:bCs/>
          <w:sz w:val="24"/>
          <w:szCs w:val="24"/>
        </w:rPr>
        <w:t xml:space="preserve">1. </w:t>
      </w:r>
      <w:r w:rsidRPr="000D7FE6">
        <w:rPr>
          <w:rFonts w:eastAsia="Times New Roman"/>
          <w:bCs/>
          <w:sz w:val="24"/>
          <w:szCs w:val="24"/>
        </w:rPr>
        <w:t xml:space="preserve">This instruction is supported by </w:t>
      </w:r>
      <w:r w:rsidRPr="000D7FE6">
        <w:rPr>
          <w:rFonts w:eastAsia="Times New Roman"/>
          <w:b/>
          <w:sz w:val="24"/>
          <w:szCs w:val="24"/>
        </w:rPr>
        <w:t>Melat, Pressman</w:t>
      </w:r>
      <w:r>
        <w:rPr>
          <w:rFonts w:eastAsia="Times New Roman"/>
          <w:b/>
          <w:sz w:val="24"/>
          <w:szCs w:val="24"/>
        </w:rPr>
        <w:t>, Ezell</w:t>
      </w:r>
      <w:r w:rsidRPr="000D7FE6">
        <w:rPr>
          <w:rFonts w:eastAsia="Times New Roman"/>
          <w:b/>
          <w:sz w:val="24"/>
          <w:szCs w:val="24"/>
        </w:rPr>
        <w:t xml:space="preserve"> &amp; Higbie L</w:t>
      </w:r>
      <w:r>
        <w:rPr>
          <w:rFonts w:eastAsia="Times New Roman"/>
          <w:b/>
          <w:sz w:val="24"/>
          <w:szCs w:val="24"/>
        </w:rPr>
        <w:t>.</w:t>
      </w:r>
      <w:r w:rsidRPr="000D7FE6">
        <w:rPr>
          <w:rFonts w:eastAsia="Times New Roman"/>
          <w:b/>
          <w:sz w:val="24"/>
          <w:szCs w:val="24"/>
        </w:rPr>
        <w:t>L</w:t>
      </w:r>
      <w:r>
        <w:rPr>
          <w:rFonts w:eastAsia="Times New Roman"/>
          <w:b/>
          <w:sz w:val="24"/>
          <w:szCs w:val="24"/>
        </w:rPr>
        <w:t>.</w:t>
      </w:r>
      <w:r w:rsidRPr="000D7FE6">
        <w:rPr>
          <w:rFonts w:eastAsia="Times New Roman"/>
          <w:b/>
          <w:sz w:val="24"/>
          <w:szCs w:val="24"/>
        </w:rPr>
        <w:t>P</w:t>
      </w:r>
      <w:r>
        <w:rPr>
          <w:rFonts w:eastAsia="Times New Roman"/>
          <w:b/>
          <w:sz w:val="24"/>
          <w:szCs w:val="24"/>
        </w:rPr>
        <w:t>.</w:t>
      </w:r>
      <w:r w:rsidRPr="000D7FE6">
        <w:rPr>
          <w:rFonts w:eastAsia="Times New Roman"/>
          <w:b/>
          <w:sz w:val="24"/>
          <w:szCs w:val="24"/>
        </w:rPr>
        <w:t xml:space="preserve"> v. Hannon L</w:t>
      </w:r>
      <w:r>
        <w:rPr>
          <w:rFonts w:eastAsia="Times New Roman"/>
          <w:b/>
          <w:sz w:val="24"/>
          <w:szCs w:val="24"/>
        </w:rPr>
        <w:t>aw</w:t>
      </w:r>
      <w:r w:rsidRPr="000D7FE6">
        <w:rPr>
          <w:rFonts w:eastAsia="Times New Roman"/>
          <w:b/>
          <w:sz w:val="24"/>
          <w:szCs w:val="24"/>
        </w:rPr>
        <w:t xml:space="preserve"> Firm L</w:t>
      </w:r>
      <w:r>
        <w:rPr>
          <w:rFonts w:eastAsia="Times New Roman"/>
          <w:b/>
          <w:sz w:val="24"/>
          <w:szCs w:val="24"/>
        </w:rPr>
        <w:t>.</w:t>
      </w:r>
      <w:r w:rsidRPr="000D7FE6">
        <w:rPr>
          <w:rFonts w:eastAsia="Times New Roman"/>
          <w:b/>
          <w:sz w:val="24"/>
          <w:szCs w:val="24"/>
        </w:rPr>
        <w:t>L</w:t>
      </w:r>
      <w:r>
        <w:rPr>
          <w:rFonts w:eastAsia="Times New Roman"/>
          <w:b/>
          <w:sz w:val="24"/>
          <w:szCs w:val="24"/>
        </w:rPr>
        <w:t>.</w:t>
      </w:r>
      <w:r w:rsidRPr="000D7FE6">
        <w:rPr>
          <w:rFonts w:eastAsia="Times New Roman"/>
          <w:b/>
          <w:sz w:val="24"/>
          <w:szCs w:val="24"/>
        </w:rPr>
        <w:t>C</w:t>
      </w:r>
      <w:r>
        <w:rPr>
          <w:rFonts w:eastAsia="Times New Roman"/>
          <w:b/>
          <w:sz w:val="24"/>
          <w:szCs w:val="24"/>
        </w:rPr>
        <w:t>.</w:t>
      </w:r>
      <w:r w:rsidRPr="005D5EF3">
        <w:rPr>
          <w:rFonts w:eastAsia="Times New Roman"/>
          <w:bCs/>
          <w:sz w:val="24"/>
          <w:szCs w:val="24"/>
        </w:rPr>
        <w:t>,</w:t>
      </w:r>
      <w:r w:rsidRPr="000D7FE6">
        <w:rPr>
          <w:rFonts w:eastAsia="Times New Roman"/>
          <w:bCs/>
          <w:sz w:val="24"/>
          <w:szCs w:val="24"/>
        </w:rPr>
        <w:t xml:space="preserve"> 2012 CO 61, ¶ 19, 287 P.3d 842</w:t>
      </w:r>
      <w:r>
        <w:rPr>
          <w:rFonts w:eastAsia="Times New Roman"/>
          <w:bCs/>
          <w:sz w:val="24"/>
          <w:szCs w:val="24"/>
        </w:rPr>
        <w:t>, 847</w:t>
      </w:r>
      <w:r w:rsidRPr="000D7FE6">
        <w:rPr>
          <w:rFonts w:eastAsia="Times New Roman"/>
          <w:bCs/>
          <w:sz w:val="24"/>
          <w:szCs w:val="24"/>
        </w:rPr>
        <w:t xml:space="preserve"> (“Quantum meruit allows a party to recover the reasonable value of the services provided when the parties either have no express contract or have abrogated it</w:t>
      </w:r>
      <w:r>
        <w:rPr>
          <w:rFonts w:eastAsia="Times New Roman"/>
          <w:bCs/>
          <w:sz w:val="24"/>
          <w:szCs w:val="24"/>
        </w:rPr>
        <w:t>.</w:t>
      </w:r>
      <w:r w:rsidRPr="000D7FE6">
        <w:rPr>
          <w:rFonts w:eastAsia="Times New Roman"/>
          <w:bCs/>
          <w:sz w:val="24"/>
          <w:szCs w:val="24"/>
        </w:rPr>
        <w:t xml:space="preserve">”); </w:t>
      </w:r>
      <w:r w:rsidRPr="000D7FE6">
        <w:rPr>
          <w:rFonts w:eastAsia="Times New Roman"/>
          <w:b/>
          <w:sz w:val="24"/>
          <w:szCs w:val="24"/>
        </w:rPr>
        <w:t>Dudding v. Norton Frickey &amp; Assocs</w:t>
      </w:r>
      <w:r w:rsidRPr="005D5EF3">
        <w:rPr>
          <w:rFonts w:eastAsia="Times New Roman"/>
          <w:b/>
          <w:sz w:val="24"/>
          <w:szCs w:val="24"/>
        </w:rPr>
        <w:t>.</w:t>
      </w:r>
      <w:r w:rsidRPr="000D7FE6">
        <w:rPr>
          <w:rFonts w:eastAsia="Times New Roman"/>
          <w:bCs/>
          <w:sz w:val="24"/>
          <w:szCs w:val="24"/>
        </w:rPr>
        <w:t>, 11 P.3d 441, 444 (Colo. 2000) (Quantum meruit “arises out of the need to avoid unjust enrichment to a party even in the absence of an actual agreement to pay for services rendered</w:t>
      </w:r>
      <w:r>
        <w:rPr>
          <w:rFonts w:eastAsia="Times New Roman"/>
          <w:bCs/>
          <w:sz w:val="24"/>
          <w:szCs w:val="24"/>
        </w:rPr>
        <w:t>.</w:t>
      </w:r>
      <w:r w:rsidRPr="000D7FE6">
        <w:rPr>
          <w:rFonts w:eastAsia="Times New Roman"/>
          <w:bCs/>
          <w:sz w:val="24"/>
          <w:szCs w:val="24"/>
        </w:rPr>
        <w:t xml:space="preserve">”); </w:t>
      </w:r>
      <w:r w:rsidRPr="000D7FE6">
        <w:rPr>
          <w:rFonts w:eastAsia="Times New Roman"/>
          <w:b/>
          <w:sz w:val="24"/>
          <w:szCs w:val="24"/>
        </w:rPr>
        <w:t>Larson v. American National Bank</w:t>
      </w:r>
      <w:r w:rsidRPr="000D7FE6">
        <w:rPr>
          <w:rFonts w:eastAsia="Times New Roman"/>
          <w:bCs/>
          <w:sz w:val="24"/>
          <w:szCs w:val="24"/>
        </w:rPr>
        <w:t xml:space="preserve">, 174 Colo. 424, </w:t>
      </w:r>
      <w:r>
        <w:rPr>
          <w:rFonts w:eastAsia="Times New Roman"/>
          <w:bCs/>
          <w:sz w:val="24"/>
          <w:szCs w:val="24"/>
        </w:rPr>
        <w:t xml:space="preserve">429, </w:t>
      </w:r>
      <w:r w:rsidRPr="000D7FE6">
        <w:rPr>
          <w:rFonts w:eastAsia="Times New Roman"/>
          <w:bCs/>
          <w:sz w:val="24"/>
          <w:szCs w:val="24"/>
        </w:rPr>
        <w:t>484 P</w:t>
      </w:r>
      <w:r>
        <w:rPr>
          <w:rFonts w:eastAsia="Times New Roman"/>
          <w:bCs/>
          <w:sz w:val="24"/>
          <w:szCs w:val="24"/>
        </w:rPr>
        <w:t>.</w:t>
      </w:r>
      <w:r w:rsidRPr="000D7FE6">
        <w:rPr>
          <w:rFonts w:eastAsia="Times New Roman"/>
          <w:bCs/>
          <w:sz w:val="24"/>
          <w:szCs w:val="24"/>
        </w:rPr>
        <w:t>2d 1230</w:t>
      </w:r>
      <w:r>
        <w:rPr>
          <w:rFonts w:eastAsia="Times New Roman"/>
          <w:bCs/>
          <w:sz w:val="24"/>
          <w:szCs w:val="24"/>
        </w:rPr>
        <w:t>, 1232</w:t>
      </w:r>
      <w:r w:rsidRPr="000D7FE6">
        <w:rPr>
          <w:rFonts w:eastAsia="Times New Roman"/>
          <w:bCs/>
          <w:sz w:val="24"/>
          <w:szCs w:val="24"/>
        </w:rPr>
        <w:t xml:space="preserve"> (1971) (“where one accepts such services and by his actions indicates that he ratifies the employment . . . an implied promise to the pay the reasonable value of the services arises”);</w:t>
      </w:r>
      <w:r w:rsidRPr="000D7FE6">
        <w:rPr>
          <w:b/>
          <w:bCs/>
          <w:sz w:val="24"/>
          <w:szCs w:val="24"/>
        </w:rPr>
        <w:t xml:space="preserve"> </w:t>
      </w:r>
      <w:r w:rsidRPr="000D7FE6">
        <w:rPr>
          <w:rFonts w:eastAsia="Times New Roman"/>
          <w:b/>
          <w:sz w:val="24"/>
          <w:szCs w:val="24"/>
        </w:rPr>
        <w:t>Hansen v. Jones</w:t>
      </w:r>
      <w:r w:rsidRPr="000D7FE6">
        <w:rPr>
          <w:rFonts w:eastAsia="Times New Roman"/>
          <w:bCs/>
          <w:sz w:val="24"/>
          <w:szCs w:val="24"/>
        </w:rPr>
        <w:t xml:space="preserve">, 115 Colo 1, </w:t>
      </w:r>
      <w:r>
        <w:rPr>
          <w:rFonts w:eastAsia="Times New Roman"/>
          <w:bCs/>
          <w:sz w:val="24"/>
          <w:szCs w:val="24"/>
        </w:rPr>
        <w:t xml:space="preserve">7, </w:t>
      </w:r>
      <w:r w:rsidRPr="000D7FE6">
        <w:rPr>
          <w:rFonts w:eastAsia="Times New Roman"/>
          <w:bCs/>
          <w:sz w:val="24"/>
          <w:szCs w:val="24"/>
        </w:rPr>
        <w:t xml:space="preserve">168 P.2d 263, 265 (1964) (“dismissal on the merits of a cause of action upon an express contract was not a bar to </w:t>
      </w:r>
      <w:r>
        <w:rPr>
          <w:rFonts w:eastAsia="Times New Roman"/>
          <w:bCs/>
          <w:sz w:val="24"/>
          <w:szCs w:val="24"/>
        </w:rPr>
        <w:t xml:space="preserve">the </w:t>
      </w:r>
      <w:r w:rsidRPr="000D7FE6">
        <w:rPr>
          <w:rFonts w:eastAsia="Times New Roman"/>
          <w:bCs/>
          <w:sz w:val="24"/>
          <w:szCs w:val="24"/>
        </w:rPr>
        <w:t xml:space="preserve">institution of a new action upon an implied contract or upon quantum meruit”); </w:t>
      </w:r>
      <w:r w:rsidRPr="00F126F3">
        <w:rPr>
          <w:rFonts w:eastAsia="Times New Roman"/>
          <w:b/>
          <w:sz w:val="24"/>
          <w:szCs w:val="24"/>
        </w:rPr>
        <w:t>Mills v. Sharpe</w:t>
      </w:r>
      <w:r>
        <w:rPr>
          <w:rFonts w:eastAsia="Times New Roman"/>
          <w:bCs/>
          <w:sz w:val="24"/>
          <w:szCs w:val="24"/>
        </w:rPr>
        <w:t xml:space="preserve">, 129 Colo. 589, 592, 272 P.2d 641, 642 (1954) (“If plaintiff did this work for defendant’s benefit and with her knowledge, then he is entitled to reasonable compensation therefor.”); </w:t>
      </w:r>
      <w:r w:rsidRPr="00DB4A0A">
        <w:rPr>
          <w:b/>
          <w:bCs/>
          <w:sz w:val="24"/>
          <w:szCs w:val="24"/>
        </w:rPr>
        <w:t>Wilson v. Frederick R. Ross Inv. Co</w:t>
      </w:r>
      <w:r>
        <w:rPr>
          <w:sz w:val="24"/>
          <w:szCs w:val="24"/>
        </w:rPr>
        <w:t xml:space="preserve">., 116 Colo. 249, 260, 180 P.2d 226, 231 (1947) (jury instruction read “you are instructed that if you believe from a preponderance of the evidence herein that plaintiffs at the request of the defendant performed services . . . then you are to return a verdict for the plaintiffs . . . in such sum as you believe that the said services were reasonably worth”); </w:t>
      </w:r>
      <w:r w:rsidRPr="00906754">
        <w:rPr>
          <w:b/>
          <w:bCs/>
          <w:sz w:val="24"/>
          <w:szCs w:val="24"/>
        </w:rPr>
        <w:t>Milner v. Ruthven</w:t>
      </w:r>
      <w:r>
        <w:rPr>
          <w:sz w:val="24"/>
          <w:szCs w:val="24"/>
        </w:rPr>
        <w:t xml:space="preserve">, 116 Colo. 22, 25, 178 P.2d 417, 418 (Colo. 1947) (quantum meruit award affirmed where contract was terminated and “[defendant] accepted [plaintiff’s] services from day to day over a period of seven months, and was apparently satisfied with those services”); </w:t>
      </w:r>
      <w:r w:rsidRPr="009C41A5">
        <w:rPr>
          <w:rFonts w:eastAsia="Times New Roman"/>
          <w:b/>
          <w:sz w:val="24"/>
          <w:szCs w:val="24"/>
        </w:rPr>
        <w:t>In re Murphy’s Estate</w:t>
      </w:r>
      <w:r>
        <w:rPr>
          <w:rFonts w:eastAsia="Times New Roman"/>
          <w:bCs/>
          <w:sz w:val="24"/>
          <w:szCs w:val="24"/>
        </w:rPr>
        <w:t>, 110 Colo. 304, 311, 134 P.2d 199, 202 (1943) (“the trial courts were justified in finding . . . that such services were not rendered gratuitously [and] that the remuneration for them was reasonable”);</w:t>
      </w:r>
      <w:r w:rsidRPr="000D7FE6">
        <w:rPr>
          <w:rFonts w:eastAsia="Times New Roman"/>
          <w:bCs/>
          <w:sz w:val="24"/>
          <w:szCs w:val="24"/>
        </w:rPr>
        <w:t xml:space="preserve"> </w:t>
      </w:r>
      <w:bookmarkStart w:id="67" w:name="_Hlk140925818"/>
      <w:r w:rsidRPr="000D7FE6">
        <w:rPr>
          <w:rFonts w:eastAsia="Times New Roman"/>
          <w:b/>
          <w:sz w:val="24"/>
          <w:szCs w:val="24"/>
        </w:rPr>
        <w:t>Rishel v. Crawford</w:t>
      </w:r>
      <w:r w:rsidRPr="000D7FE6">
        <w:rPr>
          <w:rFonts w:eastAsia="Times New Roman"/>
          <w:bCs/>
          <w:sz w:val="24"/>
          <w:szCs w:val="24"/>
        </w:rPr>
        <w:t>, 95 Colo. 92, 32 P.2d 841 (1934) (</w:t>
      </w:r>
      <w:r>
        <w:rPr>
          <w:rFonts w:eastAsia="Times New Roman"/>
          <w:bCs/>
          <w:sz w:val="24"/>
          <w:szCs w:val="24"/>
        </w:rPr>
        <w:t>approving</w:t>
      </w:r>
      <w:r w:rsidRPr="000D7FE6">
        <w:rPr>
          <w:rFonts w:eastAsia="Times New Roman"/>
          <w:bCs/>
          <w:sz w:val="24"/>
          <w:szCs w:val="24"/>
        </w:rPr>
        <w:t xml:space="preserve"> jury instruction</w:t>
      </w:r>
      <w:r>
        <w:rPr>
          <w:rFonts w:eastAsia="Times New Roman"/>
          <w:bCs/>
          <w:sz w:val="24"/>
          <w:szCs w:val="24"/>
        </w:rPr>
        <w:t xml:space="preserve"> stating</w:t>
      </w:r>
      <w:r w:rsidRPr="000D7FE6">
        <w:rPr>
          <w:rFonts w:eastAsia="Times New Roman"/>
          <w:bCs/>
          <w:sz w:val="24"/>
          <w:szCs w:val="24"/>
        </w:rPr>
        <w:t xml:space="preserve"> “you should allow </w:t>
      </w:r>
      <w:r>
        <w:rPr>
          <w:rFonts w:eastAsia="Times New Roman"/>
          <w:bCs/>
          <w:sz w:val="24"/>
          <w:szCs w:val="24"/>
        </w:rPr>
        <w:t>[plaintiff</w:t>
      </w:r>
      <w:r w:rsidRPr="005914E3">
        <w:rPr>
          <w:rFonts w:eastAsia="Times New Roman"/>
          <w:bCs/>
          <w:sz w:val="24"/>
          <w:szCs w:val="24"/>
        </w:rPr>
        <w:t xml:space="preserve">] </w:t>
      </w:r>
      <w:r w:rsidRPr="005914E3">
        <w:rPr>
          <w:sz w:val="24"/>
          <w:szCs w:val="24"/>
        </w:rPr>
        <w:t>such sum or sums as you think his services were reasonably worth, provided you should find that [plaintiff] worked for [defendant], at her request, and that she agree to pay him for such services”);</w:t>
      </w:r>
      <w:r>
        <w:t xml:space="preserve"> </w:t>
      </w:r>
      <w:r w:rsidRPr="000D7FE6">
        <w:rPr>
          <w:rFonts w:eastAsia="Times New Roman"/>
          <w:b/>
          <w:sz w:val="24"/>
          <w:szCs w:val="24"/>
        </w:rPr>
        <w:t>McDonald v. Thibault</w:t>
      </w:r>
      <w:r w:rsidRPr="000D7FE6">
        <w:rPr>
          <w:rFonts w:eastAsia="Times New Roman"/>
          <w:bCs/>
          <w:sz w:val="24"/>
          <w:szCs w:val="24"/>
        </w:rPr>
        <w:t xml:space="preserve">, 84 Colo. 470, </w:t>
      </w:r>
      <w:r>
        <w:rPr>
          <w:rFonts w:eastAsia="Times New Roman"/>
          <w:bCs/>
          <w:sz w:val="24"/>
          <w:szCs w:val="24"/>
        </w:rPr>
        <w:t xml:space="preserve">471, </w:t>
      </w:r>
      <w:r w:rsidRPr="000D7FE6">
        <w:rPr>
          <w:rFonts w:eastAsia="Times New Roman"/>
          <w:bCs/>
          <w:sz w:val="24"/>
          <w:szCs w:val="24"/>
        </w:rPr>
        <w:t>271 P. 183</w:t>
      </w:r>
      <w:r>
        <w:rPr>
          <w:rFonts w:eastAsia="Times New Roman"/>
          <w:bCs/>
          <w:sz w:val="24"/>
          <w:szCs w:val="24"/>
        </w:rPr>
        <w:t>, 183</w:t>
      </w:r>
      <w:r w:rsidRPr="000D7FE6">
        <w:rPr>
          <w:rFonts w:eastAsia="Times New Roman"/>
          <w:bCs/>
          <w:sz w:val="24"/>
          <w:szCs w:val="24"/>
        </w:rPr>
        <w:t xml:space="preserve"> (1928)</w:t>
      </w:r>
      <w:bookmarkEnd w:id="67"/>
      <w:r w:rsidRPr="000D7FE6">
        <w:rPr>
          <w:rFonts w:eastAsia="Times New Roman"/>
          <w:bCs/>
          <w:sz w:val="24"/>
          <w:szCs w:val="24"/>
        </w:rPr>
        <w:t xml:space="preserve"> (“</w:t>
      </w:r>
      <w:r>
        <w:rPr>
          <w:rFonts w:eastAsia="Times New Roman"/>
          <w:bCs/>
          <w:sz w:val="24"/>
          <w:szCs w:val="24"/>
        </w:rPr>
        <w:t>[T]</w:t>
      </w:r>
      <w:r w:rsidRPr="000D7FE6">
        <w:rPr>
          <w:rFonts w:eastAsia="Times New Roman"/>
          <w:bCs/>
          <w:sz w:val="24"/>
          <w:szCs w:val="24"/>
        </w:rPr>
        <w:t>he count in question alleged the performance of services by the plaintiff at defendant</w:t>
      </w:r>
      <w:r>
        <w:rPr>
          <w:rFonts w:eastAsia="Times New Roman"/>
          <w:bCs/>
          <w:sz w:val="24"/>
          <w:szCs w:val="24"/>
        </w:rPr>
        <w:t>’</w:t>
      </w:r>
      <w:r w:rsidRPr="000D7FE6">
        <w:rPr>
          <w:rFonts w:eastAsia="Times New Roman"/>
          <w:bCs/>
          <w:sz w:val="24"/>
          <w:szCs w:val="24"/>
        </w:rPr>
        <w:t>s request. This would be sufficient to raise an implied promise to pay</w:t>
      </w:r>
      <w:r>
        <w:rPr>
          <w:rFonts w:eastAsia="Times New Roman"/>
          <w:bCs/>
          <w:sz w:val="24"/>
          <w:szCs w:val="24"/>
        </w:rPr>
        <w:t>.</w:t>
      </w:r>
      <w:r w:rsidRPr="000D7FE6">
        <w:rPr>
          <w:rFonts w:eastAsia="Times New Roman"/>
          <w:bCs/>
          <w:sz w:val="24"/>
          <w:szCs w:val="24"/>
        </w:rPr>
        <w:t xml:space="preserve">”); </w:t>
      </w:r>
      <w:r w:rsidRPr="000D7FE6">
        <w:rPr>
          <w:b/>
          <w:bCs/>
          <w:sz w:val="24"/>
          <w:szCs w:val="24"/>
        </w:rPr>
        <w:t>Bronstein v. Ryan</w:t>
      </w:r>
      <w:r w:rsidRPr="000D7FE6">
        <w:rPr>
          <w:sz w:val="24"/>
          <w:szCs w:val="24"/>
        </w:rPr>
        <w:t>, 78 Colo. 231</w:t>
      </w:r>
      <w:r>
        <w:rPr>
          <w:sz w:val="24"/>
          <w:szCs w:val="24"/>
        </w:rPr>
        <w:t xml:space="preserve">, 232, </w:t>
      </w:r>
      <w:r w:rsidRPr="000D7FE6">
        <w:rPr>
          <w:sz w:val="24"/>
          <w:szCs w:val="24"/>
        </w:rPr>
        <w:t xml:space="preserve">241 P. 539, </w:t>
      </w:r>
      <w:r>
        <w:rPr>
          <w:sz w:val="24"/>
          <w:szCs w:val="24"/>
        </w:rPr>
        <w:t>539</w:t>
      </w:r>
      <w:r w:rsidRPr="000D7FE6">
        <w:rPr>
          <w:sz w:val="24"/>
          <w:szCs w:val="24"/>
        </w:rPr>
        <w:t xml:space="preserve"> (1925) (“The burden rest[ed] on the plaintiff to establish the employment, the rendition of </w:t>
      </w:r>
      <w:r>
        <w:rPr>
          <w:sz w:val="24"/>
          <w:szCs w:val="24"/>
        </w:rPr>
        <w:t xml:space="preserve">the </w:t>
      </w:r>
      <w:r w:rsidRPr="000D7FE6">
        <w:rPr>
          <w:sz w:val="24"/>
          <w:szCs w:val="24"/>
        </w:rPr>
        <w:t>services, and the reasonable value thereof</w:t>
      </w:r>
      <w:r>
        <w:rPr>
          <w:sz w:val="24"/>
          <w:szCs w:val="24"/>
        </w:rPr>
        <w:t>.</w:t>
      </w:r>
      <w:r w:rsidRPr="000D7FE6">
        <w:rPr>
          <w:sz w:val="24"/>
          <w:szCs w:val="24"/>
        </w:rPr>
        <w:t>”)</w:t>
      </w:r>
      <w:r>
        <w:rPr>
          <w:sz w:val="24"/>
          <w:szCs w:val="24"/>
        </w:rPr>
        <w:t>;</w:t>
      </w:r>
      <w:r w:rsidRPr="000D7FE6">
        <w:rPr>
          <w:rFonts w:eastAsia="Times New Roman"/>
          <w:b/>
          <w:sz w:val="24"/>
          <w:szCs w:val="24"/>
        </w:rPr>
        <w:t xml:space="preserve"> Mountjoy &amp; Frewen v. Cheyenne County High School</w:t>
      </w:r>
      <w:r w:rsidRPr="000D7FE6">
        <w:rPr>
          <w:rFonts w:eastAsia="Times New Roman"/>
          <w:bCs/>
          <w:sz w:val="24"/>
          <w:szCs w:val="24"/>
        </w:rPr>
        <w:t>, 78 Colo 162</w:t>
      </w:r>
      <w:r>
        <w:rPr>
          <w:rFonts w:eastAsia="Times New Roman"/>
          <w:bCs/>
          <w:sz w:val="24"/>
          <w:szCs w:val="24"/>
        </w:rPr>
        <w:t>,</w:t>
      </w:r>
      <w:r w:rsidRPr="000D7FE6">
        <w:rPr>
          <w:rFonts w:eastAsia="Times New Roman"/>
          <w:bCs/>
          <w:sz w:val="24"/>
          <w:szCs w:val="24"/>
        </w:rPr>
        <w:t xml:space="preserve"> 240 P.</w:t>
      </w:r>
      <w:r>
        <w:rPr>
          <w:rFonts w:eastAsia="Times New Roman"/>
          <w:bCs/>
          <w:sz w:val="24"/>
          <w:szCs w:val="24"/>
        </w:rPr>
        <w:t xml:space="preserve"> </w:t>
      </w:r>
      <w:r w:rsidRPr="000D7FE6">
        <w:rPr>
          <w:rFonts w:eastAsia="Times New Roman"/>
          <w:bCs/>
          <w:sz w:val="24"/>
          <w:szCs w:val="24"/>
        </w:rPr>
        <w:t>464 (1925)</w:t>
      </w:r>
      <w:r>
        <w:rPr>
          <w:rFonts w:eastAsia="Times New Roman"/>
          <w:bCs/>
          <w:sz w:val="24"/>
          <w:szCs w:val="24"/>
        </w:rPr>
        <w:t xml:space="preserve"> </w:t>
      </w:r>
      <w:r w:rsidRPr="000D7FE6">
        <w:rPr>
          <w:rFonts w:eastAsia="Times New Roman"/>
          <w:bCs/>
          <w:sz w:val="24"/>
          <w:szCs w:val="24"/>
        </w:rPr>
        <w:t xml:space="preserve">(contract to build new school was </w:t>
      </w:r>
      <w:r w:rsidRPr="000D7FE6">
        <w:rPr>
          <w:rFonts w:eastAsia="Times New Roman"/>
          <w:bCs/>
          <w:i/>
          <w:iCs/>
          <w:sz w:val="24"/>
          <w:szCs w:val="24"/>
        </w:rPr>
        <w:t>ultra vires</w:t>
      </w:r>
      <w:r w:rsidRPr="000D7FE6">
        <w:rPr>
          <w:rFonts w:eastAsia="Times New Roman"/>
          <w:bCs/>
          <w:sz w:val="24"/>
          <w:szCs w:val="24"/>
        </w:rPr>
        <w:t xml:space="preserve"> and void, but architects recovered value of plans and specifications in quantum meruit);</w:t>
      </w:r>
      <w:r w:rsidRPr="000D7FE6">
        <w:rPr>
          <w:rFonts w:eastAsia="Times New Roman"/>
          <w:b/>
          <w:sz w:val="24"/>
          <w:szCs w:val="24"/>
        </w:rPr>
        <w:t xml:space="preserve"> Wallace Plumbing Co. v. Dillon</w:t>
      </w:r>
      <w:r w:rsidRPr="000D7FE6">
        <w:rPr>
          <w:rFonts w:eastAsia="Times New Roman"/>
          <w:bCs/>
          <w:sz w:val="24"/>
          <w:szCs w:val="24"/>
        </w:rPr>
        <w:t xml:space="preserve">, 71 Colo. 224, 205 P. 950 (1922) (even where a contract has been admitted, a plaintiff may choose to recover the price of services solely on quantum meruit); </w:t>
      </w:r>
      <w:r w:rsidRPr="000D7FE6">
        <w:rPr>
          <w:rFonts w:eastAsia="Times New Roman"/>
          <w:b/>
          <w:sz w:val="24"/>
          <w:szCs w:val="24"/>
        </w:rPr>
        <w:t>Bonanza Milling Co. v. Borrego</w:t>
      </w:r>
      <w:r w:rsidRPr="005D5EF3">
        <w:rPr>
          <w:rFonts w:eastAsia="Times New Roman"/>
          <w:bCs/>
          <w:sz w:val="24"/>
          <w:szCs w:val="24"/>
        </w:rPr>
        <w:t>,</w:t>
      </w:r>
      <w:r w:rsidRPr="000D7FE6">
        <w:rPr>
          <w:rFonts w:eastAsia="Times New Roman"/>
          <w:b/>
          <w:sz w:val="24"/>
          <w:szCs w:val="24"/>
        </w:rPr>
        <w:t xml:space="preserve"> </w:t>
      </w:r>
      <w:r w:rsidRPr="000D7FE6">
        <w:rPr>
          <w:rFonts w:eastAsia="Times New Roman"/>
          <w:bCs/>
          <w:sz w:val="24"/>
          <w:szCs w:val="24"/>
        </w:rPr>
        <w:t xml:space="preserve"> 59 Colo. 365, 148 P.</w:t>
      </w:r>
      <w:r>
        <w:rPr>
          <w:rFonts w:eastAsia="Times New Roman"/>
          <w:bCs/>
          <w:sz w:val="24"/>
          <w:szCs w:val="24"/>
        </w:rPr>
        <w:t xml:space="preserve"> </w:t>
      </w:r>
      <w:r w:rsidRPr="000D7FE6">
        <w:rPr>
          <w:rFonts w:eastAsia="Times New Roman"/>
          <w:bCs/>
          <w:sz w:val="24"/>
          <w:szCs w:val="24"/>
        </w:rPr>
        <w:t>859 (1915) (affirming award for count of quantum meruit for value of hauling of certain machinery, where express contract was not proved);</w:t>
      </w:r>
      <w:r w:rsidRPr="000D7FE6">
        <w:rPr>
          <w:b/>
          <w:bCs/>
          <w:sz w:val="24"/>
          <w:szCs w:val="24"/>
        </w:rPr>
        <w:t xml:space="preserve"> Leitensdorfer v. King</w:t>
      </w:r>
      <w:r w:rsidRPr="005D5EF3">
        <w:rPr>
          <w:sz w:val="24"/>
          <w:szCs w:val="24"/>
        </w:rPr>
        <w:t>,</w:t>
      </w:r>
      <w:r w:rsidRPr="000D7FE6">
        <w:rPr>
          <w:b/>
          <w:bCs/>
          <w:sz w:val="24"/>
          <w:szCs w:val="24"/>
        </w:rPr>
        <w:t xml:space="preserve"> </w:t>
      </w:r>
      <w:r w:rsidRPr="000D7FE6">
        <w:rPr>
          <w:sz w:val="24"/>
          <w:szCs w:val="24"/>
        </w:rPr>
        <w:t xml:space="preserve">7 Colo. 436, </w:t>
      </w:r>
      <w:r>
        <w:rPr>
          <w:sz w:val="24"/>
          <w:szCs w:val="24"/>
        </w:rPr>
        <w:t xml:space="preserve">439, </w:t>
      </w:r>
      <w:r w:rsidRPr="000D7FE6">
        <w:rPr>
          <w:sz w:val="24"/>
          <w:szCs w:val="24"/>
        </w:rPr>
        <w:t>4 P. 37</w:t>
      </w:r>
      <w:r>
        <w:rPr>
          <w:sz w:val="24"/>
          <w:szCs w:val="24"/>
        </w:rPr>
        <w:t>, 38</w:t>
      </w:r>
      <w:r w:rsidRPr="000D7FE6">
        <w:rPr>
          <w:sz w:val="24"/>
          <w:szCs w:val="24"/>
        </w:rPr>
        <w:t xml:space="preserve"> (1884) (the complaint “declar[ed] that the services were rendered at the request of defendants, and that they thereby became indebted”)</w:t>
      </w:r>
      <w:r>
        <w:rPr>
          <w:sz w:val="24"/>
          <w:szCs w:val="24"/>
        </w:rPr>
        <w:t>;</w:t>
      </w:r>
      <w:r w:rsidRPr="0095133C">
        <w:rPr>
          <w:sz w:val="24"/>
          <w:szCs w:val="24"/>
        </w:rPr>
        <w:t xml:space="preserve"> </w:t>
      </w:r>
      <w:r w:rsidRPr="0095133C">
        <w:rPr>
          <w:rFonts w:eastAsia="Times New Roman"/>
          <w:b/>
          <w:sz w:val="24"/>
          <w:szCs w:val="24"/>
        </w:rPr>
        <w:t>Portercare Adventist Health Sys</w:t>
      </w:r>
      <w:r>
        <w:rPr>
          <w:rFonts w:eastAsia="Times New Roman"/>
          <w:b/>
          <w:sz w:val="24"/>
          <w:szCs w:val="24"/>
        </w:rPr>
        <w:t>tem</w:t>
      </w:r>
      <w:r w:rsidRPr="0095133C">
        <w:rPr>
          <w:rFonts w:eastAsia="Times New Roman"/>
          <w:b/>
          <w:sz w:val="24"/>
          <w:szCs w:val="24"/>
        </w:rPr>
        <w:t xml:space="preserve"> v. Lego</w:t>
      </w:r>
      <w:r w:rsidRPr="0095133C">
        <w:rPr>
          <w:rFonts w:eastAsia="Times New Roman"/>
          <w:bCs/>
          <w:sz w:val="24"/>
          <w:szCs w:val="24"/>
        </w:rPr>
        <w:t>, 312 P.3d 201</w:t>
      </w:r>
      <w:r>
        <w:rPr>
          <w:rFonts w:eastAsia="Times New Roman"/>
          <w:bCs/>
          <w:sz w:val="24"/>
          <w:szCs w:val="24"/>
        </w:rPr>
        <w:t>, 206</w:t>
      </w:r>
      <w:r w:rsidRPr="0095133C">
        <w:rPr>
          <w:rFonts w:eastAsia="Times New Roman"/>
          <w:bCs/>
          <w:sz w:val="24"/>
          <w:szCs w:val="24"/>
        </w:rPr>
        <w:t xml:space="preserve"> (Colo. App. 2010) (“Quantum meruit, which literally means </w:t>
      </w:r>
      <w:r>
        <w:rPr>
          <w:rFonts w:eastAsia="Times New Roman"/>
          <w:bCs/>
          <w:sz w:val="24"/>
          <w:szCs w:val="24"/>
        </w:rPr>
        <w:t>‘</w:t>
      </w:r>
      <w:r w:rsidRPr="0095133C">
        <w:rPr>
          <w:rFonts w:eastAsia="Times New Roman"/>
          <w:bCs/>
          <w:sz w:val="24"/>
          <w:szCs w:val="24"/>
        </w:rPr>
        <w:t>as much as he deserved</w:t>
      </w:r>
      <w:r>
        <w:rPr>
          <w:rFonts w:eastAsia="Times New Roman"/>
          <w:bCs/>
          <w:sz w:val="24"/>
          <w:szCs w:val="24"/>
        </w:rPr>
        <w:t>,’</w:t>
      </w:r>
      <w:r w:rsidRPr="0095133C">
        <w:rPr>
          <w:rFonts w:eastAsia="Times New Roman"/>
          <w:bCs/>
          <w:sz w:val="24"/>
          <w:szCs w:val="24"/>
        </w:rPr>
        <w:t xml:space="preserve"> is a theory of recovery employed to prevent one party from benefitting at the expense of another where there is no </w:t>
      </w:r>
      <w:r w:rsidRPr="0095133C">
        <w:rPr>
          <w:rFonts w:eastAsia="Times New Roman"/>
          <w:bCs/>
          <w:sz w:val="24"/>
          <w:szCs w:val="24"/>
        </w:rPr>
        <w:lastRenderedPageBreak/>
        <w:t>express contract for payment</w:t>
      </w:r>
      <w:r>
        <w:rPr>
          <w:rFonts w:eastAsia="Times New Roman"/>
          <w:bCs/>
          <w:sz w:val="24"/>
          <w:szCs w:val="24"/>
        </w:rPr>
        <w:t>.</w:t>
      </w:r>
      <w:r w:rsidRPr="0095133C">
        <w:rPr>
          <w:rFonts w:eastAsia="Times New Roman"/>
          <w:bCs/>
          <w:sz w:val="24"/>
          <w:szCs w:val="24"/>
        </w:rPr>
        <w:t xml:space="preserve">”), </w:t>
      </w:r>
      <w:r w:rsidRPr="004A4FC6">
        <w:rPr>
          <w:rFonts w:eastAsia="Times New Roman"/>
          <w:bCs/>
          <w:i/>
          <w:iCs/>
          <w:sz w:val="24"/>
          <w:szCs w:val="24"/>
        </w:rPr>
        <w:t>rev’d on other grounds</w:t>
      </w:r>
      <w:r>
        <w:rPr>
          <w:rFonts w:eastAsia="Times New Roman"/>
          <w:bCs/>
          <w:sz w:val="24"/>
          <w:szCs w:val="24"/>
        </w:rPr>
        <w:t>,</w:t>
      </w:r>
      <w:r w:rsidRPr="0095133C">
        <w:rPr>
          <w:rFonts w:eastAsia="Times New Roman"/>
          <w:bCs/>
          <w:sz w:val="24"/>
          <w:szCs w:val="24"/>
        </w:rPr>
        <w:t xml:space="preserve"> 2012 CO 58, 286 P.3d 525</w:t>
      </w:r>
      <w:r w:rsidRPr="004A4FC6">
        <w:rPr>
          <w:sz w:val="24"/>
          <w:szCs w:val="24"/>
        </w:rPr>
        <w:t>;</w:t>
      </w:r>
      <w:r>
        <w:rPr>
          <w:b/>
          <w:bCs/>
          <w:sz w:val="24"/>
          <w:szCs w:val="24"/>
        </w:rPr>
        <w:t xml:space="preserve"> Hansen v. GAB Business Services, Inc.</w:t>
      </w:r>
      <w:r w:rsidRPr="004A4FC6">
        <w:rPr>
          <w:sz w:val="24"/>
          <w:szCs w:val="24"/>
        </w:rPr>
        <w:t>,</w:t>
      </w:r>
      <w:r>
        <w:rPr>
          <w:b/>
          <w:bCs/>
          <w:sz w:val="24"/>
          <w:szCs w:val="24"/>
        </w:rPr>
        <w:t xml:space="preserve"> </w:t>
      </w:r>
      <w:r w:rsidRPr="003718E5">
        <w:rPr>
          <w:sz w:val="24"/>
          <w:szCs w:val="24"/>
        </w:rPr>
        <w:t>876 P.2d 112</w:t>
      </w:r>
      <w:r>
        <w:rPr>
          <w:sz w:val="24"/>
          <w:szCs w:val="24"/>
        </w:rPr>
        <w:t>, 114</w:t>
      </w:r>
      <w:r w:rsidRPr="003718E5">
        <w:rPr>
          <w:sz w:val="24"/>
          <w:szCs w:val="24"/>
        </w:rPr>
        <w:t xml:space="preserve"> (Colo. App. 1994)</w:t>
      </w:r>
      <w:r>
        <w:rPr>
          <w:sz w:val="24"/>
          <w:szCs w:val="24"/>
        </w:rPr>
        <w:t xml:space="preserve"> (“In order to recover under [quantum meruit] a plaintiff must show that he or she rendered services in good faith to the defendant, who accepted the services, that plaintiff expected to be compensated for his or her efforts, and the reasonable value of the services rendered.”);</w:t>
      </w:r>
      <w:r w:rsidRPr="003718E5">
        <w:rPr>
          <w:rFonts w:eastAsia="Times New Roman"/>
          <w:b/>
          <w:sz w:val="24"/>
          <w:szCs w:val="24"/>
        </w:rPr>
        <w:t xml:space="preserve"> </w:t>
      </w:r>
      <w:r w:rsidRPr="0095133C">
        <w:rPr>
          <w:rFonts w:eastAsia="Times New Roman"/>
          <w:b/>
          <w:sz w:val="24"/>
          <w:szCs w:val="24"/>
        </w:rPr>
        <w:t>Schuck Corp. v. Sorkow</w:t>
      </w:r>
      <w:r w:rsidRPr="004A4FC6">
        <w:rPr>
          <w:rFonts w:eastAsia="Times New Roman"/>
          <w:b/>
          <w:sz w:val="24"/>
          <w:szCs w:val="24"/>
        </w:rPr>
        <w:t>itz</w:t>
      </w:r>
      <w:r w:rsidRPr="0095133C">
        <w:rPr>
          <w:rFonts w:eastAsia="Times New Roman"/>
          <w:bCs/>
          <w:sz w:val="24"/>
          <w:szCs w:val="24"/>
        </w:rPr>
        <w:t>, 686 P.2d 1366</w:t>
      </w:r>
      <w:r>
        <w:rPr>
          <w:rFonts w:eastAsia="Times New Roman"/>
          <w:bCs/>
          <w:sz w:val="24"/>
          <w:szCs w:val="24"/>
        </w:rPr>
        <w:t>, 1368</w:t>
      </w:r>
      <w:r w:rsidRPr="0095133C">
        <w:rPr>
          <w:rFonts w:eastAsia="Times New Roman"/>
          <w:bCs/>
          <w:sz w:val="24"/>
          <w:szCs w:val="24"/>
        </w:rPr>
        <w:t xml:space="preserve"> (Colo. App. 1984) (“a party is not permitted to deny liability for payment of reasonable value of services rendered when, with knowledge compensation is expected, he accepts services performed by another which benefit him”); </w:t>
      </w:r>
      <w:r w:rsidRPr="0095133C">
        <w:rPr>
          <w:b/>
          <w:bCs/>
          <w:sz w:val="24"/>
          <w:szCs w:val="24"/>
        </w:rPr>
        <w:t>Becker v. Arnold</w:t>
      </w:r>
      <w:r w:rsidRPr="004A4FC6">
        <w:rPr>
          <w:sz w:val="24"/>
          <w:szCs w:val="24"/>
        </w:rPr>
        <w:t>,</w:t>
      </w:r>
      <w:r w:rsidRPr="0095133C">
        <w:rPr>
          <w:sz w:val="24"/>
          <w:szCs w:val="24"/>
        </w:rPr>
        <w:t xml:space="preserve"> 42 Colo. App. 178</w:t>
      </w:r>
      <w:r>
        <w:rPr>
          <w:sz w:val="24"/>
          <w:szCs w:val="24"/>
        </w:rPr>
        <w:t>,</w:t>
      </w:r>
      <w:r w:rsidRPr="0095133C">
        <w:rPr>
          <w:sz w:val="24"/>
          <w:szCs w:val="24"/>
        </w:rPr>
        <w:t xml:space="preserve"> </w:t>
      </w:r>
      <w:r>
        <w:rPr>
          <w:sz w:val="24"/>
          <w:szCs w:val="24"/>
        </w:rPr>
        <w:t xml:space="preserve">183, </w:t>
      </w:r>
      <w:r w:rsidRPr="0095133C">
        <w:rPr>
          <w:sz w:val="24"/>
          <w:szCs w:val="24"/>
        </w:rPr>
        <w:t>591 P.2d 596,</w:t>
      </w:r>
      <w:r>
        <w:rPr>
          <w:sz w:val="24"/>
          <w:szCs w:val="24"/>
        </w:rPr>
        <w:t xml:space="preserve"> 599</w:t>
      </w:r>
      <w:r w:rsidRPr="0095133C">
        <w:rPr>
          <w:sz w:val="24"/>
          <w:szCs w:val="24"/>
        </w:rPr>
        <w:t xml:space="preserve"> (1979) (“</w:t>
      </w:r>
      <w:r>
        <w:rPr>
          <w:sz w:val="24"/>
          <w:szCs w:val="24"/>
        </w:rPr>
        <w:t>T</w:t>
      </w:r>
      <w:r w:rsidRPr="0095133C">
        <w:rPr>
          <w:sz w:val="24"/>
          <w:szCs w:val="24"/>
        </w:rPr>
        <w:t xml:space="preserve">o recover a real estate commission on the basis of an implied contract, a broker must establish that he rendered services to the seller </w:t>
      </w:r>
      <w:r>
        <w:rPr>
          <w:sz w:val="24"/>
          <w:szCs w:val="24"/>
        </w:rPr>
        <w:t xml:space="preserve">and </w:t>
      </w:r>
      <w:r w:rsidRPr="0095133C">
        <w:rPr>
          <w:sz w:val="24"/>
          <w:szCs w:val="24"/>
        </w:rPr>
        <w:t>under circumstances such that the seller had reason to think the broker had an expectation of compensation</w:t>
      </w:r>
      <w:r>
        <w:rPr>
          <w:sz w:val="24"/>
          <w:szCs w:val="24"/>
        </w:rPr>
        <w:t>.</w:t>
      </w:r>
      <w:r w:rsidRPr="0095133C">
        <w:rPr>
          <w:sz w:val="24"/>
          <w:szCs w:val="24"/>
        </w:rPr>
        <w:t xml:space="preserve">”); </w:t>
      </w:r>
      <w:r w:rsidRPr="0095133C">
        <w:rPr>
          <w:rFonts w:eastAsia="Times New Roman"/>
          <w:b/>
          <w:sz w:val="24"/>
          <w:szCs w:val="24"/>
        </w:rPr>
        <w:t>Bator v. Mines Development, Inc</w:t>
      </w:r>
      <w:r w:rsidRPr="0095133C">
        <w:rPr>
          <w:rFonts w:eastAsia="Times New Roman"/>
          <w:bCs/>
          <w:sz w:val="24"/>
          <w:szCs w:val="24"/>
        </w:rPr>
        <w:t>., 32 Colo. App. 320,</w:t>
      </w:r>
      <w:r>
        <w:rPr>
          <w:rFonts w:eastAsia="Times New Roman"/>
          <w:bCs/>
          <w:sz w:val="24"/>
          <w:szCs w:val="24"/>
        </w:rPr>
        <w:t xml:space="preserve"> 325,</w:t>
      </w:r>
      <w:r w:rsidRPr="0095133C">
        <w:rPr>
          <w:rFonts w:eastAsia="Times New Roman"/>
          <w:bCs/>
          <w:sz w:val="24"/>
          <w:szCs w:val="24"/>
        </w:rPr>
        <w:t xml:space="preserve"> 513 P.2d 220</w:t>
      </w:r>
      <w:r>
        <w:rPr>
          <w:rFonts w:eastAsia="Times New Roman"/>
          <w:bCs/>
          <w:sz w:val="24"/>
          <w:szCs w:val="24"/>
        </w:rPr>
        <w:t>, 224</w:t>
      </w:r>
      <w:r w:rsidRPr="0095133C">
        <w:rPr>
          <w:rFonts w:eastAsia="Times New Roman"/>
          <w:bCs/>
          <w:sz w:val="24"/>
          <w:szCs w:val="24"/>
        </w:rPr>
        <w:t xml:space="preserve"> (1973) (“Recovery in quantum meruit is based </w:t>
      </w:r>
      <w:r>
        <w:rPr>
          <w:rFonts w:eastAsia="Times New Roman"/>
          <w:bCs/>
          <w:sz w:val="24"/>
          <w:szCs w:val="24"/>
        </w:rPr>
        <w:t>up</w:t>
      </w:r>
      <w:r w:rsidRPr="0095133C">
        <w:rPr>
          <w:rFonts w:eastAsia="Times New Roman"/>
          <w:bCs/>
          <w:sz w:val="24"/>
          <w:szCs w:val="24"/>
        </w:rPr>
        <w:t>on the principle that services rendered under circumstances where compensation is reasonably expected should be paid for</w:t>
      </w:r>
      <w:r>
        <w:rPr>
          <w:rFonts w:eastAsia="Times New Roman"/>
          <w:bCs/>
          <w:sz w:val="24"/>
          <w:szCs w:val="24"/>
        </w:rPr>
        <w:t>.</w:t>
      </w:r>
      <w:r w:rsidRPr="0095133C">
        <w:rPr>
          <w:rFonts w:eastAsia="Times New Roman"/>
          <w:bCs/>
          <w:sz w:val="24"/>
          <w:szCs w:val="24"/>
        </w:rPr>
        <w:t>”);</w:t>
      </w:r>
      <w:r>
        <w:rPr>
          <w:rFonts w:eastAsia="Times New Roman"/>
          <w:bCs/>
          <w:sz w:val="24"/>
          <w:szCs w:val="24"/>
        </w:rPr>
        <w:t xml:space="preserve"> and </w:t>
      </w:r>
      <w:r w:rsidRPr="0095133C">
        <w:rPr>
          <w:b/>
          <w:bCs/>
          <w:sz w:val="24"/>
          <w:szCs w:val="24"/>
        </w:rPr>
        <w:t>Chambers v. Shivers</w:t>
      </w:r>
      <w:r w:rsidRPr="005D5EF3">
        <w:rPr>
          <w:sz w:val="24"/>
          <w:szCs w:val="24"/>
        </w:rPr>
        <w:t>,</w:t>
      </w:r>
      <w:r w:rsidRPr="0095133C">
        <w:rPr>
          <w:sz w:val="24"/>
          <w:szCs w:val="24"/>
        </w:rPr>
        <w:t xml:space="preserve"> 31 Colo. App. 16</w:t>
      </w:r>
      <w:r>
        <w:rPr>
          <w:sz w:val="24"/>
          <w:szCs w:val="24"/>
        </w:rPr>
        <w:t>,</w:t>
      </w:r>
      <w:r w:rsidRPr="0095133C">
        <w:rPr>
          <w:sz w:val="24"/>
          <w:szCs w:val="24"/>
        </w:rPr>
        <w:t xml:space="preserve"> </w:t>
      </w:r>
      <w:r>
        <w:rPr>
          <w:sz w:val="24"/>
          <w:szCs w:val="24"/>
        </w:rPr>
        <w:t xml:space="preserve">20, </w:t>
      </w:r>
      <w:r w:rsidRPr="0095133C">
        <w:rPr>
          <w:sz w:val="24"/>
          <w:szCs w:val="24"/>
        </w:rPr>
        <w:t>497 P.2d</w:t>
      </w:r>
      <w:r>
        <w:rPr>
          <w:sz w:val="24"/>
          <w:szCs w:val="24"/>
        </w:rPr>
        <w:t xml:space="preserve"> 327, 328-29</w:t>
      </w:r>
      <w:r w:rsidRPr="0095133C">
        <w:rPr>
          <w:sz w:val="24"/>
          <w:szCs w:val="24"/>
        </w:rPr>
        <w:t xml:space="preserve"> (1972) (“the services must have been performed under such circumstances as to give the recipient thereof some reason to think they are not gratuitous, nor performed for some other person, but with the expectation of compensation from the recipient”)</w:t>
      </w:r>
      <w:r>
        <w:rPr>
          <w:sz w:val="24"/>
          <w:szCs w:val="24"/>
        </w:rPr>
        <w:t>.</w:t>
      </w:r>
    </w:p>
    <w:p w14:paraId="56C737BA" w14:textId="77777777" w:rsidR="00381B91" w:rsidRPr="009F2DE6" w:rsidRDefault="00381B91" w:rsidP="000D55AD">
      <w:pPr>
        <w:pStyle w:val="ListParagraph"/>
        <w:tabs>
          <w:tab w:val="left" w:pos="540"/>
        </w:tabs>
        <w:spacing w:after="240"/>
        <w:ind w:left="0" w:firstLine="720"/>
        <w:contextualSpacing w:val="0"/>
        <w:rPr>
          <w:sz w:val="24"/>
          <w:szCs w:val="24"/>
        </w:rPr>
      </w:pPr>
      <w:r>
        <w:rPr>
          <w:rFonts w:eastAsia="Times New Roman"/>
          <w:bCs/>
          <w:sz w:val="24"/>
          <w:szCs w:val="24"/>
        </w:rPr>
        <w:t xml:space="preserve">2. </w:t>
      </w:r>
      <w:r w:rsidRPr="006341DC">
        <w:rPr>
          <w:rFonts w:eastAsia="Times New Roman"/>
          <w:bCs/>
          <w:sz w:val="24"/>
          <w:szCs w:val="24"/>
        </w:rPr>
        <w:t>As a legal claim</w:t>
      </w:r>
      <w:r>
        <w:rPr>
          <w:rFonts w:eastAsia="Times New Roman"/>
          <w:bCs/>
          <w:sz w:val="24"/>
          <w:szCs w:val="24"/>
        </w:rPr>
        <w:t xml:space="preserve"> for money recognized by common law courts, parties have a right to a jury to resolve disputed questions of fact.</w:t>
      </w:r>
      <w:r w:rsidRPr="0095133C">
        <w:rPr>
          <w:b/>
          <w:bCs/>
          <w:sz w:val="24"/>
          <w:szCs w:val="24"/>
        </w:rPr>
        <w:t xml:space="preserve"> </w:t>
      </w:r>
      <w:r w:rsidRPr="00F56F00">
        <w:rPr>
          <w:b/>
          <w:bCs/>
          <w:sz w:val="24"/>
          <w:szCs w:val="24"/>
        </w:rPr>
        <w:t>Bronstein</w:t>
      </w:r>
      <w:r>
        <w:rPr>
          <w:sz w:val="24"/>
          <w:szCs w:val="24"/>
        </w:rPr>
        <w:t xml:space="preserve">, 78 Colo. at 232, 241 P. at 539, 231 (“The case was fairly submitted to the jury by appropriate instructions.”); </w:t>
      </w:r>
      <w:r w:rsidRPr="00474667">
        <w:rPr>
          <w:rFonts w:eastAsia="Times New Roman"/>
          <w:b/>
          <w:sz w:val="24"/>
          <w:szCs w:val="24"/>
        </w:rPr>
        <w:t>Schleier</w:t>
      </w:r>
      <w:r w:rsidRPr="00A5324E">
        <w:rPr>
          <w:rFonts w:eastAsia="Times New Roman"/>
          <w:b/>
          <w:sz w:val="24"/>
          <w:szCs w:val="24"/>
        </w:rPr>
        <w:t xml:space="preserve"> v. Bonella</w:t>
      </w:r>
      <w:r w:rsidRPr="005D5EF3">
        <w:rPr>
          <w:rFonts w:eastAsia="Times New Roman"/>
          <w:bCs/>
          <w:sz w:val="24"/>
          <w:szCs w:val="24"/>
        </w:rPr>
        <w:t>,</w:t>
      </w:r>
      <w:r>
        <w:rPr>
          <w:rFonts w:eastAsia="Times New Roman"/>
          <w:bCs/>
          <w:sz w:val="24"/>
          <w:szCs w:val="24"/>
        </w:rPr>
        <w:t xml:space="preserve"> 77 Colo. 603, 605, 237 P. 1113, 1113 (1925) (The first cause of action “was upon a contract, and the second upon a quantum meruit. The first cause of action is no longer involved in this case, as the plaintiff elected to have the cause go to the jury upon the second cause of action.”);</w:t>
      </w:r>
      <w:r w:rsidRPr="002E34EF">
        <w:rPr>
          <w:rFonts w:eastAsia="Times New Roman"/>
          <w:b/>
          <w:sz w:val="24"/>
          <w:szCs w:val="24"/>
        </w:rPr>
        <w:t xml:space="preserve"> </w:t>
      </w:r>
      <w:r w:rsidRPr="00B2234F">
        <w:rPr>
          <w:rFonts w:eastAsia="Times New Roman"/>
          <w:b/>
          <w:sz w:val="24"/>
          <w:szCs w:val="24"/>
        </w:rPr>
        <w:t>Little Nell Gold Min</w:t>
      </w:r>
      <w:r>
        <w:rPr>
          <w:rFonts w:eastAsia="Times New Roman"/>
          <w:b/>
          <w:sz w:val="24"/>
          <w:szCs w:val="24"/>
        </w:rPr>
        <w:t>ing</w:t>
      </w:r>
      <w:r w:rsidRPr="00B2234F">
        <w:rPr>
          <w:rFonts w:eastAsia="Times New Roman"/>
          <w:b/>
          <w:sz w:val="24"/>
          <w:szCs w:val="24"/>
        </w:rPr>
        <w:t xml:space="preserve"> Co. v. Hemby</w:t>
      </w:r>
      <w:r>
        <w:rPr>
          <w:rFonts w:eastAsia="Times New Roman"/>
          <w:bCs/>
          <w:sz w:val="24"/>
          <w:szCs w:val="24"/>
        </w:rPr>
        <w:t xml:space="preserve">, 45 Colo. 582, 101 P. 981 (1909) (jury verdict based on quantum meruit reversed as all work was performed under terms of express contract); </w:t>
      </w:r>
      <w:r w:rsidRPr="00AA447A">
        <w:rPr>
          <w:rFonts w:eastAsia="Times New Roman"/>
          <w:b/>
          <w:sz w:val="24"/>
          <w:szCs w:val="24"/>
        </w:rPr>
        <w:t>Morey v. Harvey</w:t>
      </w:r>
      <w:r>
        <w:rPr>
          <w:rFonts w:eastAsia="Times New Roman"/>
          <w:bCs/>
          <w:sz w:val="24"/>
          <w:szCs w:val="24"/>
        </w:rPr>
        <w:t xml:space="preserve">, 18 Colo. 40, 44, 31 P. 719, 720-21 (1892) (“It was the peculiar province of the jury to pass upon questions” of quantum meruit and “a jury not having been waived by the parties . . . it was error for the court to undertake to decide upon the weight of the evidence.”); </w:t>
      </w:r>
      <w:r w:rsidRPr="000D7FE6">
        <w:rPr>
          <w:b/>
          <w:bCs/>
          <w:sz w:val="24"/>
          <w:szCs w:val="24"/>
        </w:rPr>
        <w:t xml:space="preserve">Leitensdorfer, </w:t>
      </w:r>
      <w:r w:rsidRPr="000D7FE6">
        <w:rPr>
          <w:sz w:val="24"/>
          <w:szCs w:val="24"/>
        </w:rPr>
        <w:t xml:space="preserve">7 Colo. </w:t>
      </w:r>
      <w:r>
        <w:rPr>
          <w:sz w:val="24"/>
          <w:szCs w:val="24"/>
        </w:rPr>
        <w:t xml:space="preserve">at </w:t>
      </w:r>
      <w:r w:rsidRPr="000D7FE6">
        <w:rPr>
          <w:sz w:val="24"/>
          <w:szCs w:val="24"/>
        </w:rPr>
        <w:t>43</w:t>
      </w:r>
      <w:r>
        <w:rPr>
          <w:sz w:val="24"/>
          <w:szCs w:val="24"/>
        </w:rPr>
        <w:t>9</w:t>
      </w:r>
      <w:r w:rsidRPr="000D7FE6">
        <w:rPr>
          <w:sz w:val="24"/>
          <w:szCs w:val="24"/>
        </w:rPr>
        <w:t xml:space="preserve">, 4 P. </w:t>
      </w:r>
      <w:r>
        <w:rPr>
          <w:sz w:val="24"/>
          <w:szCs w:val="24"/>
        </w:rPr>
        <w:t xml:space="preserve">at </w:t>
      </w:r>
      <w:r w:rsidRPr="000D7FE6">
        <w:rPr>
          <w:sz w:val="24"/>
          <w:szCs w:val="24"/>
        </w:rPr>
        <w:t>3</w:t>
      </w:r>
      <w:r>
        <w:rPr>
          <w:sz w:val="24"/>
          <w:szCs w:val="24"/>
        </w:rPr>
        <w:t xml:space="preserve">9 (“it was the province of the jury to weigh the testimony of the attorneys as to the value of the services by reference to their nature, the time occupied in their performance, and other attending circumstances”); </w:t>
      </w:r>
      <w:r w:rsidRPr="001D55A0">
        <w:rPr>
          <w:rFonts w:eastAsia="Times New Roman"/>
          <w:b/>
          <w:sz w:val="24"/>
          <w:szCs w:val="24"/>
        </w:rPr>
        <w:t>M.G. Dyess, Inc. v. Markwest Liberty Midstream &amp; Res</w:t>
      </w:r>
      <w:r>
        <w:rPr>
          <w:rFonts w:eastAsia="Times New Roman"/>
          <w:b/>
          <w:sz w:val="24"/>
          <w:szCs w:val="24"/>
        </w:rPr>
        <w:t>.</w:t>
      </w:r>
      <w:r w:rsidRPr="001D55A0">
        <w:rPr>
          <w:rFonts w:eastAsia="Times New Roman"/>
          <w:b/>
          <w:sz w:val="24"/>
          <w:szCs w:val="24"/>
        </w:rPr>
        <w:t>, L.L.C</w:t>
      </w:r>
      <w:r w:rsidRPr="00E8041E">
        <w:rPr>
          <w:rFonts w:eastAsia="Times New Roman"/>
          <w:b/>
          <w:sz w:val="24"/>
          <w:szCs w:val="24"/>
        </w:rPr>
        <w:t>.</w:t>
      </w:r>
      <w:r>
        <w:rPr>
          <w:rFonts w:eastAsia="Times New Roman"/>
          <w:bCs/>
          <w:sz w:val="24"/>
          <w:szCs w:val="24"/>
        </w:rPr>
        <w:t xml:space="preserve">, 2022 COA 108, ¶ 20, 522 P.3d 204 (holding it was error for trial court judge to reduce amount of damages awarded by jury on quantum meruit claim); </w:t>
      </w:r>
      <w:r w:rsidRPr="009F2DE6">
        <w:rPr>
          <w:b/>
          <w:bCs/>
          <w:sz w:val="24"/>
          <w:szCs w:val="24"/>
        </w:rPr>
        <w:t>Camas Colo</w:t>
      </w:r>
      <w:r>
        <w:rPr>
          <w:b/>
          <w:bCs/>
          <w:sz w:val="24"/>
          <w:szCs w:val="24"/>
        </w:rPr>
        <w:t>., Inc.</w:t>
      </w:r>
      <w:r w:rsidRPr="009F2DE6">
        <w:rPr>
          <w:b/>
          <w:bCs/>
          <w:sz w:val="24"/>
          <w:szCs w:val="24"/>
        </w:rPr>
        <w:t xml:space="preserve"> v. Bd</w:t>
      </w:r>
      <w:r>
        <w:rPr>
          <w:b/>
          <w:bCs/>
          <w:sz w:val="24"/>
          <w:szCs w:val="24"/>
        </w:rPr>
        <w:t>.</w:t>
      </w:r>
      <w:r w:rsidRPr="009F2DE6">
        <w:rPr>
          <w:b/>
          <w:bCs/>
          <w:sz w:val="24"/>
          <w:szCs w:val="24"/>
        </w:rPr>
        <w:t xml:space="preserve"> of County Com</w:t>
      </w:r>
      <w:r>
        <w:rPr>
          <w:b/>
          <w:bCs/>
          <w:sz w:val="24"/>
          <w:szCs w:val="24"/>
        </w:rPr>
        <w:t>m</w:t>
      </w:r>
      <w:r w:rsidRPr="009F2DE6">
        <w:rPr>
          <w:b/>
          <w:bCs/>
          <w:sz w:val="24"/>
          <w:szCs w:val="24"/>
        </w:rPr>
        <w:t>’rs</w:t>
      </w:r>
      <w:r w:rsidRPr="00E8041E">
        <w:rPr>
          <w:sz w:val="24"/>
          <w:szCs w:val="24"/>
        </w:rPr>
        <w:t>,</w:t>
      </w:r>
      <w:r w:rsidRPr="009F2DE6">
        <w:rPr>
          <w:b/>
          <w:bCs/>
          <w:sz w:val="24"/>
          <w:szCs w:val="24"/>
        </w:rPr>
        <w:t xml:space="preserve"> </w:t>
      </w:r>
      <w:r>
        <w:rPr>
          <w:sz w:val="24"/>
          <w:szCs w:val="24"/>
        </w:rPr>
        <w:t xml:space="preserve">36 P.3d 135, 139 (Colo. App. 2001) (“[T]he quantum meruit claims are contractual[.] . . . We therefore conclude that these claims do not, and could not, lie in tort and are not barred by the CGIA.”); </w:t>
      </w:r>
      <w:r w:rsidRPr="009F2DE6">
        <w:rPr>
          <w:b/>
          <w:bCs/>
          <w:sz w:val="24"/>
          <w:szCs w:val="24"/>
        </w:rPr>
        <w:t>Sankey v. Cramer</w:t>
      </w:r>
      <w:r>
        <w:rPr>
          <w:sz w:val="24"/>
          <w:szCs w:val="24"/>
        </w:rPr>
        <w:t xml:space="preserve">, 24 Colo. App. 16, 131 P. 288 (1913) (reversing jury verdict on quantum meruit claim); </w:t>
      </w:r>
      <w:r w:rsidRPr="00E3334D">
        <w:rPr>
          <w:rFonts w:eastAsia="Times New Roman"/>
          <w:b/>
          <w:sz w:val="24"/>
          <w:szCs w:val="24"/>
        </w:rPr>
        <w:t xml:space="preserve">Rockwell Stock &amp; Land </w:t>
      </w:r>
      <w:r>
        <w:rPr>
          <w:rFonts w:eastAsia="Times New Roman"/>
          <w:b/>
          <w:sz w:val="24"/>
          <w:szCs w:val="24"/>
        </w:rPr>
        <w:t xml:space="preserve">Co. </w:t>
      </w:r>
      <w:r w:rsidRPr="00E3334D">
        <w:rPr>
          <w:rFonts w:eastAsia="Times New Roman"/>
          <w:b/>
          <w:sz w:val="24"/>
          <w:szCs w:val="24"/>
        </w:rPr>
        <w:t>v. Castroni</w:t>
      </w:r>
      <w:r>
        <w:rPr>
          <w:rFonts w:eastAsia="Times New Roman"/>
          <w:bCs/>
          <w:sz w:val="24"/>
          <w:szCs w:val="24"/>
        </w:rPr>
        <w:t>, 6 Colo. App. 528, 42 P. 182 (1895) (the court instructed the jury upon both express contract and quantum meruit);</w:t>
      </w:r>
      <w:r>
        <w:rPr>
          <w:sz w:val="24"/>
          <w:szCs w:val="24"/>
        </w:rPr>
        <w:t xml:space="preserve"> </w:t>
      </w:r>
      <w:r w:rsidRPr="0057578D">
        <w:rPr>
          <w:rFonts w:eastAsia="Times New Roman"/>
          <w:b/>
          <w:sz w:val="24"/>
          <w:szCs w:val="24"/>
        </w:rPr>
        <w:t>Snowden v. Clemons</w:t>
      </w:r>
      <w:r>
        <w:rPr>
          <w:rFonts w:eastAsia="Times New Roman"/>
          <w:bCs/>
          <w:sz w:val="24"/>
          <w:szCs w:val="24"/>
        </w:rPr>
        <w:t>, 5 Colo. App. 251, 255, 38 P. 475, 477 (1894) (“Two questions were fairly submitted to the jury. . . . The action was assumpsit upon a quantum meruit. It is a well-settled principle that assumpsit does not necessarily imply a contract, but may lie where some duty would justify the court in imputing a promise to perform it.”).</w:t>
      </w:r>
    </w:p>
    <w:p w14:paraId="43B92DF0" w14:textId="77777777" w:rsidR="00381B91" w:rsidRPr="00674D78" w:rsidRDefault="00381B91" w:rsidP="000D55AD">
      <w:pPr>
        <w:pStyle w:val="ListParagraph"/>
        <w:tabs>
          <w:tab w:val="left" w:pos="810"/>
        </w:tabs>
        <w:spacing w:after="240"/>
        <w:ind w:left="0" w:firstLine="720"/>
        <w:contextualSpacing w:val="0"/>
      </w:pPr>
      <w:r>
        <w:rPr>
          <w:rFonts w:eastAsia="Times New Roman"/>
          <w:bCs/>
          <w:sz w:val="24"/>
          <w:szCs w:val="24"/>
        </w:rPr>
        <w:t xml:space="preserve">3. </w:t>
      </w:r>
      <w:r w:rsidRPr="0095133C">
        <w:rPr>
          <w:rFonts w:eastAsia="Times New Roman"/>
          <w:bCs/>
          <w:sz w:val="24"/>
          <w:szCs w:val="24"/>
        </w:rPr>
        <w:t xml:space="preserve">A party generally may not recover for a claim of quantum meruit where the subject matter is covered by an express contract. </w:t>
      </w:r>
      <w:r w:rsidRPr="0095133C">
        <w:rPr>
          <w:rFonts w:eastAsia="Times New Roman"/>
          <w:b/>
          <w:sz w:val="24"/>
          <w:szCs w:val="24"/>
        </w:rPr>
        <w:t>Byrne v. Stone &amp; Birkle, Inc</w:t>
      </w:r>
      <w:r w:rsidRPr="001D1220">
        <w:rPr>
          <w:rFonts w:eastAsia="Times New Roman"/>
          <w:b/>
          <w:sz w:val="24"/>
          <w:szCs w:val="24"/>
        </w:rPr>
        <w:t>.</w:t>
      </w:r>
      <w:r w:rsidRPr="0095133C">
        <w:rPr>
          <w:rFonts w:eastAsia="Times New Roman"/>
          <w:bCs/>
          <w:sz w:val="24"/>
          <w:szCs w:val="24"/>
        </w:rPr>
        <w:t>, 156 Colo. 445</w:t>
      </w:r>
      <w:r>
        <w:rPr>
          <w:rFonts w:eastAsia="Times New Roman"/>
          <w:bCs/>
          <w:sz w:val="24"/>
          <w:szCs w:val="24"/>
        </w:rPr>
        <w:t>,</w:t>
      </w:r>
      <w:r w:rsidRPr="0095133C">
        <w:rPr>
          <w:rFonts w:eastAsia="Times New Roman"/>
          <w:bCs/>
          <w:sz w:val="24"/>
          <w:szCs w:val="24"/>
        </w:rPr>
        <w:t xml:space="preserve"> </w:t>
      </w:r>
      <w:r>
        <w:rPr>
          <w:rFonts w:eastAsia="Times New Roman"/>
          <w:bCs/>
          <w:sz w:val="24"/>
          <w:szCs w:val="24"/>
        </w:rPr>
        <w:t xml:space="preserve">449, </w:t>
      </w:r>
      <w:r w:rsidRPr="0095133C">
        <w:rPr>
          <w:rFonts w:eastAsia="Times New Roman"/>
          <w:bCs/>
          <w:sz w:val="24"/>
          <w:szCs w:val="24"/>
        </w:rPr>
        <w:lastRenderedPageBreak/>
        <w:t xml:space="preserve">399 P.2d 940, </w:t>
      </w:r>
      <w:r>
        <w:rPr>
          <w:rFonts w:eastAsia="Times New Roman"/>
          <w:bCs/>
          <w:sz w:val="24"/>
          <w:szCs w:val="24"/>
        </w:rPr>
        <w:t xml:space="preserve">942 </w:t>
      </w:r>
      <w:r w:rsidRPr="0095133C">
        <w:rPr>
          <w:rFonts w:eastAsia="Times New Roman"/>
          <w:bCs/>
          <w:sz w:val="24"/>
          <w:szCs w:val="24"/>
        </w:rPr>
        <w:t xml:space="preserve">(1965) (verdict on contract claim “automatically negates any recovery” on a quantum meruit claim); </w:t>
      </w:r>
      <w:r w:rsidRPr="009C41A5">
        <w:rPr>
          <w:rFonts w:eastAsia="Times New Roman"/>
          <w:b/>
          <w:sz w:val="24"/>
          <w:szCs w:val="24"/>
        </w:rPr>
        <w:t>In re Murphy’s Estate</w:t>
      </w:r>
      <w:r>
        <w:rPr>
          <w:rFonts w:eastAsia="Times New Roman"/>
          <w:bCs/>
          <w:sz w:val="24"/>
          <w:szCs w:val="24"/>
        </w:rPr>
        <w:t xml:space="preserve">, 110 Colo. at 308, 134 P.2d at 201 (“We have in mind the general rule that ‘there can be no implied contract where there is an express contract between the parties in reference to the same subject matter.’”); </w:t>
      </w:r>
      <w:r w:rsidRPr="0095133C">
        <w:rPr>
          <w:rFonts w:eastAsia="Times New Roman"/>
          <w:b/>
          <w:sz w:val="24"/>
          <w:szCs w:val="24"/>
        </w:rPr>
        <w:t>Hemmann Mgmt</w:t>
      </w:r>
      <w:r>
        <w:rPr>
          <w:rFonts w:eastAsia="Times New Roman"/>
          <w:b/>
          <w:sz w:val="24"/>
          <w:szCs w:val="24"/>
        </w:rPr>
        <w:t>.</w:t>
      </w:r>
      <w:r w:rsidRPr="0095133C">
        <w:rPr>
          <w:rFonts w:eastAsia="Times New Roman"/>
          <w:b/>
          <w:sz w:val="24"/>
          <w:szCs w:val="24"/>
        </w:rPr>
        <w:t xml:space="preserve"> Servs</w:t>
      </w:r>
      <w:r>
        <w:rPr>
          <w:rFonts w:eastAsia="Times New Roman"/>
          <w:b/>
          <w:sz w:val="24"/>
          <w:szCs w:val="24"/>
        </w:rPr>
        <w:t>.</w:t>
      </w:r>
      <w:r w:rsidRPr="0095133C">
        <w:rPr>
          <w:rFonts w:eastAsia="Times New Roman"/>
          <w:b/>
          <w:sz w:val="24"/>
          <w:szCs w:val="24"/>
        </w:rPr>
        <w:t xml:space="preserve"> v. Mediacel</w:t>
      </w:r>
      <w:r w:rsidRPr="00C62AB5">
        <w:rPr>
          <w:rFonts w:eastAsia="Times New Roman"/>
          <w:b/>
          <w:sz w:val="24"/>
          <w:szCs w:val="24"/>
        </w:rPr>
        <w:t>l, Inc.</w:t>
      </w:r>
      <w:r w:rsidRPr="0095133C">
        <w:rPr>
          <w:rFonts w:eastAsia="Times New Roman"/>
          <w:bCs/>
          <w:sz w:val="24"/>
          <w:szCs w:val="24"/>
        </w:rPr>
        <w:t>, 176 P.3d 856</w:t>
      </w:r>
      <w:r>
        <w:rPr>
          <w:rFonts w:eastAsia="Times New Roman"/>
          <w:bCs/>
          <w:sz w:val="24"/>
          <w:szCs w:val="24"/>
        </w:rPr>
        <w:t>, 860</w:t>
      </w:r>
      <w:r w:rsidRPr="0095133C">
        <w:rPr>
          <w:rFonts w:eastAsia="Times New Roman"/>
          <w:bCs/>
          <w:sz w:val="24"/>
          <w:szCs w:val="24"/>
        </w:rPr>
        <w:t xml:space="preserve"> (Colo. App. 2007) (“while plaintiffs may not be permitted to recover under theories of both breach of express contract and quantum meruit, it was not inappropriate to plead both theories of recovery in their complaint”); </w:t>
      </w:r>
      <w:r w:rsidRPr="0095133C">
        <w:rPr>
          <w:rFonts w:eastAsia="Times New Roman"/>
          <w:b/>
          <w:sz w:val="24"/>
          <w:szCs w:val="24"/>
        </w:rPr>
        <w:t>Printz Servs. Corp. v. Main Elec. Ltd</w:t>
      </w:r>
      <w:r w:rsidRPr="0095133C">
        <w:rPr>
          <w:rFonts w:eastAsia="Times New Roman"/>
          <w:bCs/>
          <w:sz w:val="24"/>
          <w:szCs w:val="24"/>
        </w:rPr>
        <w:t>, 949 P.2d 77</w:t>
      </w:r>
      <w:r>
        <w:rPr>
          <w:rFonts w:eastAsia="Times New Roman"/>
          <w:bCs/>
          <w:sz w:val="24"/>
          <w:szCs w:val="24"/>
        </w:rPr>
        <w:t>, 82</w:t>
      </w:r>
      <w:r w:rsidRPr="0095133C">
        <w:rPr>
          <w:rFonts w:eastAsia="Times New Roman"/>
          <w:bCs/>
          <w:sz w:val="24"/>
          <w:szCs w:val="24"/>
        </w:rPr>
        <w:t xml:space="preserve"> (Colo. App. 1997)</w:t>
      </w:r>
      <w:r>
        <w:rPr>
          <w:rFonts w:eastAsia="Times New Roman"/>
          <w:bCs/>
          <w:sz w:val="24"/>
          <w:szCs w:val="24"/>
        </w:rPr>
        <w:t xml:space="preserve"> (“because the existence of an express contract was undisputed, the trial court’s award to Main Electric on quantum meruit theory was erroneous”)</w:t>
      </w:r>
      <w:r w:rsidRPr="0095133C">
        <w:rPr>
          <w:rFonts w:eastAsia="Times New Roman"/>
          <w:bCs/>
          <w:sz w:val="24"/>
          <w:szCs w:val="24"/>
        </w:rPr>
        <w:t xml:space="preserve">; </w:t>
      </w:r>
      <w:r w:rsidRPr="00C62AB5">
        <w:rPr>
          <w:rFonts w:eastAsia="Times New Roman"/>
          <w:bCs/>
          <w:i/>
          <w:iCs/>
          <w:sz w:val="24"/>
          <w:szCs w:val="24"/>
        </w:rPr>
        <w:t>aff’d in part</w:t>
      </w:r>
      <w:r>
        <w:rPr>
          <w:rFonts w:eastAsia="Times New Roman"/>
          <w:bCs/>
          <w:i/>
          <w:iCs/>
          <w:sz w:val="24"/>
          <w:szCs w:val="24"/>
        </w:rPr>
        <w:t>,</w:t>
      </w:r>
      <w:r w:rsidRPr="00C62AB5">
        <w:rPr>
          <w:rFonts w:eastAsia="Times New Roman"/>
          <w:bCs/>
          <w:i/>
          <w:iCs/>
          <w:sz w:val="24"/>
          <w:szCs w:val="24"/>
        </w:rPr>
        <w:t xml:space="preserve"> rev’d in part</w:t>
      </w:r>
      <w:r w:rsidRPr="0095133C">
        <w:rPr>
          <w:rFonts w:eastAsia="Times New Roman"/>
          <w:bCs/>
          <w:sz w:val="24"/>
          <w:szCs w:val="24"/>
        </w:rPr>
        <w:t>, 980 P.2d 522 (Colo. 1999);</w:t>
      </w:r>
      <w:r w:rsidRPr="0095133C">
        <w:rPr>
          <w:rFonts w:eastAsia="Times New Roman"/>
          <w:b/>
          <w:sz w:val="24"/>
          <w:szCs w:val="24"/>
        </w:rPr>
        <w:t xml:space="preserve"> Alfred Brown Co., v. Johnson-Gibbons &amp; Reed W</w:t>
      </w:r>
      <w:r>
        <w:rPr>
          <w:rFonts w:eastAsia="Times New Roman"/>
          <w:b/>
          <w:sz w:val="24"/>
          <w:szCs w:val="24"/>
        </w:rPr>
        <w:t>.</w:t>
      </w:r>
      <w:r w:rsidRPr="0095133C">
        <w:rPr>
          <w:rFonts w:eastAsia="Times New Roman"/>
          <w:b/>
          <w:sz w:val="24"/>
          <w:szCs w:val="24"/>
        </w:rPr>
        <w:t xml:space="preserve"> Paving</w:t>
      </w:r>
      <w:r w:rsidRPr="0095133C">
        <w:rPr>
          <w:rFonts w:eastAsia="Times New Roman"/>
          <w:bCs/>
          <w:sz w:val="24"/>
          <w:szCs w:val="24"/>
        </w:rPr>
        <w:t>, 695 P.2d 746</w:t>
      </w:r>
      <w:r>
        <w:rPr>
          <w:rFonts w:eastAsia="Times New Roman"/>
          <w:bCs/>
          <w:sz w:val="24"/>
          <w:szCs w:val="24"/>
        </w:rPr>
        <w:t>, 749</w:t>
      </w:r>
      <w:r w:rsidRPr="0095133C">
        <w:rPr>
          <w:rFonts w:eastAsia="Times New Roman"/>
          <w:bCs/>
          <w:sz w:val="24"/>
          <w:szCs w:val="24"/>
        </w:rPr>
        <w:t xml:space="preserve"> (Colo. App. 1984) (</w:t>
      </w:r>
      <w:r>
        <w:rPr>
          <w:rFonts w:eastAsia="Times New Roman"/>
          <w:bCs/>
          <w:sz w:val="24"/>
          <w:szCs w:val="24"/>
        </w:rPr>
        <w:t>d</w:t>
      </w:r>
      <w:r w:rsidRPr="0095133C">
        <w:rPr>
          <w:rFonts w:eastAsia="Times New Roman"/>
          <w:bCs/>
          <w:sz w:val="24"/>
          <w:szCs w:val="24"/>
        </w:rPr>
        <w:t xml:space="preserve">ismissing quantum meruit claim after trial because defendant’s breaches were not </w:t>
      </w:r>
      <w:r>
        <w:rPr>
          <w:rFonts w:eastAsia="Times New Roman"/>
          <w:bCs/>
          <w:sz w:val="24"/>
          <w:szCs w:val="24"/>
        </w:rPr>
        <w:t>“</w:t>
      </w:r>
      <w:r w:rsidRPr="0095133C">
        <w:rPr>
          <w:rFonts w:eastAsia="Times New Roman"/>
          <w:bCs/>
          <w:sz w:val="24"/>
          <w:szCs w:val="24"/>
        </w:rPr>
        <w:t xml:space="preserve">sufficiently material to justify voiding or rescinding </w:t>
      </w:r>
      <w:r>
        <w:rPr>
          <w:rFonts w:eastAsia="Times New Roman"/>
          <w:bCs/>
          <w:sz w:val="24"/>
          <w:szCs w:val="24"/>
        </w:rPr>
        <w:t xml:space="preserve">of </w:t>
      </w:r>
      <w:r w:rsidRPr="0095133C">
        <w:rPr>
          <w:rFonts w:eastAsia="Times New Roman"/>
          <w:bCs/>
          <w:sz w:val="24"/>
          <w:szCs w:val="24"/>
        </w:rPr>
        <w:t>the contract”);</w:t>
      </w:r>
      <w:r w:rsidRPr="0095133C">
        <w:rPr>
          <w:rFonts w:eastAsia="Times New Roman"/>
          <w:b/>
          <w:sz w:val="24"/>
          <w:szCs w:val="24"/>
        </w:rPr>
        <w:t xml:space="preserve"> </w:t>
      </w:r>
      <w:r>
        <w:rPr>
          <w:rFonts w:eastAsia="Times New Roman"/>
          <w:b/>
          <w:sz w:val="24"/>
          <w:szCs w:val="24"/>
        </w:rPr>
        <w:t>East Larimer Cty. Water Dist. v. Centric Corp.</w:t>
      </w:r>
      <w:r w:rsidRPr="00747A6E">
        <w:rPr>
          <w:rFonts w:eastAsia="Times New Roman"/>
          <w:bCs/>
          <w:sz w:val="24"/>
          <w:szCs w:val="24"/>
        </w:rPr>
        <w:t>, 693 P.2d 1019</w:t>
      </w:r>
      <w:r>
        <w:rPr>
          <w:rFonts w:eastAsia="Times New Roman"/>
          <w:bCs/>
          <w:sz w:val="24"/>
          <w:szCs w:val="24"/>
        </w:rPr>
        <w:t>, 1022</w:t>
      </w:r>
      <w:r>
        <w:rPr>
          <w:rFonts w:eastAsia="Times New Roman"/>
          <w:b/>
          <w:sz w:val="24"/>
          <w:szCs w:val="24"/>
        </w:rPr>
        <w:t xml:space="preserve"> (</w:t>
      </w:r>
      <w:r w:rsidRPr="00914EF4">
        <w:rPr>
          <w:rFonts w:eastAsia="Times New Roman"/>
          <w:bCs/>
          <w:sz w:val="24"/>
          <w:szCs w:val="24"/>
        </w:rPr>
        <w:t>Colo. App. 1984)</w:t>
      </w:r>
      <w:r>
        <w:rPr>
          <w:rFonts w:eastAsia="Times New Roman"/>
          <w:bCs/>
          <w:sz w:val="24"/>
          <w:szCs w:val="24"/>
        </w:rPr>
        <w:t xml:space="preserve"> (“jury determined that the districts’ breaches . . . were not material” therefore claim for quantum meruit failed);</w:t>
      </w:r>
      <w:r w:rsidRPr="00914EF4">
        <w:rPr>
          <w:rFonts w:eastAsia="Times New Roman"/>
          <w:bCs/>
          <w:sz w:val="24"/>
          <w:szCs w:val="24"/>
        </w:rPr>
        <w:t xml:space="preserve"> </w:t>
      </w:r>
      <w:r w:rsidRPr="0095133C">
        <w:rPr>
          <w:rFonts w:eastAsia="Times New Roman"/>
          <w:b/>
          <w:sz w:val="24"/>
          <w:szCs w:val="24"/>
        </w:rPr>
        <w:t>Klipfel v. Neill</w:t>
      </w:r>
      <w:r w:rsidRPr="0095133C">
        <w:rPr>
          <w:rFonts w:eastAsia="Times New Roman"/>
          <w:bCs/>
          <w:sz w:val="24"/>
          <w:szCs w:val="24"/>
        </w:rPr>
        <w:t>, 494 P.2d 115, 30 Colo. App. 428 (1972) (“Since there is an express contract upon which suit and resulting judgment rests, the quantum mer</w:t>
      </w:r>
      <w:r>
        <w:rPr>
          <w:rFonts w:eastAsia="Times New Roman"/>
          <w:bCs/>
          <w:sz w:val="24"/>
          <w:szCs w:val="24"/>
        </w:rPr>
        <w:t>u</w:t>
      </w:r>
      <w:r w:rsidRPr="0095133C">
        <w:rPr>
          <w:rFonts w:eastAsia="Times New Roman"/>
          <w:bCs/>
          <w:sz w:val="24"/>
          <w:szCs w:val="24"/>
        </w:rPr>
        <w:t xml:space="preserve">it doctrine is inapplicable”); </w:t>
      </w:r>
      <w:r w:rsidRPr="00E3334D">
        <w:rPr>
          <w:rFonts w:eastAsia="Times New Roman"/>
          <w:b/>
          <w:sz w:val="24"/>
          <w:szCs w:val="24"/>
        </w:rPr>
        <w:t>Rockwell Stock &amp; Land</w:t>
      </w:r>
      <w:r>
        <w:rPr>
          <w:rFonts w:eastAsia="Times New Roman"/>
          <w:bCs/>
          <w:sz w:val="24"/>
          <w:szCs w:val="24"/>
        </w:rPr>
        <w:t>, 6 Colo. App. at 533, 42 P. at 184 (“the statement of an express agreement will exclude the existence of one resulting by operation of law from the acts of the parties”);</w:t>
      </w:r>
      <w:r w:rsidRPr="00674D78">
        <w:rPr>
          <w:rFonts w:eastAsia="Times New Roman"/>
          <w:bCs/>
          <w:sz w:val="24"/>
          <w:szCs w:val="24"/>
        </w:rPr>
        <w:t xml:space="preserve"> </w:t>
      </w:r>
      <w:r w:rsidRPr="00674D78">
        <w:rPr>
          <w:rFonts w:eastAsia="Times New Roman"/>
          <w:b/>
          <w:sz w:val="24"/>
          <w:szCs w:val="24"/>
        </w:rPr>
        <w:t>Manders v. Craft</w:t>
      </w:r>
      <w:r w:rsidRPr="00674D78">
        <w:rPr>
          <w:rFonts w:eastAsia="Times New Roman"/>
          <w:bCs/>
          <w:sz w:val="24"/>
          <w:szCs w:val="24"/>
        </w:rPr>
        <w:t>, 3 Colo. App. 236</w:t>
      </w:r>
      <w:r>
        <w:rPr>
          <w:rFonts w:eastAsia="Times New Roman"/>
          <w:bCs/>
          <w:sz w:val="24"/>
          <w:szCs w:val="24"/>
        </w:rPr>
        <w:t>,</w:t>
      </w:r>
      <w:r w:rsidRPr="00674D78">
        <w:rPr>
          <w:rFonts w:eastAsia="Times New Roman"/>
          <w:bCs/>
          <w:sz w:val="24"/>
          <w:szCs w:val="24"/>
        </w:rPr>
        <w:t xml:space="preserve"> </w:t>
      </w:r>
      <w:r>
        <w:rPr>
          <w:rFonts w:eastAsia="Times New Roman"/>
          <w:bCs/>
          <w:sz w:val="24"/>
          <w:szCs w:val="24"/>
        </w:rPr>
        <w:t xml:space="preserve">238, </w:t>
      </w:r>
      <w:r w:rsidRPr="00674D78">
        <w:rPr>
          <w:rFonts w:eastAsia="Times New Roman"/>
          <w:bCs/>
          <w:sz w:val="24"/>
          <w:szCs w:val="24"/>
        </w:rPr>
        <w:t>32 P. 836,</w:t>
      </w:r>
      <w:r>
        <w:rPr>
          <w:rFonts w:eastAsia="Times New Roman"/>
          <w:bCs/>
          <w:sz w:val="24"/>
          <w:szCs w:val="24"/>
        </w:rPr>
        <w:t xml:space="preserve"> 837</w:t>
      </w:r>
      <w:r w:rsidRPr="00674D78">
        <w:rPr>
          <w:rFonts w:eastAsia="Times New Roman"/>
          <w:bCs/>
          <w:sz w:val="24"/>
          <w:szCs w:val="24"/>
        </w:rPr>
        <w:t xml:space="preserve"> (1893) (“Where one count is a quantum meruit and the other on a specific contract to pay a certain sum designated, both should not stand</w:t>
      </w:r>
      <w:r>
        <w:rPr>
          <w:rFonts w:eastAsia="Times New Roman"/>
          <w:bCs/>
          <w:sz w:val="24"/>
          <w:szCs w:val="24"/>
        </w:rPr>
        <w:t>.</w:t>
      </w:r>
      <w:r w:rsidRPr="00674D78">
        <w:rPr>
          <w:rFonts w:eastAsia="Times New Roman"/>
          <w:bCs/>
          <w:sz w:val="24"/>
          <w:szCs w:val="24"/>
        </w:rPr>
        <w:t>”)</w:t>
      </w:r>
      <w:r>
        <w:rPr>
          <w:rFonts w:eastAsia="Times New Roman"/>
          <w:bCs/>
          <w:sz w:val="24"/>
          <w:szCs w:val="24"/>
        </w:rPr>
        <w:t>.</w:t>
      </w:r>
    </w:p>
    <w:p w14:paraId="2F142FBC"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t xml:space="preserve">4. </w:t>
      </w:r>
      <w:r w:rsidRPr="009F2DE6">
        <w:rPr>
          <w:sz w:val="24"/>
          <w:szCs w:val="24"/>
        </w:rPr>
        <w:t>There are exceptions to the general rule that a quantum meruit claim is foreclosed i</w:t>
      </w:r>
      <w:r>
        <w:rPr>
          <w:sz w:val="24"/>
          <w:szCs w:val="24"/>
        </w:rPr>
        <w:t>f</w:t>
      </w:r>
      <w:r w:rsidRPr="009F2DE6">
        <w:rPr>
          <w:sz w:val="24"/>
          <w:szCs w:val="24"/>
        </w:rPr>
        <w:t xml:space="preserve"> the subject is covered by an express contract. First, a party may assert a quantum meruit claim when substantial changes have occurred that are not covered by a contract, and those changes required extra work or caused substantial loss to a party. </w:t>
      </w:r>
      <w:r w:rsidRPr="007838B9">
        <w:rPr>
          <w:b/>
          <w:bCs/>
          <w:sz w:val="24"/>
          <w:szCs w:val="24"/>
        </w:rPr>
        <w:t>Fagg v. Courtright</w:t>
      </w:r>
      <w:r>
        <w:rPr>
          <w:sz w:val="24"/>
          <w:szCs w:val="24"/>
        </w:rPr>
        <w:t xml:space="preserve">, 98 Colo 486, 488, 56 P.2d 1321, 1322 (1936) (“In the circumstances represented by the plaintiff’s evidence, he was entitled to withdraw from the work and recover as for quantum meruit.”); </w:t>
      </w:r>
      <w:r w:rsidRPr="009F2DE6">
        <w:rPr>
          <w:b/>
          <w:bCs/>
          <w:sz w:val="24"/>
          <w:szCs w:val="24"/>
        </w:rPr>
        <w:t>Specialized Grading Enters., Inc. v. Goodland Constr., Inc</w:t>
      </w:r>
      <w:r w:rsidRPr="00747A6E">
        <w:rPr>
          <w:b/>
          <w:bCs/>
          <w:sz w:val="24"/>
          <w:szCs w:val="24"/>
        </w:rPr>
        <w:t>.</w:t>
      </w:r>
      <w:r w:rsidRPr="009F2DE6">
        <w:rPr>
          <w:sz w:val="24"/>
          <w:szCs w:val="24"/>
        </w:rPr>
        <w:t>, 181 P.3d 352 (Colo. App</w:t>
      </w:r>
      <w:r>
        <w:rPr>
          <w:sz w:val="24"/>
          <w:szCs w:val="24"/>
        </w:rPr>
        <w:t>.</w:t>
      </w:r>
      <w:r w:rsidRPr="009F2DE6">
        <w:rPr>
          <w:sz w:val="24"/>
          <w:szCs w:val="24"/>
        </w:rPr>
        <w:t xml:space="preserve"> 2007); </w:t>
      </w:r>
      <w:r w:rsidRPr="009F2DE6">
        <w:rPr>
          <w:b/>
          <w:bCs/>
          <w:sz w:val="24"/>
          <w:szCs w:val="24"/>
        </w:rPr>
        <w:t>Scott Co. v. MK-Ferguson Co</w:t>
      </w:r>
      <w:r w:rsidRPr="00747A6E">
        <w:rPr>
          <w:b/>
          <w:bCs/>
          <w:sz w:val="24"/>
          <w:szCs w:val="24"/>
        </w:rPr>
        <w:t>.</w:t>
      </w:r>
      <w:r w:rsidRPr="009F2DE6">
        <w:rPr>
          <w:sz w:val="24"/>
          <w:szCs w:val="24"/>
        </w:rPr>
        <w:t>, 832 P</w:t>
      </w:r>
      <w:r>
        <w:rPr>
          <w:sz w:val="24"/>
          <w:szCs w:val="24"/>
        </w:rPr>
        <w:t>.</w:t>
      </w:r>
      <w:r w:rsidRPr="009F2DE6">
        <w:rPr>
          <w:sz w:val="24"/>
          <w:szCs w:val="24"/>
        </w:rPr>
        <w:t>2d 1000</w:t>
      </w:r>
      <w:r>
        <w:rPr>
          <w:sz w:val="24"/>
          <w:szCs w:val="24"/>
        </w:rPr>
        <w:t>, 1002-03</w:t>
      </w:r>
      <w:r w:rsidRPr="009F2DE6">
        <w:rPr>
          <w:sz w:val="24"/>
          <w:szCs w:val="24"/>
        </w:rPr>
        <w:t xml:space="preserve"> (Colo. App. 1991) (“</w:t>
      </w:r>
      <w:r>
        <w:rPr>
          <w:sz w:val="24"/>
          <w:szCs w:val="24"/>
        </w:rPr>
        <w:t>Q</w:t>
      </w:r>
      <w:r w:rsidRPr="009F2DE6">
        <w:rPr>
          <w:sz w:val="24"/>
          <w:szCs w:val="24"/>
        </w:rPr>
        <w:t>uantum meruit is an appropriate basis for recovery when substantial changes occur which are not covered by the contract and are not within the contemplation of the parties and the effect of such changes is to require extra work or to cause substantial loss to the contractor</w:t>
      </w:r>
      <w:r>
        <w:rPr>
          <w:sz w:val="24"/>
          <w:szCs w:val="24"/>
        </w:rPr>
        <w:t>.</w:t>
      </w:r>
      <w:r w:rsidRPr="009F2DE6">
        <w:rPr>
          <w:sz w:val="24"/>
          <w:szCs w:val="24"/>
        </w:rPr>
        <w:t>”)</w:t>
      </w:r>
      <w:r>
        <w:rPr>
          <w:sz w:val="24"/>
          <w:szCs w:val="24"/>
        </w:rPr>
        <w:t xml:space="preserve">, </w:t>
      </w:r>
      <w:r w:rsidRPr="00492FF0">
        <w:rPr>
          <w:i/>
          <w:iCs/>
          <w:sz w:val="24"/>
          <w:szCs w:val="24"/>
        </w:rPr>
        <w:t>overruled on other grounds by</w:t>
      </w:r>
      <w:r>
        <w:rPr>
          <w:sz w:val="24"/>
          <w:szCs w:val="24"/>
        </w:rPr>
        <w:t xml:space="preserve"> </w:t>
      </w:r>
      <w:r w:rsidRPr="00492FF0">
        <w:rPr>
          <w:b/>
          <w:bCs/>
          <w:sz w:val="24"/>
          <w:szCs w:val="24"/>
        </w:rPr>
        <w:t>Lewis v. Lewis</w:t>
      </w:r>
      <w:r>
        <w:rPr>
          <w:sz w:val="24"/>
          <w:szCs w:val="24"/>
        </w:rPr>
        <w:t>, 189 P.3d 1134 (Colo. 2008)</w:t>
      </w:r>
      <w:r w:rsidRPr="009F2DE6">
        <w:rPr>
          <w:sz w:val="24"/>
          <w:szCs w:val="24"/>
        </w:rPr>
        <w:t xml:space="preserve">; </w:t>
      </w:r>
      <w:r w:rsidRPr="009F2DE6">
        <w:rPr>
          <w:b/>
          <w:bCs/>
          <w:sz w:val="24"/>
          <w:szCs w:val="24"/>
        </w:rPr>
        <w:t>Denver Ventures, Inc. v. Arlington Lane Corp</w:t>
      </w:r>
      <w:r w:rsidRPr="00747A6E">
        <w:rPr>
          <w:b/>
          <w:bCs/>
          <w:sz w:val="24"/>
          <w:szCs w:val="24"/>
        </w:rPr>
        <w:t>.</w:t>
      </w:r>
      <w:r w:rsidRPr="009F2DE6">
        <w:rPr>
          <w:sz w:val="24"/>
          <w:szCs w:val="24"/>
        </w:rPr>
        <w:t>, 754 P.2d 785</w:t>
      </w:r>
      <w:r>
        <w:rPr>
          <w:sz w:val="24"/>
          <w:szCs w:val="24"/>
        </w:rPr>
        <w:t>, 787</w:t>
      </w:r>
      <w:r w:rsidRPr="009F2DE6">
        <w:rPr>
          <w:sz w:val="24"/>
          <w:szCs w:val="24"/>
        </w:rPr>
        <w:t xml:space="preserve"> (Colo. App. 1988) (“even if </w:t>
      </w:r>
      <w:r>
        <w:rPr>
          <w:sz w:val="24"/>
          <w:szCs w:val="24"/>
        </w:rPr>
        <w:t>the</w:t>
      </w:r>
      <w:r w:rsidRPr="009F2DE6">
        <w:rPr>
          <w:sz w:val="24"/>
          <w:szCs w:val="24"/>
        </w:rPr>
        <w:t xml:space="preserve"> subcontractor does not substantially perform, it may recover the reasonable value of benefits conferred which exceed</w:t>
      </w:r>
      <w:r>
        <w:rPr>
          <w:sz w:val="24"/>
          <w:szCs w:val="24"/>
        </w:rPr>
        <w:t>s</w:t>
      </w:r>
      <w:r w:rsidRPr="009F2DE6">
        <w:rPr>
          <w:sz w:val="24"/>
          <w:szCs w:val="24"/>
        </w:rPr>
        <w:t xml:space="preserve"> the loss created by its own breach”)</w:t>
      </w:r>
      <w:r>
        <w:rPr>
          <w:sz w:val="24"/>
          <w:szCs w:val="24"/>
        </w:rPr>
        <w:t>.</w:t>
      </w:r>
    </w:p>
    <w:p w14:paraId="7DB6ED67" w14:textId="77777777" w:rsidR="00381B91" w:rsidRPr="00674D78" w:rsidRDefault="00381B91" w:rsidP="000D55AD">
      <w:pPr>
        <w:pStyle w:val="ListParagraph"/>
        <w:tabs>
          <w:tab w:val="left" w:pos="540"/>
        </w:tabs>
        <w:spacing w:after="240"/>
        <w:ind w:left="0" w:firstLine="720"/>
        <w:contextualSpacing w:val="0"/>
        <w:rPr>
          <w:sz w:val="24"/>
          <w:szCs w:val="24"/>
        </w:rPr>
      </w:pPr>
      <w:r>
        <w:rPr>
          <w:sz w:val="24"/>
          <w:szCs w:val="24"/>
        </w:rPr>
        <w:t xml:space="preserve">5. </w:t>
      </w:r>
      <w:r w:rsidRPr="00674D78">
        <w:rPr>
          <w:sz w:val="24"/>
          <w:szCs w:val="24"/>
        </w:rPr>
        <w:t xml:space="preserve">A party may also recover in quantum meruit such as, for example, where the express contract failed, was rescinded or unenforceable because of mutual mistake, is void as against public policy, too indefinite to enforce, or discharged because of impossibility or frustration of purpose. </w:t>
      </w:r>
      <w:r w:rsidRPr="009E383D">
        <w:rPr>
          <w:b/>
          <w:bCs/>
          <w:sz w:val="24"/>
          <w:szCs w:val="24"/>
        </w:rPr>
        <w:t>Jacobs v. Jones</w:t>
      </w:r>
      <w:r>
        <w:rPr>
          <w:sz w:val="24"/>
          <w:szCs w:val="24"/>
        </w:rPr>
        <w:t xml:space="preserve">, 161 Colo. 505, 432 P.2d 321 (1967) (quantum meruit award affirmed where defendant refused to permit plaintiff to complete the contract); </w:t>
      </w:r>
      <w:r w:rsidRPr="00674D78">
        <w:rPr>
          <w:b/>
          <w:bCs/>
          <w:sz w:val="24"/>
          <w:szCs w:val="24"/>
        </w:rPr>
        <w:t>Zion Baptist Church v. Hebert,</w:t>
      </w:r>
      <w:r w:rsidRPr="00674D78">
        <w:rPr>
          <w:sz w:val="24"/>
          <w:szCs w:val="24"/>
        </w:rPr>
        <w:t xml:space="preserve"> 94 Colo. 59, </w:t>
      </w:r>
      <w:r>
        <w:rPr>
          <w:sz w:val="24"/>
          <w:szCs w:val="24"/>
        </w:rPr>
        <w:t xml:space="preserve">63, </w:t>
      </w:r>
      <w:r w:rsidRPr="00674D78">
        <w:rPr>
          <w:sz w:val="24"/>
          <w:szCs w:val="24"/>
        </w:rPr>
        <w:t>28 P.2d 799</w:t>
      </w:r>
      <w:r>
        <w:rPr>
          <w:sz w:val="24"/>
          <w:szCs w:val="24"/>
        </w:rPr>
        <w:t>, 801</w:t>
      </w:r>
      <w:r w:rsidRPr="00674D78">
        <w:rPr>
          <w:sz w:val="24"/>
          <w:szCs w:val="24"/>
        </w:rPr>
        <w:t xml:space="preserve"> (1933) (failure of condition precedent entitled the contractor “to regard the contract </w:t>
      </w:r>
      <w:r>
        <w:rPr>
          <w:sz w:val="24"/>
          <w:szCs w:val="24"/>
        </w:rPr>
        <w:t>[as]</w:t>
      </w:r>
      <w:r w:rsidRPr="00674D78">
        <w:rPr>
          <w:sz w:val="24"/>
          <w:szCs w:val="24"/>
        </w:rPr>
        <w:t xml:space="preserve"> broken and to proceed on quantum meruit for work and materials furnished”); </w:t>
      </w:r>
      <w:r w:rsidRPr="00EF14D1">
        <w:rPr>
          <w:b/>
          <w:bCs/>
          <w:sz w:val="24"/>
          <w:szCs w:val="24"/>
        </w:rPr>
        <w:t>Gravina Siding &amp; Windows Co. v. Gravina</w:t>
      </w:r>
      <w:r>
        <w:rPr>
          <w:sz w:val="24"/>
          <w:szCs w:val="24"/>
        </w:rPr>
        <w:t xml:space="preserve">, 2022 COA 50, ¶ 41 516 P.3d 37, 47 (“where a contract exists, absent a provision explicitly addressing remedies with respect to the default at issue, a party that breaches the contract may nonetheless recover for the </w:t>
      </w:r>
      <w:r>
        <w:rPr>
          <w:sz w:val="24"/>
          <w:szCs w:val="24"/>
        </w:rPr>
        <w:lastRenderedPageBreak/>
        <w:t xml:space="preserve">other party’s unjust enrichment”); </w:t>
      </w:r>
      <w:r w:rsidRPr="00914EF4">
        <w:rPr>
          <w:b/>
          <w:bCs/>
          <w:sz w:val="24"/>
          <w:szCs w:val="24"/>
        </w:rPr>
        <w:t>Johnson v. Bovee</w:t>
      </w:r>
      <w:r>
        <w:rPr>
          <w:sz w:val="24"/>
          <w:szCs w:val="24"/>
        </w:rPr>
        <w:t xml:space="preserve">, 40 Colo. App. 317, 319, 574 P.2d 513, 514 (1978) (“Since the [defendants] breached the contract by refusing to make the required payments, [plaintiff] was entitled to consider the contract a nullity, and recover the reasonable value of his services.”); </w:t>
      </w:r>
      <w:r w:rsidRPr="004C4CF9">
        <w:rPr>
          <w:b/>
          <w:bCs/>
          <w:sz w:val="24"/>
          <w:szCs w:val="24"/>
        </w:rPr>
        <w:t>Cochran v. Balfe</w:t>
      </w:r>
      <w:r>
        <w:rPr>
          <w:sz w:val="24"/>
          <w:szCs w:val="24"/>
        </w:rPr>
        <w:t xml:space="preserve">, 12 Colo. App. 75, 76, 54 P. 399, 399 (1898) (“If, therefore, the plaintiff was entitled to recover at all in this [quantum meruit] action, it must be because performance was rendered impossible by the wrongful acts and conduct of defendant, or was prevented by the act or default of defendant.”); </w:t>
      </w:r>
      <w:r w:rsidRPr="00674D78">
        <w:rPr>
          <w:b/>
          <w:bCs/>
          <w:sz w:val="24"/>
          <w:szCs w:val="24"/>
        </w:rPr>
        <w:t>McGonigle v. Klein</w:t>
      </w:r>
      <w:r w:rsidRPr="00674D78">
        <w:rPr>
          <w:sz w:val="24"/>
          <w:szCs w:val="24"/>
        </w:rPr>
        <w:t>, 6 Colo. App. 306</w:t>
      </w:r>
      <w:r>
        <w:rPr>
          <w:sz w:val="24"/>
          <w:szCs w:val="24"/>
        </w:rPr>
        <w:t>, 309,</w:t>
      </w:r>
      <w:r w:rsidRPr="00674D78">
        <w:rPr>
          <w:sz w:val="24"/>
          <w:szCs w:val="24"/>
        </w:rPr>
        <w:t xml:space="preserve"> 40 P. 465</w:t>
      </w:r>
      <w:r>
        <w:rPr>
          <w:sz w:val="24"/>
          <w:szCs w:val="24"/>
        </w:rPr>
        <w:t>, 467</w:t>
      </w:r>
      <w:r w:rsidRPr="00674D78">
        <w:rPr>
          <w:sz w:val="24"/>
          <w:szCs w:val="24"/>
        </w:rPr>
        <w:t xml:space="preserve"> (1895) (“In order to entitle the plaintiff to recover [in quantum meruit] he must have shown . . . that the contract had been rescinded or that </w:t>
      </w:r>
      <w:r>
        <w:rPr>
          <w:sz w:val="24"/>
          <w:szCs w:val="24"/>
        </w:rPr>
        <w:t xml:space="preserve">the </w:t>
      </w:r>
      <w:r w:rsidRPr="00674D78">
        <w:rPr>
          <w:sz w:val="24"/>
          <w:szCs w:val="24"/>
        </w:rPr>
        <w:t>performance was rendered impossible by the wrongful acts and conduct of the defendant</w:t>
      </w:r>
      <w:r>
        <w:rPr>
          <w:sz w:val="24"/>
          <w:szCs w:val="24"/>
        </w:rPr>
        <w:t>s.</w:t>
      </w:r>
      <w:r w:rsidRPr="00674D78">
        <w:rPr>
          <w:sz w:val="24"/>
          <w:szCs w:val="24"/>
        </w:rPr>
        <w:t>”)</w:t>
      </w:r>
      <w:r>
        <w:rPr>
          <w:sz w:val="24"/>
          <w:szCs w:val="24"/>
        </w:rPr>
        <w:t xml:space="preserve">. However, quantum meruit may not be used to recover compensation for goods or services prohibited by law. </w:t>
      </w:r>
      <w:r w:rsidRPr="004F33E3">
        <w:rPr>
          <w:b/>
          <w:bCs/>
          <w:sz w:val="24"/>
          <w:szCs w:val="24"/>
        </w:rPr>
        <w:t>Amedeus Corp. v. McAllister</w:t>
      </w:r>
      <w:r>
        <w:rPr>
          <w:b/>
          <w:bCs/>
          <w:sz w:val="24"/>
          <w:szCs w:val="24"/>
        </w:rPr>
        <w:t xml:space="preserve">, </w:t>
      </w:r>
      <w:r w:rsidRPr="004F33E3">
        <w:rPr>
          <w:sz w:val="24"/>
          <w:szCs w:val="24"/>
        </w:rPr>
        <w:t>232 P.3d 107</w:t>
      </w:r>
      <w:r>
        <w:rPr>
          <w:sz w:val="24"/>
          <w:szCs w:val="24"/>
        </w:rPr>
        <w:t>, 112 (Colo. App. 2009) (“Compensation for services is not recoverable where the subject transaction is forbidden by law” as with an agreement to compensate an unlicensed real estate broker.).</w:t>
      </w:r>
    </w:p>
    <w:p w14:paraId="3F86A4CA" w14:textId="77777777" w:rsidR="00381B91" w:rsidRDefault="00381B91" w:rsidP="000D55AD">
      <w:pPr>
        <w:pStyle w:val="ListParagraph"/>
        <w:spacing w:after="240"/>
        <w:ind w:left="0" w:firstLine="720"/>
        <w:contextualSpacing w:val="0"/>
        <w:rPr>
          <w:rFonts w:eastAsia="Times New Roman"/>
          <w:bCs/>
          <w:sz w:val="24"/>
          <w:szCs w:val="24"/>
        </w:rPr>
      </w:pPr>
      <w:r>
        <w:rPr>
          <w:sz w:val="24"/>
          <w:szCs w:val="24"/>
        </w:rPr>
        <w:t xml:space="preserve">6. </w:t>
      </w:r>
      <w:r w:rsidRPr="00674D78">
        <w:rPr>
          <w:sz w:val="24"/>
          <w:szCs w:val="24"/>
        </w:rPr>
        <w:t>The measure of damages for quantum meruit is the reasonable value of the goods or services.</w:t>
      </w:r>
      <w:r w:rsidRPr="00674D78">
        <w:rPr>
          <w:rFonts w:eastAsia="Times New Roman"/>
          <w:b/>
          <w:sz w:val="24"/>
          <w:szCs w:val="24"/>
        </w:rPr>
        <w:t xml:space="preserve"> </w:t>
      </w:r>
      <w:r>
        <w:rPr>
          <w:rFonts w:eastAsia="Times New Roman"/>
          <w:b/>
          <w:sz w:val="24"/>
          <w:szCs w:val="24"/>
        </w:rPr>
        <w:t>Larson</w:t>
      </w:r>
      <w:r>
        <w:rPr>
          <w:rFonts w:eastAsia="Times New Roman"/>
          <w:bCs/>
          <w:sz w:val="24"/>
          <w:szCs w:val="24"/>
        </w:rPr>
        <w:t>, 174 Colo. 424, 429, 484 P.2d 1230, 1232 (1971)</w:t>
      </w:r>
      <w:r w:rsidRPr="00747A6E">
        <w:rPr>
          <w:rFonts w:eastAsia="Times New Roman"/>
          <w:bCs/>
          <w:sz w:val="24"/>
          <w:szCs w:val="24"/>
        </w:rPr>
        <w:t>,</w:t>
      </w:r>
      <w:r w:rsidRPr="00674D78">
        <w:rPr>
          <w:rFonts w:eastAsia="Times New Roman"/>
          <w:bCs/>
          <w:sz w:val="24"/>
          <w:szCs w:val="24"/>
        </w:rPr>
        <w:t xml:space="preserve"> (“</w:t>
      </w:r>
      <w:r>
        <w:rPr>
          <w:rFonts w:eastAsia="Times New Roman"/>
          <w:bCs/>
          <w:sz w:val="24"/>
          <w:szCs w:val="24"/>
        </w:rPr>
        <w:t>[</w:t>
      </w:r>
      <w:r w:rsidRPr="00674D78">
        <w:rPr>
          <w:rFonts w:eastAsia="Times New Roman"/>
          <w:bCs/>
          <w:sz w:val="24"/>
          <w:szCs w:val="24"/>
        </w:rPr>
        <w:t>W</w:t>
      </w:r>
      <w:r>
        <w:rPr>
          <w:rFonts w:eastAsia="Times New Roman"/>
          <w:bCs/>
          <w:sz w:val="24"/>
          <w:szCs w:val="24"/>
        </w:rPr>
        <w:t>]</w:t>
      </w:r>
      <w:r w:rsidRPr="00674D78">
        <w:rPr>
          <w:rFonts w:eastAsia="Times New Roman"/>
          <w:bCs/>
          <w:sz w:val="24"/>
          <w:szCs w:val="24"/>
        </w:rPr>
        <w:t>here one accepts such services and by his actions indicates that he ratifies the employment of the person rendering the services, an implied promise to pay the reasonable value of the services arises</w:t>
      </w:r>
      <w:r>
        <w:rPr>
          <w:rFonts w:eastAsia="Times New Roman"/>
          <w:bCs/>
          <w:sz w:val="24"/>
          <w:szCs w:val="24"/>
        </w:rPr>
        <w:t>.”</w:t>
      </w:r>
      <w:r w:rsidRPr="00674D78">
        <w:rPr>
          <w:rFonts w:eastAsia="Times New Roman"/>
          <w:bCs/>
          <w:sz w:val="24"/>
          <w:szCs w:val="24"/>
        </w:rPr>
        <w:t xml:space="preserve">); </w:t>
      </w:r>
      <w:r>
        <w:rPr>
          <w:rFonts w:eastAsia="Times New Roman"/>
          <w:b/>
          <w:sz w:val="24"/>
          <w:szCs w:val="24"/>
        </w:rPr>
        <w:t>Grau v. Mitchell</w:t>
      </w:r>
      <w:r w:rsidRPr="00747A6E">
        <w:rPr>
          <w:rFonts w:eastAsia="Times New Roman"/>
          <w:bCs/>
          <w:sz w:val="24"/>
          <w:szCs w:val="24"/>
        </w:rPr>
        <w:t>,</w:t>
      </w:r>
      <w:r>
        <w:rPr>
          <w:rFonts w:eastAsia="Times New Roman"/>
          <w:b/>
          <w:sz w:val="24"/>
          <w:szCs w:val="24"/>
        </w:rPr>
        <w:t xml:space="preserve"> </w:t>
      </w:r>
      <w:r>
        <w:rPr>
          <w:rFonts w:eastAsia="Times New Roman"/>
          <w:bCs/>
          <w:sz w:val="24"/>
          <w:szCs w:val="24"/>
        </w:rPr>
        <w:t>1</w:t>
      </w:r>
      <w:r w:rsidRPr="00EF14D1">
        <w:rPr>
          <w:rFonts w:eastAsia="Times New Roman"/>
          <w:bCs/>
          <w:sz w:val="24"/>
          <w:szCs w:val="24"/>
        </w:rPr>
        <w:t xml:space="preserve">56 Colo. 111, </w:t>
      </w:r>
      <w:r>
        <w:rPr>
          <w:rFonts w:eastAsia="Times New Roman"/>
          <w:bCs/>
          <w:sz w:val="24"/>
          <w:szCs w:val="24"/>
        </w:rPr>
        <w:t xml:space="preserve">115, </w:t>
      </w:r>
      <w:r w:rsidRPr="00EF14D1">
        <w:rPr>
          <w:rFonts w:eastAsia="Times New Roman"/>
          <w:bCs/>
          <w:sz w:val="24"/>
          <w:szCs w:val="24"/>
        </w:rPr>
        <w:t>397 P.2d 488</w:t>
      </w:r>
      <w:r>
        <w:rPr>
          <w:rFonts w:eastAsia="Times New Roman"/>
          <w:bCs/>
          <w:sz w:val="24"/>
          <w:szCs w:val="24"/>
        </w:rPr>
        <w:t>, 490</w:t>
      </w:r>
      <w:r w:rsidRPr="00EF14D1">
        <w:rPr>
          <w:rFonts w:eastAsia="Times New Roman"/>
          <w:bCs/>
          <w:sz w:val="24"/>
          <w:szCs w:val="24"/>
        </w:rPr>
        <w:t xml:space="preserve"> (1964)</w:t>
      </w:r>
      <w:r>
        <w:rPr>
          <w:rFonts w:eastAsia="Times New Roman"/>
          <w:bCs/>
          <w:sz w:val="24"/>
          <w:szCs w:val="24"/>
        </w:rPr>
        <w:t xml:space="preserve"> (“It was incumbent upon the plaintiff to establish his claim and to present competent evidence as to what his services were worth and to give credits for payments actually received.”); </w:t>
      </w:r>
      <w:r w:rsidRPr="00FA7187">
        <w:rPr>
          <w:rFonts w:eastAsia="Times New Roman"/>
          <w:b/>
          <w:sz w:val="24"/>
          <w:szCs w:val="24"/>
        </w:rPr>
        <w:t>Milner</w:t>
      </w:r>
      <w:r w:rsidRPr="00747A6E">
        <w:rPr>
          <w:rFonts w:eastAsia="Times New Roman"/>
          <w:bCs/>
          <w:sz w:val="24"/>
          <w:szCs w:val="24"/>
        </w:rPr>
        <w:t>,</w:t>
      </w:r>
      <w:r>
        <w:rPr>
          <w:rFonts w:eastAsia="Times New Roman"/>
          <w:bCs/>
          <w:sz w:val="24"/>
          <w:szCs w:val="24"/>
        </w:rPr>
        <w:t xml:space="preserve"> 116 Colo. at 24; 178 P.2d at 418 (“the agreement was terminated and [plaintiff] thereupon instituted this action against [defendant] to recover in quantum meruit for the reasonable value of the services rendered”);</w:t>
      </w:r>
      <w:r w:rsidRPr="00674D78">
        <w:rPr>
          <w:sz w:val="24"/>
          <w:szCs w:val="24"/>
        </w:rPr>
        <w:t xml:space="preserve"> </w:t>
      </w:r>
      <w:r w:rsidRPr="00674D78">
        <w:rPr>
          <w:rFonts w:eastAsia="Times New Roman"/>
          <w:b/>
          <w:sz w:val="24"/>
          <w:szCs w:val="24"/>
        </w:rPr>
        <w:t>McDonald</w:t>
      </w:r>
      <w:r w:rsidRPr="00674D78">
        <w:rPr>
          <w:rFonts w:eastAsia="Times New Roman"/>
          <w:bCs/>
          <w:sz w:val="24"/>
          <w:szCs w:val="24"/>
        </w:rPr>
        <w:t xml:space="preserve">, 84 Colo. </w:t>
      </w:r>
      <w:r>
        <w:rPr>
          <w:rFonts w:eastAsia="Times New Roman"/>
          <w:bCs/>
          <w:sz w:val="24"/>
          <w:szCs w:val="24"/>
        </w:rPr>
        <w:t>at 471</w:t>
      </w:r>
      <w:r w:rsidRPr="00674D78">
        <w:rPr>
          <w:rFonts w:eastAsia="Times New Roman"/>
          <w:bCs/>
          <w:sz w:val="24"/>
          <w:szCs w:val="24"/>
        </w:rPr>
        <w:t xml:space="preserve">, 271 P. </w:t>
      </w:r>
      <w:r>
        <w:rPr>
          <w:rFonts w:eastAsia="Times New Roman"/>
          <w:bCs/>
          <w:sz w:val="24"/>
          <w:szCs w:val="24"/>
        </w:rPr>
        <w:t xml:space="preserve">at </w:t>
      </w:r>
      <w:r w:rsidRPr="00674D78">
        <w:rPr>
          <w:rFonts w:eastAsia="Times New Roman"/>
          <w:bCs/>
          <w:sz w:val="24"/>
          <w:szCs w:val="24"/>
        </w:rPr>
        <w:t xml:space="preserve">183 (affirming dismissal because the plaintiff failed to allege the reasonable value of the services provided); </w:t>
      </w:r>
      <w:r w:rsidRPr="00674D78">
        <w:rPr>
          <w:rFonts w:eastAsia="Times New Roman"/>
          <w:b/>
          <w:sz w:val="24"/>
          <w:szCs w:val="24"/>
        </w:rPr>
        <w:t>W.H. Woolley &amp; Co. v. Bear Creek Manors</w:t>
      </w:r>
      <w:r w:rsidRPr="00674D78">
        <w:rPr>
          <w:rFonts w:eastAsia="Times New Roman"/>
          <w:bCs/>
          <w:sz w:val="24"/>
          <w:szCs w:val="24"/>
        </w:rPr>
        <w:t>, 735 P.2d 910</w:t>
      </w:r>
      <w:r>
        <w:rPr>
          <w:rFonts w:eastAsia="Times New Roman"/>
          <w:bCs/>
          <w:sz w:val="24"/>
          <w:szCs w:val="24"/>
        </w:rPr>
        <w:t>, 912</w:t>
      </w:r>
      <w:r w:rsidRPr="00674D78">
        <w:rPr>
          <w:rFonts w:eastAsia="Times New Roman"/>
          <w:bCs/>
          <w:sz w:val="24"/>
          <w:szCs w:val="24"/>
        </w:rPr>
        <w:t xml:space="preserve"> (Colo. App. 1986) (“the trial court . . . measured the reasonable value of the services in terms of what it would have cost the </w:t>
      </w:r>
      <w:r>
        <w:rPr>
          <w:rFonts w:eastAsia="Times New Roman"/>
          <w:bCs/>
          <w:sz w:val="24"/>
          <w:szCs w:val="24"/>
        </w:rPr>
        <w:t>[plaintiffs]</w:t>
      </w:r>
      <w:r w:rsidRPr="00674D78">
        <w:rPr>
          <w:rFonts w:eastAsia="Times New Roman"/>
          <w:bCs/>
          <w:sz w:val="24"/>
          <w:szCs w:val="24"/>
        </w:rPr>
        <w:t xml:space="preserve"> to obtain them from others”)</w:t>
      </w:r>
      <w:r>
        <w:rPr>
          <w:rFonts w:eastAsia="Times New Roman"/>
          <w:bCs/>
          <w:sz w:val="24"/>
          <w:szCs w:val="24"/>
        </w:rPr>
        <w:t xml:space="preserve">. It is the reasonable value of the benefit received by the defendant rather than the value to the plaintiff. </w:t>
      </w:r>
      <w:r w:rsidRPr="00674D78">
        <w:rPr>
          <w:rFonts w:eastAsia="Times New Roman"/>
          <w:b/>
          <w:sz w:val="24"/>
          <w:szCs w:val="24"/>
        </w:rPr>
        <w:t>Survey Eng</w:t>
      </w:r>
      <w:r>
        <w:rPr>
          <w:rFonts w:eastAsia="Times New Roman"/>
          <w:b/>
          <w:sz w:val="24"/>
          <w:szCs w:val="24"/>
        </w:rPr>
        <w:t>’</w:t>
      </w:r>
      <w:r w:rsidRPr="00674D78">
        <w:rPr>
          <w:rFonts w:eastAsia="Times New Roman"/>
          <w:b/>
          <w:sz w:val="24"/>
          <w:szCs w:val="24"/>
        </w:rPr>
        <w:t>rs, Inc. v. Zoline Found</w:t>
      </w:r>
      <w:r>
        <w:rPr>
          <w:rFonts w:eastAsia="Times New Roman"/>
          <w:b/>
          <w:sz w:val="24"/>
          <w:szCs w:val="24"/>
        </w:rPr>
        <w:t>.</w:t>
      </w:r>
      <w:r w:rsidRPr="00674D78">
        <w:rPr>
          <w:rFonts w:eastAsia="Times New Roman"/>
          <w:bCs/>
          <w:sz w:val="24"/>
          <w:szCs w:val="24"/>
        </w:rPr>
        <w:t>, 190 Colo. 35</w:t>
      </w:r>
      <w:r>
        <w:rPr>
          <w:rFonts w:eastAsia="Times New Roman"/>
          <w:bCs/>
          <w:sz w:val="24"/>
          <w:szCs w:val="24"/>
        </w:rPr>
        <w:t xml:space="preserve">2, 354, </w:t>
      </w:r>
      <w:r w:rsidRPr="00674D78">
        <w:rPr>
          <w:rFonts w:eastAsia="Times New Roman"/>
          <w:bCs/>
          <w:sz w:val="24"/>
          <w:szCs w:val="24"/>
        </w:rPr>
        <w:t>546 P.2d 1257,</w:t>
      </w:r>
      <w:r>
        <w:rPr>
          <w:rFonts w:eastAsia="Times New Roman"/>
          <w:bCs/>
          <w:sz w:val="24"/>
          <w:szCs w:val="24"/>
        </w:rPr>
        <w:t xml:space="preserve"> 1259</w:t>
      </w:r>
      <w:r w:rsidRPr="00674D78">
        <w:rPr>
          <w:rFonts w:eastAsia="Times New Roman"/>
          <w:bCs/>
          <w:sz w:val="24"/>
          <w:szCs w:val="24"/>
        </w:rPr>
        <w:t>) (1976) (“there may be a difference between the value to the [plaintiff] of services performed and the benefit received by the [defendant]”);</w:t>
      </w:r>
      <w:r>
        <w:rPr>
          <w:rFonts w:eastAsia="Times New Roman"/>
          <w:bCs/>
          <w:sz w:val="24"/>
          <w:szCs w:val="24"/>
        </w:rPr>
        <w:t xml:space="preserve"> </w:t>
      </w:r>
      <w:r w:rsidRPr="00F126F3">
        <w:rPr>
          <w:rFonts w:eastAsia="Times New Roman"/>
          <w:b/>
          <w:sz w:val="24"/>
          <w:szCs w:val="24"/>
        </w:rPr>
        <w:t>Hunter v. Wilson</w:t>
      </w:r>
      <w:r>
        <w:rPr>
          <w:rFonts w:eastAsia="Times New Roman"/>
          <w:bCs/>
          <w:sz w:val="24"/>
          <w:szCs w:val="24"/>
        </w:rPr>
        <w:t xml:space="preserve">, 147 Colo. 36, 40, 362 P.2d 553, 555 (1961) (the trial court “could consider, as establishing such fair and reasonable value, the price fixed by the contract”). </w:t>
      </w:r>
    </w:p>
    <w:p w14:paraId="015003F9"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t xml:space="preserve">7. </w:t>
      </w:r>
      <w:r w:rsidRPr="00674D78">
        <w:rPr>
          <w:sz w:val="24"/>
          <w:szCs w:val="24"/>
        </w:rPr>
        <w:t xml:space="preserve">An attorney who withdraws for a justifiable reason or is terminated by a client without cause is entitled to compensation under quantum meruit for services rendered where the agreement sets forth circumstances under which the client will be liable, or where the attorneys services are successful, but the contingent fee agreement is not in writing. </w:t>
      </w:r>
      <w:r w:rsidRPr="009E383D">
        <w:rPr>
          <w:b/>
          <w:bCs/>
          <w:sz w:val="24"/>
          <w:szCs w:val="24"/>
        </w:rPr>
        <w:t>Dudding</w:t>
      </w:r>
      <w:r>
        <w:rPr>
          <w:sz w:val="24"/>
          <w:szCs w:val="24"/>
        </w:rPr>
        <w:t xml:space="preserve">, 11 P.3d at 446 (quantum meruit claim is available in an attorney fee context only when the underlying agreement contemplates the availability of such a recovery); </w:t>
      </w:r>
      <w:r w:rsidRPr="003A0744">
        <w:rPr>
          <w:b/>
          <w:bCs/>
          <w:sz w:val="24"/>
          <w:szCs w:val="24"/>
        </w:rPr>
        <w:t>LaFond v. Sweeney</w:t>
      </w:r>
      <w:r w:rsidRPr="00747A6E">
        <w:rPr>
          <w:sz w:val="24"/>
          <w:szCs w:val="24"/>
        </w:rPr>
        <w:t>,</w:t>
      </w:r>
      <w:r w:rsidRPr="003A0744">
        <w:rPr>
          <w:b/>
          <w:bCs/>
          <w:sz w:val="24"/>
          <w:szCs w:val="24"/>
        </w:rPr>
        <w:t xml:space="preserve"> </w:t>
      </w:r>
      <w:r>
        <w:rPr>
          <w:sz w:val="24"/>
          <w:szCs w:val="24"/>
        </w:rPr>
        <w:t xml:space="preserve">2012 COA 27, ¶ 29, 345 P.3d 932; </w:t>
      </w:r>
      <w:r w:rsidRPr="00674D78">
        <w:rPr>
          <w:b/>
          <w:bCs/>
          <w:sz w:val="24"/>
          <w:szCs w:val="24"/>
        </w:rPr>
        <w:t>Beeson v. Indus</w:t>
      </w:r>
      <w:r>
        <w:rPr>
          <w:b/>
          <w:bCs/>
          <w:sz w:val="24"/>
          <w:szCs w:val="24"/>
        </w:rPr>
        <w:t>.</w:t>
      </w:r>
      <w:r w:rsidRPr="00674D78">
        <w:rPr>
          <w:b/>
          <w:bCs/>
          <w:sz w:val="24"/>
          <w:szCs w:val="24"/>
        </w:rPr>
        <w:t xml:space="preserve"> Claim Appeals Office</w:t>
      </w:r>
      <w:r w:rsidRPr="00674D78">
        <w:rPr>
          <w:sz w:val="24"/>
          <w:szCs w:val="24"/>
        </w:rPr>
        <w:t xml:space="preserve">, 942 P.2d 1314 (Colo. App. 1997); </w:t>
      </w:r>
      <w:r w:rsidRPr="00FB304B">
        <w:rPr>
          <w:i/>
          <w:iCs/>
          <w:sz w:val="24"/>
          <w:szCs w:val="24"/>
        </w:rPr>
        <w:t>see</w:t>
      </w:r>
      <w:r>
        <w:rPr>
          <w:sz w:val="24"/>
          <w:szCs w:val="24"/>
        </w:rPr>
        <w:t xml:space="preserve"> </w:t>
      </w:r>
      <w:r w:rsidRPr="00674D78">
        <w:rPr>
          <w:b/>
          <w:bCs/>
          <w:sz w:val="24"/>
          <w:szCs w:val="24"/>
        </w:rPr>
        <w:t>People v. Gilbert</w:t>
      </w:r>
      <w:r w:rsidRPr="00747A6E">
        <w:rPr>
          <w:sz w:val="24"/>
          <w:szCs w:val="24"/>
        </w:rPr>
        <w:t>,</w:t>
      </w:r>
      <w:r w:rsidRPr="00674D78">
        <w:rPr>
          <w:sz w:val="24"/>
          <w:szCs w:val="24"/>
        </w:rPr>
        <w:t xml:space="preserve"> 348 P.3d 970</w:t>
      </w:r>
      <w:r>
        <w:rPr>
          <w:sz w:val="24"/>
          <w:szCs w:val="24"/>
        </w:rPr>
        <w:t>, 982</w:t>
      </w:r>
      <w:r w:rsidRPr="00674D78">
        <w:rPr>
          <w:sz w:val="24"/>
          <w:szCs w:val="24"/>
        </w:rPr>
        <w:t xml:space="preserve"> (Colo. App. 2013) (“a lawyer may forfeit his or her right to recover in quantum meruit if the lawyer abandons the client’s case or engages in other serious misconduct”)</w:t>
      </w:r>
    </w:p>
    <w:p w14:paraId="402D509E"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lastRenderedPageBreak/>
        <w:t xml:space="preserve">8. Quantum meruit claims are subject to the three-year statute of limitations in section 13-80-101(1)(a), C.R.S. </w:t>
      </w:r>
      <w:r w:rsidRPr="004B732A">
        <w:rPr>
          <w:b/>
          <w:bCs/>
          <w:sz w:val="24"/>
          <w:szCs w:val="24"/>
        </w:rPr>
        <w:t>Rotenberg v. Richards</w:t>
      </w:r>
      <w:r>
        <w:rPr>
          <w:sz w:val="24"/>
          <w:szCs w:val="24"/>
        </w:rPr>
        <w:t>, 899 P.2d 365 (Colo. App. 1995).</w:t>
      </w:r>
    </w:p>
    <w:p w14:paraId="260A55AE" w14:textId="5832DAEA" w:rsidR="00381B91" w:rsidRPr="00381B91" w:rsidRDefault="00381B91" w:rsidP="000D55AD">
      <w:pPr>
        <w:pStyle w:val="ListParagraph"/>
        <w:tabs>
          <w:tab w:val="left" w:pos="540"/>
        </w:tabs>
        <w:spacing w:after="240"/>
        <w:ind w:left="0" w:firstLine="720"/>
        <w:contextualSpacing w:val="0"/>
        <w:rPr>
          <w:sz w:val="24"/>
          <w:szCs w:val="24"/>
        </w:rPr>
      </w:pPr>
      <w:r>
        <w:rPr>
          <w:sz w:val="24"/>
          <w:szCs w:val="24"/>
        </w:rPr>
        <w:t xml:space="preserve">9. Colorado courts have also recognized a claim for unjust enrichment drawn from the Restatement of Restitution. </w:t>
      </w:r>
      <w:r w:rsidRPr="003522FF">
        <w:rPr>
          <w:i/>
          <w:iCs/>
          <w:sz w:val="24"/>
          <w:szCs w:val="24"/>
        </w:rPr>
        <w:t>See</w:t>
      </w:r>
      <w:r w:rsidRPr="00674D78">
        <w:rPr>
          <w:b/>
          <w:bCs/>
          <w:sz w:val="24"/>
          <w:szCs w:val="24"/>
        </w:rPr>
        <w:t xml:space="preserve"> </w:t>
      </w:r>
      <w:r w:rsidRPr="00821095">
        <w:rPr>
          <w:b/>
          <w:bCs/>
          <w:sz w:val="24"/>
          <w:szCs w:val="24"/>
        </w:rPr>
        <w:t>Cablevision of</w:t>
      </w:r>
      <w:r>
        <w:rPr>
          <w:sz w:val="24"/>
          <w:szCs w:val="24"/>
        </w:rPr>
        <w:t xml:space="preserve"> </w:t>
      </w:r>
      <w:r w:rsidRPr="00F65179">
        <w:rPr>
          <w:b/>
          <w:bCs/>
          <w:sz w:val="24"/>
          <w:szCs w:val="24"/>
        </w:rPr>
        <w:t>Breckenridge, Inc. v. Tannhauser Condo</w:t>
      </w:r>
      <w:r>
        <w:rPr>
          <w:b/>
          <w:bCs/>
          <w:sz w:val="24"/>
          <w:szCs w:val="24"/>
        </w:rPr>
        <w:t>.</w:t>
      </w:r>
      <w:r w:rsidRPr="00F65179">
        <w:rPr>
          <w:b/>
          <w:bCs/>
          <w:sz w:val="24"/>
          <w:szCs w:val="24"/>
        </w:rPr>
        <w:t xml:space="preserve"> Ass’n</w:t>
      </w:r>
      <w:r w:rsidRPr="00747A6E">
        <w:rPr>
          <w:sz w:val="24"/>
          <w:szCs w:val="24"/>
        </w:rPr>
        <w:t>,</w:t>
      </w:r>
      <w:r>
        <w:rPr>
          <w:sz w:val="24"/>
          <w:szCs w:val="24"/>
        </w:rPr>
        <w:t xml:space="preserve"> 649 P.2d 1093 (Colo. 1982). A claim based on restitution should not be confused with the contract/assumpsit claim of quantum meruit. To recover on a restitution claim a plaintiff must show that a benefit was conferred upon the defendant by the plaintiff, that the defendant appreciated the benefit, and that the benefit was accepted by the defendant under such circumstances that it would be inequitable for it to be retained without payment of its value. </w:t>
      </w:r>
      <w:r w:rsidRPr="003522FF">
        <w:rPr>
          <w:i/>
          <w:iCs/>
          <w:sz w:val="24"/>
          <w:szCs w:val="24"/>
        </w:rPr>
        <w:t>Id.</w:t>
      </w:r>
      <w:r>
        <w:rPr>
          <w:sz w:val="24"/>
          <w:szCs w:val="24"/>
        </w:rPr>
        <w:t xml:space="preserve">; </w:t>
      </w:r>
      <w:r w:rsidRPr="003522FF">
        <w:rPr>
          <w:i/>
          <w:iCs/>
          <w:sz w:val="24"/>
          <w:szCs w:val="24"/>
        </w:rPr>
        <w:t>see also</w:t>
      </w:r>
      <w:r w:rsidRPr="00821095">
        <w:rPr>
          <w:b/>
          <w:bCs/>
          <w:sz w:val="24"/>
          <w:szCs w:val="24"/>
        </w:rPr>
        <w:t xml:space="preserve"> </w:t>
      </w:r>
      <w:r w:rsidRPr="00AF16D4">
        <w:rPr>
          <w:b/>
          <w:bCs/>
          <w:sz w:val="24"/>
          <w:szCs w:val="24"/>
        </w:rPr>
        <w:t>Britvar v. Schainuck</w:t>
      </w:r>
      <w:r>
        <w:rPr>
          <w:sz w:val="24"/>
          <w:szCs w:val="24"/>
        </w:rPr>
        <w:t xml:space="preserve">, 791 P.2d 1183 (Colo. App. 1989). The scope of the remedy is broad, and cuts across both contract and tort law. </w:t>
      </w:r>
      <w:r w:rsidRPr="003522FF">
        <w:rPr>
          <w:i/>
          <w:iCs/>
          <w:sz w:val="24"/>
          <w:szCs w:val="24"/>
        </w:rPr>
        <w:t>See</w:t>
      </w:r>
      <w:r w:rsidRPr="0000465D">
        <w:rPr>
          <w:b/>
          <w:bCs/>
          <w:sz w:val="24"/>
          <w:szCs w:val="24"/>
        </w:rPr>
        <w:t xml:space="preserve"> </w:t>
      </w:r>
      <w:r w:rsidRPr="007C69B0">
        <w:rPr>
          <w:b/>
          <w:bCs/>
          <w:sz w:val="24"/>
          <w:szCs w:val="24"/>
        </w:rPr>
        <w:t>Robinson v. Colo</w:t>
      </w:r>
      <w:r>
        <w:rPr>
          <w:b/>
          <w:bCs/>
          <w:sz w:val="24"/>
          <w:szCs w:val="24"/>
        </w:rPr>
        <w:t>.</w:t>
      </w:r>
      <w:r w:rsidRPr="007C69B0">
        <w:rPr>
          <w:b/>
          <w:bCs/>
          <w:sz w:val="24"/>
          <w:szCs w:val="24"/>
        </w:rPr>
        <w:t xml:space="preserve"> State Lottery Div.</w:t>
      </w:r>
      <w:r>
        <w:rPr>
          <w:sz w:val="24"/>
          <w:szCs w:val="24"/>
        </w:rPr>
        <w:t xml:space="preserve">, 179 P.3d 998 (Colo. 2008) (holding under facts of that case that an unjust enrichment claim arose out of tortious conduct and was barred by the CGIA). Although quasi-contract and quantum meruit both developed to avoid unjust enrichment, the history and elements of each cause of action are different. The labels and elements of the claims have been conflated. </w:t>
      </w:r>
      <w:r w:rsidRPr="005515DB">
        <w:rPr>
          <w:i/>
          <w:iCs/>
          <w:sz w:val="24"/>
          <w:szCs w:val="24"/>
        </w:rPr>
        <w:t>Compare</w:t>
      </w:r>
      <w:r>
        <w:rPr>
          <w:sz w:val="24"/>
          <w:szCs w:val="24"/>
        </w:rPr>
        <w:t xml:space="preserve"> </w:t>
      </w:r>
      <w:r w:rsidRPr="005515DB">
        <w:rPr>
          <w:b/>
          <w:bCs/>
          <w:sz w:val="24"/>
          <w:szCs w:val="24"/>
        </w:rPr>
        <w:t>Dudding v. Norton Frickey &amp; Assocs</w:t>
      </w:r>
      <w:r>
        <w:rPr>
          <w:b/>
          <w:bCs/>
          <w:sz w:val="24"/>
          <w:szCs w:val="24"/>
        </w:rPr>
        <w:t>.</w:t>
      </w:r>
      <w:r w:rsidRPr="004E56F7">
        <w:rPr>
          <w:sz w:val="24"/>
          <w:szCs w:val="24"/>
        </w:rPr>
        <w:t>, 11 P.3d 441</w:t>
      </w:r>
      <w:r>
        <w:rPr>
          <w:sz w:val="24"/>
          <w:szCs w:val="24"/>
        </w:rPr>
        <w:t>, 444</w:t>
      </w:r>
      <w:r w:rsidRPr="004E56F7">
        <w:rPr>
          <w:sz w:val="24"/>
          <w:szCs w:val="24"/>
        </w:rPr>
        <w:t xml:space="preserve"> (Colo. 2000)</w:t>
      </w:r>
      <w:r>
        <w:rPr>
          <w:sz w:val="24"/>
          <w:szCs w:val="24"/>
        </w:rPr>
        <w:t xml:space="preserve"> (“</w:t>
      </w:r>
      <w:r w:rsidRPr="004E56F7">
        <w:rPr>
          <w:sz w:val="24"/>
          <w:szCs w:val="24"/>
        </w:rPr>
        <w:t>Application of the doctrine of quantum meruit, also termed quasi-contract or unjust enrichment, does not depend upon the existence of a contract, either express or implied in fact</w:t>
      </w:r>
      <w:r>
        <w:rPr>
          <w:sz w:val="24"/>
          <w:szCs w:val="24"/>
        </w:rPr>
        <w:t xml:space="preserve">”), </w:t>
      </w:r>
      <w:r w:rsidRPr="005515DB">
        <w:rPr>
          <w:i/>
          <w:iCs/>
          <w:sz w:val="24"/>
          <w:szCs w:val="24"/>
        </w:rPr>
        <w:t>with</w:t>
      </w:r>
      <w:r>
        <w:rPr>
          <w:sz w:val="24"/>
          <w:szCs w:val="24"/>
        </w:rPr>
        <w:t xml:space="preserve"> </w:t>
      </w:r>
      <w:r w:rsidRPr="005515DB">
        <w:rPr>
          <w:b/>
          <w:bCs/>
          <w:sz w:val="24"/>
          <w:szCs w:val="24"/>
        </w:rPr>
        <w:t>Valley Realty &amp; Inv. Co. v. McMillan</w:t>
      </w:r>
      <w:r>
        <w:rPr>
          <w:sz w:val="24"/>
          <w:szCs w:val="24"/>
        </w:rPr>
        <w:t>, 160 Colo. 109, 112, 414 P.2d 486, 488 (1966) (“</w:t>
      </w:r>
      <w:r w:rsidRPr="004E56F7">
        <w:rPr>
          <w:sz w:val="24"/>
          <w:szCs w:val="24"/>
        </w:rPr>
        <w:t>In quasi contracts the obligation arises, not from consent of the parties, as in the case of contracts, express or implied in fact, but from the law of natural immutable justice and equity.</w:t>
      </w:r>
      <w:r>
        <w:rPr>
          <w:sz w:val="24"/>
          <w:szCs w:val="24"/>
        </w:rPr>
        <w:t>”).</w:t>
      </w:r>
      <w:r w:rsidRPr="004E56F7">
        <w:rPr>
          <w:sz w:val="24"/>
          <w:szCs w:val="24"/>
        </w:rPr>
        <w:t xml:space="preserve"> </w:t>
      </w:r>
      <w:r w:rsidRPr="005515DB">
        <w:rPr>
          <w:i/>
          <w:iCs/>
          <w:sz w:val="24"/>
          <w:szCs w:val="24"/>
        </w:rPr>
        <w:t>See also</w:t>
      </w:r>
      <w:r>
        <w:rPr>
          <w:sz w:val="24"/>
          <w:szCs w:val="24"/>
        </w:rPr>
        <w:t xml:space="preserve"> </w:t>
      </w:r>
      <w:r w:rsidRPr="000E094F">
        <w:rPr>
          <w:b/>
          <w:bCs/>
          <w:sz w:val="24"/>
          <w:szCs w:val="24"/>
        </w:rPr>
        <w:t>Cadle</w:t>
      </w:r>
      <w:r>
        <w:rPr>
          <w:b/>
          <w:bCs/>
          <w:sz w:val="24"/>
          <w:szCs w:val="24"/>
        </w:rPr>
        <w:t>R</w:t>
      </w:r>
      <w:r w:rsidRPr="000E094F">
        <w:rPr>
          <w:b/>
          <w:bCs/>
          <w:sz w:val="24"/>
          <w:szCs w:val="24"/>
        </w:rPr>
        <w:t>ock Joint Venture LP v. Esperanza Architecture</w:t>
      </w:r>
      <w:r>
        <w:rPr>
          <w:b/>
          <w:bCs/>
          <w:sz w:val="24"/>
          <w:szCs w:val="24"/>
        </w:rPr>
        <w:t xml:space="preserve"> 7 Consulting, Inc.</w:t>
      </w:r>
      <w:r>
        <w:rPr>
          <w:sz w:val="24"/>
          <w:szCs w:val="24"/>
        </w:rPr>
        <w:t>, 2021 COA 119, ¶ 24, 500 P.3d 402 (“</w:t>
      </w:r>
      <w:r w:rsidRPr="00227A92">
        <w:rPr>
          <w:sz w:val="24"/>
          <w:szCs w:val="24"/>
        </w:rPr>
        <w:t>Quantum meruit, also termed quasi-contract or unjust enrichment, is an equitable doctrine</w:t>
      </w:r>
      <w:r>
        <w:rPr>
          <w:sz w:val="24"/>
          <w:szCs w:val="24"/>
        </w:rPr>
        <w:t xml:space="preserve"> . . . .”);</w:t>
      </w:r>
      <w:r w:rsidRPr="00227A92">
        <w:rPr>
          <w:sz w:val="24"/>
          <w:szCs w:val="24"/>
        </w:rPr>
        <w:t xml:space="preserve"> </w:t>
      </w:r>
      <w:r w:rsidRPr="00F65179">
        <w:rPr>
          <w:b/>
          <w:bCs/>
          <w:sz w:val="24"/>
          <w:szCs w:val="24"/>
        </w:rPr>
        <w:t>Murdock v. Cohen</w:t>
      </w:r>
      <w:r>
        <w:rPr>
          <w:sz w:val="24"/>
          <w:szCs w:val="24"/>
        </w:rPr>
        <w:t>, 762 P.2d 691, 692 (Colo. App. 1988) (listing the elements of quasi-contract for a quantum meruit claim).</w:t>
      </w:r>
    </w:p>
    <w:sectPr w:rsidR="00381B91" w:rsidRPr="00381B91" w:rsidSect="00D6155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1E59" w14:textId="77777777" w:rsidR="00D61559" w:rsidRDefault="00D61559" w:rsidP="0054263B">
      <w:r>
        <w:separator/>
      </w:r>
    </w:p>
    <w:p w14:paraId="18870384" w14:textId="77777777" w:rsidR="00D61559" w:rsidRDefault="00D61559"/>
  </w:endnote>
  <w:endnote w:type="continuationSeparator" w:id="0">
    <w:p w14:paraId="779A72A4" w14:textId="77777777" w:rsidR="00D61559" w:rsidRDefault="00D61559" w:rsidP="0054263B">
      <w:r>
        <w:continuationSeparator/>
      </w:r>
    </w:p>
    <w:p w14:paraId="7B2D07F8" w14:textId="77777777" w:rsidR="00D61559" w:rsidRDefault="00D6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3505C874" w14:textId="77777777" w:rsidR="00162471" w:rsidRDefault="0016247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39E7E541" w14:textId="77777777" w:rsidR="00162471" w:rsidRDefault="00162471">
    <w:pPr>
      <w:pStyle w:val="Footer"/>
    </w:pPr>
  </w:p>
  <w:p w14:paraId="1052C3A9" w14:textId="77777777" w:rsidR="00162471" w:rsidRDefault="001624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CD70" w14:textId="77777777" w:rsidR="00D61559" w:rsidRDefault="00D61559" w:rsidP="0054263B">
      <w:r>
        <w:separator/>
      </w:r>
    </w:p>
    <w:p w14:paraId="3C10099F" w14:textId="77777777" w:rsidR="00D61559" w:rsidRDefault="00D61559"/>
  </w:footnote>
  <w:footnote w:type="continuationSeparator" w:id="0">
    <w:p w14:paraId="1BC8F901" w14:textId="77777777" w:rsidR="00D61559" w:rsidRDefault="00D61559" w:rsidP="0054263B">
      <w:r>
        <w:continuationSeparator/>
      </w:r>
    </w:p>
    <w:p w14:paraId="08055CC8" w14:textId="77777777" w:rsidR="00D61559" w:rsidRDefault="00D615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A5B56"/>
    <w:multiLevelType w:val="hybridMultilevel"/>
    <w:tmpl w:val="1172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A78F1"/>
    <w:multiLevelType w:val="hybridMultilevel"/>
    <w:tmpl w:val="A882FB7A"/>
    <w:lvl w:ilvl="0" w:tplc="A9F82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7341C"/>
    <w:multiLevelType w:val="hybridMultilevel"/>
    <w:tmpl w:val="0472FB26"/>
    <w:lvl w:ilvl="0" w:tplc="E5ACA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0941725">
    <w:abstractNumId w:val="0"/>
  </w:num>
  <w:num w:numId="2" w16cid:durableId="1707364070">
    <w:abstractNumId w:val="1"/>
  </w:num>
  <w:num w:numId="3" w16cid:durableId="1266233361">
    <w:abstractNumId w:val="2"/>
  </w:num>
  <w:num w:numId="4" w16cid:durableId="1766799468">
    <w:abstractNumId w:val="4"/>
  </w:num>
  <w:num w:numId="5" w16cid:durableId="1603031308">
    <w:abstractNumId w:val="3"/>
  </w:num>
  <w:num w:numId="6" w16cid:durableId="1443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07D94"/>
    <w:rsid w:val="00011100"/>
    <w:rsid w:val="00020CF1"/>
    <w:rsid w:val="00037111"/>
    <w:rsid w:val="000627ED"/>
    <w:rsid w:val="0006367C"/>
    <w:rsid w:val="00074558"/>
    <w:rsid w:val="00074E3E"/>
    <w:rsid w:val="00077957"/>
    <w:rsid w:val="000824C8"/>
    <w:rsid w:val="00082B8A"/>
    <w:rsid w:val="00085495"/>
    <w:rsid w:val="00086139"/>
    <w:rsid w:val="000921F1"/>
    <w:rsid w:val="0009462F"/>
    <w:rsid w:val="000962C8"/>
    <w:rsid w:val="000A040F"/>
    <w:rsid w:val="000A705F"/>
    <w:rsid w:val="000B1B7A"/>
    <w:rsid w:val="000C204E"/>
    <w:rsid w:val="000C503A"/>
    <w:rsid w:val="000C6F97"/>
    <w:rsid w:val="000D4856"/>
    <w:rsid w:val="000D55AD"/>
    <w:rsid w:val="000F205C"/>
    <w:rsid w:val="00107803"/>
    <w:rsid w:val="001117D9"/>
    <w:rsid w:val="00112C8E"/>
    <w:rsid w:val="00112FF9"/>
    <w:rsid w:val="00124328"/>
    <w:rsid w:val="00125209"/>
    <w:rsid w:val="00126B7A"/>
    <w:rsid w:val="001333F4"/>
    <w:rsid w:val="001436C0"/>
    <w:rsid w:val="00144917"/>
    <w:rsid w:val="0015641B"/>
    <w:rsid w:val="001608FF"/>
    <w:rsid w:val="00162471"/>
    <w:rsid w:val="001671A9"/>
    <w:rsid w:val="00172259"/>
    <w:rsid w:val="00172674"/>
    <w:rsid w:val="00172700"/>
    <w:rsid w:val="00174BB5"/>
    <w:rsid w:val="0018388B"/>
    <w:rsid w:val="00184ADB"/>
    <w:rsid w:val="001903CB"/>
    <w:rsid w:val="00190BD9"/>
    <w:rsid w:val="001913B1"/>
    <w:rsid w:val="00191498"/>
    <w:rsid w:val="00191C86"/>
    <w:rsid w:val="0019543E"/>
    <w:rsid w:val="001A2648"/>
    <w:rsid w:val="001A2D0C"/>
    <w:rsid w:val="001A5FFB"/>
    <w:rsid w:val="001C6755"/>
    <w:rsid w:val="001E0F3B"/>
    <w:rsid w:val="001E20B1"/>
    <w:rsid w:val="001F0193"/>
    <w:rsid w:val="001F1E78"/>
    <w:rsid w:val="00200BA5"/>
    <w:rsid w:val="00202B81"/>
    <w:rsid w:val="002032E9"/>
    <w:rsid w:val="00205E29"/>
    <w:rsid w:val="002065D8"/>
    <w:rsid w:val="0021368F"/>
    <w:rsid w:val="0021730E"/>
    <w:rsid w:val="00217435"/>
    <w:rsid w:val="0022134E"/>
    <w:rsid w:val="00223286"/>
    <w:rsid w:val="0022376C"/>
    <w:rsid w:val="00225507"/>
    <w:rsid w:val="00227D3A"/>
    <w:rsid w:val="00234064"/>
    <w:rsid w:val="0024062B"/>
    <w:rsid w:val="0024597C"/>
    <w:rsid w:val="002472C0"/>
    <w:rsid w:val="00247DD6"/>
    <w:rsid w:val="002547C3"/>
    <w:rsid w:val="00260CCC"/>
    <w:rsid w:val="002654B4"/>
    <w:rsid w:val="00266772"/>
    <w:rsid w:val="00267805"/>
    <w:rsid w:val="00273777"/>
    <w:rsid w:val="00275682"/>
    <w:rsid w:val="00283270"/>
    <w:rsid w:val="00290935"/>
    <w:rsid w:val="00293F7E"/>
    <w:rsid w:val="002A23B0"/>
    <w:rsid w:val="002A6EC7"/>
    <w:rsid w:val="002B5FCF"/>
    <w:rsid w:val="002D0987"/>
    <w:rsid w:val="002D163D"/>
    <w:rsid w:val="002D295C"/>
    <w:rsid w:val="002E0970"/>
    <w:rsid w:val="002E1D1B"/>
    <w:rsid w:val="002E562A"/>
    <w:rsid w:val="002F0E75"/>
    <w:rsid w:val="002F232C"/>
    <w:rsid w:val="002F48D6"/>
    <w:rsid w:val="00304398"/>
    <w:rsid w:val="0030601B"/>
    <w:rsid w:val="00316D33"/>
    <w:rsid w:val="00317364"/>
    <w:rsid w:val="00320613"/>
    <w:rsid w:val="00321DC6"/>
    <w:rsid w:val="0032367C"/>
    <w:rsid w:val="00324040"/>
    <w:rsid w:val="003247EA"/>
    <w:rsid w:val="00324C57"/>
    <w:rsid w:val="003257F6"/>
    <w:rsid w:val="003259EE"/>
    <w:rsid w:val="0033011F"/>
    <w:rsid w:val="003333C4"/>
    <w:rsid w:val="00333886"/>
    <w:rsid w:val="00335934"/>
    <w:rsid w:val="00336CE4"/>
    <w:rsid w:val="00345533"/>
    <w:rsid w:val="00351D52"/>
    <w:rsid w:val="00352111"/>
    <w:rsid w:val="00352433"/>
    <w:rsid w:val="00352696"/>
    <w:rsid w:val="00353044"/>
    <w:rsid w:val="00355A8E"/>
    <w:rsid w:val="00355C52"/>
    <w:rsid w:val="003613FE"/>
    <w:rsid w:val="00367D0F"/>
    <w:rsid w:val="00371A9C"/>
    <w:rsid w:val="00381B91"/>
    <w:rsid w:val="00382177"/>
    <w:rsid w:val="003837B6"/>
    <w:rsid w:val="00390234"/>
    <w:rsid w:val="003937B8"/>
    <w:rsid w:val="003A2F1C"/>
    <w:rsid w:val="003A5A75"/>
    <w:rsid w:val="003B308A"/>
    <w:rsid w:val="003B31A1"/>
    <w:rsid w:val="003C4FD1"/>
    <w:rsid w:val="003D027F"/>
    <w:rsid w:val="003D1B54"/>
    <w:rsid w:val="003D370E"/>
    <w:rsid w:val="003E472A"/>
    <w:rsid w:val="003E47F0"/>
    <w:rsid w:val="003E5B38"/>
    <w:rsid w:val="003E773D"/>
    <w:rsid w:val="003E7944"/>
    <w:rsid w:val="003F108C"/>
    <w:rsid w:val="003F4A7F"/>
    <w:rsid w:val="003F6E89"/>
    <w:rsid w:val="00405443"/>
    <w:rsid w:val="00406DB0"/>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FB2"/>
    <w:rsid w:val="00473B65"/>
    <w:rsid w:val="00474A7E"/>
    <w:rsid w:val="00474B1B"/>
    <w:rsid w:val="004816AF"/>
    <w:rsid w:val="0048175E"/>
    <w:rsid w:val="0048541F"/>
    <w:rsid w:val="00491DC0"/>
    <w:rsid w:val="0049313F"/>
    <w:rsid w:val="004978F9"/>
    <w:rsid w:val="004A1210"/>
    <w:rsid w:val="004A2D52"/>
    <w:rsid w:val="004A32E6"/>
    <w:rsid w:val="004A5FD3"/>
    <w:rsid w:val="004B0E7F"/>
    <w:rsid w:val="004B108D"/>
    <w:rsid w:val="004B3F74"/>
    <w:rsid w:val="004B753E"/>
    <w:rsid w:val="004C25F7"/>
    <w:rsid w:val="004C330E"/>
    <w:rsid w:val="004C3FF2"/>
    <w:rsid w:val="004C62F9"/>
    <w:rsid w:val="004C723A"/>
    <w:rsid w:val="004D0F36"/>
    <w:rsid w:val="004D1128"/>
    <w:rsid w:val="004D2C99"/>
    <w:rsid w:val="004D3197"/>
    <w:rsid w:val="004D5700"/>
    <w:rsid w:val="004D74F2"/>
    <w:rsid w:val="004E0408"/>
    <w:rsid w:val="004E7EF1"/>
    <w:rsid w:val="004F003D"/>
    <w:rsid w:val="004F22EF"/>
    <w:rsid w:val="004F6C99"/>
    <w:rsid w:val="00502D97"/>
    <w:rsid w:val="005065E6"/>
    <w:rsid w:val="0051385E"/>
    <w:rsid w:val="005156F1"/>
    <w:rsid w:val="00516447"/>
    <w:rsid w:val="00516994"/>
    <w:rsid w:val="00521791"/>
    <w:rsid w:val="0052537F"/>
    <w:rsid w:val="00527A18"/>
    <w:rsid w:val="00527AD3"/>
    <w:rsid w:val="0053029A"/>
    <w:rsid w:val="00531F87"/>
    <w:rsid w:val="0053544D"/>
    <w:rsid w:val="00535A34"/>
    <w:rsid w:val="0054263B"/>
    <w:rsid w:val="00547D97"/>
    <w:rsid w:val="00550AFD"/>
    <w:rsid w:val="00555B52"/>
    <w:rsid w:val="00555BA5"/>
    <w:rsid w:val="00557FCC"/>
    <w:rsid w:val="005648EF"/>
    <w:rsid w:val="0057771F"/>
    <w:rsid w:val="005A22A6"/>
    <w:rsid w:val="005A7E19"/>
    <w:rsid w:val="005B27FE"/>
    <w:rsid w:val="005B3A78"/>
    <w:rsid w:val="005C56C9"/>
    <w:rsid w:val="005C5CCB"/>
    <w:rsid w:val="005D1AD3"/>
    <w:rsid w:val="005D1F16"/>
    <w:rsid w:val="005D3156"/>
    <w:rsid w:val="005E712D"/>
    <w:rsid w:val="005E7146"/>
    <w:rsid w:val="005F1017"/>
    <w:rsid w:val="005F19FD"/>
    <w:rsid w:val="005F2522"/>
    <w:rsid w:val="005F5A94"/>
    <w:rsid w:val="00601B58"/>
    <w:rsid w:val="006045D9"/>
    <w:rsid w:val="00604F03"/>
    <w:rsid w:val="006053F6"/>
    <w:rsid w:val="006248A0"/>
    <w:rsid w:val="00626757"/>
    <w:rsid w:val="006272FE"/>
    <w:rsid w:val="00631BFF"/>
    <w:rsid w:val="006353DF"/>
    <w:rsid w:val="00642649"/>
    <w:rsid w:val="006451C7"/>
    <w:rsid w:val="006454FD"/>
    <w:rsid w:val="006459DB"/>
    <w:rsid w:val="00647C5D"/>
    <w:rsid w:val="00647CC5"/>
    <w:rsid w:val="00651A64"/>
    <w:rsid w:val="00655FDA"/>
    <w:rsid w:val="00661D05"/>
    <w:rsid w:val="0066482C"/>
    <w:rsid w:val="006676DA"/>
    <w:rsid w:val="00672629"/>
    <w:rsid w:val="00675252"/>
    <w:rsid w:val="00676566"/>
    <w:rsid w:val="00681A2C"/>
    <w:rsid w:val="00682B93"/>
    <w:rsid w:val="0068336D"/>
    <w:rsid w:val="00683FA1"/>
    <w:rsid w:val="00685E76"/>
    <w:rsid w:val="00687304"/>
    <w:rsid w:val="00697DF2"/>
    <w:rsid w:val="006A1932"/>
    <w:rsid w:val="006A74B6"/>
    <w:rsid w:val="006B2344"/>
    <w:rsid w:val="006B2457"/>
    <w:rsid w:val="006B26D7"/>
    <w:rsid w:val="006B7995"/>
    <w:rsid w:val="006C5791"/>
    <w:rsid w:val="006D1D57"/>
    <w:rsid w:val="006D5DE4"/>
    <w:rsid w:val="006E0D06"/>
    <w:rsid w:val="006E1A5A"/>
    <w:rsid w:val="006E33D5"/>
    <w:rsid w:val="006E3575"/>
    <w:rsid w:val="006E62F0"/>
    <w:rsid w:val="006F590D"/>
    <w:rsid w:val="006F7581"/>
    <w:rsid w:val="006F7DC0"/>
    <w:rsid w:val="00702B5A"/>
    <w:rsid w:val="00703911"/>
    <w:rsid w:val="0070700B"/>
    <w:rsid w:val="0070752A"/>
    <w:rsid w:val="007119D8"/>
    <w:rsid w:val="0071225B"/>
    <w:rsid w:val="00713866"/>
    <w:rsid w:val="00716C9E"/>
    <w:rsid w:val="00720705"/>
    <w:rsid w:val="00721341"/>
    <w:rsid w:val="007216DA"/>
    <w:rsid w:val="00724230"/>
    <w:rsid w:val="00726E21"/>
    <w:rsid w:val="007340B5"/>
    <w:rsid w:val="00736474"/>
    <w:rsid w:val="00753103"/>
    <w:rsid w:val="007532AB"/>
    <w:rsid w:val="007532F7"/>
    <w:rsid w:val="00760809"/>
    <w:rsid w:val="00766F81"/>
    <w:rsid w:val="00770AB7"/>
    <w:rsid w:val="00770FFC"/>
    <w:rsid w:val="007760D1"/>
    <w:rsid w:val="0077696B"/>
    <w:rsid w:val="00777C59"/>
    <w:rsid w:val="00783F23"/>
    <w:rsid w:val="00785E7D"/>
    <w:rsid w:val="00787065"/>
    <w:rsid w:val="00792028"/>
    <w:rsid w:val="007A087B"/>
    <w:rsid w:val="007A3A0E"/>
    <w:rsid w:val="007A612E"/>
    <w:rsid w:val="007A6434"/>
    <w:rsid w:val="007B1633"/>
    <w:rsid w:val="007D0461"/>
    <w:rsid w:val="007D168F"/>
    <w:rsid w:val="007D198E"/>
    <w:rsid w:val="007D2BCE"/>
    <w:rsid w:val="007D39CC"/>
    <w:rsid w:val="007E1675"/>
    <w:rsid w:val="007E4729"/>
    <w:rsid w:val="007E7C7D"/>
    <w:rsid w:val="007F7129"/>
    <w:rsid w:val="00801691"/>
    <w:rsid w:val="00806282"/>
    <w:rsid w:val="00813A6B"/>
    <w:rsid w:val="0082168C"/>
    <w:rsid w:val="00826FD6"/>
    <w:rsid w:val="0083254A"/>
    <w:rsid w:val="0083264A"/>
    <w:rsid w:val="00832DB4"/>
    <w:rsid w:val="0083763B"/>
    <w:rsid w:val="00837F81"/>
    <w:rsid w:val="00845F81"/>
    <w:rsid w:val="00846B11"/>
    <w:rsid w:val="00850A48"/>
    <w:rsid w:val="00851A69"/>
    <w:rsid w:val="00853ECF"/>
    <w:rsid w:val="008557E1"/>
    <w:rsid w:val="0086735A"/>
    <w:rsid w:val="008703EF"/>
    <w:rsid w:val="00871AA8"/>
    <w:rsid w:val="00875064"/>
    <w:rsid w:val="008812A8"/>
    <w:rsid w:val="00881431"/>
    <w:rsid w:val="00883159"/>
    <w:rsid w:val="008857D3"/>
    <w:rsid w:val="008859AF"/>
    <w:rsid w:val="00891731"/>
    <w:rsid w:val="00891A22"/>
    <w:rsid w:val="00895065"/>
    <w:rsid w:val="008A1099"/>
    <w:rsid w:val="008A475A"/>
    <w:rsid w:val="008A6339"/>
    <w:rsid w:val="008A637B"/>
    <w:rsid w:val="008B1617"/>
    <w:rsid w:val="008B39B8"/>
    <w:rsid w:val="008C1739"/>
    <w:rsid w:val="008C4041"/>
    <w:rsid w:val="008C7F8F"/>
    <w:rsid w:val="008D1995"/>
    <w:rsid w:val="008D2D56"/>
    <w:rsid w:val="008D41E0"/>
    <w:rsid w:val="008D4A28"/>
    <w:rsid w:val="008D609F"/>
    <w:rsid w:val="008D7ECC"/>
    <w:rsid w:val="008E39FC"/>
    <w:rsid w:val="008E41F1"/>
    <w:rsid w:val="008E51AF"/>
    <w:rsid w:val="008F3AE7"/>
    <w:rsid w:val="008F4C42"/>
    <w:rsid w:val="008F746C"/>
    <w:rsid w:val="008F7C04"/>
    <w:rsid w:val="009007E8"/>
    <w:rsid w:val="009022AA"/>
    <w:rsid w:val="0090292A"/>
    <w:rsid w:val="00902A25"/>
    <w:rsid w:val="00906766"/>
    <w:rsid w:val="00914128"/>
    <w:rsid w:val="00930778"/>
    <w:rsid w:val="00932723"/>
    <w:rsid w:val="00934CAE"/>
    <w:rsid w:val="009355C5"/>
    <w:rsid w:val="00935DA8"/>
    <w:rsid w:val="00936D0A"/>
    <w:rsid w:val="00950692"/>
    <w:rsid w:val="00950960"/>
    <w:rsid w:val="00952BBB"/>
    <w:rsid w:val="0095709A"/>
    <w:rsid w:val="00957E71"/>
    <w:rsid w:val="00965404"/>
    <w:rsid w:val="009725D8"/>
    <w:rsid w:val="00973884"/>
    <w:rsid w:val="00986A4E"/>
    <w:rsid w:val="009902F2"/>
    <w:rsid w:val="009931B9"/>
    <w:rsid w:val="00995B5B"/>
    <w:rsid w:val="009A0224"/>
    <w:rsid w:val="009A5AA6"/>
    <w:rsid w:val="009B6746"/>
    <w:rsid w:val="009C0C3F"/>
    <w:rsid w:val="009D31CE"/>
    <w:rsid w:val="009D5D97"/>
    <w:rsid w:val="009E20C7"/>
    <w:rsid w:val="009E35C3"/>
    <w:rsid w:val="009E3DA4"/>
    <w:rsid w:val="009F581C"/>
    <w:rsid w:val="00A005E6"/>
    <w:rsid w:val="00A06ED6"/>
    <w:rsid w:val="00A073DD"/>
    <w:rsid w:val="00A10F3D"/>
    <w:rsid w:val="00A110C7"/>
    <w:rsid w:val="00A166F5"/>
    <w:rsid w:val="00A22F5A"/>
    <w:rsid w:val="00A36457"/>
    <w:rsid w:val="00A47119"/>
    <w:rsid w:val="00A50F20"/>
    <w:rsid w:val="00A575BC"/>
    <w:rsid w:val="00A57F9C"/>
    <w:rsid w:val="00A61589"/>
    <w:rsid w:val="00A62AFD"/>
    <w:rsid w:val="00A632A0"/>
    <w:rsid w:val="00A63D35"/>
    <w:rsid w:val="00A677E8"/>
    <w:rsid w:val="00A725B4"/>
    <w:rsid w:val="00A73AE6"/>
    <w:rsid w:val="00A73FC9"/>
    <w:rsid w:val="00A76271"/>
    <w:rsid w:val="00A76341"/>
    <w:rsid w:val="00A80C10"/>
    <w:rsid w:val="00A82D0A"/>
    <w:rsid w:val="00A85AAA"/>
    <w:rsid w:val="00A92C18"/>
    <w:rsid w:val="00AB18AB"/>
    <w:rsid w:val="00AB2019"/>
    <w:rsid w:val="00AB477F"/>
    <w:rsid w:val="00AB71A7"/>
    <w:rsid w:val="00AC646C"/>
    <w:rsid w:val="00AC78F7"/>
    <w:rsid w:val="00AD4B56"/>
    <w:rsid w:val="00AE1C04"/>
    <w:rsid w:val="00AE5F5A"/>
    <w:rsid w:val="00AF16D4"/>
    <w:rsid w:val="00AF40E1"/>
    <w:rsid w:val="00AF7D47"/>
    <w:rsid w:val="00B01305"/>
    <w:rsid w:val="00B0264D"/>
    <w:rsid w:val="00B14905"/>
    <w:rsid w:val="00B15998"/>
    <w:rsid w:val="00B32103"/>
    <w:rsid w:val="00B338E2"/>
    <w:rsid w:val="00B35185"/>
    <w:rsid w:val="00B37722"/>
    <w:rsid w:val="00B407E5"/>
    <w:rsid w:val="00B456F5"/>
    <w:rsid w:val="00B538B9"/>
    <w:rsid w:val="00B567C1"/>
    <w:rsid w:val="00B579DF"/>
    <w:rsid w:val="00B6275E"/>
    <w:rsid w:val="00B70D68"/>
    <w:rsid w:val="00B7181F"/>
    <w:rsid w:val="00B719C2"/>
    <w:rsid w:val="00B72D6B"/>
    <w:rsid w:val="00B73408"/>
    <w:rsid w:val="00B80D24"/>
    <w:rsid w:val="00B80FD1"/>
    <w:rsid w:val="00B83FB5"/>
    <w:rsid w:val="00B937E4"/>
    <w:rsid w:val="00B96786"/>
    <w:rsid w:val="00B97801"/>
    <w:rsid w:val="00BA2389"/>
    <w:rsid w:val="00BA27A8"/>
    <w:rsid w:val="00BA510E"/>
    <w:rsid w:val="00BB32CE"/>
    <w:rsid w:val="00BB344E"/>
    <w:rsid w:val="00BC29F9"/>
    <w:rsid w:val="00BC2AD1"/>
    <w:rsid w:val="00BC3545"/>
    <w:rsid w:val="00BC49BF"/>
    <w:rsid w:val="00BC60AE"/>
    <w:rsid w:val="00BC65EF"/>
    <w:rsid w:val="00BD7259"/>
    <w:rsid w:val="00BE2B09"/>
    <w:rsid w:val="00BE654D"/>
    <w:rsid w:val="00BE6634"/>
    <w:rsid w:val="00BF2361"/>
    <w:rsid w:val="00BF5DF3"/>
    <w:rsid w:val="00C018F8"/>
    <w:rsid w:val="00C0406C"/>
    <w:rsid w:val="00C10B57"/>
    <w:rsid w:val="00C15B88"/>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2D29"/>
    <w:rsid w:val="00C93B0B"/>
    <w:rsid w:val="00C94C5E"/>
    <w:rsid w:val="00C965F9"/>
    <w:rsid w:val="00CA41CC"/>
    <w:rsid w:val="00CA7EF2"/>
    <w:rsid w:val="00CB008B"/>
    <w:rsid w:val="00CC0502"/>
    <w:rsid w:val="00CC1AC8"/>
    <w:rsid w:val="00CC6A95"/>
    <w:rsid w:val="00CC7E17"/>
    <w:rsid w:val="00CD4A7D"/>
    <w:rsid w:val="00CE1F43"/>
    <w:rsid w:val="00CE2DF4"/>
    <w:rsid w:val="00CE48C8"/>
    <w:rsid w:val="00CE593D"/>
    <w:rsid w:val="00CF07F1"/>
    <w:rsid w:val="00CF7D11"/>
    <w:rsid w:val="00D00330"/>
    <w:rsid w:val="00D0050C"/>
    <w:rsid w:val="00D014AE"/>
    <w:rsid w:val="00D05926"/>
    <w:rsid w:val="00D06D8D"/>
    <w:rsid w:val="00D16901"/>
    <w:rsid w:val="00D21951"/>
    <w:rsid w:val="00D22D5F"/>
    <w:rsid w:val="00D23BD0"/>
    <w:rsid w:val="00D30894"/>
    <w:rsid w:val="00D333AA"/>
    <w:rsid w:val="00D347CA"/>
    <w:rsid w:val="00D50C3D"/>
    <w:rsid w:val="00D51E80"/>
    <w:rsid w:val="00D53848"/>
    <w:rsid w:val="00D53AC5"/>
    <w:rsid w:val="00D5484F"/>
    <w:rsid w:val="00D61559"/>
    <w:rsid w:val="00D6366B"/>
    <w:rsid w:val="00D7327C"/>
    <w:rsid w:val="00D7396C"/>
    <w:rsid w:val="00D8125F"/>
    <w:rsid w:val="00D82193"/>
    <w:rsid w:val="00D83251"/>
    <w:rsid w:val="00D90E67"/>
    <w:rsid w:val="00D93394"/>
    <w:rsid w:val="00D95B2C"/>
    <w:rsid w:val="00DA1796"/>
    <w:rsid w:val="00DA2814"/>
    <w:rsid w:val="00DA3650"/>
    <w:rsid w:val="00DB2C90"/>
    <w:rsid w:val="00DC0393"/>
    <w:rsid w:val="00DC63A9"/>
    <w:rsid w:val="00DC66A6"/>
    <w:rsid w:val="00DC7533"/>
    <w:rsid w:val="00DD5492"/>
    <w:rsid w:val="00DE0611"/>
    <w:rsid w:val="00DE0F51"/>
    <w:rsid w:val="00DE2930"/>
    <w:rsid w:val="00DF1CFE"/>
    <w:rsid w:val="00DF2CB7"/>
    <w:rsid w:val="00DF3BF1"/>
    <w:rsid w:val="00DF7595"/>
    <w:rsid w:val="00E007F8"/>
    <w:rsid w:val="00E0479A"/>
    <w:rsid w:val="00E048FF"/>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4C0C"/>
    <w:rsid w:val="00E7526A"/>
    <w:rsid w:val="00E767E4"/>
    <w:rsid w:val="00E82266"/>
    <w:rsid w:val="00E842CF"/>
    <w:rsid w:val="00E87248"/>
    <w:rsid w:val="00E87C31"/>
    <w:rsid w:val="00E87FFB"/>
    <w:rsid w:val="00E93068"/>
    <w:rsid w:val="00E95556"/>
    <w:rsid w:val="00E970B9"/>
    <w:rsid w:val="00EA32B8"/>
    <w:rsid w:val="00EA3B32"/>
    <w:rsid w:val="00EB1050"/>
    <w:rsid w:val="00EB113C"/>
    <w:rsid w:val="00EB132E"/>
    <w:rsid w:val="00EB5133"/>
    <w:rsid w:val="00EC16F4"/>
    <w:rsid w:val="00EC17E3"/>
    <w:rsid w:val="00EC3919"/>
    <w:rsid w:val="00EC7C98"/>
    <w:rsid w:val="00ED5E52"/>
    <w:rsid w:val="00ED6904"/>
    <w:rsid w:val="00ED7176"/>
    <w:rsid w:val="00ED75EA"/>
    <w:rsid w:val="00EE2F9A"/>
    <w:rsid w:val="00EF4043"/>
    <w:rsid w:val="00EF5096"/>
    <w:rsid w:val="00F022D4"/>
    <w:rsid w:val="00F062A4"/>
    <w:rsid w:val="00F06ADD"/>
    <w:rsid w:val="00F32AA4"/>
    <w:rsid w:val="00F360F7"/>
    <w:rsid w:val="00F40886"/>
    <w:rsid w:val="00F425A4"/>
    <w:rsid w:val="00F53A19"/>
    <w:rsid w:val="00F53AFD"/>
    <w:rsid w:val="00F573CF"/>
    <w:rsid w:val="00F57A28"/>
    <w:rsid w:val="00F57A2B"/>
    <w:rsid w:val="00F658E5"/>
    <w:rsid w:val="00F755B7"/>
    <w:rsid w:val="00F75F0D"/>
    <w:rsid w:val="00F764F4"/>
    <w:rsid w:val="00F821F8"/>
    <w:rsid w:val="00F8503C"/>
    <w:rsid w:val="00F86F49"/>
    <w:rsid w:val="00FA333E"/>
    <w:rsid w:val="00FA605C"/>
    <w:rsid w:val="00FA664D"/>
    <w:rsid w:val="00FA6AD7"/>
    <w:rsid w:val="00FA7B76"/>
    <w:rsid w:val="00FB29B2"/>
    <w:rsid w:val="00FB33C7"/>
    <w:rsid w:val="00FB3EF4"/>
    <w:rsid w:val="00FC4239"/>
    <w:rsid w:val="00FC4EC7"/>
    <w:rsid w:val="00FC544C"/>
    <w:rsid w:val="00FC7C13"/>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15:docId w15:val="{9AEEC96A-BFB3-4926-956F-A41E3884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E47F0"/>
    <w:rPr>
      <w:sz w:val="22"/>
      <w:szCs w:val="26"/>
    </w:rPr>
  </w:style>
  <w:style w:type="character" w:styleId="Emphasis">
    <w:name w:val="Emphasis"/>
    <w:basedOn w:val="DefaultParagraphFont"/>
    <w:uiPriority w:val="20"/>
    <w:qFormat/>
    <w:rsid w:val="0070700B"/>
    <w:rPr>
      <w:i/>
      <w:iCs/>
    </w:rPr>
  </w:style>
  <w:style w:type="paragraph" w:styleId="BodyText">
    <w:name w:val="Body Text"/>
    <w:basedOn w:val="Normal"/>
    <w:link w:val="BodyTextChar"/>
    <w:uiPriority w:val="99"/>
    <w:semiHidden/>
    <w:unhideWhenUsed/>
    <w:rsid w:val="00F821F8"/>
    <w:pPr>
      <w:spacing w:after="120"/>
    </w:pPr>
  </w:style>
  <w:style w:type="character" w:customStyle="1" w:styleId="BodyTextChar">
    <w:name w:val="Body Text Char"/>
    <w:basedOn w:val="DefaultParagraphFont"/>
    <w:link w:val="BodyText"/>
    <w:uiPriority w:val="99"/>
    <w:semiHidden/>
    <w:rsid w:val="00F821F8"/>
    <w:rPr>
      <w:sz w:val="22"/>
      <w:szCs w:val="26"/>
    </w:rPr>
  </w:style>
  <w:style w:type="character" w:styleId="UnresolvedMention">
    <w:name w:val="Unresolved Mention"/>
    <w:basedOn w:val="DefaultParagraphFont"/>
    <w:uiPriority w:val="99"/>
    <w:semiHidden/>
    <w:unhideWhenUsed/>
    <w:rsid w:val="0038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6959-FDDA-49E8-8F51-C83D5EB0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37377</Words>
  <Characters>213052</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3</cp:revision>
  <dcterms:created xsi:type="dcterms:W3CDTF">2024-02-29T21:27:00Z</dcterms:created>
  <dcterms:modified xsi:type="dcterms:W3CDTF">2024-02-29T21:28:00Z</dcterms:modified>
</cp:coreProperties>
</file>