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80E7" w14:textId="77777777" w:rsidR="007A65D1" w:rsidRDefault="007A65D1" w:rsidP="007A65D1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AE7743">
        <w:rPr>
          <w:rStyle w:val="fontstyle01"/>
          <w:rFonts w:ascii="Times New Roman" w:hAnsi="Times New Roman" w:cs="Times New Roman"/>
          <w:sz w:val="24"/>
          <w:szCs w:val="24"/>
        </w:rPr>
        <w:t>DIST</w:t>
      </w:r>
      <w:r w:rsidRPr="00686725">
        <w:rPr>
          <w:rStyle w:val="fontstyle01"/>
          <w:rFonts w:ascii="Times New Roman" w:hAnsi="Times New Roman" w:cs="Times New Roman"/>
          <w:sz w:val="24"/>
          <w:szCs w:val="24"/>
        </w:rPr>
        <w:t>RICT COURT, WATER DIVISION 3, STATE OF COLORADO</w:t>
      </w:r>
      <w:r w:rsidRPr="0068672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86725">
        <w:rPr>
          <w:rStyle w:val="fontstyle01"/>
          <w:rFonts w:ascii="Times New Roman" w:hAnsi="Times New Roman" w:cs="Times New Roman"/>
          <w:sz w:val="24"/>
          <w:szCs w:val="24"/>
        </w:rPr>
        <w:t>TO: ALL PERSONS INTERESTED IN WATER APPLICATIONS FILED IN</w:t>
      </w:r>
      <w:r w:rsidRPr="0068672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86725">
        <w:rPr>
          <w:rStyle w:val="fontstyle01"/>
          <w:rFonts w:ascii="Times New Roman" w:hAnsi="Times New Roman" w:cs="Times New Roman"/>
          <w:sz w:val="24"/>
          <w:szCs w:val="24"/>
        </w:rPr>
        <w:t>WATER DIVISION 3.</w:t>
      </w:r>
    </w:p>
    <w:p w14:paraId="281FBF7D" w14:textId="77777777" w:rsidR="007A65D1" w:rsidRDefault="007A65D1" w:rsidP="007A65D1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686725">
        <w:rPr>
          <w:rStyle w:val="fontstyle01"/>
          <w:rFonts w:ascii="Times New Roman" w:hAnsi="Times New Roman" w:cs="Times New Roman"/>
          <w:sz w:val="24"/>
          <w:szCs w:val="24"/>
        </w:rPr>
        <w:t>Pursuant to C.R.S. 37-92-302(3), you are notified that the following is a resume in</w:t>
      </w:r>
      <w:r w:rsidRPr="0068672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86725">
        <w:rPr>
          <w:rStyle w:val="fontstyle01"/>
          <w:rFonts w:ascii="Times New Roman" w:hAnsi="Times New Roman" w:cs="Times New Roman"/>
          <w:sz w:val="24"/>
          <w:szCs w:val="24"/>
        </w:rPr>
        <w:t>Water Division 3, containing notice of applications and certain amendments filed in the</w:t>
      </w:r>
      <w:r w:rsidRPr="0068672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86725">
        <w:rPr>
          <w:rStyle w:val="fontstyle01"/>
          <w:rFonts w:ascii="Times New Roman" w:hAnsi="Times New Roman" w:cs="Times New Roman"/>
          <w:sz w:val="24"/>
          <w:szCs w:val="24"/>
        </w:rPr>
        <w:t xml:space="preserve">office of the Water Clerk during the month of </w:t>
      </w:r>
      <w:r>
        <w:rPr>
          <w:rStyle w:val="fontstyle01"/>
          <w:rFonts w:ascii="Times New Roman" w:hAnsi="Times New Roman" w:cs="Times New Roman"/>
          <w:sz w:val="24"/>
          <w:szCs w:val="24"/>
        </w:rPr>
        <w:t>January 2024</w:t>
      </w:r>
      <w:r w:rsidRPr="00686725">
        <w:rPr>
          <w:rStyle w:val="fontstyle01"/>
          <w:rFonts w:ascii="Times New Roman" w:hAnsi="Times New Roman" w:cs="Times New Roman"/>
          <w:sz w:val="24"/>
          <w:szCs w:val="24"/>
        </w:rPr>
        <w:t xml:space="preserve"> for each county affected.</w:t>
      </w:r>
    </w:p>
    <w:p w14:paraId="6501E045" w14:textId="77777777" w:rsidR="007A65D1" w:rsidRDefault="007A65D1" w:rsidP="007A65D1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4832957F" w14:textId="090B8FCA" w:rsidR="00806432" w:rsidRPr="00806432" w:rsidRDefault="007A65D1" w:rsidP="00806432">
      <w:pPr>
        <w:rPr>
          <w:rFonts w:ascii="Times New Roman" w:hAnsi="Times New Roman" w:cs="Times New Roman"/>
          <w:kern w:val="0"/>
          <w:sz w:val="13"/>
          <w:szCs w:val="13"/>
        </w:rPr>
      </w:pPr>
      <w:r w:rsidRPr="005914E1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024CW1: Price Heritage, LLC, 48065 CR C Center, CO 81125, </w:t>
      </w:r>
      <w:hyperlink r:id="rId4" w:history="1">
        <w:r w:rsidRPr="004C7E4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andrew@pricefarmsllc.com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, 719-849-3281. Amended Application for Change of Water Right in Alamosa County. </w:t>
      </w:r>
      <w:r>
        <w:rPr>
          <w:rFonts w:ascii="Times New Roman" w:hAnsi="Times New Roman" w:cs="Times New Roman"/>
          <w:sz w:val="24"/>
          <w:szCs w:val="24"/>
        </w:rPr>
        <w:t xml:space="preserve">Decreed water right for which change is </w:t>
      </w:r>
      <w:proofErr w:type="gramStart"/>
      <w:r>
        <w:rPr>
          <w:rFonts w:ascii="Times New Roman" w:hAnsi="Times New Roman" w:cs="Times New Roman"/>
          <w:sz w:val="24"/>
          <w:szCs w:val="24"/>
        </w:rPr>
        <w:t>sought: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 of structure: Well No. 5, Case No. 2005CW20, WDID 2705719. Permit No. 84665-F This well was originally decreed in Case No. W-791 as Well No.5 Date of original and all relevant subsequent decrees: January 9, 1975 (Case No. W-791) and January 30, 2008 (case No. 2005CW20) Legal description of structure as described in most recent decree that adjudicated the location: SW1/4 SW1/4 Section 20, Township 41 North, Range 8 East, NMPM, in Saguache County, Colorado, at a point 660 feet from the South Section line and 150 feet from the West Section Line. Decreed source of water: Unconfined Aquifer of the Closed Basin. The depth of the well is 115 feet with 95 feet of perforated casing. Appropriation Date: December 31, 1953.Total amount decreed to structure in gallons per minute: Absolute 15 GPM for Commercial Use Absolute 1, 985 GPM for Irrigation Use Decreed use or uses: Evaporative cooling, washing, and humidification of potatoes in a storage facility and irrigation of not more than 148 acres within the SW1/4 Section 20,</w:t>
      </w:r>
      <w:r w:rsidRPr="007A65D1">
        <w:rPr>
          <w:rFonts w:ascii="Arial" w:hAnsi="Arial" w:cs="Arial"/>
          <w:color w:val="000000"/>
          <w:sz w:val="20"/>
          <w:szCs w:val="20"/>
        </w:rPr>
        <w:t xml:space="preserve"> 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>Township 41 North, Range 8 East, NMPM.</w:t>
      </w:r>
      <w:r w:rsidRPr="007A65D1">
        <w:rPr>
          <w:rFonts w:ascii="Arial" w:hAnsi="Arial" w:cs="Arial"/>
          <w:color w:val="000000"/>
        </w:rPr>
        <w:t xml:space="preserve"> 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>Amount of water that Applicant intends to change: Absolute 15 GPM Commercial - Humidification.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 xml:space="preserve">Maximum volume. 2.24-acre feet. (See below). Applicant will commit </w:t>
      </w:r>
      <w:proofErr w:type="gramStart"/>
      <w:r w:rsidRPr="007A65D1">
        <w:rPr>
          <w:rFonts w:ascii="Times New Roman" w:hAnsi="Times New Roman" w:cs="Times New Roman"/>
          <w:color w:val="000000"/>
          <w:sz w:val="24"/>
          <w:szCs w:val="24"/>
        </w:rPr>
        <w:t>a sufficient amount of</w:t>
      </w:r>
      <w:proofErr w:type="gramEnd"/>
      <w:r w:rsidRPr="007A65D1">
        <w:rPr>
          <w:rFonts w:ascii="Times New Roman" w:hAnsi="Times New Roman" w:cs="Times New Roman"/>
          <w:color w:val="000000"/>
          <w:sz w:val="24"/>
          <w:szCs w:val="24"/>
        </w:rPr>
        <w:t xml:space="preserve"> flowrate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>annual appropriation from Well No. 5 to effectuate this requested change of water right.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>Name of Structure: Well No. 4, Case No. W-791, WDID 2705391, Permit Number 1390-R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>Date of original and all relevant and subsequent decrees: January 9, 1975.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>Legal description of structure as described in the most recent decree that adjudicated the location: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>SW</w:t>
      </w:r>
      <w:r>
        <w:rPr>
          <w:rFonts w:ascii="Times New Roman" w:hAnsi="Times New Roman" w:cs="Times New Roman"/>
          <w:color w:val="000000"/>
          <w:sz w:val="24"/>
          <w:szCs w:val="24"/>
        </w:rPr>
        <w:t>1/4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 xml:space="preserve"> SW1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>4 Section 20, Township 41 North, Range 8 East, NMPM, in Saguache County, Colorado, at a point 40 feet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>from the South Section line and 150 feet from the West Section Line.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>Decreed source of water. Unconfined Aquifer of the Closed Basin. The depth of the well is 104 feet with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>84 feet of perforated casing.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>Appropriation Date: December 31, 1948.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>Total amount decreed to structure in gallons per minute: 2,100 GPM Absolute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>Decree use or uses: Irrigation of SW</w:t>
      </w:r>
      <w:r>
        <w:rPr>
          <w:rFonts w:ascii="Times New Roman" w:hAnsi="Times New Roman" w:cs="Times New Roman"/>
          <w:color w:val="000000"/>
          <w:sz w:val="24"/>
          <w:szCs w:val="24"/>
        </w:rPr>
        <w:t>1/4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 xml:space="preserve"> of Section 20, Township 41 North, Range 8 East, NMPM.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>Amount of water Applicant intends to change: That amount necessary to effectuate the requested change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>water right. However, this is not the primary well involved in the change of water rights. Well No. 4 is 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>additional irrigation well located on the SW</w:t>
      </w:r>
      <w:r>
        <w:rPr>
          <w:rFonts w:ascii="Times New Roman" w:hAnsi="Times New Roman" w:cs="Times New Roman"/>
          <w:color w:val="000000"/>
          <w:sz w:val="24"/>
          <w:szCs w:val="24"/>
        </w:rPr>
        <w:t>1/4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 xml:space="preserve"> Section 20, Township 41 North, Range 8 East, NMPM that was not a part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>of Case No. 2005CW20.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>Name of Structure: Well No. 5-A, Case No. 2005CW20, WDID 2706276, Permit Number 23496-F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>Date of original and all relevant and subsequent decrees. January 8, 2008.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 xml:space="preserve"> Legal description of structure as described in the most recent decree that adjudicated the location: SW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1/4 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>SW</w:t>
      </w:r>
      <w:r>
        <w:rPr>
          <w:rFonts w:ascii="Times New Roman" w:hAnsi="Times New Roman" w:cs="Times New Roman"/>
          <w:color w:val="000000"/>
          <w:sz w:val="24"/>
          <w:szCs w:val="24"/>
        </w:rPr>
        <w:t>1/4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 xml:space="preserve"> of Section 20, Township 41 North, Range 8 East, NMPM, at a point 1310 feet from the South section line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>and 1310 feet from the West section line.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>Decreed source of water: Unconfined Aquifer of the Closed Basin. The depth of the well is 91 feet with 61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>feet of perforated casing.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lastRenderedPageBreak/>
        <w:t>Appropriation Date: December 31, 1953.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>Total amount decreed to structure in gallons per minute: 1,000 GPM Absolute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>Decree use or uses: Irrigation of the SW</w:t>
      </w:r>
      <w:r>
        <w:rPr>
          <w:rFonts w:ascii="Times New Roman" w:hAnsi="Times New Roman" w:cs="Times New Roman"/>
          <w:color w:val="000000"/>
          <w:sz w:val="24"/>
          <w:szCs w:val="24"/>
        </w:rPr>
        <w:t>1/4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 xml:space="preserve"> of Section 20,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>ownship 41 North, Range 8 East, NMPM.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 xml:space="preserve">Amount of water Applicant intends to change: That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>mount necessary to effectuate the requested change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>water right. However, this is not the primary well involved in the change of water rights. Well No. 5-A is located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>at the center of the quarter section and is a water supply for the center pivot sprinkler.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5D1">
        <w:rPr>
          <w:rFonts w:ascii="Times New Roman" w:hAnsi="Times New Roman" w:cs="Times New Roman"/>
          <w:color w:val="000000"/>
          <w:sz w:val="24"/>
          <w:szCs w:val="24"/>
        </w:rPr>
        <w:t>Detailed description of proposed change: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5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A. Applicant requests 15 </w:t>
      </w:r>
      <w:proofErr w:type="spellStart"/>
      <w:r w:rsidRPr="007A65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gpm</w:t>
      </w:r>
      <w:proofErr w:type="spellEnd"/>
      <w:r w:rsidRPr="007A65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decreed as commercial use water in Case No. 2005CW20 be increased to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7A65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allow </w:t>
      </w:r>
      <w:proofErr w:type="gramStart"/>
      <w:r w:rsidRPr="007A65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2.243 acre</w:t>
      </w:r>
      <w:proofErr w:type="gramEnd"/>
      <w:r w:rsidRPr="007A65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feet of annual consumptive use. To increase the annual appropriation from Well No.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7A65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5 for commercial use, seven (7) acres of land historically subject to irrigation by Well No. 5 and Well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7A65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No. 5-A, will be permanently dried up from groundwater irrigation. Well No. 5, WDID 2705719 to be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7A65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used for commercial purposes for:</w:t>
      </w:r>
      <w:r w:rsidRPr="007A65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  <w:t>&gt; One Potato Storage Facility, which stores up to 300,000 cwt of potatoes.</w:t>
      </w:r>
      <w:r w:rsidRPr="007A65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  <w:t>&gt; Equipment washing.</w:t>
      </w:r>
      <w:r w:rsidRPr="007A65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  <w:t>&gt; One bathroom.</w:t>
      </w:r>
      <w:r w:rsidRPr="007A65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  <w:t>&gt; Landscaping up to 0.25 acres.</w:t>
      </w:r>
      <w:r w:rsidRPr="007A65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  <w:t>B. The applicant will designate a portion of its irrigated land (Field 2) to be changed from irrigation of land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7A65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to “dry up” so the subject well can be further decreed for additional commercial use.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7A65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C. The Estimated Water Usage Needed.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618F1D64" w14:textId="1B97ED23" w:rsidR="00806432" w:rsidRPr="00806432" w:rsidRDefault="00806432" w:rsidP="0080643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kern w:val="0"/>
          <w:sz w:val="20"/>
          <w:szCs w:val="20"/>
        </w:rPr>
      </w:pPr>
      <w:r w:rsidRPr="00806432">
        <w:rPr>
          <w:rFonts w:ascii="Times New Roman" w:hAnsi="Times New Roman" w:cs="Times New Roman"/>
          <w:noProof/>
          <w:kern w:val="0"/>
          <w:sz w:val="20"/>
          <w:szCs w:val="20"/>
        </w:rPr>
        <w:drawing>
          <wp:inline distT="0" distB="0" distL="0" distR="0" wp14:anchorId="548C8AB5" wp14:editId="6BA9B841">
            <wp:extent cx="3977640" cy="944880"/>
            <wp:effectExtent l="0" t="0" r="3810" b="7620"/>
            <wp:docPr id="923721989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721989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76BE8" w14:textId="629AF80E" w:rsidR="00806432" w:rsidRPr="00806432" w:rsidRDefault="00806432" w:rsidP="00806432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  <w:r w:rsidRPr="00806432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6DBF076B" wp14:editId="2F9AD99C">
                <wp:simplePos x="0" y="0"/>
                <wp:positionH relativeFrom="page">
                  <wp:posOffset>2209800</wp:posOffset>
                </wp:positionH>
                <wp:positionV relativeFrom="paragraph">
                  <wp:posOffset>105410</wp:posOffset>
                </wp:positionV>
                <wp:extent cx="3238500" cy="152400"/>
                <wp:effectExtent l="0" t="635" r="0" b="0"/>
                <wp:wrapTopAndBottom/>
                <wp:docPr id="80358030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7E234" w14:textId="07EE7B4D" w:rsidR="00806432" w:rsidRDefault="00806432" w:rsidP="00806432">
                            <w:pPr>
                              <w:spacing w:line="24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B21EE4" wp14:editId="120FEC72">
                                  <wp:extent cx="3276600" cy="152400"/>
                                  <wp:effectExtent l="0" t="0" r="0" b="0"/>
                                  <wp:docPr id="141276231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8DA269" w14:textId="77777777" w:rsidR="00806432" w:rsidRDefault="00806432" w:rsidP="00806432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F076B" id="Rectangle 3" o:spid="_x0000_s1026" style="position:absolute;margin-left:174pt;margin-top:8.3pt;width:255pt;height:12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" o:allowincell="f" filled="f" stroked="f">
                <v:textbox inset="0,0,0,0">
                  <w:txbxContent>
                    <w:p w14:paraId="0257E234" w14:textId="07EE7B4D" w:rsidR="00806432" w:rsidRDefault="00806432" w:rsidP="00806432">
                      <w:pPr>
                        <w:spacing w:line="24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B21EE4" wp14:editId="120FEC72">
                            <wp:extent cx="3276600" cy="152400"/>
                            <wp:effectExtent l="0" t="0" r="0" b="0"/>
                            <wp:docPr id="141276231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8DA269" w14:textId="77777777" w:rsidR="00806432" w:rsidRDefault="00806432" w:rsidP="00806432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1405B5D0" w14:textId="50D8B396" w:rsidR="007A65D1" w:rsidRDefault="007A65D1" w:rsidP="00806432">
      <w:pPr>
        <w:rPr>
          <w:rFonts w:ascii="Times New Roman" w:hAnsi="Times New Roman" w:cs="Times New Roman"/>
          <w:sz w:val="24"/>
          <w:szCs w:val="24"/>
        </w:rPr>
      </w:pPr>
      <w:r w:rsidRPr="007A65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  <w:t>Well No. 5, Case No. W-791 (as modified by Case No. 2005CW20) will be used for the above</w:t>
      </w:r>
      <w:r w:rsidRPr="007A65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  <w:t>commercial uses. It will also be used in combination with Well No. 4, Case No. W-791 and Well No. 5-</w:t>
      </w:r>
      <w:r w:rsidR="008064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7A65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A, Case No. 2005CW20 for irrigation of the SW14 Section 20, Township 41 North, Range 8 East,</w:t>
      </w:r>
      <w:r w:rsidR="008064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7A65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NMPM. A total of 15 </w:t>
      </w:r>
      <w:proofErr w:type="spellStart"/>
      <w:r w:rsidRPr="007A65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gpm</w:t>
      </w:r>
      <w:proofErr w:type="spellEnd"/>
      <w:r w:rsidRPr="007A65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was removed from the </w:t>
      </w:r>
      <w:proofErr w:type="gramStart"/>
      <w:r w:rsidRPr="007A65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2,000 </w:t>
      </w:r>
      <w:proofErr w:type="spellStart"/>
      <w:r w:rsidRPr="007A65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gpm</w:t>
      </w:r>
      <w:proofErr w:type="spellEnd"/>
      <w:proofErr w:type="gramEnd"/>
      <w:r w:rsidRPr="007A65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decreed to Well No. 5 in Case No.</w:t>
      </w:r>
      <w:r w:rsidR="008064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7A65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2005CW20. The subject well has already become a non-exempt well structure with partial year-round</w:t>
      </w:r>
      <w:r w:rsidR="008064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7A65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commercial use under the decree for 2005CW20. The well will subject to the Rules Governing the</w:t>
      </w:r>
      <w:r w:rsidR="008064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7A65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Withdrawal of Groundwater in Water Division No. 3. (The Rio Grande Basin) as finalized in Case No.</w:t>
      </w:r>
      <w:r w:rsidR="008064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7A65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15CW3024.</w:t>
      </w:r>
      <w:r w:rsidR="008064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7A65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E. In the original Case No. 2005CW20, the subject well was set up to provide humidification and storage</w:t>
      </w:r>
      <w:r w:rsidR="008064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7A65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of 100,000 cwt of potatoes. The total decreed volume for commercial use is 0.70 AF for commercial</w:t>
      </w:r>
      <w:r w:rsidR="008064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7A65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use. Since that time, the Applicant has expanded the storage facility to 300,000 cwt capacity. This</w:t>
      </w:r>
      <w:r w:rsidR="008064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7A65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application seeks to modify / increase the commercial use of Well No. 5 for commercial use via</w:t>
      </w:r>
      <w:r w:rsidR="008064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7A65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additional dry up of land historically irrigated with Well Nos. 4, 5, and 5-A</w:t>
      </w:r>
      <w:r w:rsidR="008064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  <w:r w:rsidR="00834512" w:rsidRPr="00834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4512">
        <w:rPr>
          <w:rFonts w:ascii="Times New Roman" w:hAnsi="Times New Roman" w:cs="Times New Roman"/>
          <w:color w:val="000000"/>
          <w:sz w:val="24"/>
          <w:szCs w:val="24"/>
        </w:rPr>
        <w:t xml:space="preserve">Name and address of reputed owner: </w:t>
      </w:r>
      <w:r w:rsidR="008345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7440C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834512" w:rsidRPr="00834512">
        <w:rPr>
          <w:rFonts w:ascii="Times New Roman" w:hAnsi="Times New Roman" w:cs="Times New Roman"/>
          <w:sz w:val="24"/>
          <w:szCs w:val="24"/>
        </w:rPr>
        <w:t>Price Heritage, LLC, 48065 CR C Center, CO 81125</w:t>
      </w:r>
    </w:p>
    <w:p w14:paraId="111B1DC5" w14:textId="77777777" w:rsidR="009D01B4" w:rsidRPr="00FF11C0" w:rsidRDefault="009D01B4" w:rsidP="009D01B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71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1671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1671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Crestone View Farms, LLC; 4575 Highway 285 Center, CO 81125; </w:t>
      </w:r>
      <w:hyperlink r:id="rId7" w:history="1">
        <w:r w:rsidRPr="0033405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terrygood.hvh@gmail.com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719-850-1143. Application for Change of Water Right in Saguache County. 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>Determination of legal use of Well No. 3, Case No. W-239, Permit No. 2232-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lastRenderedPageBreak/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 xml:space="preserve">Decreed water right for which change is </w:t>
      </w:r>
      <w:proofErr w:type="gramStart"/>
      <w:r w:rsidRPr="008D304D">
        <w:rPr>
          <w:rFonts w:ascii="Times New Roman" w:hAnsi="Times New Roman" w:cs="Times New Roman"/>
          <w:color w:val="000000"/>
          <w:sz w:val="24"/>
          <w:szCs w:val="24"/>
        </w:rPr>
        <w:t>sought: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>Name of structure: Well No. 3, Case No. W-239, Permit No. 2232-F, WDID 2705644 (Well No. 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>Date of original and all relevant subsequent decrees: August 8, 1974, Case No: W-239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>Court: District Court, Water Division No.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>Legal description of structure: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>SW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1/4 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z w:val="24"/>
          <w:szCs w:val="24"/>
        </w:rPr>
        <w:t>1/4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 xml:space="preserve"> Section 8, Township 41 North, Range 8 East, NMPM at a point 2624 feet from the North section line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>and 2615 feet from the East section line in Saguache County Colorado.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>Decreed source of water: Unconfined Aquifer (well is 74 feet deep with plain casing to 20 feet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>perforated from 10 feet to 74 feet).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>Appropriation Date: July 5, 1959</w:t>
      </w:r>
      <w:r>
        <w:rPr>
          <w:rFonts w:ascii="Times New Roman" w:hAnsi="Times New Roman" w:cs="Times New Roman"/>
          <w:color w:val="000000"/>
          <w:sz w:val="24"/>
          <w:szCs w:val="24"/>
        </w:rPr>
        <w:t>. T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 xml:space="preserve">otal amount decreed to structure: 1400 </w:t>
      </w:r>
      <w:proofErr w:type="spellStart"/>
      <w:r w:rsidRPr="008D304D">
        <w:rPr>
          <w:rFonts w:ascii="Times New Roman" w:hAnsi="Times New Roman" w:cs="Times New Roman"/>
          <w:color w:val="000000"/>
          <w:sz w:val="24"/>
          <w:szCs w:val="24"/>
        </w:rPr>
        <w:t>gpm</w:t>
      </w:r>
      <w:proofErr w:type="spellEnd"/>
      <w:r w:rsidRPr="008D304D">
        <w:rPr>
          <w:rFonts w:ascii="Times New Roman" w:hAnsi="Times New Roman" w:cs="Times New Roman"/>
          <w:color w:val="000000"/>
          <w:sz w:val="24"/>
          <w:szCs w:val="24"/>
        </w:rPr>
        <w:t xml:space="preserve"> = 3.12 </w:t>
      </w:r>
      <w:proofErr w:type="spellStart"/>
      <w:r w:rsidRPr="008D304D">
        <w:rPr>
          <w:rFonts w:ascii="Times New Roman" w:hAnsi="Times New Roman" w:cs="Times New Roman"/>
          <w:color w:val="000000"/>
          <w:sz w:val="24"/>
          <w:szCs w:val="24"/>
        </w:rPr>
        <w:t>cfs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>Decreed use or uses: Irrigation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 xml:space="preserve">Amount of water that applicant intends to change: 1400 </w:t>
      </w:r>
      <w:proofErr w:type="spellStart"/>
      <w:r w:rsidRPr="008D304D">
        <w:rPr>
          <w:rFonts w:ascii="Times New Roman" w:hAnsi="Times New Roman" w:cs="Times New Roman"/>
          <w:color w:val="000000"/>
          <w:sz w:val="24"/>
          <w:szCs w:val="24"/>
        </w:rPr>
        <w:t>gpm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>Detailed description of proposed change: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>Applicant seeks a Court Determination that Well No. 3 can be legally used to irrigate the entire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z w:val="24"/>
          <w:szCs w:val="24"/>
        </w:rPr>
        <w:t>1/4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 xml:space="preserve"> Section 8, Township 41 North, Range 8 East, NMPM.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>Well No. 3 is one of three irrigation wells that have historically served for irrigation of the 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1/4 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>Section 8, Township 41 North, Range 8 East, NMPM. The other two wells are: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 xml:space="preserve">Well No. 1, Case No. W-239, Permit No. 1302-R, WDID 2705436, 1800 </w:t>
      </w:r>
      <w:proofErr w:type="spellStart"/>
      <w:r w:rsidRPr="008D304D">
        <w:rPr>
          <w:rFonts w:ascii="Times New Roman" w:hAnsi="Times New Roman" w:cs="Times New Roman"/>
          <w:color w:val="000000"/>
          <w:sz w:val="24"/>
          <w:szCs w:val="24"/>
        </w:rPr>
        <w:t>gpm</w:t>
      </w:r>
      <w:proofErr w:type="spellEnd"/>
      <w:r w:rsidRPr="008D304D">
        <w:rPr>
          <w:rFonts w:ascii="Times New Roman" w:hAnsi="Times New Roman" w:cs="Times New Roman"/>
          <w:color w:val="000000"/>
          <w:sz w:val="24"/>
          <w:szCs w:val="24"/>
        </w:rPr>
        <w:t>, 1949, (Well No. 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 xml:space="preserve">Well No. 2, Case No. W-239, Permit No. 1303-R, WDID 2705437, 800 </w:t>
      </w:r>
      <w:proofErr w:type="spellStart"/>
      <w:r w:rsidRPr="008D304D">
        <w:rPr>
          <w:rFonts w:ascii="Times New Roman" w:hAnsi="Times New Roman" w:cs="Times New Roman"/>
          <w:color w:val="000000"/>
          <w:sz w:val="24"/>
          <w:szCs w:val="24"/>
        </w:rPr>
        <w:t>gpm</w:t>
      </w:r>
      <w:proofErr w:type="spellEnd"/>
      <w:r w:rsidRPr="008D304D">
        <w:rPr>
          <w:rFonts w:ascii="Times New Roman" w:hAnsi="Times New Roman" w:cs="Times New Roman"/>
          <w:color w:val="000000"/>
          <w:sz w:val="24"/>
          <w:szCs w:val="24"/>
        </w:rPr>
        <w:t>, 1953, (Well No. 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>The decree for Well No. 3 did not specify an area of use (copy of decree attached).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>application to Water Court for Well No. 3 stated, “This is an old well and has always been used 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>irrigation”. The same is true for the applications for Well Nos. 1 and 2. The well permit for Well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>No. 3 stated the use was to be irrigation on/at the NE</w:t>
      </w:r>
      <w:r>
        <w:rPr>
          <w:rFonts w:ascii="Times New Roman" w:hAnsi="Times New Roman" w:cs="Times New Roman"/>
          <w:color w:val="000000"/>
          <w:sz w:val="24"/>
          <w:szCs w:val="24"/>
        </w:rPr>
        <w:t>1/4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 xml:space="preserve"> Section 8, Township 41 North, Range 8 East,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>NMPM. However, the total acreage irrigated was listed as “80 acres” on the 2232-F well permit. The late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>registrations of Well Nos. 1 (1302-R) and 2 (1303-R) both clearly state the purpose of the wells was irrigation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>of the entire NE</w:t>
      </w:r>
      <w:r>
        <w:rPr>
          <w:rFonts w:ascii="Times New Roman" w:hAnsi="Times New Roman" w:cs="Times New Roman"/>
          <w:color w:val="000000"/>
          <w:sz w:val="24"/>
          <w:szCs w:val="24"/>
        </w:rPr>
        <w:t>1/4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 xml:space="preserve"> Section 8, Township 41 North, Range 8 East, NMPM. Well nos. 1 and 2 pre-dated Well No.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>3. Well nos. 1 and 2 were clearly appropriated to irrigate the NE% Section 8, Township 41 North, Range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 xml:space="preserve">East, NMPM. When drilled in 1959, the 2232-F Log and History for Well No. 3 stated irrigation use 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“NE1/4 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>Section 8, Township 41 North, Range 8 East, NMPM”.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>Applicant needs to connect Well No. 3 as an additional water supply to the sprinkler as the production from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>Well No. 1 has declined. The Division of Water Resources will not approve the use of Well No. 3 as a legal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 xml:space="preserve">water source </w:t>
      </w:r>
      <w:proofErr w:type="gramStart"/>
      <w:r w:rsidRPr="008D304D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 w:rsidRPr="008D304D">
        <w:rPr>
          <w:rFonts w:ascii="Times New Roman" w:hAnsi="Times New Roman" w:cs="Times New Roman"/>
          <w:color w:val="000000"/>
          <w:sz w:val="24"/>
          <w:szCs w:val="24"/>
        </w:rPr>
        <w:t xml:space="preserve"> the sprinkler until a decree of the Water Court allows it.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>Additional facts regarding this matter: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br/>
        <w:t>• Surface water rights associated with this field are supplied through the San Luis Valley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br/>
        <w:t>Irrigation District.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br/>
        <w:t>• A recharge pit has been constructed in the southwest corner of the field to recharge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br/>
        <w:t>surface water shares.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br/>
        <w:t>• The sprinkler was placed on the field in 1978. The sprinkler was originally supplied via a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br/>
        <w:t>ditch that could provide surface water as well as water from any of the three wells. This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br/>
        <w:t>was the irrigation system in place when Crestone View Farms purchased the property in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br/>
        <w:t>2011.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br/>
        <w:t>• Well No. 1 became the sole water supply to the sprinkler in approximately 2012. An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br/>
        <w:t>average of 220 acre-feet per year has been supplied from Well No. 1 to the sprinkler.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br/>
        <w:t>• All wells are participating structures within Groundwater Management Subdistrict No. 1.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br/>
        <w:t>• Well No. 1 has been properly metered with regular meter calibrations since 2007.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br/>
        <w:t>• Well No. 3 is situated very near well nos. 1 and 2 in the southwest corner of the NE</w:t>
      </w:r>
      <w:r>
        <w:rPr>
          <w:rFonts w:ascii="Times New Roman" w:hAnsi="Times New Roman" w:cs="Times New Roman"/>
          <w:color w:val="000000"/>
          <w:sz w:val="24"/>
          <w:szCs w:val="24"/>
        </w:rPr>
        <w:t>1/4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br/>
        <w:t>Section 8, Township 41 North, Range 8 East, NMPM. From that location, any part of the NE</w:t>
      </w:r>
      <w:r>
        <w:rPr>
          <w:rFonts w:ascii="Times New Roman" w:hAnsi="Times New Roman" w:cs="Times New Roman"/>
          <w:color w:val="000000"/>
          <w:sz w:val="24"/>
          <w:szCs w:val="24"/>
        </w:rPr>
        <w:t>1/4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lastRenderedPageBreak/>
        <w:t>Section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>8, Township 41 North, Range 8 East, NMPM could have been irrigated by Well Nos. 1, 2, or 3.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br/>
        <w:t>• Well No. 3 was the water supply for a short sprinkler in the southwest sprinkler corner for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br/>
        <w:t>several years. That sprinkler was removed prior to 2011.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br/>
        <w:t>• The irrigation ditches put in place to use Well No. 1 in 1949 and add Well No. 2 in 1953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br/>
        <w:t>were in place when Well No. 3 was drilled in 1959. Thus, making Well No. 3 available for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br/>
        <w:t>irrigation of the NE</w:t>
      </w:r>
      <w:r>
        <w:rPr>
          <w:rFonts w:ascii="Times New Roman" w:hAnsi="Times New Roman" w:cs="Times New Roman"/>
          <w:color w:val="000000"/>
          <w:sz w:val="24"/>
          <w:szCs w:val="24"/>
        </w:rPr>
        <w:t>1/4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 xml:space="preserve"> Section 8, Township 41 North, Range 8 East, NMPM.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br/>
        <w:t>• Ownership of the entire quarter was held by Calvin Taylor from 1977 to 2011. Taylor took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br/>
        <w:t>ownership from the W-239 applicants: Reno E. Dunbar and Maude S. Dunbar. Reno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br/>
        <w:t>Dunbar was the registrant of Well Nos. 1 and 2 in 1960.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br/>
        <w:t>• See attached statement of previous owner, Calvin Taylor about his knowledge of historic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br/>
        <w:t>well use.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br/>
        <w:t>NOTE: In the event the Court is unable to determine an appropriation was made to use Well No.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>on the entire NE</w:t>
      </w:r>
      <w:r>
        <w:rPr>
          <w:rFonts w:ascii="Times New Roman" w:hAnsi="Times New Roman" w:cs="Times New Roman"/>
          <w:color w:val="000000"/>
          <w:sz w:val="24"/>
          <w:szCs w:val="24"/>
        </w:rPr>
        <w:t>1/4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 xml:space="preserve"> Section 8, Township 41 North, Range 8 East, NMPM and that the legal use of Well No.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>3 is the entire NE</w:t>
      </w:r>
      <w:r>
        <w:rPr>
          <w:rFonts w:ascii="Times New Roman" w:hAnsi="Times New Roman" w:cs="Times New Roman"/>
          <w:color w:val="000000"/>
          <w:sz w:val="24"/>
          <w:szCs w:val="24"/>
        </w:rPr>
        <w:t>1/4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 xml:space="preserve"> Section 8, Township 41 North, Range 8 East, NMPM, Applicant makes an alternate claim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>to make Well No. 3 an alternate point of diversion to Well No. 2 which is also decreed to produce from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04D">
        <w:rPr>
          <w:rFonts w:ascii="Times New Roman" w:hAnsi="Times New Roman" w:cs="Times New Roman"/>
          <w:color w:val="000000"/>
          <w:sz w:val="24"/>
          <w:szCs w:val="24"/>
        </w:rPr>
        <w:t>unconfined aquifer.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11C0">
        <w:rPr>
          <w:rFonts w:ascii="Times New Roman" w:hAnsi="Times New Roman" w:cs="Times New Roman"/>
          <w:color w:val="000000"/>
          <w:sz w:val="24"/>
          <w:szCs w:val="24"/>
        </w:rPr>
        <w:t>If applicant is correcting the location of a well in an existing decree where the actual location of the well is more than 200 feet from the decreed location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11C0">
        <w:rPr>
          <w:rFonts w:ascii="Times New Roman" w:hAnsi="Times New Roman" w:cs="Times New Roman"/>
          <w:color w:val="000000"/>
          <w:sz w:val="24"/>
          <w:szCs w:val="24"/>
        </w:rPr>
        <w:t>or drilling a replacement well more than 200 feet from the decreed location, provide legal descriptions of decreed location and actual or new location of well.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Pr="00FF11C0">
        <w:rPr>
          <w:rFonts w:ascii="Times New Roman" w:hAnsi="Times New Roman" w:cs="Times New Roman"/>
          <w:color w:val="000000"/>
          <w:sz w:val="24"/>
          <w:szCs w:val="24"/>
        </w:rPr>
        <w:t>A. Applicant seeks to confirm Well No. 3 as a legal water supply for irrigation of the NE</w:t>
      </w:r>
      <w:r>
        <w:rPr>
          <w:rFonts w:ascii="Times New Roman" w:hAnsi="Times New Roman" w:cs="Times New Roman"/>
          <w:color w:val="000000"/>
          <w:sz w:val="24"/>
          <w:szCs w:val="24"/>
        </w:rPr>
        <w:t>1/4</w:t>
      </w:r>
      <w:r w:rsidRPr="00FF11C0">
        <w:rPr>
          <w:rFonts w:ascii="Times New Roman" w:hAnsi="Times New Roman" w:cs="Times New Roman"/>
          <w:color w:val="000000"/>
          <w:sz w:val="24"/>
          <w:szCs w:val="24"/>
        </w:rPr>
        <w:t xml:space="preserve"> Section</w:t>
      </w:r>
      <w:r w:rsidRPr="00FF11C0">
        <w:rPr>
          <w:rFonts w:ascii="Times New Roman" w:hAnsi="Times New Roman" w:cs="Times New Roman"/>
          <w:color w:val="000000"/>
          <w:sz w:val="24"/>
          <w:szCs w:val="24"/>
        </w:rPr>
        <w:br/>
        <w:t>8, Township 41 North, Range 8 East, NMPM.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Name and address of reputed owner: </w:t>
      </w:r>
      <w:r w:rsidRPr="00FF11C0">
        <w:rPr>
          <w:rFonts w:ascii="Times New Roman" w:hAnsi="Times New Roman" w:cs="Times New Roman"/>
          <w:color w:val="000000"/>
          <w:sz w:val="24"/>
          <w:szCs w:val="24"/>
        </w:rPr>
        <w:t>Crestone View Farms, LLC; 4575 Highway 285 Center, CO 81125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D92FD8" w14:textId="77A3AEE1" w:rsidR="00974D25" w:rsidRPr="00B53A69" w:rsidRDefault="00974D25" w:rsidP="00974D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3A69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You are notified that you have until the last day of </w:t>
      </w:r>
      <w:r w:rsidR="005020CF" w:rsidRPr="00B53A69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March</w:t>
      </w:r>
      <w:r w:rsidRPr="00B53A69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2024, to file with the Water Clerk</w:t>
      </w:r>
      <w:r w:rsidR="00FE128C" w:rsidRPr="00B53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3A69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a verified statement of opposition setting forth facts as to why a certain application</w:t>
      </w:r>
      <w:r w:rsidRPr="00B53A6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B53A69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should not be granted or why it should be granted only in part or on certain conditions or</w:t>
      </w:r>
      <w:r w:rsidRPr="00B53A6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B53A69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a protest to the requested correction. A copy of such a statement of opposition or</w:t>
      </w:r>
      <w:r w:rsidRPr="00B53A6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B53A69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protest must also be served upon the Applicant or the Applicant’s attorney and an</w:t>
      </w:r>
      <w:r w:rsidRPr="00B53A6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B53A69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affidavit or certificate of such service must be filed with the Water Clerk. The filing fee</w:t>
      </w:r>
      <w:r w:rsidRPr="00B53A6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B53A69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for the Statement of Opposition is $192.00. Forms may be obtained from the Water</w:t>
      </w:r>
      <w:r w:rsidRPr="00B53A6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B53A69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Clerk’s Office or our website at </w:t>
      </w:r>
      <w:r w:rsidRPr="00B53A69">
        <w:rPr>
          <w:rStyle w:val="fontstyle01"/>
          <w:rFonts w:ascii="Times New Roman" w:hAnsi="Times New Roman" w:cs="Times New Roman"/>
          <w:b w:val="0"/>
          <w:bCs w:val="0"/>
          <w:color w:val="0563C1"/>
          <w:sz w:val="24"/>
          <w:szCs w:val="24"/>
        </w:rPr>
        <w:t>www.courts.state.co.us</w:t>
      </w:r>
      <w:r w:rsidRPr="00B53A69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. Jennifer Pacheco, Water Clerk,</w:t>
      </w:r>
      <w:r w:rsidRPr="00B53A6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B53A69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Water Division 3, 8955 Independence Way, Alamosa, CO 81101.</w:t>
      </w:r>
    </w:p>
    <w:sectPr w:rsidR="00974D25" w:rsidRPr="00B53A69" w:rsidSect="00FA2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D1"/>
    <w:rsid w:val="003842FB"/>
    <w:rsid w:val="00423866"/>
    <w:rsid w:val="00501FA6"/>
    <w:rsid w:val="005020CF"/>
    <w:rsid w:val="00683B3F"/>
    <w:rsid w:val="006B740E"/>
    <w:rsid w:val="007440C0"/>
    <w:rsid w:val="007A65D1"/>
    <w:rsid w:val="007B3C39"/>
    <w:rsid w:val="00806432"/>
    <w:rsid w:val="00834512"/>
    <w:rsid w:val="00974D25"/>
    <w:rsid w:val="009D01B4"/>
    <w:rsid w:val="009E70C6"/>
    <w:rsid w:val="00A44D24"/>
    <w:rsid w:val="00B53A69"/>
    <w:rsid w:val="00E85900"/>
    <w:rsid w:val="00FA2856"/>
    <w:rsid w:val="00FE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DF5B2"/>
  <w15:chartTrackingRefBased/>
  <w15:docId w15:val="{ED1AE647-0825-4523-8AAF-CE0107BC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5D1"/>
  </w:style>
  <w:style w:type="paragraph" w:styleId="Heading1">
    <w:name w:val="heading 1"/>
    <w:basedOn w:val="Normal"/>
    <w:next w:val="Normal"/>
    <w:link w:val="Heading1Char"/>
    <w:uiPriority w:val="9"/>
    <w:qFormat/>
    <w:rsid w:val="007A65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65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65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65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65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65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65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65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65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5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65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65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65D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65D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65D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65D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65D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65D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A65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65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65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65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A65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65D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7A65D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A65D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65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65D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A65D1"/>
    <w:rPr>
      <w:b/>
      <w:bCs/>
      <w:smallCaps/>
      <w:color w:val="0F4761" w:themeColor="accent1" w:themeShade="BF"/>
      <w:spacing w:val="5"/>
    </w:rPr>
  </w:style>
  <w:style w:type="character" w:customStyle="1" w:styleId="fontstyle01">
    <w:name w:val="fontstyle01"/>
    <w:basedOn w:val="DefaultParagraphFont"/>
    <w:rsid w:val="007A65D1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65D1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rrygood.hv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andrew@pricefarmsllc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pacheco, jennifer</dc:creator>
  <cp:keywords/>
  <dc:description/>
  <cp:lastModifiedBy>alvarez, paula</cp:lastModifiedBy>
  <cp:revision>2</cp:revision>
  <dcterms:created xsi:type="dcterms:W3CDTF">2024-02-07T22:43:00Z</dcterms:created>
  <dcterms:modified xsi:type="dcterms:W3CDTF">2024-02-07T22:43:00Z</dcterms:modified>
</cp:coreProperties>
</file>