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6453" w14:textId="24350836" w:rsidR="00CA41CC" w:rsidRPr="00914128" w:rsidRDefault="0095709A" w:rsidP="00914128">
      <w:pPr>
        <w:pStyle w:val="Heading1"/>
      </w:pPr>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3314D1"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14:paraId="0FB0EC92" w14:textId="77777777" w:rsidR="009E20C7" w:rsidRDefault="003314D1" w:rsidP="00914128">
      <w:pPr>
        <w:pStyle w:val="ToC"/>
      </w:pPr>
      <w:hyperlink w:anchor="a3_2" w:history="1">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 Defined</w:t>
      </w:r>
    </w:p>
    <w:p w14:paraId="11704D72" w14:textId="77777777" w:rsidR="009E20C7" w:rsidRDefault="003314D1" w:rsidP="00914128">
      <w:pPr>
        <w:pStyle w:val="ToC"/>
      </w:pPr>
      <w:hyperlink w:anchor="a3_3" w:history="1">
        <w:r w:rsidR="009E20C7" w:rsidRPr="009E20C7">
          <w:rPr>
            <w:rStyle w:val="Hyperlink"/>
          </w:rPr>
          <w:t>3:3</w:t>
        </w:r>
      </w:hyperlink>
      <w:r w:rsidR="009E20C7" w:rsidRPr="009E20C7">
        <w:t xml:space="preserve"> </w:t>
      </w:r>
      <w:r w:rsidR="009E20C7" w:rsidRPr="009E20C7">
        <w:tab/>
        <w:t>Reasonable Doubt — Defined</w:t>
      </w:r>
    </w:p>
    <w:p w14:paraId="1C57CEEE" w14:textId="77777777" w:rsidR="009E20C7" w:rsidRPr="00EC7C98" w:rsidRDefault="003314D1"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3314D1" w:rsidP="00ED7176">
      <w:pPr>
        <w:pStyle w:val="ToC"/>
      </w:pPr>
      <w:hyperlink w:anchor="a3_5" w:history="1">
        <w:r w:rsidR="009E20C7" w:rsidRPr="009E20C7">
          <w:rPr>
            <w:rStyle w:val="Hyperlink"/>
          </w:rPr>
          <w:t>3:5</w:t>
        </w:r>
      </w:hyperlink>
      <w:r w:rsidR="009E20C7" w:rsidRPr="009E20C7">
        <w:tab/>
        <w:t xml:space="preserve">Permissible Inference Arising </w:t>
      </w:r>
      <w:r w:rsidR="009E20C7">
        <w:t>f</w:t>
      </w:r>
      <w:r w:rsidR="009E20C7" w:rsidRPr="009E20C7">
        <w:t>rom Rebuttable Presumption</w:t>
      </w:r>
    </w:p>
    <w:p w14:paraId="22D197FE" w14:textId="77777777" w:rsidR="009E20C7" w:rsidRDefault="003314D1"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14:paraId="5DC0A890" w14:textId="77777777" w:rsidR="009E20C7" w:rsidRDefault="003314D1"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14:paraId="430F8C7B" w14:textId="77777777" w:rsidR="009E20C7" w:rsidRPr="00EC7C98" w:rsidRDefault="003314D1"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3314D1"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14:paraId="5018297F" w14:textId="77777777" w:rsidR="009E20C7" w:rsidRDefault="003314D1" w:rsidP="00ED7176">
      <w:pPr>
        <w:pStyle w:val="ToC"/>
      </w:pPr>
      <w:hyperlink w:anchor="a3_9" w:history="1">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 Defined</w:t>
      </w:r>
    </w:p>
    <w:p w14:paraId="49FCDD3B" w14:textId="77777777" w:rsidR="009E20C7" w:rsidRDefault="003314D1"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14:paraId="04BFF016" w14:textId="77777777" w:rsidR="009E20C7" w:rsidRDefault="003314D1"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14:paraId="526A32B0" w14:textId="77777777" w:rsidR="009E20C7" w:rsidRDefault="003314D1"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14:paraId="51697AB7" w14:textId="26CD4F90" w:rsidR="00834CE7" w:rsidRPr="00834CE7" w:rsidRDefault="003314D1"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14:paraId="389B3364" w14:textId="77777777" w:rsidR="009E20C7" w:rsidRDefault="003314D1" w:rsidP="00ED7176">
      <w:pPr>
        <w:pStyle w:val="ToC"/>
      </w:pPr>
      <w:hyperlink w:anchor="a3_14" w:history="1">
        <w:r w:rsidR="009E20C7" w:rsidRPr="009E20C7">
          <w:rPr>
            <w:rStyle w:val="Hyperlink"/>
          </w:rPr>
          <w:t>3:14</w:t>
        </w:r>
      </w:hyperlink>
      <w:r w:rsidR="009E20C7" w:rsidRPr="009E20C7">
        <w:tab/>
        <w:t>Sympathy — Prejudice</w:t>
      </w:r>
    </w:p>
    <w:p w14:paraId="350F61AA" w14:textId="77777777" w:rsidR="009E20C7" w:rsidRDefault="003314D1"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14:paraId="2A228489" w14:textId="77777777" w:rsidR="009E20C7" w:rsidRDefault="003314D1"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14:paraId="09434414" w14:textId="77777777" w:rsidR="009E20C7" w:rsidRPr="00EC7C98" w:rsidRDefault="003314D1"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0" w:name="a3_1"/>
      <w:bookmarkEnd w:id="0"/>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1958684F"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1. The plaintiff has the burden of proving </w:t>
      </w:r>
      <w:r w:rsidR="00075E64" w:rsidRPr="00075E64">
        <w:rPr>
          <w:rFonts w:eastAsia="Times New Roman"/>
          <w:bCs/>
          <w:i/>
          <w:iCs/>
          <w:sz w:val="24"/>
          <w:szCs w:val="24"/>
        </w:rPr>
        <w:t>(insert applicable pronoun)</w:t>
      </w:r>
      <w:r w:rsidRPr="0095709A">
        <w:rPr>
          <w:rFonts w:eastAsia="Times New Roman"/>
          <w:b/>
          <w:sz w:val="24"/>
          <w:szCs w:val="24"/>
        </w:rPr>
        <w:t xml:space="preserve"> claim(s) by a preponderance of the evidence.</w:t>
      </w:r>
    </w:p>
    <w:p w14:paraId="7068E827" w14:textId="00642440"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2. The defendant has the burden of proving (each of) </w:t>
      </w:r>
      <w:r w:rsidR="00075E64" w:rsidRPr="00075E64">
        <w:rPr>
          <w:rFonts w:eastAsia="Times New Roman"/>
          <w:bCs/>
          <w:i/>
          <w:iCs/>
          <w:sz w:val="24"/>
          <w:szCs w:val="24"/>
        </w:rPr>
        <w:t>(insert applicable pronoun)</w:t>
      </w:r>
      <w:r w:rsidRPr="0095709A">
        <w:rPr>
          <w:rFonts w:eastAsia="Times New Roman"/>
          <w:b/>
          <w:sz w:val="24"/>
          <w:szCs w:val="24"/>
        </w:rPr>
        <w:t xml:space="preserve">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CD9CA2F"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4. “Burden of proof” means the obligation a party has to prove </w:t>
      </w:r>
      <w:r w:rsidR="00075E64" w:rsidRPr="00075E64">
        <w:rPr>
          <w:rFonts w:eastAsia="Times New Roman"/>
          <w:bCs/>
          <w:i/>
          <w:iCs/>
          <w:sz w:val="24"/>
          <w:szCs w:val="24"/>
        </w:rPr>
        <w:t>(insert applicable pronoun)</w:t>
      </w:r>
      <w:r w:rsidRPr="0095709A">
        <w:rPr>
          <w:rFonts w:eastAsia="Times New Roman"/>
          <w:b/>
          <w:sz w:val="24"/>
          <w:szCs w:val="24"/>
        </w:rPr>
        <w:t xml:space="preserve"> claim(s) or defense(s) by a preponderance of the evidence. The party with the burden of proof can use evidence produced by any party to persuade you.</w:t>
      </w:r>
    </w:p>
    <w:p w14:paraId="464A5910" w14:textId="122BBC18"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 xml:space="preserve">5. If a party fails to meet </w:t>
      </w:r>
      <w:r w:rsidR="00075E64" w:rsidRPr="00075E64">
        <w:rPr>
          <w:rFonts w:eastAsia="Times New Roman"/>
          <w:bCs/>
          <w:i/>
          <w:iCs/>
          <w:sz w:val="24"/>
          <w:szCs w:val="24"/>
        </w:rPr>
        <w:t>(insert applicable pronoun)</w:t>
      </w:r>
      <w:r w:rsidRPr="0095709A">
        <w:rPr>
          <w:rFonts w:eastAsia="Times New Roman"/>
          <w:b/>
          <w:sz w:val="24"/>
          <w:szCs w:val="24"/>
        </w:rPr>
        <w:t xml:space="preserve">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2016 CO 25, ¶ 38, 370 P.3d 157, 168-69.</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Kaiser Found. Health Plan v. Sharp</w:t>
      </w:r>
      <w:r w:rsidRPr="0095709A">
        <w:rPr>
          <w:rFonts w:eastAsia="Times New Roman"/>
          <w:sz w:val="24"/>
          <w:szCs w:val="24"/>
        </w:rPr>
        <w:t xml:space="preserve">, 741 P.2d 714 (Colo. 1987); </w:t>
      </w:r>
      <w:r w:rsidRPr="0095709A">
        <w:rPr>
          <w:rFonts w:eastAsia="Times New Roman"/>
          <w:b/>
          <w:sz w:val="24"/>
          <w:szCs w:val="24"/>
        </w:rPr>
        <w:t>Swaim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r w:rsidRPr="0095709A">
        <w:rPr>
          <w:rFonts w:eastAsia="Times New Roman"/>
          <w:b/>
          <w:sz w:val="24"/>
          <w:szCs w:val="24"/>
        </w:rPr>
        <w:t>Sams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1" w:name="a3_2"/>
      <w:bookmarkEnd w:id="1"/>
      <w:r w:rsidRPr="00EC17E3">
        <w:rPr>
          <w:rFonts w:eastAsia="Times New Roman"/>
          <w:b/>
          <w:sz w:val="24"/>
          <w:szCs w:val="24"/>
        </w:rPr>
        <w:lastRenderedPageBreak/>
        <w:t xml:space="preserve">3:2 </w:t>
      </w:r>
      <w:r w:rsidRPr="00EC17E3">
        <w:rPr>
          <w:rFonts w:eastAsia="Times New Roman"/>
          <w:b/>
          <w:sz w:val="24"/>
          <w:szCs w:val="24"/>
        </w:rPr>
        <w:tab/>
        <w:t>CLEAR AND CONVINCING EVIDENCE —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State">
        <w:smartTag w:uri="urn:schemas-microsoft-com:office:smarttags" w:element="plac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State">
        <w:smartTag w:uri="urn:schemas-microsoft-com:office:smarttags" w:element="plac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r w:rsidRPr="00EC17E3">
        <w:rPr>
          <w:rFonts w:eastAsia="Times New Roman"/>
          <w:b/>
          <w:sz w:val="24"/>
          <w:szCs w:val="24"/>
        </w:rPr>
        <w:t>M.W. v. D.G.</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2" w:name="a3_3"/>
      <w:bookmarkEnd w:id="2"/>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05733DE5" w:rsidR="00B579DF" w:rsidRDefault="00B579DF" w:rsidP="00B579DF">
      <w:pPr>
        <w:spacing w:after="240"/>
        <w:ind w:firstLine="720"/>
        <w:rPr>
          <w:rFonts w:eastAsia="Times New Roman"/>
          <w:b/>
          <w:sz w:val="24"/>
          <w:szCs w:val="24"/>
        </w:rPr>
      </w:pPr>
      <w:r w:rsidRPr="00B579DF">
        <w:rPr>
          <w:rFonts w:eastAsia="Times New Roman"/>
          <w:b/>
          <w:sz w:val="24"/>
          <w:szCs w:val="24"/>
        </w:rPr>
        <w:t xml:space="preserve">Reasonable doubt means a doubt based upon reason and common sense which arises from a fair and </w:t>
      </w:r>
      <w:r w:rsidR="00760A2E">
        <w:rPr>
          <w:rFonts w:eastAsia="Times New Roman"/>
          <w:b/>
          <w:sz w:val="24"/>
          <w:szCs w:val="24"/>
        </w:rPr>
        <w:t>rational</w:t>
      </w:r>
      <w:r w:rsidR="00760A2E" w:rsidRPr="00B579DF">
        <w:rPr>
          <w:rFonts w:eastAsia="Times New Roman"/>
          <w:b/>
          <w:sz w:val="24"/>
          <w:szCs w:val="24"/>
        </w:rPr>
        <w:t xml:space="preserve"> </w:t>
      </w:r>
      <w:r w:rsidRPr="00B579DF">
        <w:rPr>
          <w:rFonts w:eastAsia="Times New Roman"/>
          <w:b/>
          <w:sz w:val="24"/>
          <w:szCs w:val="24"/>
        </w:rPr>
        <w:t xml:space="preserve">consideration of all </w:t>
      </w:r>
      <w:r w:rsidR="001F401B">
        <w:rPr>
          <w:rFonts w:eastAsia="Times New Roman"/>
          <w:b/>
          <w:sz w:val="24"/>
          <w:szCs w:val="24"/>
        </w:rPr>
        <w:t xml:space="preserve">of </w:t>
      </w:r>
      <w:r w:rsidRPr="00B579DF">
        <w:rPr>
          <w:rFonts w:eastAsia="Times New Roman"/>
          <w:b/>
          <w:sz w:val="24"/>
          <w:szCs w:val="24"/>
        </w:rPr>
        <w:t xml:space="preserve">the evidence, or the lack of evidence, in the case. It </w:t>
      </w:r>
      <w:r w:rsidR="001F401B" w:rsidRPr="00760A2E">
        <w:rPr>
          <w:rFonts w:eastAsia="Times New Roman"/>
          <w:b/>
          <w:sz w:val="24"/>
          <w:szCs w:val="24"/>
        </w:rPr>
        <w:t xml:space="preserve">is a doubt which </w:t>
      </w:r>
      <w:r w:rsidRPr="00B579DF">
        <w:rPr>
          <w:rFonts w:eastAsia="Times New Roman"/>
          <w:b/>
          <w:sz w:val="24"/>
          <w:szCs w:val="24"/>
        </w:rPr>
        <w:t xml:space="preserve">is not a vague, speculative, or imaginary doubt, but </w:t>
      </w:r>
      <w:r w:rsidR="00760A2E">
        <w:rPr>
          <w:rFonts w:eastAsia="Times New Roman"/>
          <w:b/>
          <w:sz w:val="24"/>
          <w:szCs w:val="24"/>
        </w:rPr>
        <w:t>such a doubt</w:t>
      </w:r>
      <w:r w:rsidR="001F401B">
        <w:rPr>
          <w:rFonts w:eastAsia="Times New Roman"/>
          <w:b/>
          <w:sz w:val="24"/>
          <w:szCs w:val="24"/>
        </w:rPr>
        <w:t xml:space="preserve"> as </w:t>
      </w:r>
      <w:r w:rsidRPr="00B579DF">
        <w:rPr>
          <w:rFonts w:eastAsia="Times New Roman"/>
          <w:b/>
          <w:sz w:val="24"/>
          <w:szCs w:val="24"/>
        </w:rPr>
        <w:t xml:space="preserve">would cause reasonable </w:t>
      </w:r>
      <w:r w:rsidR="001F401B">
        <w:rPr>
          <w:rFonts w:eastAsia="Times New Roman"/>
          <w:b/>
          <w:sz w:val="24"/>
          <w:szCs w:val="24"/>
        </w:rPr>
        <w:t>people</w:t>
      </w:r>
      <w:r w:rsidRPr="00B579DF">
        <w:rPr>
          <w:rFonts w:eastAsia="Times New Roman"/>
          <w:b/>
          <w:sz w:val="24"/>
          <w:szCs w:val="24"/>
        </w:rPr>
        <w:t xml:space="preserve">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32DB9533" w:rsidR="00B579DF" w:rsidRDefault="006204B2" w:rsidP="00B579DF">
      <w:pPr>
        <w:spacing w:after="240"/>
        <w:ind w:firstLine="720"/>
        <w:rPr>
          <w:rFonts w:eastAsia="Times New Roman"/>
          <w:sz w:val="24"/>
          <w:szCs w:val="24"/>
        </w:rPr>
      </w:pPr>
      <w:r>
        <w:rPr>
          <w:rFonts w:eastAsia="Times New Roman"/>
          <w:sz w:val="24"/>
          <w:szCs w:val="24"/>
        </w:rPr>
        <w:t xml:space="preserve">1. </w:t>
      </w:r>
      <w:r w:rsidR="00B579DF" w:rsidRPr="00B579DF">
        <w:rPr>
          <w:rFonts w:eastAsia="Times New Roman"/>
          <w:sz w:val="24"/>
          <w:szCs w:val="24"/>
        </w:rPr>
        <w:t>This instruction is to be used with instructions such as Instruction 5:4.</w:t>
      </w:r>
    </w:p>
    <w:p w14:paraId="20028E1D" w14:textId="307F9892" w:rsidR="006204B2" w:rsidRPr="006568CE" w:rsidRDefault="006204B2" w:rsidP="0057193E">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further define reasona</w:t>
      </w:r>
      <w:r w:rsidRPr="006568CE">
        <w:rPr>
          <w:sz w:val="24"/>
          <w:szCs w:val="24"/>
        </w:rPr>
        <w:t xml:space="preserve">ble doubt. </w:t>
      </w:r>
      <w:r w:rsidR="00474D9F" w:rsidRPr="00474D9F">
        <w:rPr>
          <w:b/>
          <w:bCs/>
          <w:sz w:val="24"/>
          <w:szCs w:val="24"/>
        </w:rPr>
        <w:t>Tibbels v. People</w:t>
      </w:r>
      <w:r w:rsidR="00474D9F">
        <w:rPr>
          <w:sz w:val="24"/>
          <w:szCs w:val="24"/>
        </w:rPr>
        <w:t xml:space="preserve">, 2022 CO 1, ¶ 49, 501 P.3d 792, 801 (trial court improperly lowered the People’s burden of proof by using a crack-in-the-foundation illustration to explain reasonable doubt); </w:t>
      </w:r>
      <w:r w:rsidRPr="006568CE">
        <w:rPr>
          <w:b/>
          <w:sz w:val="24"/>
          <w:szCs w:val="24"/>
        </w:rPr>
        <w:t>Johnson v. People</w:t>
      </w:r>
      <w:r w:rsidRPr="006568CE">
        <w:rPr>
          <w:sz w:val="24"/>
          <w:szCs w:val="24"/>
        </w:rPr>
        <w:t>, 2019 CO 17, ¶ 19, 436 P.3d 529, 534 (“[A]ttempts to further define reasonable doubt do not provide clarity[, e]ven if well- intentioned</w:t>
      </w:r>
      <w:r w:rsidR="00E7307E" w:rsidRPr="006568CE">
        <w:rPr>
          <w:sz w:val="24"/>
          <w:szCs w:val="24"/>
        </w:rPr>
        <w:t xml:space="preserve"> . . . </w:t>
      </w:r>
      <w:r w:rsidRPr="006568CE">
        <w:rPr>
          <w:sz w:val="24"/>
          <w:szCs w:val="24"/>
        </w:rPr>
        <w:t>.”)</w:t>
      </w:r>
      <w:r w:rsidR="00955A99" w:rsidRPr="006568CE">
        <w:rPr>
          <w:sz w:val="24"/>
          <w:szCs w:val="24"/>
        </w:rPr>
        <w:t>;</w:t>
      </w:r>
      <w:r w:rsidR="00955A99" w:rsidRPr="006568CE">
        <w:rPr>
          <w:i/>
          <w:sz w:val="24"/>
          <w:szCs w:val="24"/>
        </w:rPr>
        <w:t xml:space="preserve"> see also </w:t>
      </w:r>
      <w:r w:rsidR="00955A99" w:rsidRPr="006568CE">
        <w:rPr>
          <w:b/>
          <w:sz w:val="24"/>
          <w:szCs w:val="24"/>
        </w:rPr>
        <w:t>People v. Knobee</w:t>
      </w:r>
      <w:r w:rsidR="00955A99" w:rsidRPr="006568CE">
        <w:rPr>
          <w:i/>
          <w:sz w:val="24"/>
          <w:szCs w:val="24"/>
        </w:rPr>
        <w:t>,</w:t>
      </w:r>
      <w:r w:rsidR="00955A99" w:rsidRPr="006568CE">
        <w:rPr>
          <w:sz w:val="24"/>
          <w:szCs w:val="24"/>
        </w:rPr>
        <w:t xml:space="preserve"> 2020 COA 7, ¶ 38</w:t>
      </w:r>
      <w:r w:rsidR="00BE6B9D">
        <w:rPr>
          <w:sz w:val="24"/>
          <w:szCs w:val="24"/>
        </w:rPr>
        <w:t>, 490 P.3d 543, 549</w:t>
      </w:r>
      <w:r w:rsidR="00955A99" w:rsidRPr="006568CE">
        <w:rPr>
          <w:sz w:val="24"/>
          <w:szCs w:val="24"/>
        </w:rPr>
        <w:t xml:space="preserve"> (“by telling jurors that their decision is no more consequential than choosing a doctor ‘or whatever,’ the court improperly trivialized the prosecution’s burden of proof”)</w:t>
      </w:r>
      <w:r w:rsidR="00760A2E" w:rsidRPr="006568CE">
        <w:rPr>
          <w:sz w:val="24"/>
          <w:szCs w:val="24"/>
        </w:rPr>
        <w:t xml:space="preserve"> (</w:t>
      </w:r>
      <w:r w:rsidR="00760A2E" w:rsidRPr="006568CE">
        <w:rPr>
          <w:i/>
          <w:sz w:val="24"/>
          <w:szCs w:val="24"/>
        </w:rPr>
        <w:t>cert. granted</w:t>
      </w:r>
      <w:r w:rsidR="00760A2E" w:rsidRPr="006568CE">
        <w:rPr>
          <w:sz w:val="24"/>
          <w:szCs w:val="24"/>
        </w:rPr>
        <w:t xml:space="preserve"> June 29, 2020)</w:t>
      </w:r>
      <w:r w:rsidRPr="006568CE">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2A781296"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w:t>
      </w:r>
      <w:r w:rsidR="00BE6B9D">
        <w:rPr>
          <w:rFonts w:eastAsia="Times New Roman"/>
          <w:sz w:val="24"/>
          <w:szCs w:val="24"/>
        </w:rPr>
        <w:t>a previous version of</w:t>
      </w:r>
      <w:r w:rsidRPr="00B579DF">
        <w:rPr>
          <w:rFonts w:eastAsia="Times New Roman"/>
          <w:sz w:val="24"/>
          <w:szCs w:val="24"/>
        </w:rPr>
        <w:t xml:space="preserve">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r w:rsidR="00BE6B9D">
        <w:rPr>
          <w:rFonts w:eastAsia="Times New Roman"/>
          <w:sz w:val="24"/>
          <w:szCs w:val="24"/>
        </w:rPr>
        <w:t xml:space="preserve"> The current version of E:03 has been re-written and has not yet been addressed in any published Colorado state court decision.</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3" w:name="a3_4"/>
      <w:bookmarkEnd w:id="3"/>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Letts v. Iwig</w:t>
      </w:r>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r w:rsidRPr="007A612E">
        <w:rPr>
          <w:rFonts w:eastAsia="Times New Roman"/>
          <w:b/>
          <w:sz w:val="24"/>
          <w:szCs w:val="24"/>
        </w:rPr>
        <w:t>Mosko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Johns v. Tesley</w:t>
      </w:r>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r w:rsidRPr="007A612E">
        <w:rPr>
          <w:rFonts w:eastAsia="Times New Roman"/>
          <w:b/>
          <w:sz w:val="24"/>
          <w:szCs w:val="24"/>
        </w:rPr>
        <w:t>Polz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4" w:name="a3_5"/>
      <w:bookmarkEnd w:id="4"/>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 This instruction applies only to rebuttable presumptions governed by CRE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Harner</w:t>
      </w:r>
      <w:r w:rsidRPr="007A612E">
        <w:rPr>
          <w:rFonts w:eastAsia="Times New Roman"/>
          <w:sz w:val="24"/>
          <w:szCs w:val="24"/>
        </w:rPr>
        <w:t xml:space="preserve">, 2014 CO 78, ¶ 25, 339 P.3d 519 (holding that CRE 301 applies to the res ipsa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Weiss v. Axler</w:t>
      </w:r>
      <w:r w:rsidRPr="007A612E">
        <w:rPr>
          <w:rFonts w:eastAsia="Times New Roman"/>
          <w:sz w:val="24"/>
          <w:szCs w:val="24"/>
        </w:rPr>
        <w:t>, 137 Colo. 544, 328 P.3d 88 (1958) (decided before the adoption of CRE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Krueger v. Ary</w:t>
      </w:r>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res ipsa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xml:space="preserve">. The supreme court has not yet considered whether to apply the holdings of these cases beyond the specific presumptions at issue in those two cases. However, (i)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supplies a description of the general effect of rebuttable presumptions,” 2014 CO 78, ¶ 15; (ii) the supreme court adopted the identical procedure in both cases; (iii) the language of the opinions is broad; and (iv) the holdings are consistent with CRE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r w:rsidRPr="007A612E">
        <w:rPr>
          <w:rFonts w:eastAsia="Times New Roman"/>
          <w:b/>
          <w:sz w:val="24"/>
          <w:szCs w:val="24"/>
        </w:rPr>
        <w:t>Devenyns v. Hartig</w:t>
      </w:r>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Yampa Valley Elec. Ass’n v. Telecky</w:t>
      </w:r>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CRE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5" w:name="a3_5A"/>
      <w:bookmarkEnd w:id="5"/>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542E4333"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w:t>
      </w:r>
      <w:r w:rsidR="00075E64" w:rsidRPr="00075E64">
        <w:rPr>
          <w:rFonts w:eastAsia="Times New Roman"/>
          <w:bCs/>
          <w:i/>
          <w:iCs/>
          <w:sz w:val="24"/>
          <w:szCs w:val="24"/>
        </w:rPr>
        <w:t>(insert applicable pronoun)</w:t>
      </w:r>
      <w:r w:rsidRPr="004425AA">
        <w:rPr>
          <w:rFonts w:eastAsia="Times New Roman"/>
          <w:b/>
          <w:sz w:val="24"/>
          <w:szCs w:val="24"/>
        </w:rPr>
        <w:t xml:space="preserve"> Constitutional privilege against self-incrimination would have been unfavorable to </w:t>
      </w:r>
      <w:r w:rsidR="00075E64" w:rsidRPr="00075E64">
        <w:rPr>
          <w:rFonts w:eastAsia="Times New Roman"/>
          <w:bCs/>
          <w:i/>
          <w:iCs/>
          <w:sz w:val="24"/>
          <w:szCs w:val="24"/>
        </w:rPr>
        <w:t>(insert applicable pronoun)</w:t>
      </w:r>
      <w:r w:rsidRPr="004425AA">
        <w:rPr>
          <w:rFonts w:eastAsia="Times New Roman"/>
          <w:b/>
          <w:sz w:val="24"/>
          <w:szCs w:val="24"/>
        </w:rPr>
        <w:t xml:space="preserve">.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w:t>
      </w:r>
      <w:r w:rsidR="00075E64" w:rsidRPr="00075E64">
        <w:rPr>
          <w:rFonts w:eastAsia="Times New Roman"/>
          <w:bCs/>
          <w:i/>
          <w:iCs/>
          <w:sz w:val="24"/>
          <w:szCs w:val="24"/>
        </w:rPr>
        <w:t>(insert applicable pronoun)</w:t>
      </w:r>
      <w:r w:rsidRPr="004425AA">
        <w:rPr>
          <w:rFonts w:eastAsia="Times New Roman"/>
          <w:b/>
          <w:sz w:val="24"/>
          <w:szCs w:val="24"/>
        </w:rPr>
        <w:t xml:space="preserve"> assertion of </w:t>
      </w:r>
      <w:r w:rsidR="00075E64" w:rsidRPr="00075E64">
        <w:rPr>
          <w:rFonts w:eastAsia="Times New Roman"/>
          <w:bCs/>
          <w:i/>
          <w:iCs/>
          <w:sz w:val="24"/>
          <w:szCs w:val="24"/>
        </w:rPr>
        <w:t>(insert applicable pronoun)</w:t>
      </w:r>
      <w:r w:rsidRPr="004425AA">
        <w:rPr>
          <w:rFonts w:eastAsia="Times New Roman"/>
          <w:b/>
          <w:sz w:val="24"/>
          <w:szCs w:val="24"/>
        </w:rPr>
        <w:t xml:space="preserve">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r w:rsidRPr="00935DA8">
        <w:rPr>
          <w:rFonts w:eastAsia="Times New Roman"/>
          <w:b/>
          <w:sz w:val="24"/>
          <w:szCs w:val="24"/>
        </w:rPr>
        <w:t>McGillis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noncaptioned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r w:rsidRPr="00935DA8">
        <w:rPr>
          <w:rFonts w:eastAsia="Times New Roman"/>
          <w:b/>
          <w:sz w:val="24"/>
          <w:szCs w:val="24"/>
        </w:rPr>
        <w:t>McGillis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Chaffin, Inc. v. Wallain</w:t>
      </w:r>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r w:rsidRPr="00935DA8">
        <w:rPr>
          <w:rFonts w:eastAsia="Times New Roman"/>
          <w:b/>
          <w:sz w:val="24"/>
          <w:szCs w:val="24"/>
        </w:rPr>
        <w:t>Asplin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6" w:name="a3_6"/>
      <w:bookmarkEnd w:id="6"/>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CRE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xml:space="preserve">, 2016 CO 25, ¶ 37, 370 P.3d 157 (distinguishing between a “Thayer–Wigmore”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7" w:name="a3_7"/>
      <w:bookmarkEnd w:id="7"/>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0DD4D55F"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 xml:space="preserve">You must find that a person knew a fact, if </w:t>
      </w:r>
      <w:r w:rsidR="00075E64" w:rsidRPr="00075E64">
        <w:rPr>
          <w:rFonts w:eastAsia="Times New Roman"/>
          <w:bCs/>
          <w:i/>
          <w:iCs/>
          <w:sz w:val="24"/>
          <w:szCs w:val="24"/>
        </w:rPr>
        <w:t>(insert applicable pronoun)</w:t>
      </w:r>
      <w:r w:rsidRPr="005B3A78">
        <w:rPr>
          <w:rFonts w:eastAsia="Times New Roman"/>
          <w:b/>
          <w:sz w:val="24"/>
          <w:szCs w:val="24"/>
        </w:rPr>
        <w:t xml:space="preserv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Sheffield Servs.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Weinstein v. Colborne Foodbotics,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8" w:name="a3_8"/>
      <w:bookmarkEnd w:id="8"/>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Krueger v. Ary</w:t>
      </w:r>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CRE 201(d); (3) the website is self-authenticating as an official publication; and (4) the contents fall within an exception to the hearsay rule (such as that for public records and reports). </w:t>
      </w:r>
      <w:r w:rsidRPr="00837F81">
        <w:rPr>
          <w:rFonts w:eastAsia="Times New Roman"/>
          <w:b/>
          <w:sz w:val="24"/>
          <w:szCs w:val="24"/>
        </w:rPr>
        <w:t>Shook v. Pitkin Cty. Bd. of Cty. Comm’rs</w:t>
      </w:r>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r w:rsidRPr="00837F81">
        <w:rPr>
          <w:rFonts w:eastAsia="Times New Roman"/>
          <w:b/>
          <w:iCs/>
          <w:sz w:val="24"/>
          <w:szCs w:val="24"/>
        </w:rPr>
        <w:t>Venetucci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Independence Coffee &amp; Spice Co. v. Kalkman</w:t>
      </w:r>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CRE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9" w:name="a3_9"/>
      <w:bookmarkEnd w:id="9"/>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Quintana v. Kudrna</w:t>
      </w:r>
      <w:r w:rsidRPr="0082168C">
        <w:rPr>
          <w:rFonts w:eastAsia="Times New Roman"/>
          <w:iCs/>
          <w:sz w:val="24"/>
          <w:szCs w:val="24"/>
        </w:rPr>
        <w:t xml:space="preserve">, 157 Colo. 421, 402 P.2d 927 (1965); </w:t>
      </w:r>
      <w:r w:rsidRPr="0082168C">
        <w:rPr>
          <w:rFonts w:eastAsia="Times New Roman"/>
          <w:b/>
          <w:iCs/>
          <w:sz w:val="24"/>
          <w:szCs w:val="24"/>
        </w:rPr>
        <w:t>Miller v. Boma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0" w:name="a3_10"/>
      <w:bookmarkEnd w:id="10"/>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r w:rsidRPr="00037111">
        <w:rPr>
          <w:rFonts w:eastAsia="Times New Roman"/>
          <w:iCs/>
          <w:sz w:val="24"/>
          <w:szCs w:val="24"/>
        </w:rPr>
        <w:t>C.R.C.P.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1" w:name="a3_11"/>
      <w:bookmarkEnd w:id="11"/>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should be given immediately before or after the prior testimony has been properly admitted. As to when such prior testimony is admissible under the hearsay rule, see CRE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 C.R.C.P.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2" w:name="a3_12"/>
      <w:bookmarkEnd w:id="12"/>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Swaim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Gonzalez v. Windlan</w:t>
      </w:r>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2D721850" w:rsidR="009902F2" w:rsidRPr="009E3DA4" w:rsidRDefault="009902F2" w:rsidP="009902F2">
      <w:pPr>
        <w:spacing w:after="240"/>
        <w:ind w:left="720" w:hanging="720"/>
        <w:rPr>
          <w:rFonts w:eastAsia="Times New Roman"/>
          <w:b/>
          <w:sz w:val="24"/>
          <w:szCs w:val="24"/>
        </w:rPr>
      </w:pPr>
      <w:bookmarkStart w:id="13" w:name="a3_13"/>
      <w:bookmarkEnd w:id="13"/>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64ABBFD1" w14:textId="77B3702F" w:rsidR="00757718" w:rsidRDefault="00FA0293" w:rsidP="00757718">
      <w:pPr>
        <w:ind w:firstLine="720"/>
        <w:rPr>
          <w:rFonts w:eastAsia="Times New Roman"/>
          <w:sz w:val="24"/>
          <w:szCs w:val="24"/>
        </w:rPr>
      </w:pPr>
      <w:r>
        <w:rPr>
          <w:rFonts w:eastAsia="Times New Roman"/>
          <w:sz w:val="24"/>
          <w:szCs w:val="24"/>
        </w:rPr>
        <w:t>Instruction deleted.</w:t>
      </w:r>
    </w:p>
    <w:p w14:paraId="561B7DBC" w14:textId="77777777" w:rsidR="00FA0293" w:rsidRDefault="00FA0293" w:rsidP="00757718">
      <w:pPr>
        <w:ind w:firstLine="720"/>
        <w:rPr>
          <w:rFonts w:eastAsia="Times New Roman"/>
          <w:sz w:val="24"/>
          <w:szCs w:val="24"/>
        </w:rPr>
      </w:pPr>
    </w:p>
    <w:p w14:paraId="69E2F2D4" w14:textId="3CADDC3B"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w:t>
      </w:r>
    </w:p>
    <w:p w14:paraId="0736580E" w14:textId="30A23AC2" w:rsidR="00DE30F6" w:rsidRDefault="009902F2" w:rsidP="009902F2">
      <w:pPr>
        <w:spacing w:after="240"/>
        <w:ind w:firstLine="720"/>
        <w:rPr>
          <w:rFonts w:eastAsia="Times New Roman"/>
          <w:sz w:val="24"/>
          <w:szCs w:val="24"/>
        </w:rPr>
      </w:pPr>
      <w:r w:rsidRPr="009902F2">
        <w:rPr>
          <w:rFonts w:eastAsia="Times New Roman"/>
          <w:sz w:val="24"/>
          <w:szCs w:val="24"/>
        </w:rPr>
        <w:t xml:space="preserve">1. </w:t>
      </w:r>
      <w:r w:rsidR="00FA0293">
        <w:rPr>
          <w:rFonts w:eastAsia="Times New Roman"/>
          <w:bCs/>
          <w:sz w:val="24"/>
          <w:szCs w:val="24"/>
        </w:rPr>
        <w:t>Due to the range of circumstances surrounding the loss, destruction, or alteration of evidence and a trial court’s broad discretion in addressing those circumstances, the Committee has decided to withdraw the instruction that previously appeared here because it did not apply in all circumstances.</w:t>
      </w:r>
    </w:p>
    <w:p w14:paraId="497FBDEC" w14:textId="4B5DB86F" w:rsidR="00FA0293" w:rsidRPr="007A3970" w:rsidRDefault="00DE30F6" w:rsidP="00FA0293">
      <w:pPr>
        <w:spacing w:after="240"/>
        <w:ind w:firstLine="720"/>
        <w:rPr>
          <w:rFonts w:eastAsia="Times New Roman"/>
          <w:bCs/>
          <w:sz w:val="24"/>
          <w:szCs w:val="24"/>
        </w:rPr>
      </w:pPr>
      <w:r>
        <w:rPr>
          <w:rFonts w:eastAsia="Times New Roman"/>
          <w:sz w:val="24"/>
          <w:szCs w:val="24"/>
        </w:rPr>
        <w:t>2.</w:t>
      </w:r>
      <w:r w:rsidR="00FA0293" w:rsidRPr="00FA0293">
        <w:rPr>
          <w:rFonts w:eastAsia="Times New Roman"/>
          <w:sz w:val="24"/>
          <w:szCs w:val="24"/>
        </w:rPr>
        <w:t xml:space="preserve"> </w:t>
      </w:r>
      <w:r w:rsidR="00FA0293" w:rsidRPr="00DE30F6">
        <w:rPr>
          <w:rFonts w:eastAsia="Times New Roman"/>
          <w:sz w:val="24"/>
          <w:szCs w:val="24"/>
        </w:rPr>
        <w:t xml:space="preserve">Trial courts have broad discretion </w:t>
      </w:r>
      <w:r w:rsidR="00C31E3A">
        <w:rPr>
          <w:rFonts w:eastAsia="Times New Roman"/>
          <w:sz w:val="24"/>
          <w:szCs w:val="24"/>
        </w:rPr>
        <w:t>to</w:t>
      </w:r>
      <w:r w:rsidR="00FA0293" w:rsidRPr="00DE30F6">
        <w:rPr>
          <w:rFonts w:eastAsia="Times New Roman"/>
          <w:sz w:val="24"/>
          <w:szCs w:val="24"/>
        </w:rPr>
        <w:t xml:space="preserve"> determin</w:t>
      </w:r>
      <w:r w:rsidR="00C31E3A">
        <w:rPr>
          <w:rFonts w:eastAsia="Times New Roman"/>
          <w:sz w:val="24"/>
          <w:szCs w:val="24"/>
        </w:rPr>
        <w:t>e</w:t>
      </w:r>
      <w:r w:rsidR="00FA0293" w:rsidRPr="00DE30F6">
        <w:rPr>
          <w:rFonts w:eastAsia="Times New Roman"/>
          <w:sz w:val="24"/>
          <w:szCs w:val="24"/>
        </w:rPr>
        <w:t xml:space="preserve"> an appropriate sanction for spoliation. The sanction</w:t>
      </w:r>
      <w:r w:rsidR="00FA0293">
        <w:rPr>
          <w:rFonts w:eastAsia="Times New Roman"/>
          <w:sz w:val="24"/>
          <w:szCs w:val="24"/>
        </w:rPr>
        <w:t>, and any attendant instruction to the jury, depends on</w:t>
      </w:r>
      <w:r w:rsidR="00FA0293" w:rsidRPr="00DE30F6">
        <w:rPr>
          <w:rFonts w:eastAsia="Times New Roman"/>
          <w:sz w:val="24"/>
          <w:szCs w:val="24"/>
        </w:rPr>
        <w:t xml:space="preserve"> the nature of the spoliating party’s conduct</w:t>
      </w:r>
      <w:r w:rsidR="00FA0293">
        <w:rPr>
          <w:rFonts w:eastAsia="Times New Roman"/>
          <w:sz w:val="24"/>
          <w:szCs w:val="24"/>
        </w:rPr>
        <w:t>, including whether the spoliating party acted willfully or in bad faith, recklessly, or in a less egregious manner</w:t>
      </w:r>
      <w:r w:rsidR="00FA0293" w:rsidRPr="00DE30F6">
        <w:rPr>
          <w:rFonts w:eastAsia="Times New Roman"/>
          <w:sz w:val="24"/>
          <w:szCs w:val="24"/>
        </w:rPr>
        <w:t xml:space="preserve">. </w:t>
      </w:r>
      <w:r w:rsidR="00FA0293" w:rsidRPr="00DE30F6">
        <w:rPr>
          <w:rFonts w:eastAsia="Times New Roman"/>
          <w:i/>
          <w:sz w:val="24"/>
          <w:szCs w:val="24"/>
        </w:rPr>
        <w:t>See</w:t>
      </w:r>
      <w:r w:rsidR="00FA0293" w:rsidRPr="00DE30F6">
        <w:rPr>
          <w:rFonts w:eastAsia="Times New Roman"/>
          <w:sz w:val="24"/>
          <w:szCs w:val="24"/>
        </w:rPr>
        <w:t xml:space="preserve"> </w:t>
      </w:r>
      <w:r w:rsidR="00FA0293" w:rsidRPr="00A40260">
        <w:rPr>
          <w:rFonts w:eastAsia="Times New Roman"/>
          <w:b/>
          <w:sz w:val="24"/>
          <w:szCs w:val="24"/>
        </w:rPr>
        <w:t>Aloi v. Union Pac. R.R.</w:t>
      </w:r>
      <w:r w:rsidR="00FA0293">
        <w:rPr>
          <w:rFonts w:eastAsia="Times New Roman"/>
          <w:sz w:val="24"/>
          <w:szCs w:val="24"/>
        </w:rPr>
        <w:t xml:space="preserve">, 129 P.3d 999 (Colo. 2006); </w:t>
      </w:r>
      <w:r w:rsidR="00FA0293" w:rsidRPr="00DE30F6">
        <w:rPr>
          <w:rFonts w:eastAsia="Times New Roman"/>
          <w:b/>
          <w:sz w:val="24"/>
          <w:szCs w:val="24"/>
        </w:rPr>
        <w:t>Warembourg v. Excel Elec., Inc.</w:t>
      </w:r>
      <w:r w:rsidR="00FA0293" w:rsidRPr="00DE30F6">
        <w:rPr>
          <w:rFonts w:eastAsia="Times New Roman"/>
          <w:sz w:val="24"/>
          <w:szCs w:val="24"/>
        </w:rPr>
        <w:t xml:space="preserve">, </w:t>
      </w:r>
      <w:r w:rsidR="00FA0293">
        <w:rPr>
          <w:rFonts w:eastAsia="Times New Roman"/>
          <w:sz w:val="24"/>
          <w:szCs w:val="24"/>
        </w:rPr>
        <w:t>2020 COA 103, ¶¶ 53-57, 471 P.3d 1213</w:t>
      </w:r>
      <w:r w:rsidR="00FA0293" w:rsidRPr="00DE30F6">
        <w:rPr>
          <w:rFonts w:eastAsia="Times New Roman"/>
          <w:sz w:val="24"/>
          <w:szCs w:val="24"/>
        </w:rPr>
        <w:t>.</w:t>
      </w:r>
    </w:p>
    <w:p w14:paraId="428AA541" w14:textId="3438CAE1" w:rsidR="009902F2" w:rsidRPr="009902F2" w:rsidRDefault="00DE30F6" w:rsidP="009902F2">
      <w:pPr>
        <w:spacing w:after="240"/>
        <w:ind w:firstLine="720"/>
        <w:rPr>
          <w:rFonts w:eastAsia="Times New Roman"/>
          <w:sz w:val="24"/>
          <w:szCs w:val="24"/>
        </w:rPr>
      </w:pPr>
      <w:r>
        <w:rPr>
          <w:rFonts w:eastAsia="Times New Roman"/>
          <w:sz w:val="24"/>
          <w:szCs w:val="24"/>
        </w:rPr>
        <w:t xml:space="preserve"> </w:t>
      </w:r>
      <w:r w:rsidR="00FA0293">
        <w:rPr>
          <w:rFonts w:eastAsia="Times New Roman"/>
          <w:sz w:val="24"/>
          <w:szCs w:val="24"/>
        </w:rPr>
        <w:t xml:space="preserve">3. </w:t>
      </w:r>
      <w:r w:rsidR="009902F2" w:rsidRPr="009902F2">
        <w:rPr>
          <w:rFonts w:eastAsia="Times New Roman"/>
          <w:sz w:val="24"/>
          <w:szCs w:val="24"/>
        </w:rPr>
        <w:t xml:space="preserve">Before </w:t>
      </w:r>
      <w:r w:rsidR="004E5FFE">
        <w:rPr>
          <w:rFonts w:eastAsia="Times New Roman"/>
          <w:sz w:val="24"/>
          <w:szCs w:val="24"/>
        </w:rPr>
        <w:t>a</w:t>
      </w:r>
      <w:r w:rsidR="00FA0293">
        <w:rPr>
          <w:rFonts w:eastAsia="Times New Roman"/>
          <w:sz w:val="24"/>
          <w:szCs w:val="24"/>
        </w:rPr>
        <w:t>ny</w:t>
      </w:r>
      <w:r w:rsidR="004E5FFE">
        <w:rPr>
          <w:rFonts w:eastAsia="Times New Roman"/>
          <w:sz w:val="24"/>
          <w:szCs w:val="24"/>
        </w:rPr>
        <w:t xml:space="preserve"> spoliation</w:t>
      </w:r>
      <w:r w:rsidR="004E5FFE" w:rsidRPr="009902F2">
        <w:rPr>
          <w:rFonts w:eastAsia="Times New Roman"/>
          <w:sz w:val="24"/>
          <w:szCs w:val="24"/>
        </w:rPr>
        <w:t xml:space="preserve"> </w:t>
      </w:r>
      <w:r w:rsidR="009902F2" w:rsidRPr="009902F2">
        <w:rPr>
          <w:rFonts w:eastAsia="Times New Roman"/>
          <w:sz w:val="24"/>
          <w:szCs w:val="24"/>
        </w:rPr>
        <w:t xml:space="preserve">instruction is given, </w:t>
      </w:r>
      <w:r w:rsidR="004E5FFE">
        <w:rPr>
          <w:rFonts w:eastAsia="Times New Roman"/>
          <w:sz w:val="24"/>
          <w:szCs w:val="24"/>
        </w:rPr>
        <w:t>t</w:t>
      </w:r>
      <w:r w:rsidR="009902F2" w:rsidRPr="009902F2">
        <w:rPr>
          <w:rFonts w:eastAsia="Times New Roman"/>
          <w:sz w:val="24"/>
          <w:szCs w:val="24"/>
        </w:rPr>
        <w:t xml:space="preserve">he court must determine that the lost or destroyed evidence is relevant to the action and otherwise naturally would have been introduced into evidence. </w:t>
      </w:r>
      <w:r w:rsidR="009902F2" w:rsidRPr="009902F2">
        <w:rPr>
          <w:rFonts w:eastAsia="Times New Roman"/>
          <w:b/>
          <w:sz w:val="24"/>
          <w:szCs w:val="24"/>
        </w:rPr>
        <w:t>Aloi</w:t>
      </w:r>
      <w:r w:rsidR="009902F2" w:rsidRPr="009902F2">
        <w:rPr>
          <w:rFonts w:eastAsia="Times New Roman"/>
          <w:sz w:val="24"/>
          <w:szCs w:val="24"/>
        </w:rPr>
        <w:t xml:space="preserve">, 129 P.3d </w:t>
      </w:r>
      <w:r w:rsidR="00FA0293">
        <w:rPr>
          <w:rFonts w:eastAsia="Times New Roman"/>
          <w:sz w:val="24"/>
          <w:szCs w:val="24"/>
        </w:rPr>
        <w:t>at 1004</w:t>
      </w:r>
      <w:r w:rsidR="009902F2" w:rsidRPr="009902F2">
        <w:rPr>
          <w:rFonts w:eastAsia="Times New Roman"/>
          <w:sz w:val="24"/>
          <w:szCs w:val="24"/>
        </w:rPr>
        <w:t xml:space="preserve">. </w:t>
      </w:r>
    </w:p>
    <w:p w14:paraId="5BF27A37" w14:textId="0715D469" w:rsidR="009902F2" w:rsidRPr="009902F2" w:rsidRDefault="00FA0293" w:rsidP="009902F2">
      <w:pPr>
        <w:spacing w:after="240"/>
        <w:ind w:firstLine="720"/>
        <w:rPr>
          <w:rFonts w:eastAsia="Times New Roman"/>
          <w:sz w:val="24"/>
          <w:szCs w:val="24"/>
        </w:rPr>
      </w:pPr>
      <w:r>
        <w:rPr>
          <w:rFonts w:eastAsia="Times New Roman"/>
          <w:sz w:val="24"/>
          <w:szCs w:val="24"/>
        </w:rPr>
        <w:t>4</w:t>
      </w:r>
      <w:r w:rsidR="009902F2" w:rsidRPr="009902F2">
        <w:rPr>
          <w:rFonts w:eastAsia="Times New Roman"/>
          <w:sz w:val="24"/>
          <w:szCs w:val="24"/>
        </w:rPr>
        <w:t xml:space="preserve">. </w:t>
      </w:r>
      <w:r>
        <w:rPr>
          <w:rFonts w:eastAsia="Times New Roman"/>
          <w:sz w:val="24"/>
          <w:szCs w:val="24"/>
        </w:rPr>
        <w:t>If an instruction uses the term “inference,”</w:t>
      </w:r>
      <w:r w:rsidR="009902F2" w:rsidRPr="009902F2">
        <w:rPr>
          <w:rFonts w:eastAsia="Times New Roman"/>
          <w:sz w:val="24"/>
          <w:szCs w:val="24"/>
        </w:rPr>
        <w:t xml:space="preserve"> also use Instruction 3:8 defining inference. </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4" w:name="a3_14"/>
      <w:bookmarkEnd w:id="14"/>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650D693B"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14:paraId="4E8AFA76" w14:textId="77777777" w:rsidR="00531F87" w:rsidRDefault="00531F87"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4C1C4106" w14:textId="77777777"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72F76CE7" w14:textId="77777777"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5" w:name="a3_15"/>
      <w:bookmarkEnd w:id="15"/>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CRE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State">
        <w:smartTag w:uri="urn:schemas-microsoft-com:office:smarttags" w:element="plac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CRE 702, see </w:t>
      </w:r>
      <w:r w:rsidRPr="00531F87">
        <w:rPr>
          <w:rFonts w:eastAsia="Times New Roman"/>
          <w:b/>
          <w:iCs/>
          <w:sz w:val="24"/>
          <w:szCs w:val="24"/>
        </w:rPr>
        <w:t>Huntoon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McWilliams v. Garstin</w:t>
      </w:r>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6" w:name="a3_16"/>
      <w:bookmarkEnd w:id="16"/>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r w:rsidRPr="00F32AA4">
        <w:rPr>
          <w:rFonts w:eastAsia="Times New Roman"/>
          <w:b/>
          <w:iCs/>
          <w:sz w:val="24"/>
          <w:szCs w:val="24"/>
        </w:rPr>
        <w:t>Huntoon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r w:rsidRPr="00F32AA4">
        <w:rPr>
          <w:rFonts w:eastAsia="Times New Roman"/>
          <w:i/>
          <w:iCs/>
          <w:sz w:val="24"/>
          <w:szCs w:val="24"/>
        </w:rPr>
        <w:t>rev’d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7" w:name="a3_17"/>
      <w:bookmarkEnd w:id="17"/>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This instruction is supported by C.R.C.P.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ED32" w14:textId="77777777" w:rsidR="002447F9" w:rsidRDefault="002447F9" w:rsidP="0054263B">
      <w:r>
        <w:separator/>
      </w:r>
    </w:p>
    <w:p w14:paraId="59B460E4" w14:textId="77777777" w:rsidR="002447F9" w:rsidRDefault="002447F9"/>
  </w:endnote>
  <w:endnote w:type="continuationSeparator" w:id="0">
    <w:p w14:paraId="338B152B" w14:textId="77777777" w:rsidR="002447F9" w:rsidRDefault="002447F9" w:rsidP="0054263B">
      <w:r>
        <w:continuationSeparator/>
      </w:r>
    </w:p>
    <w:p w14:paraId="79B7DD2C" w14:textId="77777777" w:rsidR="002447F9" w:rsidRDefault="00244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B150D4">
          <w:rPr>
            <w:noProof/>
          </w:rPr>
          <w:t>20</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D7FE" w14:textId="77777777" w:rsidR="002447F9" w:rsidRDefault="002447F9" w:rsidP="0054263B">
      <w:r>
        <w:separator/>
      </w:r>
    </w:p>
    <w:p w14:paraId="032B1201" w14:textId="77777777" w:rsidR="002447F9" w:rsidRDefault="002447F9"/>
  </w:footnote>
  <w:footnote w:type="continuationSeparator" w:id="0">
    <w:p w14:paraId="0E541ED8" w14:textId="77777777" w:rsidR="002447F9" w:rsidRDefault="002447F9" w:rsidP="0054263B">
      <w:r>
        <w:continuationSeparator/>
      </w:r>
    </w:p>
    <w:p w14:paraId="4C2FF70C" w14:textId="77777777" w:rsidR="002447F9" w:rsidRDefault="002447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79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328A"/>
    <w:rsid w:val="00037111"/>
    <w:rsid w:val="00057725"/>
    <w:rsid w:val="00060E35"/>
    <w:rsid w:val="00075B87"/>
    <w:rsid w:val="00075E64"/>
    <w:rsid w:val="00085495"/>
    <w:rsid w:val="000921F1"/>
    <w:rsid w:val="000C6F97"/>
    <w:rsid w:val="000D24FE"/>
    <w:rsid w:val="000D3EE4"/>
    <w:rsid w:val="001117D9"/>
    <w:rsid w:val="00112770"/>
    <w:rsid w:val="001267B6"/>
    <w:rsid w:val="00142B1D"/>
    <w:rsid w:val="001903CB"/>
    <w:rsid w:val="001A2648"/>
    <w:rsid w:val="001E1490"/>
    <w:rsid w:val="001F401B"/>
    <w:rsid w:val="00200BA5"/>
    <w:rsid w:val="002065D8"/>
    <w:rsid w:val="0021368F"/>
    <w:rsid w:val="0022134E"/>
    <w:rsid w:val="00223286"/>
    <w:rsid w:val="002447F9"/>
    <w:rsid w:val="00257B26"/>
    <w:rsid w:val="002A23B0"/>
    <w:rsid w:val="002A40A1"/>
    <w:rsid w:val="002B0E7D"/>
    <w:rsid w:val="002E0970"/>
    <w:rsid w:val="002F143E"/>
    <w:rsid w:val="00310B6B"/>
    <w:rsid w:val="00312ECB"/>
    <w:rsid w:val="00331011"/>
    <w:rsid w:val="003314D1"/>
    <w:rsid w:val="00336CE4"/>
    <w:rsid w:val="00340E3D"/>
    <w:rsid w:val="00352111"/>
    <w:rsid w:val="0037178E"/>
    <w:rsid w:val="003937B8"/>
    <w:rsid w:val="003C675A"/>
    <w:rsid w:val="003C7DB9"/>
    <w:rsid w:val="003F108C"/>
    <w:rsid w:val="004066E2"/>
    <w:rsid w:val="00427068"/>
    <w:rsid w:val="00436771"/>
    <w:rsid w:val="004425AA"/>
    <w:rsid w:val="004530E2"/>
    <w:rsid w:val="00456038"/>
    <w:rsid w:val="00462445"/>
    <w:rsid w:val="00471618"/>
    <w:rsid w:val="00474D9F"/>
    <w:rsid w:val="00476646"/>
    <w:rsid w:val="00476E09"/>
    <w:rsid w:val="00482FF3"/>
    <w:rsid w:val="004C62F9"/>
    <w:rsid w:val="004E5FFE"/>
    <w:rsid w:val="004E7EF1"/>
    <w:rsid w:val="00531F87"/>
    <w:rsid w:val="0053375F"/>
    <w:rsid w:val="0054263B"/>
    <w:rsid w:val="0057193E"/>
    <w:rsid w:val="0059405E"/>
    <w:rsid w:val="005B3A78"/>
    <w:rsid w:val="006178B4"/>
    <w:rsid w:val="006204B2"/>
    <w:rsid w:val="006272FE"/>
    <w:rsid w:val="006311ED"/>
    <w:rsid w:val="006568CE"/>
    <w:rsid w:val="00661D05"/>
    <w:rsid w:val="00675252"/>
    <w:rsid w:val="006A74B6"/>
    <w:rsid w:val="006E0D06"/>
    <w:rsid w:val="006E3575"/>
    <w:rsid w:val="006E62F0"/>
    <w:rsid w:val="0070557F"/>
    <w:rsid w:val="007119D8"/>
    <w:rsid w:val="00711CA1"/>
    <w:rsid w:val="00721C85"/>
    <w:rsid w:val="007532AB"/>
    <w:rsid w:val="00757718"/>
    <w:rsid w:val="00760A2E"/>
    <w:rsid w:val="007924A1"/>
    <w:rsid w:val="007A612E"/>
    <w:rsid w:val="007A74B0"/>
    <w:rsid w:val="007E1675"/>
    <w:rsid w:val="007F47AD"/>
    <w:rsid w:val="007F7129"/>
    <w:rsid w:val="00815883"/>
    <w:rsid w:val="0082168C"/>
    <w:rsid w:val="00832DB4"/>
    <w:rsid w:val="00834CE7"/>
    <w:rsid w:val="00837F81"/>
    <w:rsid w:val="00853ECF"/>
    <w:rsid w:val="00873833"/>
    <w:rsid w:val="00875064"/>
    <w:rsid w:val="00897CF0"/>
    <w:rsid w:val="008A719A"/>
    <w:rsid w:val="008B1617"/>
    <w:rsid w:val="008E41F1"/>
    <w:rsid w:val="008E6E50"/>
    <w:rsid w:val="008E720F"/>
    <w:rsid w:val="008F4C42"/>
    <w:rsid w:val="00902A25"/>
    <w:rsid w:val="00914128"/>
    <w:rsid w:val="00935348"/>
    <w:rsid w:val="00935DA8"/>
    <w:rsid w:val="00943118"/>
    <w:rsid w:val="00951DE1"/>
    <w:rsid w:val="00955A99"/>
    <w:rsid w:val="0095709A"/>
    <w:rsid w:val="009902F2"/>
    <w:rsid w:val="009913C4"/>
    <w:rsid w:val="009A7406"/>
    <w:rsid w:val="009B2AE8"/>
    <w:rsid w:val="009B6746"/>
    <w:rsid w:val="009C00D9"/>
    <w:rsid w:val="009E20C7"/>
    <w:rsid w:val="009E3DA4"/>
    <w:rsid w:val="009F73FD"/>
    <w:rsid w:val="00A14D68"/>
    <w:rsid w:val="00A36457"/>
    <w:rsid w:val="00A5314C"/>
    <w:rsid w:val="00A67667"/>
    <w:rsid w:val="00A80C10"/>
    <w:rsid w:val="00AA100F"/>
    <w:rsid w:val="00AD51CD"/>
    <w:rsid w:val="00AE5A9C"/>
    <w:rsid w:val="00B150D4"/>
    <w:rsid w:val="00B37722"/>
    <w:rsid w:val="00B421C1"/>
    <w:rsid w:val="00B43DE7"/>
    <w:rsid w:val="00B567C1"/>
    <w:rsid w:val="00B579DF"/>
    <w:rsid w:val="00B70D68"/>
    <w:rsid w:val="00B72D6B"/>
    <w:rsid w:val="00B937E4"/>
    <w:rsid w:val="00BA1F23"/>
    <w:rsid w:val="00BC0E0F"/>
    <w:rsid w:val="00BE2B09"/>
    <w:rsid w:val="00BE654D"/>
    <w:rsid w:val="00BE6B9D"/>
    <w:rsid w:val="00BF781C"/>
    <w:rsid w:val="00C205BE"/>
    <w:rsid w:val="00C31E3A"/>
    <w:rsid w:val="00C40968"/>
    <w:rsid w:val="00C452F7"/>
    <w:rsid w:val="00C46C19"/>
    <w:rsid w:val="00C60E95"/>
    <w:rsid w:val="00C67C70"/>
    <w:rsid w:val="00C84E71"/>
    <w:rsid w:val="00CA41CC"/>
    <w:rsid w:val="00CC0502"/>
    <w:rsid w:val="00CC1AC8"/>
    <w:rsid w:val="00CC6A95"/>
    <w:rsid w:val="00CC7E17"/>
    <w:rsid w:val="00CD4A7D"/>
    <w:rsid w:val="00CE593D"/>
    <w:rsid w:val="00D06D8D"/>
    <w:rsid w:val="00D333AA"/>
    <w:rsid w:val="00D7096B"/>
    <w:rsid w:val="00DA3726"/>
    <w:rsid w:val="00DB2C90"/>
    <w:rsid w:val="00DB5EE0"/>
    <w:rsid w:val="00DC63A9"/>
    <w:rsid w:val="00DC66A6"/>
    <w:rsid w:val="00DE2930"/>
    <w:rsid w:val="00DE30F6"/>
    <w:rsid w:val="00DF3BF1"/>
    <w:rsid w:val="00DF4FED"/>
    <w:rsid w:val="00E058BA"/>
    <w:rsid w:val="00E25B9B"/>
    <w:rsid w:val="00E25C6F"/>
    <w:rsid w:val="00E31F38"/>
    <w:rsid w:val="00E7307E"/>
    <w:rsid w:val="00E75D5D"/>
    <w:rsid w:val="00E87C31"/>
    <w:rsid w:val="00E921A3"/>
    <w:rsid w:val="00E970B9"/>
    <w:rsid w:val="00EC17E3"/>
    <w:rsid w:val="00EC7C98"/>
    <w:rsid w:val="00ED06B1"/>
    <w:rsid w:val="00ED7176"/>
    <w:rsid w:val="00EF17C5"/>
    <w:rsid w:val="00F13404"/>
    <w:rsid w:val="00F32AA4"/>
    <w:rsid w:val="00F41152"/>
    <w:rsid w:val="00F764F4"/>
    <w:rsid w:val="00FA0293"/>
    <w:rsid w:val="00FA57E4"/>
    <w:rsid w:val="00FA7B76"/>
    <w:rsid w:val="00FC4361"/>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05694C"/>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74D9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47919899">
      <w:bodyDiv w:val="1"/>
      <w:marLeft w:val="0"/>
      <w:marRight w:val="0"/>
      <w:marTop w:val="0"/>
      <w:marBottom w:val="0"/>
      <w:divBdr>
        <w:top w:val="none" w:sz="0" w:space="0" w:color="auto"/>
        <w:left w:val="none" w:sz="0" w:space="0" w:color="auto"/>
        <w:bottom w:val="none" w:sz="0" w:space="0" w:color="auto"/>
        <w:right w:val="none" w:sz="0" w:space="0" w:color="auto"/>
      </w:divBdr>
      <w:divsChild>
        <w:div w:id="2108307861">
          <w:marLeft w:val="0"/>
          <w:marRight w:val="0"/>
          <w:marTop w:val="0"/>
          <w:marBottom w:val="0"/>
          <w:divBdr>
            <w:top w:val="none" w:sz="0" w:space="0" w:color="auto"/>
            <w:left w:val="none" w:sz="0" w:space="0" w:color="auto"/>
            <w:bottom w:val="none" w:sz="0" w:space="0" w:color="auto"/>
            <w:right w:val="none" w:sz="0" w:space="0" w:color="auto"/>
          </w:divBdr>
          <w:divsChild>
            <w:div w:id="1063678173">
              <w:marLeft w:val="0"/>
              <w:marRight w:val="0"/>
              <w:marTop w:val="0"/>
              <w:marBottom w:val="0"/>
              <w:divBdr>
                <w:top w:val="none" w:sz="0" w:space="0" w:color="auto"/>
                <w:left w:val="none" w:sz="0" w:space="0" w:color="auto"/>
                <w:bottom w:val="none" w:sz="0" w:space="0" w:color="auto"/>
                <w:right w:val="none" w:sz="0" w:space="0" w:color="auto"/>
              </w:divBdr>
              <w:divsChild>
                <w:div w:id="249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7832-F988-4CA7-B4F6-56EC4B7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3</cp:revision>
  <dcterms:created xsi:type="dcterms:W3CDTF">2024-01-09T19:34:00Z</dcterms:created>
  <dcterms:modified xsi:type="dcterms:W3CDTF">2024-01-09T19:37:00Z</dcterms:modified>
</cp:coreProperties>
</file>