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3042" w14:textId="0163B4F5" w:rsidR="00CA41CC" w:rsidRPr="00914128" w:rsidRDefault="0068336D" w:rsidP="00914128">
      <w:pPr>
        <w:pStyle w:val="Heading1"/>
      </w:pPr>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000000" w:rsidP="00E007F8">
      <w:pPr>
        <w:pStyle w:val="Heading1"/>
        <w:jc w:val="left"/>
        <w:rPr>
          <w:b w:val="0"/>
          <w:caps w:val="0"/>
        </w:rPr>
      </w:pPr>
      <w:hyperlink w:anchor="IntroNote" w:history="1">
        <w:r w:rsidR="00E007F8"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000000" w:rsidP="00914128">
      <w:pPr>
        <w:pStyle w:val="ToC"/>
      </w:pPr>
      <w:hyperlink w:anchor="a14_01" w:history="1">
        <w:r w:rsidR="005A22A6" w:rsidRPr="00BB344E">
          <w:rPr>
            <w:rStyle w:val="Hyperlink"/>
          </w:rPr>
          <w:t>14:1</w:t>
        </w:r>
      </w:hyperlink>
      <w:r w:rsidR="005A22A6" w:rsidRPr="00125209">
        <w:tab/>
        <w:t xml:space="preserve">Elements </w:t>
      </w:r>
      <w:r w:rsidR="005A22A6">
        <w:t>of</w:t>
      </w:r>
      <w:r w:rsidR="005A22A6" w:rsidRPr="00125209">
        <w:t xml:space="preserve"> Liability</w:t>
      </w:r>
    </w:p>
    <w:p w14:paraId="531A2119" w14:textId="77777777" w:rsidR="00BB344E" w:rsidRDefault="00000000" w:rsidP="00914128">
      <w:pPr>
        <w:pStyle w:val="ToC"/>
      </w:pPr>
      <w:hyperlink w:anchor="a14_02" w:history="1">
        <w:r w:rsidR="005A22A6" w:rsidRPr="00BB344E">
          <w:rPr>
            <w:rStyle w:val="Hyperlink"/>
          </w:rPr>
          <w:t>14:2</w:t>
        </w:r>
      </w:hyperlink>
      <w:r w:rsidR="005A22A6" w:rsidRPr="00BB344E">
        <w:tab/>
        <w:t>Manufacturer — Defined</w:t>
      </w:r>
    </w:p>
    <w:p w14:paraId="2C7493D3" w14:textId="77777777" w:rsidR="00BB344E" w:rsidRDefault="00000000" w:rsidP="00914128">
      <w:pPr>
        <w:pStyle w:val="ToC"/>
      </w:pPr>
      <w:hyperlink w:anchor="a14_03" w:history="1">
        <w:r w:rsidR="005A22A6" w:rsidRPr="00BB344E">
          <w:rPr>
            <w:rStyle w:val="Hyperlink"/>
          </w:rPr>
          <w:t>14:3</w:t>
        </w:r>
      </w:hyperlink>
      <w:r w:rsidR="005A22A6" w:rsidRPr="00BB344E">
        <w:tab/>
        <w:t>Defective, Unreasonably Dangerous — Defined</w:t>
      </w:r>
    </w:p>
    <w:p w14:paraId="0F57D408" w14:textId="77777777" w:rsidR="00BB344E" w:rsidRDefault="00000000" w:rsidP="00914128">
      <w:pPr>
        <w:pStyle w:val="ToC"/>
      </w:pPr>
      <w:hyperlink w:anchor="a14_04" w:history="1">
        <w:r w:rsidR="005A22A6" w:rsidRPr="00BB344E">
          <w:rPr>
            <w:rStyle w:val="Hyperlink"/>
          </w:rPr>
          <w:t>14:4</w:t>
        </w:r>
      </w:hyperlink>
      <w:r w:rsidR="005A22A6" w:rsidRPr="00BB344E">
        <w:tab/>
        <w:t xml:space="preserve">Warnings </w:t>
      </w:r>
      <w:r w:rsidR="005A22A6">
        <w:t>and</w:t>
      </w:r>
      <w:r w:rsidR="005A22A6" w:rsidRPr="00BB344E">
        <w:t xml:space="preserve"> Instructions</w:t>
      </w:r>
    </w:p>
    <w:p w14:paraId="376DEA3C" w14:textId="77777777" w:rsidR="00BB344E" w:rsidRDefault="00000000" w:rsidP="00914128">
      <w:pPr>
        <w:pStyle w:val="ToC"/>
      </w:pPr>
      <w:hyperlink w:anchor="a14_05" w:history="1">
        <w:r w:rsidR="005A22A6" w:rsidRPr="00BB344E">
          <w:rPr>
            <w:rStyle w:val="Hyperlink"/>
          </w:rPr>
          <w:t>14:5</w:t>
        </w:r>
      </w:hyperlink>
      <w:r w:rsidR="005A22A6" w:rsidRPr="00BB344E">
        <w:t xml:space="preserve"> </w:t>
      </w:r>
      <w:r w:rsidR="005A22A6" w:rsidRPr="00BB344E">
        <w:tab/>
        <w:t xml:space="preserve">Presumptions — Noncompliance </w:t>
      </w:r>
      <w:r w:rsidR="005A22A6">
        <w:t>with</w:t>
      </w:r>
      <w:r w:rsidR="005A22A6" w:rsidRPr="00BB344E">
        <w:t xml:space="preserve"> Governmental Standards</w:t>
      </w:r>
    </w:p>
    <w:p w14:paraId="0EBFC389" w14:textId="77777777" w:rsidR="00BB344E" w:rsidRDefault="00000000" w:rsidP="00914128">
      <w:pPr>
        <w:pStyle w:val="ToC"/>
      </w:pPr>
      <w:hyperlink w:anchor="a14_05A" w:history="1">
        <w:r w:rsidR="005A22A6" w:rsidRPr="00BB344E">
          <w:rPr>
            <w:rStyle w:val="Hyperlink"/>
          </w:rPr>
          <w:t>14:5</w:t>
        </w:r>
        <w:r w:rsidR="005A22A6">
          <w:rPr>
            <w:rStyle w:val="Hyperlink"/>
          </w:rPr>
          <w:t>A</w:t>
        </w:r>
      </w:hyperlink>
      <w:r w:rsidR="005A22A6" w:rsidRPr="00BB344E">
        <w:tab/>
        <w:t xml:space="preserve">Presumptions — Compliance </w:t>
      </w:r>
      <w:r w:rsidR="005A22A6">
        <w:t>with</w:t>
      </w:r>
      <w:r w:rsidR="005A22A6" w:rsidRPr="00BB344E">
        <w:t xml:space="preserve"> Governmental Standards</w:t>
      </w:r>
    </w:p>
    <w:p w14:paraId="6DBD1A09" w14:textId="77777777" w:rsidR="00BB344E" w:rsidRDefault="00000000" w:rsidP="00914128">
      <w:pPr>
        <w:pStyle w:val="ToC"/>
      </w:pPr>
      <w:hyperlink w:anchor="a14_05B" w:history="1">
        <w:r w:rsidR="005A22A6" w:rsidRPr="00BB344E">
          <w:rPr>
            <w:rStyle w:val="Hyperlink"/>
          </w:rPr>
          <w:t>14:5</w:t>
        </w:r>
        <w:r w:rsidR="005A22A6">
          <w:rPr>
            <w:rStyle w:val="Hyperlink"/>
          </w:rPr>
          <w:t>B</w:t>
        </w:r>
      </w:hyperlink>
      <w:r w:rsidR="005A22A6" w:rsidRPr="00BB344E">
        <w:tab/>
        <w:t xml:space="preserve">Presumptions — Ten-Year Use </w:t>
      </w:r>
      <w:r w:rsidR="005A22A6">
        <w:t>of</w:t>
      </w:r>
      <w:r w:rsidR="005A22A6" w:rsidRPr="00BB344E">
        <w:t xml:space="preserve"> Product</w:t>
      </w:r>
    </w:p>
    <w:p w14:paraId="0A9CBF1D" w14:textId="77777777" w:rsidR="004A32E6" w:rsidRDefault="00000000" w:rsidP="00914128">
      <w:pPr>
        <w:pStyle w:val="ToC"/>
      </w:pPr>
      <w:hyperlink w:anchor="a14_06" w:history="1">
        <w:r w:rsidR="005A22A6" w:rsidRPr="004A32E6">
          <w:rPr>
            <w:rStyle w:val="Hyperlink"/>
          </w:rPr>
          <w:t>14:6</w:t>
        </w:r>
      </w:hyperlink>
      <w:r w:rsidR="005A22A6" w:rsidRPr="004A32E6">
        <w:t xml:space="preserve"> </w:t>
      </w:r>
      <w:r w:rsidR="005A22A6" w:rsidRPr="004A32E6">
        <w:tab/>
        <w:t>State-</w:t>
      </w:r>
      <w:r w:rsidR="005A22A6">
        <w:t>of</w:t>
      </w:r>
      <w:r w:rsidR="005A22A6" w:rsidRPr="004A32E6">
        <w:t>-</w:t>
      </w:r>
      <w:r w:rsidR="005A22A6">
        <w:t>the</w:t>
      </w:r>
      <w:r w:rsidR="005A22A6" w:rsidRPr="004A32E6">
        <w:t>-Art</w:t>
      </w:r>
    </w:p>
    <w:p w14:paraId="3A5C681E" w14:textId="77777777" w:rsidR="004A32E6" w:rsidRPr="00BB344E" w:rsidRDefault="00000000" w:rsidP="00914128">
      <w:pPr>
        <w:pStyle w:val="ToC"/>
      </w:pPr>
      <w:hyperlink w:anchor="a14_07" w:history="1">
        <w:r w:rsidR="005A22A6" w:rsidRPr="004A32E6">
          <w:rPr>
            <w:rStyle w:val="Hyperlink"/>
          </w:rPr>
          <w:t>14:7</w:t>
        </w:r>
      </w:hyperlink>
      <w:r w:rsidR="005A22A6" w:rsidRPr="004A32E6">
        <w:t xml:space="preserve"> </w:t>
      </w:r>
      <w:r w:rsidR="005A22A6" w:rsidRPr="004A32E6">
        <w:tab/>
        <w:t xml:space="preserve">Damage Alone Not Proof Product Was Defective </w:t>
      </w:r>
      <w:r w:rsidR="005A22A6">
        <w:t>or</w:t>
      </w:r>
      <w:r w:rsidR="005A22A6"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000000" w:rsidP="00E007F8">
      <w:pPr>
        <w:pStyle w:val="ToC"/>
      </w:pPr>
      <w:hyperlink w:anchor="a14_08" w:history="1">
        <w:r w:rsidR="005A22A6" w:rsidRPr="004A32E6">
          <w:rPr>
            <w:rStyle w:val="Hyperlink"/>
          </w:rPr>
          <w:t>14:8</w:t>
        </w:r>
      </w:hyperlink>
      <w:r w:rsidR="005A22A6" w:rsidRPr="004A32E6">
        <w:t xml:space="preserve"> </w:t>
      </w:r>
      <w:r w:rsidR="005A22A6" w:rsidRPr="004A32E6">
        <w:tab/>
        <w:t xml:space="preserve">Breach </w:t>
      </w:r>
      <w:r w:rsidR="005A22A6">
        <w:t>of</w:t>
      </w:r>
      <w:r w:rsidR="005A22A6" w:rsidRPr="004A32E6">
        <w:t xml:space="preserve"> Express Warranty Under U.C.C. — Elements </w:t>
      </w:r>
      <w:r w:rsidR="005A22A6">
        <w:t>of</w:t>
      </w:r>
      <w:r w:rsidR="005A22A6" w:rsidRPr="004A32E6">
        <w:t xml:space="preserve"> Liability</w:t>
      </w:r>
    </w:p>
    <w:p w14:paraId="3E87BF33" w14:textId="77777777" w:rsidR="004A32E6" w:rsidRDefault="00000000" w:rsidP="00E007F8">
      <w:pPr>
        <w:pStyle w:val="ToC"/>
      </w:pPr>
      <w:hyperlink w:anchor="a14_09" w:history="1">
        <w:r w:rsidR="005A22A6" w:rsidRPr="004A32E6">
          <w:rPr>
            <w:rStyle w:val="Hyperlink"/>
          </w:rPr>
          <w:t>14:9</w:t>
        </w:r>
      </w:hyperlink>
      <w:r w:rsidR="005A22A6" w:rsidRPr="004A32E6">
        <w:t xml:space="preserve"> </w:t>
      </w:r>
      <w:r w:rsidR="005A22A6" w:rsidRPr="004A32E6">
        <w:tab/>
        <w:t>Express Warranty — Defined</w:t>
      </w:r>
    </w:p>
    <w:p w14:paraId="78BEE363" w14:textId="77777777" w:rsidR="00D90E67" w:rsidRDefault="00000000" w:rsidP="00E007F8">
      <w:pPr>
        <w:pStyle w:val="ToC"/>
      </w:pPr>
      <w:hyperlink w:anchor="a14_10" w:history="1">
        <w:r w:rsidR="005A22A6" w:rsidRPr="00D90E67">
          <w:rPr>
            <w:rStyle w:val="Hyperlink"/>
          </w:rPr>
          <w:t>14:10</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Merchantability — Elements </w:t>
      </w:r>
      <w:r w:rsidR="005A22A6">
        <w:t>of</w:t>
      </w:r>
      <w:r w:rsidR="005A22A6" w:rsidRPr="00D90E67">
        <w:t xml:space="preserve"> Liability</w:t>
      </w:r>
    </w:p>
    <w:p w14:paraId="4E264154" w14:textId="77777777" w:rsidR="00D90E67" w:rsidRDefault="00000000" w:rsidP="00E007F8">
      <w:pPr>
        <w:pStyle w:val="ToC"/>
      </w:pPr>
      <w:hyperlink w:anchor="a14_11" w:history="1">
        <w:r w:rsidR="005A22A6" w:rsidRPr="00D90E67">
          <w:rPr>
            <w:rStyle w:val="Hyperlink"/>
          </w:rPr>
          <w:t>14:11</w:t>
        </w:r>
      </w:hyperlink>
      <w:r w:rsidR="005A22A6" w:rsidRPr="00D90E67">
        <w:t xml:space="preserve"> </w:t>
      </w:r>
      <w:r w:rsidR="005A22A6" w:rsidRPr="00D90E67">
        <w:tab/>
        <w:t xml:space="preserve">Implied Warranty </w:t>
      </w:r>
      <w:r w:rsidR="005A22A6">
        <w:t>of</w:t>
      </w:r>
      <w:r w:rsidR="005A22A6" w:rsidRPr="00D90E67">
        <w:t xml:space="preserve"> Merchantability — Defined</w:t>
      </w:r>
    </w:p>
    <w:p w14:paraId="2CA510CE" w14:textId="77777777" w:rsidR="00D90E67" w:rsidRDefault="00000000" w:rsidP="00E007F8">
      <w:pPr>
        <w:pStyle w:val="ToC"/>
      </w:pPr>
      <w:hyperlink w:anchor="a14_12" w:history="1">
        <w:r w:rsidR="005A22A6" w:rsidRPr="00D90E67">
          <w:rPr>
            <w:rStyle w:val="Hyperlink"/>
          </w:rPr>
          <w:t>14:12</w:t>
        </w:r>
      </w:hyperlink>
      <w:r w:rsidR="005A22A6" w:rsidRPr="00D90E67">
        <w:t xml:space="preserve"> </w:t>
      </w:r>
      <w:r w:rsidR="005A22A6" w:rsidRPr="00D90E67">
        <w:tab/>
        <w:t xml:space="preserve">Implied Warranty </w:t>
      </w:r>
      <w:r w:rsidR="005A22A6">
        <w:t>of</w:t>
      </w:r>
      <w:r w:rsidR="005A22A6" w:rsidRPr="00D90E67">
        <w:t xml:space="preserve"> Wholesomeness </w:t>
      </w:r>
      <w:r w:rsidR="005A22A6">
        <w:t>of</w:t>
      </w:r>
      <w:r w:rsidR="005A22A6" w:rsidRPr="00D90E67">
        <w:t xml:space="preserve"> Food — Defined</w:t>
      </w:r>
    </w:p>
    <w:p w14:paraId="538267C8" w14:textId="77777777" w:rsidR="00D90E67" w:rsidRDefault="00000000" w:rsidP="00E007F8">
      <w:pPr>
        <w:pStyle w:val="ToC"/>
      </w:pPr>
      <w:hyperlink w:anchor="a14_13" w:history="1">
        <w:r w:rsidR="005A22A6" w:rsidRPr="00D90E67">
          <w:rPr>
            <w:rStyle w:val="Hyperlink"/>
          </w:rPr>
          <w:t>14:13</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Fitness </w:t>
      </w:r>
      <w:r w:rsidR="005A22A6">
        <w:t xml:space="preserve">for a </w:t>
      </w:r>
      <w:r w:rsidR="005A22A6" w:rsidRPr="00D90E67">
        <w:t xml:space="preserve">Particular Purpose — Elements </w:t>
      </w:r>
      <w:r w:rsidR="005A22A6">
        <w:t>of</w:t>
      </w:r>
      <w:r w:rsidR="005A22A6" w:rsidRPr="00D90E67">
        <w:t xml:space="preserve"> Liability</w:t>
      </w:r>
    </w:p>
    <w:p w14:paraId="4CD43F4B" w14:textId="77777777" w:rsidR="00D90E67" w:rsidRDefault="00000000" w:rsidP="00E007F8">
      <w:pPr>
        <w:pStyle w:val="ToC"/>
      </w:pPr>
      <w:hyperlink w:anchor="a14_14" w:history="1">
        <w:r w:rsidR="005A22A6" w:rsidRPr="00D90E67">
          <w:rPr>
            <w:rStyle w:val="Hyperlink"/>
          </w:rPr>
          <w:t>14:14</w:t>
        </w:r>
      </w:hyperlink>
      <w:r w:rsidR="005A22A6" w:rsidRPr="00D90E67">
        <w:t xml:space="preserve"> </w:t>
      </w:r>
      <w:r w:rsidR="005A22A6" w:rsidRPr="00D90E67">
        <w:tab/>
        <w:t xml:space="preserve">Implied Warranty </w:t>
      </w:r>
      <w:r w:rsidR="005A22A6">
        <w:t>of</w:t>
      </w:r>
      <w:r w:rsidR="005A22A6" w:rsidRPr="00D90E67">
        <w:t xml:space="preserve"> Fitness </w:t>
      </w:r>
      <w:r w:rsidR="005A22A6">
        <w:t xml:space="preserve">for a </w:t>
      </w:r>
      <w:r w:rsidR="005A22A6" w:rsidRPr="00D90E67">
        <w:t>Particular Purpose — Defined</w:t>
      </w:r>
    </w:p>
    <w:p w14:paraId="058CFFB5" w14:textId="77777777" w:rsidR="00E93068" w:rsidRDefault="00000000" w:rsidP="00E007F8">
      <w:pPr>
        <w:pStyle w:val="ToC"/>
      </w:pPr>
      <w:hyperlink w:anchor="a14_15" w:history="1">
        <w:r w:rsidR="005A22A6" w:rsidRPr="00E93068">
          <w:rPr>
            <w:rStyle w:val="Hyperlink"/>
          </w:rPr>
          <w:t>14:15</w:t>
        </w:r>
      </w:hyperlink>
      <w:r w:rsidR="005A22A6" w:rsidRPr="00E93068">
        <w:t xml:space="preserve"> </w:t>
      </w:r>
      <w:r w:rsidR="005A22A6" w:rsidRPr="00E93068">
        <w:tab/>
        <w:t xml:space="preserve">Notice </w:t>
      </w:r>
      <w:r w:rsidR="005A22A6">
        <w:t>of</w:t>
      </w:r>
      <w:r w:rsidR="005A22A6" w:rsidRPr="00E93068">
        <w:t xml:space="preserve"> Breach </w:t>
      </w:r>
      <w:r w:rsidR="005A22A6">
        <w:t>of</w:t>
      </w:r>
      <w:r w:rsidR="005A22A6" w:rsidRPr="00E93068">
        <w:t xml:space="preserve"> Warranty — What Constitutes</w:t>
      </w:r>
    </w:p>
    <w:p w14:paraId="0D3A85F8" w14:textId="77777777" w:rsidR="00E93068" w:rsidRDefault="00000000" w:rsidP="00E007F8">
      <w:pPr>
        <w:pStyle w:val="ToC"/>
      </w:pPr>
      <w:hyperlink w:anchor="a14_16" w:history="1">
        <w:r w:rsidR="005A22A6" w:rsidRPr="00E93068">
          <w:rPr>
            <w:rStyle w:val="Hyperlink"/>
          </w:rPr>
          <w:t>14:16</w:t>
        </w:r>
      </w:hyperlink>
      <w:r w:rsidR="005A22A6" w:rsidRPr="00E93068">
        <w:t xml:space="preserve"> </w:t>
      </w:r>
      <w:r w:rsidR="005A22A6" w:rsidRPr="00E93068">
        <w:tab/>
        <w:t xml:space="preserve">Implied Warranties — Creation </w:t>
      </w:r>
      <w:r w:rsidR="005A22A6">
        <w:t>and</w:t>
      </w:r>
      <w:r w:rsidR="005A22A6" w:rsidRPr="00E93068">
        <w:t xml:space="preserve"> Exclusion </w:t>
      </w:r>
      <w:r w:rsidR="005A22A6">
        <w:t>or</w:t>
      </w:r>
      <w:r w:rsidR="005A22A6"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000000" w:rsidP="00E007F8">
      <w:pPr>
        <w:pStyle w:val="ToC"/>
      </w:pPr>
      <w:hyperlink w:anchor="a14_17" w:history="1">
        <w:r w:rsidR="005A22A6" w:rsidRPr="00E93068">
          <w:rPr>
            <w:rStyle w:val="Hyperlink"/>
          </w:rPr>
          <w:t>14:17</w:t>
        </w:r>
      </w:hyperlink>
      <w:r w:rsidR="005A22A6" w:rsidRPr="00E93068">
        <w:t xml:space="preserve"> </w:t>
      </w:r>
      <w:r w:rsidR="005A22A6" w:rsidRPr="00E93068">
        <w:tab/>
        <w:t xml:space="preserve">Manufacturer’s Liability Based </w:t>
      </w:r>
      <w:r w:rsidR="005A22A6">
        <w:t>on</w:t>
      </w:r>
      <w:r w:rsidR="005A22A6" w:rsidRPr="00E93068">
        <w:t xml:space="preserve"> Negligence — Elements </w:t>
      </w:r>
      <w:r w:rsidR="005A22A6">
        <w:t>of</w:t>
      </w:r>
      <w:r w:rsidR="005A22A6" w:rsidRPr="00E93068">
        <w:t xml:space="preserve"> Liability</w:t>
      </w:r>
    </w:p>
    <w:p w14:paraId="4F713D5B" w14:textId="77777777" w:rsidR="00E93068" w:rsidRDefault="00000000" w:rsidP="00E007F8">
      <w:pPr>
        <w:pStyle w:val="ToC"/>
      </w:pPr>
      <w:hyperlink w:anchor="a14_18" w:history="1">
        <w:r w:rsidR="005A22A6" w:rsidRPr="00E93068">
          <w:rPr>
            <w:rStyle w:val="Hyperlink"/>
          </w:rPr>
          <w:t>14:18</w:t>
        </w:r>
      </w:hyperlink>
      <w:r w:rsidR="005A22A6" w:rsidRPr="00E93068">
        <w:t xml:space="preserve"> </w:t>
      </w:r>
      <w:r w:rsidR="005A22A6" w:rsidRPr="00E93068">
        <w:tab/>
        <w:t xml:space="preserve">Manufacturer’s Duty </w:t>
      </w:r>
      <w:r w:rsidR="005A22A6">
        <w:t>as</w:t>
      </w:r>
      <w:r w:rsidR="005A22A6" w:rsidRPr="00E93068">
        <w:t xml:space="preserve"> </w:t>
      </w:r>
      <w:r w:rsidR="005A22A6">
        <w:t>to</w:t>
      </w:r>
      <w:r w:rsidR="005A22A6" w:rsidRPr="00E93068">
        <w:t xml:space="preserve"> Parts Obtained </w:t>
      </w:r>
      <w:r w:rsidR="009C0C3F">
        <w:t>from</w:t>
      </w:r>
      <w:r w:rsidR="005A22A6" w:rsidRPr="00E93068">
        <w:t xml:space="preserve"> Other Sources</w:t>
      </w:r>
    </w:p>
    <w:p w14:paraId="464B9FFA" w14:textId="77777777" w:rsidR="00E93068" w:rsidRDefault="00000000" w:rsidP="00E007F8">
      <w:pPr>
        <w:pStyle w:val="ToC"/>
      </w:pPr>
      <w:hyperlink w:anchor="a14_19" w:history="1">
        <w:r w:rsidR="005A22A6" w:rsidRPr="00E93068">
          <w:rPr>
            <w:rStyle w:val="Hyperlink"/>
          </w:rPr>
          <w:t>14:19</w:t>
        </w:r>
      </w:hyperlink>
      <w:r w:rsidR="005A22A6" w:rsidRPr="00E93068">
        <w:t xml:space="preserve"> </w:t>
      </w:r>
      <w:r w:rsidR="005A22A6" w:rsidRPr="00E93068">
        <w:tab/>
        <w:t xml:space="preserve">Manufacturer’s/Seller’s Duty </w:t>
      </w:r>
      <w:r w:rsidR="005A22A6">
        <w:t>to</w:t>
      </w:r>
      <w:r w:rsidR="005A22A6" w:rsidRPr="00E93068">
        <w:t xml:space="preserve"> Warn</w:t>
      </w:r>
    </w:p>
    <w:p w14:paraId="5E452471" w14:textId="77777777" w:rsidR="00E93068" w:rsidRDefault="00000000" w:rsidP="00E007F8">
      <w:pPr>
        <w:pStyle w:val="ToC"/>
      </w:pPr>
      <w:hyperlink w:anchor="a14_20" w:history="1">
        <w:r w:rsidR="005A22A6" w:rsidRPr="00E93068">
          <w:rPr>
            <w:rStyle w:val="Hyperlink"/>
          </w:rPr>
          <w:t>14:20</w:t>
        </w:r>
      </w:hyperlink>
      <w:r w:rsidR="005A22A6" w:rsidRPr="00E93068">
        <w:t xml:space="preserve"> </w:t>
      </w:r>
      <w:r w:rsidR="005A22A6" w:rsidRPr="00E93068">
        <w:tab/>
        <w:t xml:space="preserve">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 Elements </w:t>
      </w:r>
      <w:r w:rsidR="005A22A6">
        <w:t>of</w:t>
      </w:r>
      <w:r w:rsidR="005A22A6" w:rsidRPr="00E93068">
        <w:t xml:space="preserve"> Liability</w:t>
      </w:r>
    </w:p>
    <w:p w14:paraId="1D93EF1A" w14:textId="77777777" w:rsidR="00E93068" w:rsidRDefault="00000000" w:rsidP="00E007F8">
      <w:pPr>
        <w:pStyle w:val="ToC"/>
      </w:pPr>
      <w:hyperlink w:anchor="a14_21" w:history="1">
        <w:r w:rsidR="005A22A6" w:rsidRPr="00E93068">
          <w:rPr>
            <w:rStyle w:val="Hyperlink"/>
          </w:rPr>
          <w:t>14:21</w:t>
        </w:r>
      </w:hyperlink>
      <w:r w:rsidR="005A22A6" w:rsidRPr="00E93068">
        <w:t xml:space="preserve"> </w:t>
      </w:r>
      <w:r w:rsidR="005A22A6" w:rsidRPr="00E93068">
        <w:tab/>
        <w:t xml:space="preserve">Prima Facie Negligence 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000000" w:rsidP="00E007F8">
      <w:pPr>
        <w:pStyle w:val="ToC"/>
      </w:pPr>
      <w:hyperlink w:anchor="a14_22" w:history="1">
        <w:r w:rsidR="005A22A6" w:rsidRPr="00E93068">
          <w:rPr>
            <w:rStyle w:val="Hyperlink"/>
          </w:rPr>
          <w:t>14:22</w:t>
        </w:r>
      </w:hyperlink>
      <w:r w:rsidR="005A22A6" w:rsidRPr="00E93068">
        <w:t xml:space="preserve"> </w:t>
      </w:r>
      <w:r w:rsidR="005A22A6" w:rsidRPr="00E93068">
        <w:tab/>
        <w:t xml:space="preserve">Elements </w:t>
      </w:r>
      <w:r w:rsidR="005A22A6">
        <w:t>of</w:t>
      </w:r>
      <w:r w:rsidR="005A22A6" w:rsidRPr="00E93068">
        <w:t xml:space="preserve"> Liability</w:t>
      </w:r>
    </w:p>
    <w:p w14:paraId="7D17CF80" w14:textId="77777777" w:rsidR="00E93068" w:rsidRDefault="00000000" w:rsidP="00E007F8">
      <w:pPr>
        <w:pStyle w:val="ToC"/>
      </w:pPr>
      <w:hyperlink w:anchor="a14_23" w:history="1">
        <w:r w:rsidR="005A22A6" w:rsidRPr="00E93068">
          <w:rPr>
            <w:rStyle w:val="Hyperlink"/>
          </w:rPr>
          <w:t>14:23</w:t>
        </w:r>
      </w:hyperlink>
      <w:r w:rsidR="005A22A6" w:rsidRPr="00E93068">
        <w:t xml:space="preserve"> </w:t>
      </w:r>
      <w:r w:rsidR="005A22A6" w:rsidRPr="00E93068">
        <w:tab/>
        <w:t xml:space="preserve">Misrepresentation </w:t>
      </w:r>
      <w:r w:rsidR="005A22A6">
        <w:t>of</w:t>
      </w:r>
      <w:r w:rsidR="005A22A6" w:rsidRPr="00E93068">
        <w:t xml:space="preserve"> Material Fact — Defined</w:t>
      </w:r>
    </w:p>
    <w:p w14:paraId="1580665A" w14:textId="77777777" w:rsidR="00E93068" w:rsidRDefault="00000000" w:rsidP="00E007F8">
      <w:pPr>
        <w:pStyle w:val="ToC"/>
      </w:pPr>
      <w:hyperlink w:anchor="a14_24" w:history="1">
        <w:r w:rsidR="005A22A6" w:rsidRPr="00E93068">
          <w:rPr>
            <w:rStyle w:val="Hyperlink"/>
          </w:rPr>
          <w:t>14:24</w:t>
        </w:r>
      </w:hyperlink>
      <w:r w:rsidR="005A22A6" w:rsidRPr="00E93068">
        <w:t xml:space="preserve"> </w:t>
      </w:r>
      <w:r w:rsidR="005A22A6"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000000" w:rsidP="00E007F8">
      <w:pPr>
        <w:pStyle w:val="ToC"/>
      </w:pPr>
      <w:hyperlink w:anchor="a14_25" w:history="1">
        <w:r w:rsidR="005A22A6" w:rsidRPr="00E93068">
          <w:rPr>
            <w:rStyle w:val="Hyperlink"/>
          </w:rPr>
          <w:t>14:25</w:t>
        </w:r>
      </w:hyperlink>
      <w:r w:rsidR="005A22A6" w:rsidRPr="00E93068">
        <w:t xml:space="preserve"> </w:t>
      </w:r>
      <w:r w:rsidR="005A22A6" w:rsidRPr="00E93068">
        <w:tab/>
        <w:t xml:space="preserve">Affirmative Defense — Unreasonable, Knowing Use </w:t>
      </w:r>
      <w:r w:rsidR="005A22A6">
        <w:t>of</w:t>
      </w:r>
      <w:r w:rsidR="005A22A6" w:rsidRPr="00E93068">
        <w:t xml:space="preserve"> Defective Product </w:t>
      </w:r>
      <w:r w:rsidR="005A22A6">
        <w:t>or</w:t>
      </w:r>
      <w:r w:rsidR="005A22A6" w:rsidRPr="00E93068">
        <w:t xml:space="preserve"> Product Not </w:t>
      </w:r>
      <w:r w:rsidR="009C0C3F">
        <w:t>in</w:t>
      </w:r>
      <w:r w:rsidR="005A22A6" w:rsidRPr="00E93068">
        <w:t xml:space="preserve"> Compliance </w:t>
      </w:r>
      <w:r w:rsidR="005A22A6">
        <w:t>with</w:t>
      </w:r>
      <w:r w:rsidR="005A22A6" w:rsidRPr="00E93068">
        <w:t xml:space="preserve"> Warranty</w:t>
      </w:r>
    </w:p>
    <w:p w14:paraId="6433F7BB" w14:textId="77777777" w:rsidR="00E93068" w:rsidRDefault="00000000" w:rsidP="00E007F8">
      <w:pPr>
        <w:pStyle w:val="ToC"/>
      </w:pPr>
      <w:hyperlink w:anchor="a14_26" w:history="1">
        <w:r w:rsidR="005A22A6" w:rsidRPr="00E93068">
          <w:rPr>
            <w:rStyle w:val="Hyperlink"/>
          </w:rPr>
          <w:t>14:26</w:t>
        </w:r>
      </w:hyperlink>
      <w:r w:rsidR="005A22A6" w:rsidRPr="00E93068">
        <w:t xml:space="preserve"> </w:t>
      </w:r>
      <w:r w:rsidR="005A22A6" w:rsidRPr="00E93068">
        <w:tab/>
        <w:t xml:space="preserve">Affirmative Defense — Risk </w:t>
      </w:r>
      <w:r w:rsidR="005A22A6">
        <w:t>of</w:t>
      </w:r>
      <w:r w:rsidR="005A22A6" w:rsidRPr="00E93068">
        <w:t xml:space="preserve"> </w:t>
      </w:r>
      <w:r w:rsidR="009C0C3F">
        <w:t>an</w:t>
      </w:r>
      <w:r w:rsidR="005A22A6" w:rsidRPr="00E93068">
        <w:t xml:space="preserve"> Unavoidably Unsafe Product</w:t>
      </w:r>
    </w:p>
    <w:p w14:paraId="38B3A437" w14:textId="77777777" w:rsidR="00E93068" w:rsidRDefault="00000000" w:rsidP="00E007F8">
      <w:pPr>
        <w:pStyle w:val="ToC"/>
      </w:pPr>
      <w:hyperlink w:anchor="a14_27" w:history="1">
        <w:r w:rsidR="005A22A6" w:rsidRPr="00E93068">
          <w:rPr>
            <w:rStyle w:val="Hyperlink"/>
          </w:rPr>
          <w:t>14:27</w:t>
        </w:r>
      </w:hyperlink>
      <w:r w:rsidR="005A22A6" w:rsidRPr="00E93068">
        <w:t xml:space="preserve"> </w:t>
      </w:r>
      <w:r w:rsidR="005A22A6" w:rsidRPr="00E93068">
        <w:tab/>
        <w:t xml:space="preserve">Affirmative Defense — Misuse </w:t>
      </w:r>
      <w:r w:rsidR="005A22A6">
        <w:t>of</w:t>
      </w:r>
      <w:r w:rsidR="005A22A6" w:rsidRPr="00E93068">
        <w:t xml:space="preserve"> Product</w:t>
      </w:r>
    </w:p>
    <w:p w14:paraId="5EAF9F4E" w14:textId="77777777" w:rsidR="00E93068" w:rsidRDefault="00000000" w:rsidP="00E007F8">
      <w:pPr>
        <w:pStyle w:val="ToC"/>
      </w:pPr>
      <w:hyperlink w:anchor="a14_28" w:history="1">
        <w:r w:rsidR="005A22A6" w:rsidRPr="00E93068">
          <w:rPr>
            <w:rStyle w:val="Hyperlink"/>
          </w:rPr>
          <w:t>14:28</w:t>
        </w:r>
      </w:hyperlink>
      <w:r w:rsidR="005A22A6" w:rsidRPr="00E93068">
        <w:t xml:space="preserve"> </w:t>
      </w:r>
      <w:r w:rsidR="005A22A6" w:rsidRPr="00E93068">
        <w:tab/>
        <w:t xml:space="preserve">Affirmative Defense — Comparative Fault Based </w:t>
      </w:r>
      <w:r w:rsidR="005A22A6">
        <w:t>on</w:t>
      </w:r>
      <w:r w:rsidR="005A22A6" w:rsidRPr="00E93068">
        <w:t xml:space="preserve"> Unreasonable, Knowing Use </w:t>
      </w:r>
      <w:r w:rsidR="005A22A6">
        <w:t>of</w:t>
      </w:r>
      <w:r w:rsidR="005A22A6" w:rsidRPr="00E93068">
        <w:t xml:space="preserve"> Product Involving Negligently Created Risk, Product Not </w:t>
      </w:r>
      <w:r w:rsidR="009C0C3F">
        <w:t>in</w:t>
      </w:r>
      <w:r w:rsidR="005A22A6" w:rsidRPr="00E93068">
        <w:t xml:space="preserve"> Compliance </w:t>
      </w:r>
      <w:r w:rsidR="005A22A6">
        <w:t>with</w:t>
      </w:r>
      <w:r w:rsidR="005A22A6" w:rsidRPr="00E93068">
        <w:t xml:space="preserve"> Warranty, </w:t>
      </w:r>
      <w:r w:rsidR="005A22A6">
        <w:t>or</w:t>
      </w:r>
      <w:r w:rsidR="005A22A6" w:rsidRPr="00E93068">
        <w:t xml:space="preserve"> Defective </w:t>
      </w:r>
      <w:r w:rsidR="005A22A6">
        <w:t>or</w:t>
      </w:r>
      <w:r w:rsidR="005A22A6" w:rsidRPr="00E93068">
        <w:t xml:space="preserve"> Misrepresented Product</w:t>
      </w:r>
    </w:p>
    <w:p w14:paraId="127F5E90" w14:textId="77777777" w:rsidR="00E93068" w:rsidRDefault="00000000" w:rsidP="00E007F8">
      <w:pPr>
        <w:pStyle w:val="ToC"/>
      </w:pPr>
      <w:hyperlink w:anchor="a14_29" w:history="1">
        <w:r w:rsidR="005A22A6" w:rsidRPr="00E93068">
          <w:rPr>
            <w:rStyle w:val="Hyperlink"/>
          </w:rPr>
          <w:t>14:29</w:t>
        </w:r>
      </w:hyperlink>
      <w:r w:rsidR="005A22A6" w:rsidRPr="00E93068">
        <w:t xml:space="preserve"> </w:t>
      </w:r>
      <w:r w:rsidR="005A22A6" w:rsidRPr="00E93068">
        <w:tab/>
        <w:t xml:space="preserve">Affirmative Defense — Comparative Fault Based </w:t>
      </w:r>
      <w:r w:rsidR="005A22A6">
        <w:t>on</w:t>
      </w:r>
      <w:r w:rsidR="005A22A6" w:rsidRPr="00E93068">
        <w:t xml:space="preserve"> Negligence</w:t>
      </w:r>
    </w:p>
    <w:p w14:paraId="3B5B6B04" w14:textId="77777777" w:rsidR="00E93068" w:rsidRDefault="00000000" w:rsidP="00E007F8">
      <w:pPr>
        <w:pStyle w:val="ToC"/>
      </w:pPr>
      <w:hyperlink w:anchor="a14_30" w:history="1">
        <w:r w:rsidR="005A22A6" w:rsidRPr="00E93068">
          <w:rPr>
            <w:rStyle w:val="Hyperlink"/>
          </w:rPr>
          <w:t>14:30</w:t>
        </w:r>
      </w:hyperlink>
      <w:r w:rsidR="005A22A6" w:rsidRPr="00E93068">
        <w:t xml:space="preserve"> </w:t>
      </w:r>
      <w:r w:rsidR="005A22A6" w:rsidRPr="00E93068">
        <w:tab/>
        <w:t xml:space="preserve">Comparative Fault — Elements </w:t>
      </w:r>
      <w:r w:rsidR="005A22A6">
        <w:t>and</w:t>
      </w:r>
      <w:r w:rsidR="005A22A6" w:rsidRPr="00E93068">
        <w:t xml:space="preserve"> Effect — No Counterclaim — Single Defendant</w:t>
      </w:r>
    </w:p>
    <w:p w14:paraId="3D2554D7" w14:textId="77777777" w:rsidR="00E93068" w:rsidRDefault="00000000" w:rsidP="00A76341">
      <w:pPr>
        <w:pStyle w:val="ToC"/>
        <w:ind w:left="1080" w:hanging="1080"/>
      </w:pPr>
      <w:hyperlink w:anchor="a14_30A" w:history="1">
        <w:r w:rsidR="005A22A6" w:rsidRPr="00E93068">
          <w:rPr>
            <w:rStyle w:val="Hyperlink"/>
          </w:rPr>
          <w:t>14:30</w:t>
        </w:r>
        <w:r w:rsidR="005A22A6">
          <w:rPr>
            <w:rStyle w:val="Hyperlink"/>
          </w:rPr>
          <w:t>A</w:t>
        </w:r>
      </w:hyperlink>
      <w:r w:rsidR="005A22A6" w:rsidRPr="00E93068">
        <w:tab/>
        <w:t xml:space="preserve">Special Verdict — Mechanics </w:t>
      </w:r>
      <w:r w:rsidR="005A22A6">
        <w:t>for</w:t>
      </w:r>
      <w:r w:rsidR="005A22A6" w:rsidRPr="00E93068">
        <w:t xml:space="preserve"> Submitting — No Counterclaim — Single Defendant</w:t>
      </w:r>
    </w:p>
    <w:p w14:paraId="5C349485" w14:textId="77777777" w:rsidR="00335934" w:rsidRDefault="00000000" w:rsidP="00A76341">
      <w:pPr>
        <w:pStyle w:val="ToC"/>
        <w:ind w:left="1080" w:hanging="1080"/>
      </w:pPr>
      <w:hyperlink w:anchor="a14_30B" w:history="1">
        <w:r w:rsidR="005A22A6" w:rsidRPr="00335934">
          <w:rPr>
            <w:rStyle w:val="Hyperlink"/>
          </w:rPr>
          <w:t>14:30</w:t>
        </w:r>
        <w:r w:rsidR="005A22A6">
          <w:rPr>
            <w:rStyle w:val="Hyperlink"/>
          </w:rPr>
          <w:t>B</w:t>
        </w:r>
      </w:hyperlink>
      <w:r w:rsidR="005A22A6" w:rsidRPr="00335934">
        <w:tab/>
        <w:t xml:space="preserve">Special Verdict Forms — No Counterclaim — Single Defendant — Forms A, B, </w:t>
      </w:r>
      <w:r w:rsidR="005A22A6">
        <w:t>and</w:t>
      </w:r>
      <w:r w:rsidR="005A22A6" w:rsidRPr="00335934">
        <w:t xml:space="preserve"> C</w:t>
      </w:r>
    </w:p>
    <w:p w14:paraId="6832990A" w14:textId="77777777" w:rsidR="00335934" w:rsidRDefault="00000000" w:rsidP="00A76341">
      <w:pPr>
        <w:pStyle w:val="ToC"/>
        <w:ind w:left="1080" w:hanging="1080"/>
      </w:pPr>
      <w:hyperlink w:anchor="a14_31" w:history="1">
        <w:r w:rsidR="005A22A6" w:rsidRPr="00335934">
          <w:rPr>
            <w:rStyle w:val="Hyperlink"/>
          </w:rPr>
          <w:t>14:31</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Multiple Defendants</w:t>
      </w:r>
    </w:p>
    <w:p w14:paraId="782615F5" w14:textId="77777777" w:rsidR="00335934" w:rsidRDefault="00000000" w:rsidP="00A76341">
      <w:pPr>
        <w:pStyle w:val="ToC"/>
        <w:ind w:left="1080" w:hanging="1080"/>
      </w:pPr>
      <w:hyperlink w:anchor="a14_31A" w:history="1">
        <w:r w:rsidR="005A22A6" w:rsidRPr="00335934">
          <w:rPr>
            <w:rStyle w:val="Hyperlink"/>
          </w:rPr>
          <w:t>14:31</w:t>
        </w:r>
        <w:r w:rsidR="005A22A6">
          <w:rPr>
            <w:rStyle w:val="Hyperlink"/>
          </w:rPr>
          <w:t>A</w:t>
        </w:r>
      </w:hyperlink>
      <w:r w:rsidR="005A22A6" w:rsidRPr="00335934">
        <w:tab/>
        <w:t xml:space="preserve">Special Verdict — Mechanics </w:t>
      </w:r>
      <w:r w:rsidR="005A22A6">
        <w:t>for</w:t>
      </w:r>
      <w:r w:rsidR="005A22A6" w:rsidRPr="00335934">
        <w:t xml:space="preserve"> Submitting — No Counterclaim — Multiple Defendants</w:t>
      </w:r>
    </w:p>
    <w:p w14:paraId="68254579" w14:textId="77777777" w:rsidR="00335934" w:rsidRDefault="00000000" w:rsidP="00A76341">
      <w:pPr>
        <w:pStyle w:val="ToC"/>
        <w:ind w:left="1080" w:hanging="1080"/>
      </w:pPr>
      <w:hyperlink w:anchor="a14_31B" w:history="1">
        <w:r w:rsidR="005A22A6" w:rsidRPr="00335934">
          <w:rPr>
            <w:rStyle w:val="Hyperlink"/>
          </w:rPr>
          <w:t>14:31</w:t>
        </w:r>
        <w:r w:rsidR="005A22A6">
          <w:rPr>
            <w:rStyle w:val="Hyperlink"/>
          </w:rPr>
          <w:t>B</w:t>
        </w:r>
      </w:hyperlink>
      <w:r w:rsidR="005A22A6" w:rsidRPr="00335934">
        <w:tab/>
        <w:t xml:space="preserve">Special Verdict Forms — No Counterclaim — Multiple Defendants — Forms A, B, </w:t>
      </w:r>
      <w:r w:rsidR="005A22A6">
        <w:t>and</w:t>
      </w:r>
      <w:r w:rsidR="005A22A6" w:rsidRPr="00335934">
        <w:t xml:space="preserve"> C</w:t>
      </w:r>
    </w:p>
    <w:p w14:paraId="78E71B54" w14:textId="77777777" w:rsidR="00335934" w:rsidRDefault="00000000" w:rsidP="00A76341">
      <w:pPr>
        <w:pStyle w:val="ToC"/>
        <w:ind w:left="1080" w:hanging="1080"/>
      </w:pPr>
      <w:hyperlink w:anchor="a14_32" w:history="1">
        <w:r w:rsidR="005A22A6" w:rsidRPr="00335934">
          <w:rPr>
            <w:rStyle w:val="Hyperlink"/>
          </w:rPr>
          <w:t>14:32</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Single Defendant — Designated Nonparty </w:t>
      </w:r>
      <w:r w:rsidR="005A22A6">
        <w:t>or</w:t>
      </w:r>
      <w:r w:rsidR="005A22A6" w:rsidRPr="00335934">
        <w:t xml:space="preserve"> Nonparties Involved</w:t>
      </w:r>
    </w:p>
    <w:p w14:paraId="551066B1" w14:textId="77777777" w:rsidR="004A1210" w:rsidRDefault="00000000" w:rsidP="00A76341">
      <w:pPr>
        <w:pStyle w:val="ToC"/>
        <w:ind w:left="1080" w:hanging="1080"/>
      </w:pPr>
      <w:hyperlink w:anchor="a14_32A" w:history="1">
        <w:r w:rsidR="005A22A6" w:rsidRPr="004A1210">
          <w:rPr>
            <w:rStyle w:val="Hyperlink"/>
          </w:rPr>
          <w:t>14:32</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Single Defendant — Designated Nonparty </w:t>
      </w:r>
      <w:r w:rsidR="005A22A6">
        <w:t>or</w:t>
      </w:r>
      <w:r w:rsidR="005A22A6" w:rsidRPr="004A1210">
        <w:t xml:space="preserve"> Nonparties Involved</w:t>
      </w:r>
    </w:p>
    <w:p w14:paraId="714073D5" w14:textId="77777777" w:rsidR="004A1210" w:rsidRDefault="00000000" w:rsidP="00A76341">
      <w:pPr>
        <w:pStyle w:val="ToC"/>
        <w:ind w:left="1080" w:hanging="1080"/>
      </w:pPr>
      <w:hyperlink w:anchor="a14_32B" w:history="1">
        <w:r w:rsidR="005A22A6" w:rsidRPr="004A1210">
          <w:rPr>
            <w:rStyle w:val="Hyperlink"/>
          </w:rPr>
          <w:t>14:32</w:t>
        </w:r>
        <w:r w:rsidR="005A22A6">
          <w:rPr>
            <w:rStyle w:val="Hyperlink"/>
          </w:rPr>
          <w:t>B</w:t>
        </w:r>
      </w:hyperlink>
      <w:r w:rsidR="005A22A6">
        <w:tab/>
      </w:r>
      <w:r w:rsidR="005A22A6" w:rsidRPr="004A1210">
        <w:t xml:space="preserve">Special Verdict Forms — No Counterclaim — Single Defendant — Designated Nonparty </w:t>
      </w:r>
      <w:r w:rsidR="005A22A6">
        <w:t>or</w:t>
      </w:r>
      <w:r w:rsidR="005A22A6" w:rsidRPr="004A1210">
        <w:t xml:space="preserve"> Nonparties Involved — Forms A, B, </w:t>
      </w:r>
      <w:r w:rsidR="005A22A6">
        <w:t>and</w:t>
      </w:r>
      <w:r w:rsidR="005A22A6" w:rsidRPr="004A1210">
        <w:t xml:space="preserve"> C</w:t>
      </w:r>
    </w:p>
    <w:p w14:paraId="50A8A2EC" w14:textId="77777777" w:rsidR="004A1210" w:rsidRDefault="00000000" w:rsidP="00A76341">
      <w:pPr>
        <w:pStyle w:val="ToC"/>
        <w:ind w:left="1080" w:hanging="1080"/>
      </w:pPr>
      <w:hyperlink w:anchor="a14_33" w:history="1">
        <w:r w:rsidR="005A22A6" w:rsidRPr="004A1210">
          <w:rPr>
            <w:rStyle w:val="Hyperlink"/>
          </w:rPr>
          <w:t>14:33</w:t>
        </w:r>
      </w:hyperlink>
      <w:r w:rsidR="005A22A6" w:rsidRPr="004A1210">
        <w:t xml:space="preserve"> </w:t>
      </w:r>
      <w:r w:rsidR="005A22A6" w:rsidRPr="004A1210">
        <w:tab/>
        <w:t xml:space="preserve">Comparative Fault — Elements </w:t>
      </w:r>
      <w:r w:rsidR="005A22A6">
        <w:t>and</w:t>
      </w:r>
      <w:r w:rsidR="005A22A6" w:rsidRPr="004A1210">
        <w:t xml:space="preserve"> Effect — Multiple Defendants — Designated Nonparty </w:t>
      </w:r>
      <w:r w:rsidR="005A22A6">
        <w:t>or</w:t>
      </w:r>
      <w:r w:rsidR="005A22A6" w:rsidRPr="004A1210">
        <w:t xml:space="preserve"> Nonparties Involved</w:t>
      </w:r>
    </w:p>
    <w:p w14:paraId="707F0AFA" w14:textId="77777777" w:rsidR="004A1210" w:rsidRDefault="00000000" w:rsidP="00A76341">
      <w:pPr>
        <w:pStyle w:val="ToC"/>
        <w:ind w:left="1080" w:hanging="1080"/>
      </w:pPr>
      <w:hyperlink w:anchor="a14_33A" w:history="1">
        <w:r w:rsidR="005A22A6" w:rsidRPr="004A1210">
          <w:rPr>
            <w:rStyle w:val="Hyperlink"/>
          </w:rPr>
          <w:t>14:33</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Multiple Defendants — Designated Nonparty </w:t>
      </w:r>
      <w:r w:rsidR="005A22A6">
        <w:t>or</w:t>
      </w:r>
      <w:r w:rsidR="005A22A6" w:rsidRPr="004A1210">
        <w:t xml:space="preserve"> Nonparties Involved</w:t>
      </w:r>
    </w:p>
    <w:p w14:paraId="54D51174" w14:textId="77777777" w:rsidR="004A1210" w:rsidRDefault="00000000" w:rsidP="00A76341">
      <w:pPr>
        <w:pStyle w:val="ToC"/>
        <w:ind w:left="1080" w:hanging="1080"/>
      </w:pPr>
      <w:hyperlink w:anchor="a14_33B" w:history="1">
        <w:r w:rsidR="005A22A6" w:rsidRPr="004A1210">
          <w:rPr>
            <w:rStyle w:val="Hyperlink"/>
          </w:rPr>
          <w:t>14:33</w:t>
        </w:r>
        <w:r w:rsidR="005A22A6">
          <w:rPr>
            <w:rStyle w:val="Hyperlink"/>
          </w:rPr>
          <w:t>B</w:t>
        </w:r>
      </w:hyperlink>
      <w:r w:rsidR="005A22A6" w:rsidRPr="004A1210">
        <w:tab/>
        <w:t xml:space="preserve">Special Verdict Forms — No Counterclaim — Multiple Defendants — Designated Nonparty </w:t>
      </w:r>
      <w:r w:rsidR="005A22A6">
        <w:t>or</w:t>
      </w:r>
      <w:r w:rsidR="005A22A6" w:rsidRPr="004A1210">
        <w:t xml:space="preserve"> Nonparties Involved — Forms A, B, </w:t>
      </w:r>
      <w:r w:rsidR="005A22A6">
        <w:t>and</w:t>
      </w:r>
      <w:r w:rsidR="005A22A6"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White v. Rose</w:t>
      </w:r>
      <w:r w:rsidRPr="007340B5">
        <w:rPr>
          <w:rFonts w:eastAsia="Times New Roman"/>
          <w:sz w:val="24"/>
          <w:szCs w:val="24"/>
        </w:rPr>
        <w:t xml:space="preserve">, 241 F.2d 94 (10th Cir. 1957) (imposing privity requirement under Colorado law); </w:t>
      </w:r>
      <w:r w:rsidRPr="007340B5">
        <w:rPr>
          <w:rFonts w:eastAsia="Times New Roman"/>
          <w:b/>
          <w:sz w:val="24"/>
          <w:szCs w:val="24"/>
        </w:rPr>
        <w:t>Senter v. B.F. Goodrich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127 F. Supp. 705 (D. Colo. 1954) (same);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w:t>
      </w:r>
      <w:r w:rsidRPr="007340B5">
        <w:rPr>
          <w:rFonts w:eastAsia="Times New Roman"/>
          <w:sz w:val="24"/>
          <w:szCs w:val="24"/>
        </w:rPr>
        <w:lastRenderedPageBreak/>
        <w:t xml:space="preserve">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4288EA2B"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w:t>
      </w:r>
      <w:r w:rsidR="0004215F">
        <w:rPr>
          <w:rFonts w:eastAsia="Times New Roman"/>
          <w:sz w:val="24"/>
          <w:szCs w:val="24"/>
        </w:rPr>
        <w:t xml:space="preserve">at </w:t>
      </w:r>
      <w:r w:rsidRPr="007340B5">
        <w:rPr>
          <w:rFonts w:eastAsia="Times New Roman"/>
          <w:sz w:val="24"/>
          <w:szCs w:val="24"/>
        </w:rPr>
        <w:t xml:space="preserve">565-66; </w:t>
      </w:r>
      <w:r w:rsidRPr="007340B5">
        <w:rPr>
          <w:rFonts w:eastAsia="Times New Roman"/>
          <w:i/>
          <w:sz w:val="24"/>
          <w:szCs w:val="24"/>
        </w:rPr>
        <w:t>see</w:t>
      </w:r>
      <w:r w:rsidRPr="007340B5">
        <w:rPr>
          <w:rFonts w:eastAsia="Times New Roman"/>
          <w:sz w:val="24"/>
          <w:szCs w:val="24"/>
        </w:rPr>
        <w:t xml:space="preserve"> Instruction 14:29 (comparative fault based on negligence).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Huffman v. Caterpillar Tractor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908 F.2d 1470 (10th Cir. 1990) (applying Colorado law); </w:t>
      </w:r>
      <w:r w:rsidRPr="007340B5">
        <w:rPr>
          <w:rFonts w:eastAsia="Times New Roman"/>
          <w:i/>
          <w:sz w:val="24"/>
          <w:szCs w:val="24"/>
        </w:rPr>
        <w:t>accord</w:t>
      </w:r>
      <w:r w:rsidRPr="007340B5">
        <w:rPr>
          <w:rFonts w:eastAsia="Times New Roman"/>
          <w:sz w:val="24"/>
          <w:szCs w:val="24"/>
        </w:rPr>
        <w:t xml:space="preserve"> </w:t>
      </w:r>
      <w:r w:rsidRPr="007340B5">
        <w:rPr>
          <w:rFonts w:eastAsia="Times New Roman"/>
          <w:b/>
          <w:sz w:val="24"/>
          <w:szCs w:val="24"/>
        </w:rPr>
        <w:t>Montag v. Honda Motor Co.</w:t>
      </w:r>
      <w:r w:rsidRPr="007340B5">
        <w:rPr>
          <w:rFonts w:eastAsia="Times New Roman"/>
          <w:sz w:val="24"/>
          <w:szCs w:val="24"/>
        </w:rPr>
        <w:t xml:space="preserve">, 75 F.3d 1414 (10th Cir. 1996).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lastRenderedPageBreak/>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Kysor Indus. 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570D383D"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13. For modifications in the instructions that may be required in any product liability action for damages against “the manufacturer, distributor, importer, or seller of firearms or ammunition alleging a defect in the design or manufacture of a firearm or ammunition,” see sections 13-21-501 to -505, C.R.S.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Hilberg v. F.W. Woolworth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761 P.2d 236 (Colo. App. 1988) (holding that prior to statute, a .22-caliber rifle, as such, was not defective </w:t>
      </w:r>
      <w:r w:rsidRPr="007340B5">
        <w:rPr>
          <w:rFonts w:eastAsia="Times New Roman"/>
          <w:sz w:val="24"/>
          <w:szCs w:val="24"/>
        </w:rPr>
        <w:lastRenderedPageBreak/>
        <w:t xml:space="preserve">under “consumer expectations” or “risk-benefit” test), </w:t>
      </w:r>
      <w:r w:rsidRPr="007340B5">
        <w:rPr>
          <w:rFonts w:eastAsia="Times New Roman"/>
          <w:i/>
          <w:sz w:val="24"/>
          <w:szCs w:val="24"/>
        </w:rPr>
        <w:t>overruled on other grounds by</w:t>
      </w:r>
      <w:r w:rsidRPr="007340B5">
        <w:rPr>
          <w:rFonts w:eastAsia="Times New Roman"/>
          <w:sz w:val="24"/>
          <w:szCs w:val="24"/>
        </w:rPr>
        <w:t xml:space="preserve"> </w:t>
      </w:r>
      <w:r w:rsidRPr="007340B5">
        <w:rPr>
          <w:rFonts w:eastAsia="Times New Roman"/>
          <w:b/>
          <w:sz w:val="24"/>
          <w:szCs w:val="24"/>
        </w:rPr>
        <w:t>Casebolt v. Cowan</w:t>
      </w:r>
      <w:r w:rsidRPr="007340B5">
        <w:rPr>
          <w:rFonts w:eastAsia="Times New Roman"/>
          <w:sz w:val="24"/>
          <w:szCs w:val="24"/>
        </w:rPr>
        <w:t>, 829 P.2d 352 (Colo. 1992).</w:t>
      </w:r>
    </w:p>
    <w:p w14:paraId="31336536" w14:textId="4F51A97F" w:rsidR="007340B5" w:rsidRPr="007340B5" w:rsidRDefault="007340B5" w:rsidP="007340B5">
      <w:pPr>
        <w:spacing w:after="240"/>
        <w:ind w:firstLine="720"/>
        <w:rPr>
          <w:rFonts w:eastAsia="Times New Roman"/>
          <w:sz w:val="24"/>
          <w:szCs w:val="24"/>
        </w:rPr>
      </w:pPr>
      <w:r w:rsidRPr="007340B5">
        <w:rPr>
          <w:rFonts w:eastAsia="Times New Roman"/>
          <w:sz w:val="24"/>
          <w:szCs w:val="24"/>
        </w:rPr>
        <w:t>14. Two federal statutes that may be relevant in certain product liability cases are the Consumer Product Warranties Act (Magnuson-Moss Act), 15 U.S.C. §§ 2301-2312 (201</w:t>
      </w:r>
      <w:r w:rsidR="004F7FA3">
        <w:rPr>
          <w:rFonts w:eastAsia="Times New Roman"/>
          <w:sz w:val="24"/>
          <w:szCs w:val="24"/>
        </w:rPr>
        <w:t>8</w:t>
      </w:r>
      <w:r w:rsidRPr="007340B5">
        <w:rPr>
          <w:rFonts w:eastAsia="Times New Roman"/>
          <w:sz w:val="24"/>
          <w:szCs w:val="24"/>
        </w:rPr>
        <w:t>), and the Consumer Product Safety Act, 15 U.S.C. §§ 2051-2089 (201</w:t>
      </w:r>
      <w:r w:rsidR="004F7FA3">
        <w:rPr>
          <w:rFonts w:eastAsia="Times New Roman"/>
          <w:sz w:val="24"/>
          <w:szCs w:val="24"/>
        </w:rPr>
        <w:t>8</w:t>
      </w:r>
      <w:r w:rsidRPr="007340B5">
        <w:rPr>
          <w:rFonts w:eastAsia="Times New Roman"/>
          <w:sz w:val="24"/>
          <w:szCs w:val="24"/>
        </w:rPr>
        <w:t>).</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1" w:name="a14_01"/>
      <w:bookmarkEnd w:id="1"/>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on (his) (her) (its)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was defective at the time it was sold by the defendant or left (his) (her) (its)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2" w:name="a14_02"/>
      <w:bookmarkEnd w:id="2"/>
      <w:r w:rsidRPr="00382177">
        <w:rPr>
          <w:rFonts w:eastAsia="Times New Roman"/>
          <w:b/>
          <w:sz w:val="24"/>
          <w:szCs w:val="24"/>
        </w:rPr>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3" w:name="a14_03"/>
      <w:bookmarkEnd w:id="3"/>
      <w:r w:rsidRPr="00382177">
        <w:rPr>
          <w:rFonts w:eastAsia="Times New Roman"/>
          <w:b/>
          <w:sz w:val="24"/>
          <w:szCs w:val="24"/>
        </w:rPr>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36FA24C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 2</w:t>
      </w:r>
      <w:r w:rsidR="004F7FA3">
        <w:rPr>
          <w:rFonts w:eastAsia="Times New Roman"/>
          <w:sz w:val="24"/>
          <w:szCs w:val="24"/>
        </w:rPr>
        <w:t>, 406 P.3d at 847</w:t>
      </w:r>
      <w:r w:rsidR="002D7DDF">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4" w:name="a14_04"/>
      <w:bookmarkEnd w:id="4"/>
      <w:r w:rsidRPr="00950692">
        <w:rPr>
          <w:rFonts w:eastAsia="Times New Roman"/>
          <w:b/>
          <w:sz w:val="24"/>
          <w:szCs w:val="24"/>
        </w:rPr>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69B5C393"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642 P.2d 908 (Colo. 1982)</w:t>
      </w:r>
      <w:r w:rsidR="006344DE">
        <w:rPr>
          <w:rFonts w:eastAsia="Times New Roman"/>
          <w:sz w:val="24"/>
          <w:szCs w:val="24"/>
        </w:rPr>
        <w:t>;</w:t>
      </w:r>
      <w:r w:rsidRPr="00950692">
        <w:rPr>
          <w:rFonts w:eastAsia="Times New Roman"/>
          <w:sz w:val="24"/>
          <w:szCs w:val="24"/>
        </w:rPr>
        <w:t xml:space="preserve">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5" w:name="a14_05"/>
      <w:bookmarkEnd w:id="5"/>
      <w:r w:rsidRPr="001671A9">
        <w:rPr>
          <w:rFonts w:eastAsia="Times New Roman"/>
          <w:b/>
          <w:sz w:val="24"/>
          <w:szCs w:val="24"/>
        </w:rPr>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6" w:name="a14_05A"/>
      <w:bookmarkEnd w:id="6"/>
      <w:r w:rsidRPr="001671A9">
        <w:rPr>
          <w:rFonts w:eastAsia="Times New Roman"/>
          <w:b/>
          <w:sz w:val="24"/>
          <w:szCs w:val="24"/>
        </w:rPr>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7" w:name="a14_05B"/>
      <w:bookmarkEnd w:id="7"/>
      <w:r w:rsidRPr="001671A9">
        <w:rPr>
          <w:rFonts w:eastAsia="Times New Roman"/>
          <w:b/>
          <w:sz w:val="24"/>
          <w:szCs w:val="24"/>
        </w:rPr>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8" w:name="a14_06"/>
      <w:bookmarkEnd w:id="8"/>
      <w:r w:rsidRPr="00D16901">
        <w:rPr>
          <w:rFonts w:eastAsia="Times New Roman"/>
          <w:b/>
          <w:sz w:val="24"/>
          <w:szCs w:val="24"/>
        </w:rPr>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9" w:name="a14_07"/>
      <w:bookmarkEnd w:id="9"/>
      <w:r w:rsidRPr="00D16901">
        <w:rPr>
          <w:rFonts w:eastAsia="Times New Roman"/>
          <w:b/>
          <w:sz w:val="24"/>
          <w:szCs w:val="24"/>
        </w:rPr>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0" w:name="a14_08"/>
      <w:bookmarkEnd w:id="10"/>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97896">
        <w:rPr>
          <w:rFonts w:eastAsia="Times New Roman"/>
          <w:i/>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1" w:name="a14_09"/>
      <w:bookmarkEnd w:id="11"/>
      <w:r w:rsidRPr="00A005E6">
        <w:rPr>
          <w:rFonts w:eastAsia="Times New Roman"/>
          <w:b/>
          <w:sz w:val="24"/>
          <w:szCs w:val="24"/>
        </w:rPr>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in conjunction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2" w:name="a14_10"/>
      <w:bookmarkEnd w:id="12"/>
      <w:r w:rsidRPr="00A005E6">
        <w:rPr>
          <w:rFonts w:eastAsia="Times New Roman"/>
          <w:b/>
          <w:sz w:val="24"/>
          <w:szCs w:val="24"/>
        </w:rPr>
        <w:t xml:space="preserve">14:10 </w:t>
      </w:r>
      <w:r w:rsidRPr="00A005E6">
        <w:rPr>
          <w:rFonts w:eastAsia="Times New Roman"/>
          <w:b/>
          <w:sz w:val="24"/>
          <w:szCs w:val="24"/>
        </w:rPr>
        <w:tab/>
        <w:t>BREACH OF IMPLIED WARRANTY OF MERCHANTABILITY — ELEMENTS OF LIABILITY</w:t>
      </w:r>
    </w:p>
    <w:p w14:paraId="2457DAE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3" w:name="a14_11"/>
      <w:bookmarkEnd w:id="13"/>
      <w:r w:rsidRPr="0053544D">
        <w:rPr>
          <w:rFonts w:eastAsia="Times New Roman"/>
          <w:b/>
          <w:sz w:val="24"/>
          <w:szCs w:val="24"/>
        </w:rPr>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in conjunction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4" w:name="a14_12"/>
      <w:bookmarkEnd w:id="14"/>
      <w:r w:rsidRPr="00EB5133">
        <w:rPr>
          <w:rFonts w:eastAsia="Times New Roman"/>
          <w:b/>
          <w:sz w:val="24"/>
          <w:szCs w:val="24"/>
        </w:rPr>
        <w:t xml:space="preserve">14:12 </w:t>
      </w:r>
      <w:r w:rsidRPr="00EB5133">
        <w:rPr>
          <w:rFonts w:eastAsia="Times New Roman"/>
          <w:b/>
          <w:sz w:val="24"/>
          <w:szCs w:val="24"/>
        </w:rPr>
        <w:tab/>
        <w:t>IMPLIED WARRANTY OF WHOLESOMENESS OF FOOD — DEFINED</w:t>
      </w:r>
    </w:p>
    <w:p w14:paraId="4E15B46F" w14:textId="77777777"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(he) (she) (it)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in conjunction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5" w:name="a14_13"/>
      <w:bookmarkEnd w:id="15"/>
      <w:r w:rsidRPr="00FD7D4E">
        <w:rPr>
          <w:rFonts w:eastAsia="Times New Roman"/>
          <w:b/>
          <w:sz w:val="24"/>
          <w:szCs w:val="24"/>
        </w:rPr>
        <w:t xml:space="preserve">14:13 </w:t>
      </w:r>
      <w:r w:rsidRPr="00FD7D4E">
        <w:rPr>
          <w:rFonts w:eastAsia="Times New Roman"/>
          <w:b/>
          <w:sz w:val="24"/>
          <w:szCs w:val="24"/>
        </w:rPr>
        <w:tab/>
        <w:t>BREACH OF IMPLIED WARRANTY OF FITNESS FOR A PARTICULAR PURPOSE — ELEMENTS OF LIABILITY</w:t>
      </w:r>
    </w:p>
    <w:p w14:paraId="01831899"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on (his) (her) (its)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6" w:name="a14_14"/>
      <w:bookmarkEnd w:id="16"/>
      <w:r w:rsidRPr="0051385E">
        <w:rPr>
          <w:rFonts w:eastAsia="Times New Roman"/>
          <w:b/>
          <w:sz w:val="24"/>
          <w:szCs w:val="24"/>
        </w:rPr>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1. At the time the seller makes the contract of sale, (he) (she) (it)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in conjunction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7" w:name="a14_15"/>
      <w:bookmarkEnd w:id="17"/>
      <w:r w:rsidRPr="0051385E">
        <w:rPr>
          <w:rFonts w:eastAsia="Times New Roman"/>
          <w:b/>
          <w:sz w:val="24"/>
          <w:szCs w:val="24"/>
        </w:rPr>
        <w:t xml:space="preserve">14:15 </w:t>
      </w:r>
      <w:r w:rsidRPr="0051385E">
        <w:rPr>
          <w:rFonts w:eastAsia="Times New Roman"/>
          <w:b/>
          <w:sz w:val="24"/>
          <w:szCs w:val="24"/>
        </w:rPr>
        <w:tab/>
        <w:t>NOTICE OF BREACH OF WARRANTY — WHAT CONSTITUTES</w:t>
      </w:r>
    </w:p>
    <w:p w14:paraId="11094D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(he) (she) (it)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in conjunction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8" w:name="a14_16"/>
      <w:bookmarkEnd w:id="18"/>
      <w:r w:rsidRPr="005C5CCB">
        <w:rPr>
          <w:rFonts w:eastAsia="Times New Roman"/>
          <w:b/>
          <w:sz w:val="24"/>
          <w:szCs w:val="24"/>
        </w:rPr>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19" w:name="a14_17"/>
      <w:bookmarkEnd w:id="19"/>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on (his) (her) (its)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Instructions 14:20 and 14:21.</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0" w:name="a14_18"/>
      <w:bookmarkEnd w:id="20"/>
      <w:r w:rsidRPr="00C21D93">
        <w:rPr>
          <w:rFonts w:eastAsia="Times New Roman"/>
          <w:b/>
          <w:sz w:val="24"/>
          <w:szCs w:val="24"/>
        </w:rPr>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in conjunction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C21D93">
        <w:rPr>
          <w:rFonts w:eastAsia="Times New Roman"/>
          <w:b/>
          <w:sz w:val="24"/>
          <w:szCs w:val="24"/>
        </w:rPr>
        <w:t>International Harvester Co. v. Sharoff</w:t>
      </w:r>
      <w:r w:rsidRPr="00C21D93">
        <w:rPr>
          <w:rFonts w:eastAsia="Times New Roman"/>
          <w:sz w:val="24"/>
          <w:szCs w:val="24"/>
        </w:rPr>
        <w:t>, 202 F.2d 52 (10th Cir. 1953),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1" w:name="a14_19"/>
      <w:bookmarkEnd w:id="21"/>
      <w:r w:rsidRPr="00C21D93">
        <w:rPr>
          <w:rFonts w:eastAsia="Times New Roman"/>
          <w:b/>
          <w:sz w:val="24"/>
          <w:szCs w:val="24"/>
        </w:rPr>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771BBF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However, unless a warning by label is required by statute, in which case the failure to give the required warning may be negligence per se, </w:t>
      </w:r>
      <w:r w:rsidRPr="00C21D93">
        <w:rPr>
          <w:rFonts w:eastAsia="Times New Roman"/>
          <w:i/>
          <w:sz w:val="24"/>
          <w:szCs w:val="24"/>
        </w:rPr>
        <w:t>see, e.g.</w:t>
      </w:r>
      <w:r w:rsidRPr="00C21D93">
        <w:rPr>
          <w:rFonts w:eastAsia="Times New Roman"/>
          <w:sz w:val="24"/>
          <w:szCs w:val="24"/>
        </w:rPr>
        <w:t xml:space="preserve">, </w:t>
      </w:r>
      <w:r w:rsidRPr="00C21D93">
        <w:rPr>
          <w:rFonts w:eastAsia="Times New Roman"/>
          <w:b/>
          <w:sz w:val="24"/>
          <w:szCs w:val="24"/>
        </w:rPr>
        <w:t>White v. Rose</w:t>
      </w:r>
      <w:r w:rsidRPr="00C21D93">
        <w:rPr>
          <w:rFonts w:eastAsia="Times New Roman"/>
          <w:sz w:val="24"/>
          <w:szCs w:val="24"/>
        </w:rPr>
        <w:t>, 241 F.2d 94 (10th Cir. 1957) (by implication), other methods of giving warning may be reasonable, depending on the circumstances. In those cases, the last sentence of this instruction should be omitted or be appropriately modified.</w:t>
      </w:r>
    </w:p>
    <w:p w14:paraId="2143F95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3. Where the failure to give a warning, or to give a proper warning, would be negligence per se, Instruction 9:14 should be used rather than this instruction. Illustrative statutes requiring warnings by label are parts 4 and 5 of title 25, article 5, of the Colorado Revised Statutes. </w:t>
      </w:r>
      <w:r w:rsidRPr="00C21D93">
        <w:rPr>
          <w:rFonts w:eastAsia="Times New Roman"/>
          <w:i/>
          <w:sz w:val="24"/>
          <w:szCs w:val="24"/>
        </w:rPr>
        <w:t>See</w:t>
      </w:r>
      <w:r w:rsidRPr="00C21D93">
        <w:rPr>
          <w:rFonts w:eastAsia="Times New Roman"/>
          <w:sz w:val="24"/>
          <w:szCs w:val="24"/>
        </w:rPr>
        <w:t xml:space="preserve"> </w:t>
      </w:r>
      <w:r w:rsidRPr="00C21D93">
        <w:rPr>
          <w:rFonts w:eastAsia="Times New Roman"/>
          <w:b/>
          <w:sz w:val="24"/>
          <w:szCs w:val="24"/>
        </w:rPr>
        <w:t>Palmer v. A.H. Robins Co.</w:t>
      </w:r>
      <w:r w:rsidRPr="00C21D93">
        <w:rPr>
          <w:rFonts w:eastAsia="Times New Roman"/>
          <w:sz w:val="24"/>
          <w:szCs w:val="24"/>
        </w:rPr>
        <w:t>, 684 P.2d 187 (Colo. 1984) (evidence supported negligence per se verdict for violations of section 25-5-403(1)(a), C.R.S.).</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in conjunction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2" w:name="a14_20"/>
      <w:bookmarkEnd w:id="22"/>
      <w:r w:rsidRPr="00B338E2">
        <w:rPr>
          <w:rFonts w:eastAsia="Times New Roman"/>
          <w:b/>
          <w:sz w:val="24"/>
          <w:szCs w:val="24"/>
        </w:rPr>
        <w:t xml:space="preserve">14:20 </w:t>
      </w:r>
      <w:r w:rsidRPr="00B338E2">
        <w:rPr>
          <w:rFonts w:eastAsia="Times New Roman"/>
          <w:b/>
          <w:sz w:val="24"/>
          <w:szCs w:val="24"/>
        </w:rPr>
        <w:tab/>
        <w:t>LIABILITY FOR INJURY FROM FOOD OR BEVERAGE IN SEALED CONTAINER — ELEMENTS OF LIABILITY</w:t>
      </w:r>
    </w:p>
    <w:p w14:paraId="6D18D5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793A853D"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3" w:name="a14_21"/>
      <w:bookmarkEnd w:id="23"/>
      <w:r w:rsidRPr="00B338E2">
        <w:rPr>
          <w:rFonts w:eastAsia="Times New Roman"/>
          <w:b/>
          <w:sz w:val="24"/>
          <w:szCs w:val="24"/>
        </w:rPr>
        <w:t xml:space="preserve">14:21 </w:t>
      </w:r>
      <w:r w:rsidRPr="00B338E2">
        <w:rPr>
          <w:rFonts w:eastAsia="Times New Roman"/>
          <w:b/>
          <w:sz w:val="24"/>
          <w:szCs w:val="24"/>
        </w:rPr>
        <w:tab/>
        <w:t>PRIMA FACIE NEGLIGENCE LIABILITY FOR INJURY FROM FOOD OR BEVERAGE IN SEALED CONTAINER (RES IPSA LOQUITUR)</w:t>
      </w:r>
    </w:p>
    <w:p w14:paraId="1A3E62B3" w14:textId="77777777" w:rsidR="00B338E2" w:rsidRDefault="00B338E2" w:rsidP="00B338E2">
      <w:pPr>
        <w:spacing w:after="240"/>
        <w:jc w:val="center"/>
        <w:rPr>
          <w:rFonts w:eastAsia="Times New Roman"/>
          <w:b/>
          <w:sz w:val="24"/>
          <w:szCs w:val="24"/>
        </w:rPr>
      </w:pPr>
      <w:r>
        <w:rPr>
          <w:rFonts w:eastAsia="Times New Roman"/>
          <w:b/>
          <w:sz w:val="24"/>
          <w:szCs w:val="24"/>
        </w:rPr>
        <w:t>INSTRUCTION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The instruction previously included is deleted due to the lack of any Colorado appellate decision specifically dealing with the subject matter of this instruction. </w:t>
      </w:r>
    </w:p>
    <w:p w14:paraId="1ED8E7D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Consideration of a res ipsa loquitur</w:t>
      </w:r>
      <w:r w:rsidRPr="00B338E2">
        <w:rPr>
          <w:rFonts w:eastAsia="Times New Roman"/>
          <w:i/>
          <w:sz w:val="24"/>
          <w:szCs w:val="24"/>
        </w:rPr>
        <w:t xml:space="preserve"> </w:t>
      </w:r>
      <w:r w:rsidRPr="00B338E2">
        <w:rPr>
          <w:rFonts w:eastAsia="Times New Roman"/>
          <w:sz w:val="24"/>
          <w:szCs w:val="24"/>
        </w:rPr>
        <w:t xml:space="preserve">instruction tendered in an appropriate case involving a claim resulting from consumption of food or beverage in a sealed container requires conformity with </w:t>
      </w:r>
      <w:r w:rsidRPr="00B338E2">
        <w:rPr>
          <w:rFonts w:eastAsia="Times New Roman"/>
          <w:b/>
          <w:bCs/>
          <w:sz w:val="24"/>
          <w:szCs w:val="24"/>
        </w:rPr>
        <w:t>Chapman v. Harner</w:t>
      </w:r>
      <w:r w:rsidRPr="00B338E2">
        <w:rPr>
          <w:rFonts w:eastAsia="Times New Roman"/>
          <w:sz w:val="24"/>
          <w:szCs w:val="24"/>
        </w:rPr>
        <w:t>,</w:t>
      </w:r>
      <w:r w:rsidRPr="00B338E2">
        <w:rPr>
          <w:rFonts w:eastAsia="Times New Roman"/>
          <w:i/>
          <w:sz w:val="24"/>
          <w:szCs w:val="24"/>
        </w:rPr>
        <w:t xml:space="preserve"> </w:t>
      </w:r>
      <w:r w:rsidRPr="00B338E2">
        <w:rPr>
          <w:rFonts w:eastAsia="Times New Roman"/>
          <w:sz w:val="24"/>
          <w:szCs w:val="24"/>
        </w:rPr>
        <w:t xml:space="preserve">2014 CO 78, ¶¶ 25-26, 339 P.3d 519, and </w:t>
      </w:r>
      <w:r w:rsidRPr="00B338E2">
        <w:rPr>
          <w:rFonts w:eastAsia="Times New Roman"/>
          <w:b/>
          <w:sz w:val="24"/>
          <w:szCs w:val="24"/>
        </w:rPr>
        <w:t>Krueger v. Ary</w:t>
      </w:r>
      <w:r w:rsidRPr="00B338E2">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B338E2">
        <w:rPr>
          <w:rFonts w:eastAsia="Times New Roman"/>
          <w:b/>
          <w:sz w:val="24"/>
          <w:szCs w:val="24"/>
        </w:rPr>
        <w:t>Krueger</w:t>
      </w:r>
      <w:r w:rsidRPr="00B338E2">
        <w:rPr>
          <w:rFonts w:eastAsia="Times New Roman"/>
          <w:sz w:val="24"/>
          <w:szCs w:val="24"/>
        </w:rPr>
        <w:t xml:space="preserve">, 250 P. 3d at 1154. If the presumption applies and is not rebutted by legally sufficient evidence, then the presumed fact is established as a matter of law. </w:t>
      </w:r>
      <w:r w:rsidRPr="00B338E2">
        <w:rPr>
          <w:rFonts w:eastAsia="Times New Roman"/>
          <w:i/>
          <w:sz w:val="24"/>
          <w:szCs w:val="24"/>
        </w:rPr>
        <w:t>Id.</w:t>
      </w:r>
      <w:r w:rsidRPr="00B338E2">
        <w:rPr>
          <w:rFonts w:eastAsia="Times New Roman"/>
          <w:sz w:val="24"/>
          <w:szCs w:val="24"/>
        </w:rPr>
        <w:t xml:space="preserve"> at 1156. If the presumption applies and is rebutted by legally sufficient evidence, the presumption is destroyed and leaves only a permissible inference of the presumed fact. </w:t>
      </w:r>
      <w:r w:rsidRPr="00B338E2">
        <w:rPr>
          <w:rFonts w:eastAsia="Times New Roman"/>
          <w:b/>
          <w:sz w:val="24"/>
          <w:szCs w:val="24"/>
        </w:rPr>
        <w:t>Chapman</w:t>
      </w:r>
      <w:r w:rsidRPr="00B338E2">
        <w:rPr>
          <w:rFonts w:eastAsia="Times New Roman"/>
          <w:sz w:val="24"/>
          <w:szCs w:val="24"/>
        </w:rPr>
        <w:t xml:space="preserve">, ¶ 25; </w:t>
      </w:r>
      <w:r w:rsidRPr="00B338E2">
        <w:rPr>
          <w:rFonts w:eastAsia="Times New Roman"/>
          <w:b/>
          <w:sz w:val="24"/>
          <w:szCs w:val="24"/>
        </w:rPr>
        <w:t>Krueger</w:t>
      </w:r>
      <w:r w:rsidRPr="00B338E2">
        <w:rPr>
          <w:rFonts w:eastAsia="Times New Roman"/>
          <w:sz w:val="24"/>
          <w:szCs w:val="24"/>
        </w:rPr>
        <w:t xml:space="preserve">, 205 P.3d at 1156. In neither scenario is the jury instructed about the presumption. </w:t>
      </w:r>
      <w:r w:rsidRPr="00B338E2">
        <w:rPr>
          <w:rFonts w:eastAsia="Times New Roman"/>
          <w:i/>
          <w:sz w:val="24"/>
          <w:szCs w:val="24"/>
        </w:rPr>
        <w:t>See</w:t>
      </w:r>
      <w:r w:rsidRPr="00B338E2">
        <w:rPr>
          <w:rFonts w:eastAsia="Times New Roman"/>
          <w:sz w:val="24"/>
          <w:szCs w:val="24"/>
        </w:rPr>
        <w:t xml:space="preserve"> Notes on Use to Instructions 3:5 and 9:17.</w:t>
      </w:r>
    </w:p>
    <w:p w14:paraId="0242C8B9" w14:textId="77777777" w:rsidR="00B338E2" w:rsidRDefault="00B338E2">
      <w:pPr>
        <w:rPr>
          <w:rFonts w:eastAsia="Times New Roman"/>
          <w:sz w:val="24"/>
          <w:szCs w:val="24"/>
        </w:rPr>
      </w:pPr>
      <w:r>
        <w:rPr>
          <w:rFonts w:eastAsia="Times New Roman"/>
          <w:sz w:val="24"/>
          <w:szCs w:val="24"/>
        </w:rPr>
        <w:br w:type="page"/>
      </w:r>
    </w:p>
    <w:p w14:paraId="571B1BBA" w14:textId="77777777" w:rsidR="00B338E2" w:rsidRDefault="00B338E2" w:rsidP="00B338E2">
      <w:pPr>
        <w:spacing w:after="240"/>
        <w:jc w:val="center"/>
        <w:rPr>
          <w:rFonts w:eastAsia="Times New Roman"/>
          <w:b/>
          <w:sz w:val="24"/>
          <w:szCs w:val="24"/>
        </w:rPr>
      </w:pPr>
      <w:r w:rsidRPr="00B338E2">
        <w:rPr>
          <w:rFonts w:eastAsia="Times New Roman"/>
          <w:b/>
          <w:sz w:val="24"/>
          <w:szCs w:val="24"/>
        </w:rPr>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4" w:name="a14_22"/>
      <w:bookmarkEnd w:id="24"/>
      <w:r w:rsidRPr="00B338E2">
        <w:rPr>
          <w:rFonts w:eastAsia="Times New Roman"/>
          <w:b/>
          <w:sz w:val="24"/>
          <w:szCs w:val="24"/>
        </w:rPr>
        <w:t xml:space="preserve">14:22 </w:t>
      </w:r>
      <w:r w:rsidRPr="00B338E2">
        <w:rPr>
          <w:rFonts w:eastAsia="Times New Roman"/>
          <w:b/>
          <w:sz w:val="24"/>
          <w:szCs w:val="24"/>
        </w:rPr>
        <w:tab/>
        <w:t>ELEMENTS OF LIABILITY</w:t>
      </w:r>
    </w:p>
    <w:p w14:paraId="0FC8F60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(its)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5" w:name="a14_23"/>
      <w:bookmarkEnd w:id="25"/>
      <w:r w:rsidRPr="00766F81">
        <w:rPr>
          <w:rFonts w:eastAsia="Times New Roman"/>
          <w:b/>
          <w:sz w:val="24"/>
          <w:szCs w:val="24"/>
        </w:rPr>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in conjunction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6" w:name="a14_24"/>
      <w:bookmarkEnd w:id="26"/>
      <w:r w:rsidRPr="00CF07F1">
        <w:rPr>
          <w:rFonts w:eastAsia="Times New Roman"/>
          <w:b/>
          <w:sz w:val="24"/>
          <w:szCs w:val="24"/>
        </w:rPr>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in conjunction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7" w:name="a14_25"/>
      <w:bookmarkEnd w:id="27"/>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1. At the time the plaintiff (was) (claims to have been) (injured) (damaged), (he) (she) (it) had actual knowledge of the specific danger created by the defect, and knew that this specific danger created a risk of (injury) (damage);</w:t>
      </w:r>
    </w:p>
    <w:p w14:paraId="08A03A6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2. The plaintiff voluntarily and unreasonably exposed (himself) (herself) (itself)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(he) (she) (it) did not have a reasonable basis for believing the (defect) (noncompliance with the warranty), of which (he) (she) (it)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8" w:name="a14_26"/>
      <w:bookmarkEnd w:id="28"/>
      <w:r w:rsidRPr="0048541F">
        <w:rPr>
          <w:rFonts w:eastAsia="Times New Roman"/>
          <w:b/>
          <w:sz w:val="24"/>
          <w:szCs w:val="24"/>
        </w:rPr>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29" w:name="a14_27"/>
      <w:bookmarkEnd w:id="29"/>
      <w:r w:rsidRPr="00E21120">
        <w:rPr>
          <w:rFonts w:eastAsia="Times New Roman"/>
          <w:b/>
          <w:sz w:val="24"/>
          <w:szCs w:val="24"/>
        </w:rPr>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0" w:name="a14_28"/>
      <w:bookmarkEnd w:id="30"/>
      <w:r w:rsidRPr="00E21120">
        <w:rPr>
          <w:rFonts w:eastAsia="Times New Roman"/>
          <w:b/>
          <w:sz w:val="24"/>
          <w:szCs w:val="24"/>
        </w:rPr>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(was) (claims to have been) injured, (he) (she) had actual knowledge of the specific danger created by the defect, and knew that this specific danger created a risk of (injury) (damages);</w:t>
      </w:r>
    </w:p>
    <w:p w14:paraId="05CE300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plaintiff voluntarily and unreasonably exposed (himself) (herself) to the risk of injury; and</w:t>
      </w:r>
    </w:p>
    <w:p w14:paraId="5214DB3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plaintiff’s (use) (continued use) of the product after acquiring such knowledge was a cause of (his) (her)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in conjunction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1" w:name="a14_29"/>
      <w:bookmarkEnd w:id="31"/>
      <w:r w:rsidRPr="00E21120">
        <w:rPr>
          <w:rFonts w:eastAsia="Times New Roman"/>
          <w:b/>
          <w:sz w:val="24"/>
          <w:szCs w:val="24"/>
        </w:rPr>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failed to do something that a reasonably careful person would do, or did something that a reasonably careful person would not do, under the same or similar circumstances to protect (himself) (herself)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in conjunction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2" w:name="a14_30"/>
      <w:bookmarkEnd w:id="32"/>
      <w:r w:rsidRPr="00806282">
        <w:rPr>
          <w:rFonts w:eastAsia="Times New Roman"/>
          <w:b/>
          <w:sz w:val="24"/>
          <w:szCs w:val="24"/>
        </w:rPr>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in conjunction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in conjunction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3" w:name="a14_30A"/>
      <w:bookmarkEnd w:id="33"/>
      <w:r w:rsidRPr="00D00330">
        <w:rPr>
          <w:rFonts w:eastAsia="Times New Roman"/>
          <w:b/>
          <w:sz w:val="24"/>
          <w:szCs w:val="24"/>
        </w:rPr>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in conjunction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4" w:name="a14_30B"/>
      <w:bookmarkEnd w:id="34"/>
      <w:r w:rsidRPr="00D00330">
        <w:rPr>
          <w:rFonts w:eastAsia="Times New Roman"/>
          <w:b/>
          <w:sz w:val="24"/>
          <w:szCs w:val="24"/>
        </w:rPr>
        <w:t xml:space="preserve">14:30B </w:t>
      </w:r>
      <w:r w:rsidRPr="00D00330">
        <w:rPr>
          <w:rFonts w:eastAsia="Times New Roman"/>
          <w:b/>
          <w:sz w:val="24"/>
          <w:szCs w:val="24"/>
        </w:rPr>
        <w:tab/>
        <w:t>SPECIAL VERDICT FORMS — NO COUNTERCLAIM — SINGLE DEFENDANT — FORMS A, B, AND C</w:t>
      </w:r>
    </w:p>
    <w:p w14:paraId="2A69357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A</w:t>
      </w:r>
    </w:p>
    <w:p w14:paraId="21357A50" w14:textId="77777777" w:rsidR="00D00330" w:rsidRPr="00D00330" w:rsidRDefault="00D00330" w:rsidP="00D00330">
      <w:pPr>
        <w:rPr>
          <w:rFonts w:eastAsia="Times New Roman"/>
          <w:b/>
          <w:sz w:val="24"/>
          <w:szCs w:val="24"/>
        </w:rPr>
      </w:pPr>
    </w:p>
    <w:p w14:paraId="1BA2259B"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6897D4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398020E" w14:textId="77777777" w:rsidR="00D00330" w:rsidRPr="00D00330" w:rsidRDefault="00D00330" w:rsidP="00D00330">
      <w:pPr>
        <w:rPr>
          <w:rFonts w:eastAsia="Times New Roman"/>
          <w:b/>
          <w:sz w:val="24"/>
          <w:szCs w:val="24"/>
        </w:rPr>
      </w:pPr>
    </w:p>
    <w:p w14:paraId="0993B732"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02E7A00E" w14:textId="77777777" w:rsidR="00D00330" w:rsidRPr="00D00330" w:rsidRDefault="00D00330" w:rsidP="00D00330">
      <w:pPr>
        <w:rPr>
          <w:rFonts w:eastAsia="Times New Roman"/>
          <w:b/>
          <w:sz w:val="24"/>
          <w:szCs w:val="24"/>
        </w:rPr>
      </w:pPr>
    </w:p>
    <w:p w14:paraId="0AF3F6FB" w14:textId="77777777" w:rsidR="00D00330" w:rsidRPr="00D00330" w:rsidRDefault="00D00330" w:rsidP="00D00330">
      <w:pPr>
        <w:rPr>
          <w:rFonts w:eastAsia="Times New Roman"/>
          <w:b/>
          <w:sz w:val="24"/>
          <w:szCs w:val="24"/>
        </w:rPr>
      </w:pPr>
    </w:p>
    <w:p w14:paraId="4C56B003" w14:textId="77777777" w:rsidR="00D00330" w:rsidRPr="00D00330" w:rsidRDefault="00D00330" w:rsidP="00D00330">
      <w:pPr>
        <w:rPr>
          <w:rFonts w:eastAsia="Times New Roman"/>
          <w:b/>
          <w:sz w:val="24"/>
          <w:szCs w:val="24"/>
        </w:rPr>
      </w:pPr>
    </w:p>
    <w:p w14:paraId="34AB2FBC"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265302E2"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r w:rsidRPr="00D00330">
        <w:rPr>
          <w:rFonts w:eastAsia="Times New Roman"/>
          <w:b/>
          <w:sz w:val="24"/>
          <w:szCs w:val="24"/>
        </w:rPr>
        <w:tab/>
      </w:r>
      <w:r w:rsidRPr="00D00330">
        <w:rPr>
          <w:rFonts w:eastAsia="Times New Roman"/>
          <w:b/>
          <w:sz w:val="24"/>
          <w:szCs w:val="24"/>
        </w:rPr>
        <w:tab/>
        <w:t xml:space="preserve">    )</w:t>
      </w:r>
    </w:p>
    <w:p w14:paraId="59A26BCC"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470E46D4"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         FORM A</w:t>
      </w:r>
    </w:p>
    <w:p w14:paraId="09C00511"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68F0CAF" w14:textId="77777777" w:rsidR="00D00330" w:rsidRPr="00D00330" w:rsidRDefault="00D00330" w:rsidP="00D00330">
      <w:pPr>
        <w:rPr>
          <w:rFonts w:eastAsia="Times New Roman"/>
          <w:b/>
          <w:sz w:val="24"/>
          <w:szCs w:val="24"/>
        </w:rPr>
      </w:pPr>
    </w:p>
    <w:p w14:paraId="58E64F31" w14:textId="77777777" w:rsidR="00D00330" w:rsidRPr="00D00330" w:rsidRDefault="00D00330" w:rsidP="00D00330">
      <w:pP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B</w:t>
      </w:r>
    </w:p>
    <w:p w14:paraId="5CB40D15" w14:textId="77777777" w:rsidR="00D00330" w:rsidRPr="00D00330" w:rsidRDefault="00D00330" w:rsidP="00D00330">
      <w:pPr>
        <w:rPr>
          <w:rFonts w:eastAsia="Times New Roman"/>
          <w:b/>
          <w:sz w:val="24"/>
          <w:szCs w:val="24"/>
        </w:rPr>
      </w:pPr>
    </w:p>
    <w:p w14:paraId="0266D8B1"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E93ADA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4279D815" w14:textId="77777777" w:rsidR="00D00330" w:rsidRPr="00D00330" w:rsidRDefault="00D00330" w:rsidP="00D00330">
      <w:pPr>
        <w:rPr>
          <w:rFonts w:eastAsia="Times New Roman"/>
          <w:b/>
          <w:sz w:val="24"/>
          <w:szCs w:val="24"/>
        </w:rPr>
      </w:pPr>
    </w:p>
    <w:p w14:paraId="57636423"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1B0569A2" w14:textId="77777777" w:rsidR="00D00330" w:rsidRPr="00D00330" w:rsidRDefault="00D00330" w:rsidP="00D00330">
      <w:pPr>
        <w:rPr>
          <w:rFonts w:eastAsia="Times New Roman"/>
          <w:b/>
          <w:sz w:val="24"/>
          <w:szCs w:val="24"/>
        </w:rPr>
      </w:pPr>
    </w:p>
    <w:p w14:paraId="39B23A4D" w14:textId="77777777" w:rsidR="00D00330" w:rsidRPr="00D00330" w:rsidRDefault="00D00330" w:rsidP="00D00330">
      <w:pPr>
        <w:rPr>
          <w:rFonts w:eastAsia="Times New Roman"/>
          <w:b/>
          <w:sz w:val="24"/>
          <w:szCs w:val="24"/>
        </w:rPr>
      </w:pPr>
    </w:p>
    <w:p w14:paraId="05737CA2" w14:textId="77777777" w:rsidR="00D00330" w:rsidRPr="00D00330" w:rsidRDefault="00D00330" w:rsidP="00D00330">
      <w:pPr>
        <w:rPr>
          <w:rFonts w:eastAsia="Times New Roman"/>
          <w:b/>
          <w:sz w:val="24"/>
          <w:szCs w:val="24"/>
        </w:rPr>
      </w:pPr>
    </w:p>
    <w:p w14:paraId="3A811277"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04AE413E"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p>
    <w:p w14:paraId="2C098B1E" w14:textId="77777777" w:rsidR="00D00330" w:rsidRPr="00D00330" w:rsidRDefault="00D00330" w:rsidP="00D00330">
      <w:pPr>
        <w:rPr>
          <w:rFonts w:eastAsia="Times New Roman"/>
          <w:b/>
          <w:sz w:val="24"/>
          <w:szCs w:val="24"/>
        </w:rPr>
      </w:pPr>
      <w:r w:rsidRPr="00D00330">
        <w:rPr>
          <w:rFonts w:eastAsia="Times New Roman"/>
          <w:b/>
          <w:sz w:val="24"/>
          <w:szCs w:val="24"/>
        </w:rPr>
        <w:t xml:space="preserve">                                                    )</w:t>
      </w:r>
    </w:p>
    <w:p w14:paraId="052ABC18"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537E8F0D" w14:textId="77777777" w:rsidR="00D00330" w:rsidRPr="00D00330" w:rsidRDefault="00D00330" w:rsidP="00D00330">
      <w:pPr>
        <w:rPr>
          <w:rFonts w:eastAsia="Times New Roman"/>
          <w:b/>
          <w:sz w:val="24"/>
          <w:szCs w:val="24"/>
        </w:rPr>
      </w:pPr>
      <w:r w:rsidRPr="00D00330">
        <w:rPr>
          <w:rFonts w:eastAsia="Times New Roman"/>
          <w:b/>
          <w:sz w:val="24"/>
          <w:szCs w:val="24"/>
        </w:rPr>
        <w:t xml:space="preserve">                                                    )         FORM B</w:t>
      </w:r>
    </w:p>
    <w:p w14:paraId="3942D79D"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54567F78"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15650BD8" w14:textId="77777777" w:rsidR="00D00330" w:rsidRPr="00D00330" w:rsidRDefault="00D00330" w:rsidP="00D00330">
      <w:pPr>
        <w:rPr>
          <w:rFonts w:eastAsia="Times New Roman"/>
          <w:b/>
          <w:sz w:val="24"/>
          <w:szCs w:val="24"/>
        </w:rPr>
      </w:pPr>
    </w:p>
    <w:p w14:paraId="60840A80" w14:textId="77777777" w:rsidR="00D00330" w:rsidRPr="00D00330" w:rsidRDefault="00D00330" w:rsidP="00D00330">
      <w:pP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F2332FE" w:rsidR="00D00330" w:rsidRPr="00D00330" w:rsidRDefault="00C30C3D" w:rsidP="00D00330">
      <w:pPr>
        <w:ind w:firstLine="720"/>
        <w:rPr>
          <w:rFonts w:eastAsia="Times New Roman"/>
          <w:b/>
          <w:sz w:val="24"/>
          <w:szCs w:val="24"/>
        </w:rPr>
      </w:pPr>
      <w:r>
        <w:rPr>
          <w:rFonts w:eastAsia="Times New Roman"/>
          <w:b/>
          <w:sz w:val="24"/>
          <w:szCs w:val="24"/>
        </w:rPr>
        <w:t xml:space="preserve">ANSWER: </w:t>
      </w:r>
      <w:r w:rsidR="00D00330" w:rsidRPr="00D00330">
        <w:rPr>
          <w:rFonts w:eastAsia="Times New Roman"/>
          <w:b/>
          <w:sz w:val="24"/>
          <w:szCs w:val="24"/>
        </w:rPr>
        <w:t>$_______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C</w:t>
      </w:r>
    </w:p>
    <w:p w14:paraId="7E984C64" w14:textId="77777777" w:rsidR="00D00330" w:rsidRPr="00D00330" w:rsidRDefault="00D00330" w:rsidP="00D00330">
      <w:pPr>
        <w:rPr>
          <w:rFonts w:eastAsia="Times New Roman"/>
          <w:b/>
          <w:sz w:val="24"/>
          <w:szCs w:val="24"/>
        </w:rPr>
      </w:pPr>
    </w:p>
    <w:p w14:paraId="33B781E7"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21FF5236"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B01AC8B" w14:textId="77777777" w:rsidR="00D00330" w:rsidRPr="00D00330" w:rsidRDefault="00D00330" w:rsidP="00D00330">
      <w:pPr>
        <w:jc w:val="center"/>
        <w:rPr>
          <w:rFonts w:eastAsia="Times New Roman"/>
          <w:b/>
          <w:sz w:val="24"/>
          <w:szCs w:val="24"/>
        </w:rPr>
      </w:pPr>
    </w:p>
    <w:p w14:paraId="6A4542E9"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7E24CC7E" w14:textId="77777777" w:rsidR="00D00330" w:rsidRPr="00D00330" w:rsidRDefault="00D00330" w:rsidP="00D00330">
      <w:pPr>
        <w:jc w:val="center"/>
        <w:rPr>
          <w:rFonts w:eastAsia="Times New Roman"/>
          <w:b/>
          <w:sz w:val="24"/>
          <w:szCs w:val="24"/>
        </w:rPr>
      </w:pPr>
    </w:p>
    <w:p w14:paraId="64C5F488" w14:textId="77777777" w:rsidR="00D00330" w:rsidRPr="00D00330" w:rsidRDefault="00D00330" w:rsidP="00D00330">
      <w:pPr>
        <w:jc w:val="center"/>
        <w:rPr>
          <w:rFonts w:eastAsia="Times New Roman"/>
          <w:b/>
          <w:sz w:val="24"/>
          <w:szCs w:val="24"/>
        </w:rPr>
      </w:pPr>
    </w:p>
    <w:p w14:paraId="194301DD" w14:textId="77777777" w:rsidR="00D00330" w:rsidRPr="00D00330" w:rsidRDefault="00D00330" w:rsidP="00D00330">
      <w:pPr>
        <w:rPr>
          <w:rFonts w:eastAsia="Times New Roman"/>
          <w:b/>
          <w:sz w:val="24"/>
          <w:szCs w:val="24"/>
        </w:rPr>
      </w:pPr>
    </w:p>
    <w:p w14:paraId="3AAB49D0"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583B71D3"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Plaintiff,                      )</w:t>
      </w:r>
    </w:p>
    <w:p w14:paraId="7B8A8D8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v.                          )         SPECIAL VERDICT</w:t>
      </w:r>
    </w:p>
    <w:p w14:paraId="0D63969C"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         FORM C</w:t>
      </w:r>
    </w:p>
    <w:p w14:paraId="4095A52E"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47EEACA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A616AF1" w14:textId="77777777" w:rsidR="00D00330" w:rsidRPr="00D00330" w:rsidRDefault="00D00330" w:rsidP="00D00330">
      <w:pPr>
        <w:rPr>
          <w:rFonts w:eastAsia="Times New Roman"/>
          <w:b/>
          <w:sz w:val="24"/>
          <w:szCs w:val="24"/>
        </w:rPr>
      </w:pPr>
    </w:p>
    <w:p w14:paraId="765059D8" w14:textId="77777777" w:rsidR="00D00330" w:rsidRPr="00D00330" w:rsidRDefault="00D00330" w:rsidP="00D00330">
      <w:pP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5" w:name="a14_31"/>
      <w:bookmarkEnd w:id="35"/>
      <w:r w:rsidRPr="00D00330">
        <w:rPr>
          <w:rFonts w:eastAsia="Times New Roman"/>
          <w:b/>
          <w:sz w:val="24"/>
          <w:szCs w:val="24"/>
        </w:rPr>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2B2B1F16"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in conjunction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w:t>
      </w:r>
      <w:r w:rsidR="00286434">
        <w:rPr>
          <w:rFonts w:eastAsia="Times New Roman"/>
          <w:sz w:val="24"/>
          <w:szCs w:val="24"/>
        </w:rPr>
        <w:t>s</w:t>
      </w:r>
      <w:r w:rsidRPr="00D00330">
        <w:rPr>
          <w:rFonts w:eastAsia="Times New Roman"/>
          <w:sz w:val="24"/>
          <w:szCs w:val="24"/>
        </w:rPr>
        <w:t xml:space="preserve">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6" w:name="a14_31A"/>
      <w:bookmarkEnd w:id="36"/>
      <w:r w:rsidRPr="00770FFC">
        <w:rPr>
          <w:rFonts w:eastAsia="Times New Roman"/>
          <w:b/>
          <w:sz w:val="24"/>
          <w:szCs w:val="24"/>
        </w:rPr>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(his) (her)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7" w:name="a14_31B"/>
      <w:bookmarkEnd w:id="37"/>
      <w:r w:rsidRPr="00C225C9">
        <w:rPr>
          <w:rFonts w:eastAsia="Times New Roman"/>
          <w:b/>
          <w:sz w:val="24"/>
          <w:szCs w:val="24"/>
        </w:rPr>
        <w:t xml:space="preserve">14:31B </w:t>
      </w:r>
      <w:r w:rsidRPr="00C225C9">
        <w:rPr>
          <w:rFonts w:eastAsia="Times New Roman"/>
          <w:b/>
          <w:sz w:val="24"/>
          <w:szCs w:val="24"/>
        </w:rPr>
        <w:tab/>
        <w:t>SPECIAL VERDICT FORMS — NO COUNTERCLAIM — MULTIPLE DEFENDANTS — FORMS A, B, AND C</w:t>
      </w:r>
    </w:p>
    <w:p w14:paraId="44FD470E"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A</w:t>
      </w:r>
    </w:p>
    <w:p w14:paraId="439BB8C2" w14:textId="77777777" w:rsidR="00C225C9" w:rsidRPr="00C225C9" w:rsidRDefault="00C225C9" w:rsidP="00C225C9">
      <w:pPr>
        <w:rPr>
          <w:rFonts w:eastAsia="Times New Roman"/>
          <w:b/>
          <w:sz w:val="24"/>
          <w:szCs w:val="24"/>
        </w:rPr>
      </w:pPr>
    </w:p>
    <w:p w14:paraId="480BBEB2"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w:t>
      </w:r>
    </w:p>
    <w:p w14:paraId="059F92CD" w14:textId="77777777" w:rsidR="00C225C9" w:rsidRPr="00C225C9" w:rsidRDefault="00C225C9" w:rsidP="00C225C9">
      <w:pPr>
        <w:jc w:val="center"/>
        <w:rPr>
          <w:rFonts w:eastAsia="Times New Roman"/>
          <w:b/>
          <w:sz w:val="24"/>
          <w:szCs w:val="24"/>
        </w:rPr>
      </w:pPr>
      <w:r w:rsidRPr="00C225C9">
        <w:rPr>
          <w:rFonts w:eastAsia="Times New Roman"/>
          <w:b/>
          <w:sz w:val="24"/>
          <w:szCs w:val="24"/>
        </w:rPr>
        <w:t>THE COUNTY OF _______, STATE OF COLORADO</w:t>
      </w:r>
    </w:p>
    <w:p w14:paraId="55CF77AC" w14:textId="77777777" w:rsidR="00C225C9" w:rsidRPr="00C225C9" w:rsidRDefault="00C225C9" w:rsidP="00C225C9">
      <w:pPr>
        <w:rPr>
          <w:rFonts w:eastAsia="Times New Roman"/>
          <w:b/>
          <w:sz w:val="24"/>
          <w:szCs w:val="24"/>
        </w:rPr>
      </w:pPr>
    </w:p>
    <w:p w14:paraId="132ED9FA"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076D1328" w14:textId="77777777" w:rsidR="00C225C9" w:rsidRPr="00C225C9" w:rsidRDefault="00C225C9" w:rsidP="00C225C9">
      <w:pPr>
        <w:jc w:val="center"/>
        <w:rPr>
          <w:rFonts w:eastAsia="Times New Roman"/>
          <w:b/>
          <w:sz w:val="24"/>
          <w:szCs w:val="24"/>
        </w:rPr>
      </w:pPr>
    </w:p>
    <w:p w14:paraId="7E849602" w14:textId="77777777" w:rsidR="00C225C9" w:rsidRPr="00C225C9" w:rsidRDefault="00C225C9" w:rsidP="00C225C9">
      <w:pPr>
        <w:rPr>
          <w:rFonts w:eastAsia="Times New Roman"/>
          <w:b/>
          <w:sz w:val="24"/>
          <w:szCs w:val="24"/>
        </w:rPr>
      </w:pPr>
    </w:p>
    <w:p w14:paraId="3F7BB892" w14:textId="77777777" w:rsidR="00C225C9" w:rsidRPr="00C225C9" w:rsidRDefault="00C225C9" w:rsidP="00C225C9">
      <w:pPr>
        <w:rPr>
          <w:rFonts w:eastAsia="Times New Roman"/>
          <w:b/>
          <w:sz w:val="24"/>
          <w:szCs w:val="24"/>
        </w:rPr>
      </w:pPr>
    </w:p>
    <w:p w14:paraId="08649DF9"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170D0046"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68D0345A"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16754002"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A</w:t>
      </w:r>
    </w:p>
    <w:p w14:paraId="2B254201"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4F61D975" w14:textId="77777777" w:rsidR="00C225C9" w:rsidRPr="00C225C9" w:rsidRDefault="00C225C9" w:rsidP="00C225C9">
      <w:pPr>
        <w:rPr>
          <w:rFonts w:eastAsia="Times New Roman"/>
          <w:b/>
          <w:sz w:val="24"/>
          <w:szCs w:val="24"/>
        </w:rPr>
      </w:pPr>
    </w:p>
    <w:p w14:paraId="77E04713" w14:textId="77777777" w:rsidR="00C225C9" w:rsidRPr="00C225C9" w:rsidRDefault="00C225C9" w:rsidP="00C225C9">
      <w:pP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141B30BC" w14:textId="77777777" w:rsidR="00C225C9" w:rsidRPr="00C225C9" w:rsidRDefault="00C225C9" w:rsidP="00C225C9">
      <w:pPr>
        <w:ind w:firstLine="720"/>
        <w:rPr>
          <w:rFonts w:eastAsia="Times New Roman"/>
          <w:b/>
          <w:sz w:val="24"/>
          <w:szCs w:val="24"/>
        </w:rPr>
      </w:pPr>
    </w:p>
    <w:p w14:paraId="722952D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B</w:t>
      </w:r>
    </w:p>
    <w:p w14:paraId="4BBAA437" w14:textId="77777777" w:rsidR="00C225C9" w:rsidRPr="00C225C9" w:rsidRDefault="00C225C9" w:rsidP="00C225C9">
      <w:pPr>
        <w:rPr>
          <w:rFonts w:eastAsia="Times New Roman"/>
          <w:b/>
          <w:sz w:val="24"/>
          <w:szCs w:val="24"/>
        </w:rPr>
      </w:pPr>
    </w:p>
    <w:p w14:paraId="523AA53A"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2EE17458"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1A391862" w14:textId="77777777" w:rsidR="00C225C9" w:rsidRPr="00C225C9" w:rsidRDefault="00C225C9" w:rsidP="00C225C9">
      <w:pPr>
        <w:jc w:val="center"/>
        <w:rPr>
          <w:rFonts w:eastAsia="Times New Roman"/>
          <w:b/>
          <w:sz w:val="24"/>
          <w:szCs w:val="24"/>
        </w:rPr>
      </w:pPr>
    </w:p>
    <w:p w14:paraId="1B6914DC"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29520AAC" w14:textId="77777777" w:rsidR="00C225C9" w:rsidRPr="00C225C9" w:rsidRDefault="00C225C9" w:rsidP="00C225C9">
      <w:pPr>
        <w:jc w:val="center"/>
        <w:rPr>
          <w:rFonts w:eastAsia="Times New Roman"/>
          <w:b/>
          <w:sz w:val="24"/>
          <w:szCs w:val="24"/>
        </w:rPr>
      </w:pPr>
    </w:p>
    <w:p w14:paraId="4B703EA7" w14:textId="77777777" w:rsidR="00C225C9" w:rsidRPr="00C225C9" w:rsidRDefault="00C225C9" w:rsidP="00C225C9">
      <w:pPr>
        <w:rPr>
          <w:rFonts w:eastAsia="Times New Roman"/>
          <w:b/>
          <w:sz w:val="24"/>
          <w:szCs w:val="24"/>
        </w:rPr>
      </w:pPr>
    </w:p>
    <w:p w14:paraId="2C20622A" w14:textId="77777777" w:rsidR="00C225C9" w:rsidRPr="00C225C9" w:rsidRDefault="00C225C9" w:rsidP="00C225C9">
      <w:pPr>
        <w:rPr>
          <w:rFonts w:eastAsia="Times New Roman"/>
          <w:b/>
          <w:sz w:val="24"/>
          <w:szCs w:val="24"/>
        </w:rPr>
      </w:pPr>
    </w:p>
    <w:p w14:paraId="7162A266"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6FFD0548"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8C0A074"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70D8615F" w14:textId="77777777" w:rsidR="00C225C9" w:rsidRPr="00C225C9" w:rsidRDefault="00C225C9" w:rsidP="00C225C9">
      <w:pPr>
        <w:rPr>
          <w:rFonts w:eastAsia="Times New Roman"/>
          <w:b/>
          <w:sz w:val="24"/>
          <w:szCs w:val="24"/>
        </w:rPr>
      </w:pPr>
      <w:r w:rsidRPr="00C225C9">
        <w:rPr>
          <w:rFonts w:eastAsia="Times New Roman"/>
          <w:b/>
          <w:sz w:val="24"/>
          <w:szCs w:val="24"/>
        </w:rPr>
        <w:t xml:space="preserve">                                                    )         FORM B</w:t>
      </w:r>
    </w:p>
    <w:p w14:paraId="381C748B"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6AFDC3A"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13A06DD9" w14:textId="77777777" w:rsidR="00C225C9" w:rsidRPr="00C225C9" w:rsidRDefault="00C225C9" w:rsidP="00C225C9">
      <w:pPr>
        <w:rPr>
          <w:rFonts w:eastAsia="Times New Roman"/>
          <w:b/>
          <w:sz w:val="24"/>
          <w:szCs w:val="24"/>
        </w:rPr>
      </w:pPr>
    </w:p>
    <w:p w14:paraId="0CA2C9F8" w14:textId="77777777" w:rsidR="00C225C9" w:rsidRPr="00C225C9" w:rsidRDefault="00C225C9" w:rsidP="00C225C9">
      <w:pP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C</w:t>
      </w:r>
    </w:p>
    <w:p w14:paraId="558F8497" w14:textId="77777777" w:rsidR="00C225C9" w:rsidRPr="00C225C9" w:rsidRDefault="00C225C9" w:rsidP="00C225C9">
      <w:pPr>
        <w:rPr>
          <w:rFonts w:eastAsia="Times New Roman"/>
          <w:b/>
          <w:sz w:val="24"/>
          <w:szCs w:val="24"/>
        </w:rPr>
      </w:pPr>
    </w:p>
    <w:p w14:paraId="7DDE7356"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59FBAC51"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270E85DB" w14:textId="77777777" w:rsidR="00C225C9" w:rsidRPr="00C225C9" w:rsidRDefault="00C225C9" w:rsidP="00C225C9">
      <w:pPr>
        <w:jc w:val="center"/>
        <w:rPr>
          <w:rFonts w:eastAsia="Times New Roman"/>
          <w:b/>
          <w:sz w:val="24"/>
          <w:szCs w:val="24"/>
        </w:rPr>
      </w:pPr>
    </w:p>
    <w:p w14:paraId="7331E1A5"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5BAA74E5" w14:textId="77777777" w:rsidR="00C225C9" w:rsidRPr="00C225C9" w:rsidRDefault="00C225C9" w:rsidP="00C225C9">
      <w:pPr>
        <w:jc w:val="center"/>
        <w:rPr>
          <w:rFonts w:eastAsia="Times New Roman"/>
          <w:b/>
          <w:sz w:val="24"/>
          <w:szCs w:val="24"/>
        </w:rPr>
      </w:pPr>
    </w:p>
    <w:p w14:paraId="35535C12" w14:textId="77777777" w:rsidR="00C225C9" w:rsidRPr="00C225C9" w:rsidRDefault="00C225C9" w:rsidP="00C225C9">
      <w:pPr>
        <w:rPr>
          <w:rFonts w:eastAsia="Times New Roman"/>
          <w:b/>
          <w:sz w:val="24"/>
          <w:szCs w:val="24"/>
        </w:rPr>
      </w:pPr>
    </w:p>
    <w:p w14:paraId="59FFE113" w14:textId="77777777" w:rsidR="00C225C9" w:rsidRPr="00C225C9" w:rsidRDefault="00C225C9" w:rsidP="00C225C9">
      <w:pPr>
        <w:rPr>
          <w:rFonts w:eastAsia="Times New Roman"/>
          <w:b/>
          <w:sz w:val="24"/>
          <w:szCs w:val="24"/>
        </w:rPr>
      </w:pPr>
    </w:p>
    <w:p w14:paraId="486A7B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8028A0A"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4766E6F"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5E7779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C</w:t>
      </w:r>
    </w:p>
    <w:p w14:paraId="286EDAE7"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3FD0A9AF" w14:textId="77777777" w:rsidR="00C225C9" w:rsidRPr="00C225C9" w:rsidRDefault="00C225C9" w:rsidP="00C225C9">
      <w:pPr>
        <w:rPr>
          <w:rFonts w:eastAsia="Times New Roman"/>
          <w:b/>
          <w:sz w:val="24"/>
          <w:szCs w:val="24"/>
        </w:rPr>
      </w:pPr>
    </w:p>
    <w:p w14:paraId="430A6947" w14:textId="77777777" w:rsidR="00C225C9" w:rsidRPr="00C225C9" w:rsidRDefault="00C225C9" w:rsidP="00C225C9">
      <w:pP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in conjunction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8" w:name="a14_32"/>
      <w:bookmarkEnd w:id="38"/>
      <w:r w:rsidRPr="00267805">
        <w:rPr>
          <w:rFonts w:eastAsia="Times New Roman"/>
          <w:b/>
          <w:sz w:val="24"/>
          <w:szCs w:val="24"/>
        </w:rPr>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in conjunction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39" w:name="a14_32A"/>
      <w:bookmarkEnd w:id="39"/>
      <w:r w:rsidRPr="00685E76">
        <w:rPr>
          <w:rFonts w:eastAsia="Times New Roman"/>
          <w:b/>
          <w:sz w:val="24"/>
          <w:szCs w:val="24"/>
        </w:rPr>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(his) (her)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(his) (her)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0" w:name="a14_32B"/>
      <w:bookmarkEnd w:id="40"/>
      <w:r w:rsidRPr="001608FF">
        <w:rPr>
          <w:rFonts w:eastAsia="Times New Roman"/>
          <w:b/>
          <w:sz w:val="24"/>
          <w:szCs w:val="24"/>
        </w:rPr>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A</w:t>
      </w:r>
    </w:p>
    <w:p w14:paraId="59191D5E" w14:textId="77777777" w:rsidR="001608FF" w:rsidRPr="001608FF" w:rsidRDefault="001608FF" w:rsidP="001608FF">
      <w:pPr>
        <w:rPr>
          <w:rFonts w:eastAsia="Times New Roman"/>
          <w:b/>
          <w:sz w:val="24"/>
          <w:szCs w:val="24"/>
        </w:rPr>
      </w:pPr>
    </w:p>
    <w:p w14:paraId="338878B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58AD41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09F7ACF6" w14:textId="77777777" w:rsidR="001608FF" w:rsidRPr="001608FF" w:rsidRDefault="001608FF" w:rsidP="001608FF">
      <w:pPr>
        <w:rPr>
          <w:rFonts w:eastAsia="Times New Roman"/>
          <w:b/>
          <w:sz w:val="24"/>
          <w:szCs w:val="24"/>
        </w:rPr>
      </w:pPr>
    </w:p>
    <w:p w14:paraId="7DB2FFBA"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570982C6" w14:textId="77777777" w:rsidR="001608FF" w:rsidRPr="001608FF" w:rsidRDefault="001608FF" w:rsidP="001608FF">
      <w:pPr>
        <w:jc w:val="center"/>
        <w:rPr>
          <w:rFonts w:eastAsia="Times New Roman"/>
          <w:b/>
          <w:sz w:val="24"/>
          <w:szCs w:val="24"/>
        </w:rPr>
      </w:pPr>
    </w:p>
    <w:p w14:paraId="22EAB7AE" w14:textId="77777777" w:rsidR="001608FF" w:rsidRPr="001608FF" w:rsidRDefault="001608FF" w:rsidP="001608FF">
      <w:pPr>
        <w:rPr>
          <w:rFonts w:eastAsia="Times New Roman"/>
          <w:b/>
          <w:sz w:val="24"/>
          <w:szCs w:val="24"/>
        </w:rPr>
      </w:pPr>
    </w:p>
    <w:p w14:paraId="21954835" w14:textId="77777777" w:rsidR="001608FF" w:rsidRPr="001608FF" w:rsidRDefault="001608FF" w:rsidP="001608FF">
      <w:pPr>
        <w:rPr>
          <w:rFonts w:eastAsia="Times New Roman"/>
          <w:b/>
          <w:sz w:val="24"/>
          <w:szCs w:val="24"/>
        </w:rPr>
      </w:pPr>
    </w:p>
    <w:p w14:paraId="76FFE35B"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51C20C8C"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1C6845A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w:t>
      </w:r>
    </w:p>
    <w:p w14:paraId="6745F07C" w14:textId="77777777" w:rsidR="001608FF" w:rsidRPr="001608FF" w:rsidRDefault="001608FF" w:rsidP="001608FF">
      <w:pPr>
        <w:rPr>
          <w:rFonts w:eastAsia="Times New Roman"/>
          <w:b/>
          <w:sz w:val="24"/>
          <w:szCs w:val="24"/>
        </w:rPr>
      </w:pPr>
      <w:r w:rsidRPr="001608FF">
        <w:rPr>
          <w:rFonts w:eastAsia="Times New Roman"/>
          <w:b/>
          <w:sz w:val="24"/>
          <w:szCs w:val="24"/>
        </w:rPr>
        <w:t xml:space="preserve">                                                    )         SPECIAL VERDICT</w:t>
      </w:r>
    </w:p>
    <w:p w14:paraId="0127C1CE"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         FORM A</w:t>
      </w:r>
    </w:p>
    <w:p w14:paraId="6D42BFDE"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34C7A528" w14:textId="77777777" w:rsidR="001608FF" w:rsidRPr="001608FF" w:rsidRDefault="001608FF" w:rsidP="001608FF">
      <w:pPr>
        <w:rPr>
          <w:rFonts w:eastAsia="Times New Roman"/>
          <w:b/>
          <w:sz w:val="24"/>
          <w:szCs w:val="24"/>
        </w:rPr>
      </w:pPr>
    </w:p>
    <w:p w14:paraId="6A17B822" w14:textId="77777777" w:rsidR="001608FF" w:rsidRPr="001608FF" w:rsidRDefault="001608FF" w:rsidP="001608FF">
      <w:pP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B</w:t>
      </w:r>
    </w:p>
    <w:p w14:paraId="5C81E71E" w14:textId="77777777" w:rsidR="001608FF" w:rsidRPr="001608FF" w:rsidRDefault="001608FF" w:rsidP="001608FF">
      <w:pPr>
        <w:rPr>
          <w:rFonts w:eastAsia="Times New Roman"/>
          <w:b/>
          <w:sz w:val="24"/>
          <w:szCs w:val="24"/>
        </w:rPr>
      </w:pPr>
    </w:p>
    <w:p w14:paraId="7E8C41F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65CA7E6F"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2461580B" w14:textId="77777777" w:rsidR="001608FF" w:rsidRPr="001608FF" w:rsidRDefault="001608FF" w:rsidP="001608FF">
      <w:pPr>
        <w:rPr>
          <w:rFonts w:eastAsia="Times New Roman"/>
          <w:b/>
          <w:sz w:val="24"/>
          <w:szCs w:val="24"/>
        </w:rPr>
      </w:pPr>
    </w:p>
    <w:p w14:paraId="457B712B"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2BB149ED" w14:textId="77777777" w:rsidR="001608FF" w:rsidRPr="001608FF" w:rsidRDefault="001608FF" w:rsidP="001608FF">
      <w:pPr>
        <w:rPr>
          <w:rFonts w:eastAsia="Times New Roman"/>
          <w:b/>
          <w:sz w:val="24"/>
          <w:szCs w:val="24"/>
        </w:rPr>
      </w:pPr>
    </w:p>
    <w:p w14:paraId="4B6DD1A1" w14:textId="77777777" w:rsidR="001608FF" w:rsidRPr="001608FF" w:rsidRDefault="001608FF" w:rsidP="001608FF">
      <w:pPr>
        <w:rPr>
          <w:rFonts w:eastAsia="Times New Roman"/>
          <w:b/>
          <w:sz w:val="24"/>
          <w:szCs w:val="24"/>
        </w:rPr>
      </w:pPr>
    </w:p>
    <w:p w14:paraId="4F0FE0BC" w14:textId="77777777" w:rsidR="001608FF" w:rsidRPr="001608FF" w:rsidRDefault="001608FF" w:rsidP="001608FF">
      <w:pPr>
        <w:rPr>
          <w:rFonts w:eastAsia="Times New Roman"/>
          <w:b/>
          <w:sz w:val="24"/>
          <w:szCs w:val="24"/>
        </w:rPr>
      </w:pPr>
    </w:p>
    <w:p w14:paraId="2F2D5E92"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7A91CB72"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636CE66"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3F98EDC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68E7CE00"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B</w:t>
      </w:r>
    </w:p>
    <w:p w14:paraId="1FD6D1DC"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0F3DA211"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4A7F220B" w14:textId="77777777" w:rsidR="001608FF" w:rsidRPr="001608FF" w:rsidRDefault="001608FF" w:rsidP="001608FF">
      <w:pPr>
        <w:rPr>
          <w:rFonts w:eastAsia="Times New Roman"/>
          <w:b/>
          <w:sz w:val="24"/>
          <w:szCs w:val="24"/>
        </w:rPr>
      </w:pPr>
    </w:p>
    <w:p w14:paraId="0A49DEDC" w14:textId="77777777" w:rsidR="001608FF" w:rsidRPr="001608FF" w:rsidRDefault="001608FF" w:rsidP="001608FF">
      <w:pP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(insert specific 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C</w:t>
      </w:r>
    </w:p>
    <w:p w14:paraId="50ACD981" w14:textId="77777777" w:rsidR="001608FF" w:rsidRPr="001608FF" w:rsidRDefault="001608FF" w:rsidP="001608FF">
      <w:pPr>
        <w:rPr>
          <w:rFonts w:eastAsia="Times New Roman"/>
          <w:b/>
          <w:sz w:val="24"/>
          <w:szCs w:val="24"/>
        </w:rPr>
      </w:pPr>
    </w:p>
    <w:p w14:paraId="1221123E"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9C588F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4A2497FE" w14:textId="77777777" w:rsidR="001608FF" w:rsidRPr="001608FF" w:rsidRDefault="001608FF" w:rsidP="001608FF">
      <w:pPr>
        <w:rPr>
          <w:rFonts w:eastAsia="Times New Roman"/>
          <w:b/>
          <w:sz w:val="24"/>
          <w:szCs w:val="24"/>
        </w:rPr>
      </w:pPr>
    </w:p>
    <w:p w14:paraId="78E7B573"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6C28F63C" w14:textId="77777777" w:rsidR="001608FF" w:rsidRPr="001608FF" w:rsidRDefault="001608FF" w:rsidP="001608FF">
      <w:pPr>
        <w:rPr>
          <w:rFonts w:eastAsia="Times New Roman"/>
          <w:b/>
          <w:sz w:val="24"/>
          <w:szCs w:val="24"/>
        </w:rPr>
      </w:pPr>
    </w:p>
    <w:p w14:paraId="7A7B4691" w14:textId="77777777" w:rsidR="001608FF" w:rsidRPr="001608FF" w:rsidRDefault="001608FF" w:rsidP="001608FF">
      <w:pPr>
        <w:rPr>
          <w:rFonts w:eastAsia="Times New Roman"/>
          <w:b/>
          <w:sz w:val="24"/>
          <w:szCs w:val="24"/>
        </w:rPr>
      </w:pPr>
    </w:p>
    <w:p w14:paraId="664F22BB" w14:textId="77777777" w:rsidR="001608FF" w:rsidRPr="001608FF" w:rsidRDefault="001608FF" w:rsidP="001608FF">
      <w:pPr>
        <w:rPr>
          <w:rFonts w:eastAsia="Times New Roman"/>
          <w:b/>
          <w:sz w:val="24"/>
          <w:szCs w:val="24"/>
        </w:rPr>
      </w:pPr>
    </w:p>
    <w:p w14:paraId="04F45C18"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2D7DB75F"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AF08942"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08CE8957"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76777258"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C</w:t>
      </w:r>
    </w:p>
    <w:p w14:paraId="5F6A8C75"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159B5353"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02D8636F" w14:textId="77777777" w:rsidR="001608FF" w:rsidRPr="001608FF" w:rsidRDefault="001608FF" w:rsidP="001608FF">
      <w:pPr>
        <w:rPr>
          <w:rFonts w:eastAsia="Times New Roman"/>
          <w:b/>
          <w:sz w:val="24"/>
          <w:szCs w:val="24"/>
        </w:rPr>
      </w:pPr>
    </w:p>
    <w:p w14:paraId="426B495A" w14:textId="77777777" w:rsidR="001608FF" w:rsidRPr="001608FF" w:rsidRDefault="001608FF" w:rsidP="001608FF">
      <w:pP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5477534D"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2E9432CF"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1" w:name="a14_33"/>
      <w:bookmarkEnd w:id="41"/>
      <w:r w:rsidRPr="009007E8">
        <w:rPr>
          <w:rFonts w:eastAsia="Times New Roman"/>
          <w:b/>
          <w:sz w:val="24"/>
          <w:szCs w:val="24"/>
        </w:rPr>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in conjunction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2" w:name="a14_33A"/>
      <w:bookmarkEnd w:id="42"/>
      <w:r>
        <w:rPr>
          <w:rFonts w:eastAsia="Times New Roman"/>
          <w:b/>
          <w:sz w:val="24"/>
          <w:szCs w:val="24"/>
        </w:rPr>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(his) (her)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3" w:name="a14_33B"/>
      <w:bookmarkEnd w:id="43"/>
      <w:r w:rsidRPr="009F581C">
        <w:rPr>
          <w:rFonts w:eastAsia="Times New Roman"/>
          <w:b/>
          <w:sz w:val="24"/>
          <w:szCs w:val="24"/>
        </w:rPr>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A</w:t>
      </w:r>
    </w:p>
    <w:p w14:paraId="30AD255E" w14:textId="77777777" w:rsidR="009F581C" w:rsidRPr="009F581C" w:rsidRDefault="009F581C" w:rsidP="009F581C">
      <w:pPr>
        <w:rPr>
          <w:rFonts w:eastAsia="Times New Roman"/>
          <w:b/>
          <w:sz w:val="24"/>
          <w:szCs w:val="24"/>
        </w:rPr>
      </w:pPr>
    </w:p>
    <w:p w14:paraId="7D7F4F87"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181AD9B8"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591F1C11" w14:textId="77777777" w:rsidR="009F581C" w:rsidRPr="009F581C" w:rsidRDefault="009F581C" w:rsidP="009F581C">
      <w:pPr>
        <w:rPr>
          <w:rFonts w:eastAsia="Times New Roman"/>
          <w:b/>
          <w:sz w:val="24"/>
          <w:szCs w:val="24"/>
        </w:rPr>
      </w:pPr>
    </w:p>
    <w:p w14:paraId="1984A92C"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115AAD2B" w14:textId="77777777" w:rsidR="009F581C" w:rsidRPr="009F581C" w:rsidRDefault="009F581C" w:rsidP="009F581C">
      <w:pPr>
        <w:rPr>
          <w:rFonts w:eastAsia="Times New Roman"/>
          <w:b/>
          <w:sz w:val="24"/>
          <w:szCs w:val="24"/>
        </w:rPr>
      </w:pPr>
    </w:p>
    <w:p w14:paraId="5EB1F63A" w14:textId="77777777" w:rsidR="009F581C" w:rsidRPr="009F581C" w:rsidRDefault="009F581C" w:rsidP="009F581C">
      <w:pPr>
        <w:rPr>
          <w:rFonts w:eastAsia="Times New Roman"/>
          <w:b/>
          <w:sz w:val="24"/>
          <w:szCs w:val="24"/>
        </w:rPr>
      </w:pPr>
    </w:p>
    <w:p w14:paraId="6C400455" w14:textId="77777777" w:rsidR="009F581C" w:rsidRPr="009F581C" w:rsidRDefault="009F581C" w:rsidP="009F581C">
      <w:pPr>
        <w:rPr>
          <w:rFonts w:eastAsia="Times New Roman"/>
          <w:b/>
          <w:sz w:val="24"/>
          <w:szCs w:val="24"/>
        </w:rPr>
      </w:pPr>
    </w:p>
    <w:p w14:paraId="6EF314FB"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7E78D4CB" w14:textId="77777777" w:rsidR="009F581C" w:rsidRPr="009F581C" w:rsidRDefault="009F581C" w:rsidP="009F581C">
      <w:pPr>
        <w:tabs>
          <w:tab w:val="left" w:pos="3240"/>
        </w:tabs>
        <w:rPr>
          <w:rFonts w:eastAsia="Times New Roman"/>
          <w:b/>
          <w:sz w:val="24"/>
          <w:szCs w:val="24"/>
        </w:rPr>
      </w:pPr>
      <w:r w:rsidRPr="009F581C">
        <w:rPr>
          <w:rFonts w:eastAsia="Times New Roman"/>
          <w:b/>
          <w:sz w:val="24"/>
          <w:szCs w:val="24"/>
        </w:rPr>
        <w:t xml:space="preserve">               Plaintiff,                      )</w:t>
      </w:r>
    </w:p>
    <w:p w14:paraId="7C887A6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1ACDFCEC"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B6CA24E"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         FORM A</w:t>
      </w:r>
    </w:p>
    <w:p w14:paraId="419B697F"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22AFAFE" w14:textId="77777777" w:rsidR="009F581C" w:rsidRPr="009F581C" w:rsidRDefault="009F581C" w:rsidP="009F581C">
      <w:pPr>
        <w:rPr>
          <w:rFonts w:eastAsia="Times New Roman"/>
          <w:b/>
          <w:sz w:val="24"/>
          <w:szCs w:val="24"/>
        </w:rPr>
      </w:pPr>
    </w:p>
    <w:p w14:paraId="45EB8B2F" w14:textId="77777777" w:rsidR="009F581C" w:rsidRPr="009F581C" w:rsidRDefault="009F581C" w:rsidP="009F581C">
      <w:pP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B</w:t>
      </w:r>
    </w:p>
    <w:p w14:paraId="56F84EBD" w14:textId="77777777" w:rsidR="009F581C" w:rsidRPr="009F581C" w:rsidRDefault="009F581C" w:rsidP="009F581C">
      <w:pPr>
        <w:rPr>
          <w:rFonts w:eastAsia="Times New Roman"/>
          <w:b/>
          <w:sz w:val="24"/>
          <w:szCs w:val="24"/>
        </w:rPr>
      </w:pPr>
    </w:p>
    <w:p w14:paraId="0EF19F6D"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667DC840"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02782D2D" w14:textId="77777777" w:rsidR="009F581C" w:rsidRPr="009F581C" w:rsidRDefault="009F581C" w:rsidP="009F581C">
      <w:pPr>
        <w:jc w:val="center"/>
        <w:rPr>
          <w:rFonts w:eastAsia="Times New Roman"/>
          <w:b/>
          <w:sz w:val="24"/>
          <w:szCs w:val="24"/>
        </w:rPr>
      </w:pPr>
    </w:p>
    <w:p w14:paraId="5769B65E"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0D8615A3" w14:textId="77777777" w:rsidR="009F581C" w:rsidRPr="009F581C" w:rsidRDefault="009F581C" w:rsidP="009F581C">
      <w:pPr>
        <w:rPr>
          <w:rFonts w:eastAsia="Times New Roman"/>
          <w:b/>
          <w:sz w:val="24"/>
          <w:szCs w:val="24"/>
        </w:rPr>
      </w:pPr>
    </w:p>
    <w:p w14:paraId="6BF8BE64" w14:textId="77777777" w:rsidR="009F581C" w:rsidRPr="009F581C" w:rsidRDefault="009F581C" w:rsidP="009F581C">
      <w:pPr>
        <w:rPr>
          <w:rFonts w:eastAsia="Times New Roman"/>
          <w:b/>
          <w:sz w:val="24"/>
          <w:szCs w:val="24"/>
        </w:rPr>
      </w:pPr>
    </w:p>
    <w:p w14:paraId="40ACFAAA" w14:textId="77777777" w:rsidR="009F581C" w:rsidRPr="009F581C" w:rsidRDefault="009F581C" w:rsidP="009F581C">
      <w:pPr>
        <w:rPr>
          <w:rFonts w:eastAsia="Times New Roman"/>
          <w:b/>
          <w:sz w:val="24"/>
          <w:szCs w:val="24"/>
        </w:rPr>
      </w:pPr>
    </w:p>
    <w:p w14:paraId="47191AC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292642E1"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3BE076B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2D386264"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7236A78"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B</w:t>
      </w:r>
    </w:p>
    <w:p w14:paraId="54B87D1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44A4EDF2"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6493509" w14:textId="77777777" w:rsidR="009F581C" w:rsidRPr="009F581C" w:rsidRDefault="009F581C" w:rsidP="009F581C">
      <w:pPr>
        <w:rPr>
          <w:rFonts w:eastAsia="Times New Roman"/>
          <w:b/>
          <w:sz w:val="24"/>
          <w:szCs w:val="24"/>
        </w:rPr>
      </w:pPr>
    </w:p>
    <w:p w14:paraId="41843EC3" w14:textId="77777777" w:rsidR="009F581C" w:rsidRPr="009F581C" w:rsidRDefault="009F581C" w:rsidP="009F581C">
      <w:pP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C</w:t>
      </w:r>
    </w:p>
    <w:p w14:paraId="0D7ADBED" w14:textId="77777777" w:rsidR="009F581C" w:rsidRPr="009F581C" w:rsidRDefault="009F581C" w:rsidP="009F581C">
      <w:pPr>
        <w:rPr>
          <w:rFonts w:eastAsia="Times New Roman"/>
          <w:b/>
          <w:sz w:val="24"/>
          <w:szCs w:val="24"/>
        </w:rPr>
      </w:pPr>
    </w:p>
    <w:p w14:paraId="3D53C1EE"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51438F17"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27D55813" w14:textId="77777777" w:rsidR="009F581C" w:rsidRPr="009F581C" w:rsidRDefault="009F581C" w:rsidP="009F581C">
      <w:pPr>
        <w:rPr>
          <w:rFonts w:eastAsia="Times New Roman"/>
          <w:b/>
          <w:sz w:val="24"/>
          <w:szCs w:val="24"/>
        </w:rPr>
      </w:pPr>
    </w:p>
    <w:p w14:paraId="3EA087E6"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2F8A68D5" w14:textId="77777777" w:rsidR="009F581C" w:rsidRPr="009F581C" w:rsidRDefault="009F581C" w:rsidP="009F581C">
      <w:pPr>
        <w:rPr>
          <w:rFonts w:eastAsia="Times New Roman"/>
          <w:b/>
          <w:sz w:val="24"/>
          <w:szCs w:val="24"/>
        </w:rPr>
      </w:pPr>
    </w:p>
    <w:p w14:paraId="6BE48AE5" w14:textId="77777777" w:rsidR="009F581C" w:rsidRPr="009F581C" w:rsidRDefault="009F581C" w:rsidP="009F581C">
      <w:pPr>
        <w:rPr>
          <w:rFonts w:eastAsia="Times New Roman"/>
          <w:b/>
          <w:sz w:val="24"/>
          <w:szCs w:val="24"/>
        </w:rPr>
      </w:pPr>
    </w:p>
    <w:p w14:paraId="39B15307"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62CAF34E"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1EE4E748"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4E8976DE"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0AA207F4"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C</w:t>
      </w:r>
    </w:p>
    <w:p w14:paraId="0517E54D"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00C45D4B"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83BC112" w14:textId="77777777" w:rsidR="009F581C" w:rsidRPr="009F581C" w:rsidRDefault="009F581C" w:rsidP="009F581C">
      <w:pPr>
        <w:rPr>
          <w:rFonts w:eastAsia="Times New Roman"/>
          <w:b/>
          <w:sz w:val="24"/>
          <w:szCs w:val="24"/>
        </w:rPr>
      </w:pPr>
    </w:p>
    <w:p w14:paraId="776A7334" w14:textId="77777777" w:rsidR="009F581C" w:rsidRPr="009F581C" w:rsidRDefault="009F581C" w:rsidP="009F581C">
      <w:pP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(his) (her)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43CB53EC" w:rsidR="009F581C" w:rsidRPr="009F581C" w:rsidRDefault="00C30C3D" w:rsidP="009F581C">
      <w:pPr>
        <w:ind w:firstLine="720"/>
        <w:rPr>
          <w:rFonts w:eastAsia="Times New Roman"/>
          <w:b/>
          <w:sz w:val="24"/>
          <w:szCs w:val="24"/>
        </w:rPr>
      </w:pPr>
      <w:r>
        <w:rPr>
          <w:rFonts w:eastAsia="Times New Roman"/>
          <w:i/>
          <w:sz w:val="24"/>
          <w:szCs w:val="24"/>
        </w:rPr>
        <w:t xml:space="preserve">e. </w:t>
      </w:r>
      <w:r w:rsidR="009F581C" w:rsidRPr="009F581C">
        <w:rPr>
          <w:rFonts w:eastAsia="Times New Roman"/>
          <w:i/>
          <w:sz w:val="24"/>
          <w:szCs w:val="24"/>
        </w:rPr>
        <w:t>the designated nonparty,</w:t>
      </w:r>
      <w:r w:rsidR="009F581C" w:rsidRPr="009F581C">
        <w:rPr>
          <w:rFonts w:eastAsia="Times New Roman"/>
          <w:b/>
          <w:sz w:val="24"/>
          <w:szCs w:val="24"/>
        </w:rPr>
        <w:t xml:space="preserve"> </w:t>
      </w:r>
      <w:r w:rsidR="009F581C" w:rsidRPr="009F581C">
        <w:rPr>
          <w:rFonts w:eastAsia="Times New Roman"/>
          <w:i/>
          <w:sz w:val="24"/>
          <w:szCs w:val="24"/>
        </w:rPr>
        <w:t>[name of second designated nonparty])</w:t>
      </w:r>
      <w:r w:rsidR="009F581C"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F356" w14:textId="77777777" w:rsidR="0090450A" w:rsidRDefault="0090450A" w:rsidP="0054263B">
      <w:r>
        <w:separator/>
      </w:r>
    </w:p>
    <w:p w14:paraId="4E94DC38" w14:textId="77777777" w:rsidR="0090450A" w:rsidRDefault="0090450A"/>
  </w:endnote>
  <w:endnote w:type="continuationSeparator" w:id="0">
    <w:p w14:paraId="572F3487" w14:textId="77777777" w:rsidR="0090450A" w:rsidRDefault="0090450A" w:rsidP="0054263B">
      <w:r>
        <w:continuationSeparator/>
      </w:r>
    </w:p>
    <w:p w14:paraId="48FF0C23" w14:textId="77777777" w:rsidR="0090450A" w:rsidRDefault="0090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307F0AB" w14:textId="77777777" w:rsidR="00286434" w:rsidRDefault="00286434">
        <w:pPr>
          <w:pStyle w:val="Footer"/>
          <w:jc w:val="center"/>
        </w:pPr>
        <w:r>
          <w:fldChar w:fldCharType="begin"/>
        </w:r>
        <w:r>
          <w:instrText xml:space="preserve"> PAGE   \* MERGEFORMAT </w:instrText>
        </w:r>
        <w:r>
          <w:fldChar w:fldCharType="separate"/>
        </w:r>
        <w:r w:rsidR="000D3C90">
          <w:rPr>
            <w:noProof/>
          </w:rPr>
          <w:t>48</w:t>
        </w:r>
        <w:r>
          <w:rPr>
            <w:noProof/>
          </w:rPr>
          <w:fldChar w:fldCharType="end"/>
        </w:r>
      </w:p>
    </w:sdtContent>
  </w:sdt>
  <w:p w14:paraId="42A8ABC2" w14:textId="77777777" w:rsidR="00286434" w:rsidRDefault="00286434">
    <w:pPr>
      <w:pStyle w:val="Footer"/>
    </w:pPr>
  </w:p>
  <w:p w14:paraId="5BD210EF" w14:textId="77777777" w:rsidR="00286434" w:rsidRDefault="00286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327C" w14:textId="77777777" w:rsidR="0090450A" w:rsidRDefault="0090450A" w:rsidP="0054263B">
      <w:r>
        <w:separator/>
      </w:r>
    </w:p>
    <w:p w14:paraId="47AD93F1" w14:textId="77777777" w:rsidR="0090450A" w:rsidRDefault="0090450A"/>
  </w:footnote>
  <w:footnote w:type="continuationSeparator" w:id="0">
    <w:p w14:paraId="5936E152" w14:textId="77777777" w:rsidR="0090450A" w:rsidRDefault="0090450A" w:rsidP="0054263B">
      <w:r>
        <w:continuationSeparator/>
      </w:r>
    </w:p>
    <w:p w14:paraId="296EE2A7" w14:textId="77777777" w:rsidR="0090450A" w:rsidRDefault="00904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040832">
    <w:abstractNumId w:val="0"/>
  </w:num>
  <w:num w:numId="2" w16cid:durableId="101144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215F"/>
    <w:rsid w:val="0006367C"/>
    <w:rsid w:val="000661ED"/>
    <w:rsid w:val="000824C8"/>
    <w:rsid w:val="00085495"/>
    <w:rsid w:val="00086E42"/>
    <w:rsid w:val="000921F1"/>
    <w:rsid w:val="000962C8"/>
    <w:rsid w:val="000B1B7A"/>
    <w:rsid w:val="000C204E"/>
    <w:rsid w:val="000C503A"/>
    <w:rsid w:val="000C6F97"/>
    <w:rsid w:val="000D3C90"/>
    <w:rsid w:val="000D4856"/>
    <w:rsid w:val="000D56CA"/>
    <w:rsid w:val="000F205C"/>
    <w:rsid w:val="001048D8"/>
    <w:rsid w:val="001117D9"/>
    <w:rsid w:val="00112C8E"/>
    <w:rsid w:val="00112FF9"/>
    <w:rsid w:val="00125209"/>
    <w:rsid w:val="00126B7A"/>
    <w:rsid w:val="00144917"/>
    <w:rsid w:val="001608FF"/>
    <w:rsid w:val="001671A9"/>
    <w:rsid w:val="00172674"/>
    <w:rsid w:val="0018388B"/>
    <w:rsid w:val="001903CB"/>
    <w:rsid w:val="001913B1"/>
    <w:rsid w:val="00191498"/>
    <w:rsid w:val="00191C86"/>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86434"/>
    <w:rsid w:val="00293F7E"/>
    <w:rsid w:val="002A23B0"/>
    <w:rsid w:val="002A6EC7"/>
    <w:rsid w:val="002D163D"/>
    <w:rsid w:val="002D7DDF"/>
    <w:rsid w:val="002E0970"/>
    <w:rsid w:val="002F48D6"/>
    <w:rsid w:val="00304398"/>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937B8"/>
    <w:rsid w:val="003A2F1C"/>
    <w:rsid w:val="003A452C"/>
    <w:rsid w:val="003D027F"/>
    <w:rsid w:val="003D370E"/>
    <w:rsid w:val="003E472A"/>
    <w:rsid w:val="003E5B38"/>
    <w:rsid w:val="003E676E"/>
    <w:rsid w:val="003F108C"/>
    <w:rsid w:val="003F6E89"/>
    <w:rsid w:val="0042627A"/>
    <w:rsid w:val="00427D07"/>
    <w:rsid w:val="00434371"/>
    <w:rsid w:val="00434B55"/>
    <w:rsid w:val="00436C40"/>
    <w:rsid w:val="004425AA"/>
    <w:rsid w:val="00456038"/>
    <w:rsid w:val="00467B80"/>
    <w:rsid w:val="0047120C"/>
    <w:rsid w:val="00471618"/>
    <w:rsid w:val="00474B1B"/>
    <w:rsid w:val="0048541F"/>
    <w:rsid w:val="0049313F"/>
    <w:rsid w:val="004A1210"/>
    <w:rsid w:val="004A32E6"/>
    <w:rsid w:val="004B753E"/>
    <w:rsid w:val="004C62F9"/>
    <w:rsid w:val="004C723A"/>
    <w:rsid w:val="004E7EF1"/>
    <w:rsid w:val="004F7FA3"/>
    <w:rsid w:val="005065E6"/>
    <w:rsid w:val="0051385E"/>
    <w:rsid w:val="00516447"/>
    <w:rsid w:val="0052537F"/>
    <w:rsid w:val="00527A18"/>
    <w:rsid w:val="00531F87"/>
    <w:rsid w:val="0053544D"/>
    <w:rsid w:val="0054263B"/>
    <w:rsid w:val="00547AFF"/>
    <w:rsid w:val="00547D97"/>
    <w:rsid w:val="00550AFD"/>
    <w:rsid w:val="00557FCC"/>
    <w:rsid w:val="005648EF"/>
    <w:rsid w:val="0057771F"/>
    <w:rsid w:val="005A22A6"/>
    <w:rsid w:val="005B3A78"/>
    <w:rsid w:val="005C56C9"/>
    <w:rsid w:val="005C5CCB"/>
    <w:rsid w:val="005D1AD3"/>
    <w:rsid w:val="005D3156"/>
    <w:rsid w:val="005E39B8"/>
    <w:rsid w:val="005E712D"/>
    <w:rsid w:val="005F1017"/>
    <w:rsid w:val="005F19FD"/>
    <w:rsid w:val="005F5A94"/>
    <w:rsid w:val="006272FE"/>
    <w:rsid w:val="006344DE"/>
    <w:rsid w:val="00647CC5"/>
    <w:rsid w:val="00651A64"/>
    <w:rsid w:val="00661D05"/>
    <w:rsid w:val="00675252"/>
    <w:rsid w:val="00682B93"/>
    <w:rsid w:val="0068336D"/>
    <w:rsid w:val="00683FA1"/>
    <w:rsid w:val="00685E76"/>
    <w:rsid w:val="00686506"/>
    <w:rsid w:val="00687304"/>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92028"/>
    <w:rsid w:val="007A3A0E"/>
    <w:rsid w:val="007A4087"/>
    <w:rsid w:val="007A612E"/>
    <w:rsid w:val="007B1633"/>
    <w:rsid w:val="007D15AD"/>
    <w:rsid w:val="007D168F"/>
    <w:rsid w:val="007D198E"/>
    <w:rsid w:val="007D2BCE"/>
    <w:rsid w:val="007D39CC"/>
    <w:rsid w:val="007E1675"/>
    <w:rsid w:val="007F7129"/>
    <w:rsid w:val="00801691"/>
    <w:rsid w:val="00801AE2"/>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6648"/>
    <w:rsid w:val="00887206"/>
    <w:rsid w:val="00895065"/>
    <w:rsid w:val="008A475A"/>
    <w:rsid w:val="008A6339"/>
    <w:rsid w:val="008A637B"/>
    <w:rsid w:val="008B1617"/>
    <w:rsid w:val="008C1739"/>
    <w:rsid w:val="008C3C6D"/>
    <w:rsid w:val="008D2D56"/>
    <w:rsid w:val="008D4A28"/>
    <w:rsid w:val="008D609F"/>
    <w:rsid w:val="008E41F1"/>
    <w:rsid w:val="008E51AF"/>
    <w:rsid w:val="008F4C42"/>
    <w:rsid w:val="008F746C"/>
    <w:rsid w:val="009007E8"/>
    <w:rsid w:val="009022AA"/>
    <w:rsid w:val="0090292A"/>
    <w:rsid w:val="00902A25"/>
    <w:rsid w:val="0090450A"/>
    <w:rsid w:val="00914128"/>
    <w:rsid w:val="00932723"/>
    <w:rsid w:val="00935DA8"/>
    <w:rsid w:val="00936D0A"/>
    <w:rsid w:val="00950692"/>
    <w:rsid w:val="00952BBB"/>
    <w:rsid w:val="0095709A"/>
    <w:rsid w:val="009725D8"/>
    <w:rsid w:val="00973884"/>
    <w:rsid w:val="00980F93"/>
    <w:rsid w:val="009902F2"/>
    <w:rsid w:val="009931B9"/>
    <w:rsid w:val="009A6D85"/>
    <w:rsid w:val="009B6746"/>
    <w:rsid w:val="009C0C3F"/>
    <w:rsid w:val="009C7D86"/>
    <w:rsid w:val="009E20C7"/>
    <w:rsid w:val="009E3DA4"/>
    <w:rsid w:val="009E3DAF"/>
    <w:rsid w:val="009F581C"/>
    <w:rsid w:val="00A005E6"/>
    <w:rsid w:val="00A10F3D"/>
    <w:rsid w:val="00A110C7"/>
    <w:rsid w:val="00A36457"/>
    <w:rsid w:val="00A50F20"/>
    <w:rsid w:val="00A632A0"/>
    <w:rsid w:val="00A71DED"/>
    <w:rsid w:val="00A73AE6"/>
    <w:rsid w:val="00A7458F"/>
    <w:rsid w:val="00A76341"/>
    <w:rsid w:val="00A80C10"/>
    <w:rsid w:val="00A82D0A"/>
    <w:rsid w:val="00A85AAA"/>
    <w:rsid w:val="00A92C18"/>
    <w:rsid w:val="00A97896"/>
    <w:rsid w:val="00AA1CBF"/>
    <w:rsid w:val="00AB2019"/>
    <w:rsid w:val="00AB71A7"/>
    <w:rsid w:val="00AC15A2"/>
    <w:rsid w:val="00AC78F7"/>
    <w:rsid w:val="00AD4B56"/>
    <w:rsid w:val="00AF7D47"/>
    <w:rsid w:val="00B0264D"/>
    <w:rsid w:val="00B338E2"/>
    <w:rsid w:val="00B35185"/>
    <w:rsid w:val="00B37722"/>
    <w:rsid w:val="00B51ACF"/>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0C3D"/>
    <w:rsid w:val="00C37115"/>
    <w:rsid w:val="00C40968"/>
    <w:rsid w:val="00C473A2"/>
    <w:rsid w:val="00C60E95"/>
    <w:rsid w:val="00C724B6"/>
    <w:rsid w:val="00C84E71"/>
    <w:rsid w:val="00C87463"/>
    <w:rsid w:val="00C8797B"/>
    <w:rsid w:val="00C93B0B"/>
    <w:rsid w:val="00C94C5E"/>
    <w:rsid w:val="00CA41CC"/>
    <w:rsid w:val="00CA7EF2"/>
    <w:rsid w:val="00CB008B"/>
    <w:rsid w:val="00CB53D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41C33"/>
    <w:rsid w:val="00D51E80"/>
    <w:rsid w:val="00D53848"/>
    <w:rsid w:val="00D53AC5"/>
    <w:rsid w:val="00D5484F"/>
    <w:rsid w:val="00D7182B"/>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4798D"/>
    <w:rsid w:val="00E50187"/>
    <w:rsid w:val="00E55147"/>
    <w:rsid w:val="00E551EB"/>
    <w:rsid w:val="00E67638"/>
    <w:rsid w:val="00E70C9B"/>
    <w:rsid w:val="00E72FF1"/>
    <w:rsid w:val="00E7526A"/>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7B76"/>
    <w:rsid w:val="00FD2DF4"/>
    <w:rsid w:val="00FD7D4E"/>
    <w:rsid w:val="00FE00D7"/>
    <w:rsid w:val="00FE156B"/>
    <w:rsid w:val="00FE5026"/>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F7FA3"/>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30922</Words>
  <Characters>176257</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2023-03-07T17:06:00Z</dcterms:created>
  <dcterms:modified xsi:type="dcterms:W3CDTF">2023-03-07T17:06:00Z</dcterms:modified>
</cp:coreProperties>
</file>