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41CC" w:rsidRPr="00914128" w:rsidRDefault="0068336D" w:rsidP="00914128">
      <w:pPr>
        <w:pStyle w:val="Heading1"/>
      </w:pPr>
      <w:bookmarkStart w:id="0" w:name="_GoBack"/>
      <w:bookmarkEnd w:id="0"/>
      <w:r>
        <w:t xml:space="preserve">CHAPTER </w:t>
      </w:r>
      <w:r w:rsidR="002B5FCF">
        <w:t>20</w:t>
      </w:r>
    </w:p>
    <w:p w:rsidR="00EC7C98" w:rsidRPr="00914128" w:rsidRDefault="002B5FCF" w:rsidP="00914128">
      <w:pPr>
        <w:pStyle w:val="Heading1"/>
      </w:pPr>
      <w:r w:rsidRPr="002B5FCF">
        <w:t>ASSAULT AND BATTERY</w:t>
      </w:r>
    </w:p>
    <w:p w:rsidR="0022134E" w:rsidRPr="009B6746" w:rsidRDefault="0022134E" w:rsidP="00F658E5">
      <w:pPr>
        <w:pStyle w:val="Heading1"/>
        <w:keepNext/>
        <w:jc w:val="left"/>
        <w:rPr>
          <w:b w:val="0"/>
        </w:rPr>
      </w:pPr>
      <w:r w:rsidRPr="009B6746">
        <w:rPr>
          <w:b w:val="0"/>
        </w:rPr>
        <w:t xml:space="preserve">A. </w:t>
      </w:r>
      <w:r w:rsidR="002B5FCF" w:rsidRPr="002B5FCF">
        <w:rPr>
          <w:b w:val="0"/>
        </w:rPr>
        <w:t>ASSAULT</w:t>
      </w:r>
    </w:p>
    <w:p w:rsidR="00EC7C98" w:rsidRDefault="0056294C" w:rsidP="00914128">
      <w:pPr>
        <w:pStyle w:val="ToC"/>
      </w:pPr>
      <w:hyperlink w:anchor="a20_01" w:history="1">
        <w:r w:rsidR="00473B65" w:rsidRPr="00074558">
          <w:rPr>
            <w:rStyle w:val="Hyperlink"/>
          </w:rPr>
          <w:t>20:1</w:t>
        </w:r>
      </w:hyperlink>
      <w:r w:rsidR="00473B65" w:rsidRPr="00074558">
        <w:t xml:space="preserve"> </w:t>
      </w:r>
      <w:r w:rsidR="00473B65" w:rsidRPr="00074558">
        <w:tab/>
        <w:t xml:space="preserve">Elements </w:t>
      </w:r>
      <w:r w:rsidR="00473B65">
        <w:t>o</w:t>
      </w:r>
      <w:r w:rsidR="00473B65" w:rsidRPr="00074558">
        <w:t>f Liability</w:t>
      </w:r>
    </w:p>
    <w:p w:rsidR="00074558" w:rsidRDefault="0056294C" w:rsidP="00914128">
      <w:pPr>
        <w:pStyle w:val="ToC"/>
      </w:pPr>
      <w:hyperlink w:anchor="a20_02" w:history="1">
        <w:r w:rsidR="00473B65" w:rsidRPr="00074558">
          <w:rPr>
            <w:rStyle w:val="Hyperlink"/>
          </w:rPr>
          <w:t>20:2</w:t>
        </w:r>
      </w:hyperlink>
      <w:r w:rsidR="00473B65" w:rsidRPr="00074558">
        <w:t xml:space="preserve"> </w:t>
      </w:r>
      <w:r w:rsidR="00473B65" w:rsidRPr="00074558">
        <w:tab/>
        <w:t>Apprehension — Defined</w:t>
      </w:r>
    </w:p>
    <w:p w:rsidR="00074558" w:rsidRDefault="0056294C" w:rsidP="00914128">
      <w:pPr>
        <w:pStyle w:val="ToC"/>
      </w:pPr>
      <w:hyperlink w:anchor="a20_03" w:history="1">
        <w:r w:rsidR="00473B65" w:rsidRPr="00074558">
          <w:rPr>
            <w:rStyle w:val="Hyperlink"/>
          </w:rPr>
          <w:t>20:3</w:t>
        </w:r>
      </w:hyperlink>
      <w:r w:rsidR="00473B65" w:rsidRPr="00074558">
        <w:t xml:space="preserve"> </w:t>
      </w:r>
      <w:r w:rsidR="00473B65" w:rsidRPr="00074558">
        <w:tab/>
        <w:t xml:space="preserve">Intent </w:t>
      </w:r>
      <w:r w:rsidR="00473B65">
        <w:t>t</w:t>
      </w:r>
      <w:r w:rsidR="00473B65" w:rsidRPr="00074558">
        <w:t xml:space="preserve">o Place Another </w:t>
      </w:r>
      <w:r w:rsidR="00473B65">
        <w:t>i</w:t>
      </w:r>
      <w:r w:rsidR="00473B65" w:rsidRPr="00074558">
        <w:t>n Apprehension — Defined</w:t>
      </w:r>
    </w:p>
    <w:p w:rsidR="00074558" w:rsidRDefault="0056294C" w:rsidP="00914128">
      <w:pPr>
        <w:pStyle w:val="ToC"/>
      </w:pPr>
      <w:hyperlink w:anchor="a20_04" w:history="1">
        <w:r w:rsidR="00473B65" w:rsidRPr="00074558">
          <w:rPr>
            <w:rStyle w:val="Hyperlink"/>
          </w:rPr>
          <w:t>20:4</w:t>
        </w:r>
      </w:hyperlink>
      <w:r w:rsidR="00473B65" w:rsidRPr="00074558">
        <w:t xml:space="preserve"> </w:t>
      </w:r>
      <w:r w:rsidR="00473B65" w:rsidRPr="00074558">
        <w:tab/>
        <w:t xml:space="preserve">Actual </w:t>
      </w:r>
      <w:r w:rsidR="00473B65">
        <w:t>o</w:t>
      </w:r>
      <w:r w:rsidR="00473B65" w:rsidRPr="00074558">
        <w:t>r Nominal Damages</w:t>
      </w:r>
    </w:p>
    <w:p w:rsidR="002B5FCF" w:rsidRDefault="002B5FCF" w:rsidP="002B5FCF">
      <w:pPr>
        <w:pStyle w:val="ToC"/>
      </w:pPr>
    </w:p>
    <w:p w:rsidR="002B5FCF" w:rsidRPr="009B6746" w:rsidRDefault="002B5FCF" w:rsidP="002B5FCF">
      <w:pPr>
        <w:pStyle w:val="Heading1"/>
        <w:keepNext/>
        <w:jc w:val="left"/>
        <w:rPr>
          <w:b w:val="0"/>
        </w:rPr>
      </w:pPr>
      <w:r>
        <w:rPr>
          <w:b w:val="0"/>
        </w:rPr>
        <w:t>B</w:t>
      </w:r>
      <w:r w:rsidRPr="00973884">
        <w:rPr>
          <w:b w:val="0"/>
        </w:rPr>
        <w:t xml:space="preserve">. </w:t>
      </w:r>
      <w:smartTag w:uri="urn:schemas-microsoft-com:office:smarttags" w:element="place">
        <w:r w:rsidRPr="002B5FCF">
          <w:rPr>
            <w:b w:val="0"/>
          </w:rPr>
          <w:t>BATTERY</w:t>
        </w:r>
      </w:smartTag>
    </w:p>
    <w:p w:rsidR="002B5FCF" w:rsidRDefault="0056294C" w:rsidP="002B5FCF">
      <w:pPr>
        <w:pStyle w:val="ToC"/>
      </w:pPr>
      <w:hyperlink w:anchor="a20_05" w:history="1">
        <w:r w:rsidR="00473B65" w:rsidRPr="00074558">
          <w:rPr>
            <w:rStyle w:val="Hyperlink"/>
          </w:rPr>
          <w:t>20:5</w:t>
        </w:r>
      </w:hyperlink>
      <w:r w:rsidR="00473B65" w:rsidRPr="00074558">
        <w:t xml:space="preserve"> </w:t>
      </w:r>
      <w:r w:rsidR="00473B65" w:rsidRPr="00074558">
        <w:tab/>
        <w:t xml:space="preserve">Elements </w:t>
      </w:r>
      <w:r w:rsidR="00473B65">
        <w:t>o</w:t>
      </w:r>
      <w:r w:rsidR="00473B65" w:rsidRPr="00074558">
        <w:t>f Liability</w:t>
      </w:r>
    </w:p>
    <w:p w:rsidR="00074558" w:rsidRDefault="0056294C" w:rsidP="002B5FCF">
      <w:pPr>
        <w:pStyle w:val="ToC"/>
      </w:pPr>
      <w:hyperlink w:anchor="a20_06" w:history="1">
        <w:r w:rsidR="00473B65" w:rsidRPr="00074558">
          <w:rPr>
            <w:rStyle w:val="Hyperlink"/>
          </w:rPr>
          <w:t>20:6</w:t>
        </w:r>
      </w:hyperlink>
      <w:r w:rsidR="00473B65" w:rsidRPr="00074558">
        <w:t xml:space="preserve"> </w:t>
      </w:r>
      <w:r w:rsidR="00473B65" w:rsidRPr="00074558">
        <w:tab/>
        <w:t>Contact — Defined</w:t>
      </w:r>
    </w:p>
    <w:p w:rsidR="00074558" w:rsidRDefault="0056294C" w:rsidP="002B5FCF">
      <w:pPr>
        <w:pStyle w:val="ToC"/>
      </w:pPr>
      <w:hyperlink w:anchor="a20_07" w:history="1">
        <w:r w:rsidR="00473B65" w:rsidRPr="00074558">
          <w:rPr>
            <w:rStyle w:val="Hyperlink"/>
          </w:rPr>
          <w:t>20:7</w:t>
        </w:r>
      </w:hyperlink>
      <w:r w:rsidR="00473B65" w:rsidRPr="00074558">
        <w:t xml:space="preserve"> </w:t>
      </w:r>
      <w:r w:rsidR="00473B65" w:rsidRPr="00074558">
        <w:tab/>
        <w:t>Intent — Defined</w:t>
      </w:r>
    </w:p>
    <w:p w:rsidR="00074558" w:rsidRDefault="0056294C" w:rsidP="002B5FCF">
      <w:pPr>
        <w:pStyle w:val="ToC"/>
      </w:pPr>
      <w:hyperlink w:anchor="a20_08" w:history="1">
        <w:r w:rsidR="00473B65" w:rsidRPr="00074558">
          <w:rPr>
            <w:rStyle w:val="Hyperlink"/>
          </w:rPr>
          <w:t>20:8</w:t>
        </w:r>
      </w:hyperlink>
      <w:r w:rsidR="00473B65" w:rsidRPr="00074558">
        <w:t xml:space="preserve"> </w:t>
      </w:r>
      <w:r w:rsidR="00473B65" w:rsidRPr="00074558">
        <w:tab/>
        <w:t>Transferred Intent</w:t>
      </w:r>
    </w:p>
    <w:p w:rsidR="00074558" w:rsidRDefault="0056294C" w:rsidP="002B5FCF">
      <w:pPr>
        <w:pStyle w:val="ToC"/>
      </w:pPr>
      <w:hyperlink w:anchor="a20_09" w:history="1">
        <w:r w:rsidR="00473B65" w:rsidRPr="00074558">
          <w:rPr>
            <w:rStyle w:val="Hyperlink"/>
          </w:rPr>
          <w:t>20:9</w:t>
        </w:r>
      </w:hyperlink>
      <w:r w:rsidR="00473B65" w:rsidRPr="00074558">
        <w:t xml:space="preserve"> </w:t>
      </w:r>
      <w:r w:rsidR="00473B65" w:rsidRPr="00074558">
        <w:tab/>
        <w:t xml:space="preserve">Actual </w:t>
      </w:r>
      <w:r w:rsidR="00473B65">
        <w:t>o</w:t>
      </w:r>
      <w:r w:rsidR="00473B65" w:rsidRPr="00074558">
        <w:t>r Nominal Damages</w:t>
      </w:r>
    </w:p>
    <w:p w:rsidR="00BB344E" w:rsidRDefault="00BB344E" w:rsidP="00914128">
      <w:pPr>
        <w:pStyle w:val="ToC"/>
      </w:pPr>
    </w:p>
    <w:p w:rsidR="00E007F8" w:rsidRPr="009B6746" w:rsidRDefault="002B5FCF" w:rsidP="00E007F8">
      <w:pPr>
        <w:pStyle w:val="Heading1"/>
        <w:keepNext/>
        <w:jc w:val="left"/>
        <w:rPr>
          <w:b w:val="0"/>
        </w:rPr>
      </w:pPr>
      <w:r>
        <w:rPr>
          <w:b w:val="0"/>
        </w:rPr>
        <w:t>C</w:t>
      </w:r>
      <w:r w:rsidR="00E007F8" w:rsidRPr="00973884">
        <w:rPr>
          <w:b w:val="0"/>
        </w:rPr>
        <w:t xml:space="preserve">. </w:t>
      </w:r>
      <w:r w:rsidRPr="002B5FCF">
        <w:rPr>
          <w:b w:val="0"/>
        </w:rPr>
        <w:t>AFFIRMATIVE DEFENSES</w:t>
      </w:r>
    </w:p>
    <w:p w:rsidR="00E007F8" w:rsidRDefault="0056294C" w:rsidP="00E007F8">
      <w:pPr>
        <w:pStyle w:val="ToC"/>
      </w:pPr>
      <w:hyperlink w:anchor="a20_10" w:history="1">
        <w:r w:rsidR="00473B65" w:rsidRPr="00074558">
          <w:rPr>
            <w:rStyle w:val="Hyperlink"/>
          </w:rPr>
          <w:t>20:10</w:t>
        </w:r>
      </w:hyperlink>
      <w:r w:rsidR="00473B65" w:rsidRPr="00074558">
        <w:t xml:space="preserve"> </w:t>
      </w:r>
      <w:r w:rsidR="00473B65" w:rsidRPr="00074558">
        <w:tab/>
        <w:t>Words Alone Do Not Justify</w:t>
      </w:r>
    </w:p>
    <w:p w:rsidR="00074558" w:rsidRDefault="0056294C" w:rsidP="00E007F8">
      <w:pPr>
        <w:pStyle w:val="ToC"/>
      </w:pPr>
      <w:hyperlink w:anchor="a20_11" w:history="1">
        <w:r w:rsidR="00473B65" w:rsidRPr="00074558">
          <w:rPr>
            <w:rStyle w:val="Hyperlink"/>
          </w:rPr>
          <w:t>20:11</w:t>
        </w:r>
      </w:hyperlink>
      <w:r w:rsidR="00473B65" w:rsidRPr="00074558">
        <w:t xml:space="preserve"> </w:t>
      </w:r>
      <w:r w:rsidR="00473B65" w:rsidRPr="00074558">
        <w:tab/>
        <w:t>Consent</w:t>
      </w:r>
    </w:p>
    <w:p w:rsidR="00074558" w:rsidRDefault="0056294C" w:rsidP="00E007F8">
      <w:pPr>
        <w:pStyle w:val="ToC"/>
      </w:pPr>
      <w:hyperlink w:anchor="a20_12" w:history="1">
        <w:r w:rsidR="00473B65" w:rsidRPr="00074558">
          <w:rPr>
            <w:rStyle w:val="Hyperlink"/>
          </w:rPr>
          <w:t>20:12</w:t>
        </w:r>
      </w:hyperlink>
      <w:r w:rsidR="00473B65" w:rsidRPr="00074558">
        <w:t xml:space="preserve"> </w:t>
      </w:r>
      <w:r w:rsidR="00473B65" w:rsidRPr="00074558">
        <w:tab/>
        <w:t>Self-Defense</w:t>
      </w:r>
      <w:r w:rsidR="00473B65">
        <w:t xml:space="preserve"> o</w:t>
      </w:r>
      <w:r w:rsidR="00473B65" w:rsidRPr="00074558">
        <w:t>f Person</w:t>
      </w:r>
    </w:p>
    <w:p w:rsidR="00074558" w:rsidRDefault="0056294C" w:rsidP="00E007F8">
      <w:pPr>
        <w:pStyle w:val="ToC"/>
      </w:pPr>
      <w:hyperlink w:anchor="a20_13" w:history="1">
        <w:r w:rsidR="00473B65" w:rsidRPr="00074558">
          <w:rPr>
            <w:rStyle w:val="Hyperlink"/>
          </w:rPr>
          <w:t>20:13</w:t>
        </w:r>
      </w:hyperlink>
      <w:r w:rsidR="00473B65" w:rsidRPr="00074558">
        <w:t xml:space="preserve"> </w:t>
      </w:r>
      <w:r w:rsidR="00473B65" w:rsidRPr="00074558">
        <w:tab/>
        <w:t>Self-Defense</w:t>
      </w:r>
      <w:r w:rsidR="00473B65">
        <w:t xml:space="preserve"> — Force Calculated t</w:t>
      </w:r>
      <w:r w:rsidR="00473B65" w:rsidRPr="00074558">
        <w:t xml:space="preserve">o Inflict Death </w:t>
      </w:r>
      <w:r w:rsidR="00473B65">
        <w:t>o</w:t>
      </w:r>
      <w:r w:rsidR="00473B65" w:rsidRPr="00074558">
        <w:t>r Serious Bodily Injury</w:t>
      </w:r>
    </w:p>
    <w:p w:rsidR="00074558" w:rsidRDefault="0056294C" w:rsidP="00E007F8">
      <w:pPr>
        <w:pStyle w:val="ToC"/>
      </w:pPr>
      <w:hyperlink w:anchor="a20_14" w:history="1">
        <w:r w:rsidR="00473B65" w:rsidRPr="00074558">
          <w:rPr>
            <w:rStyle w:val="Hyperlink"/>
          </w:rPr>
          <w:t>20:14</w:t>
        </w:r>
      </w:hyperlink>
      <w:r w:rsidR="00473B65" w:rsidRPr="00074558">
        <w:t xml:space="preserve"> </w:t>
      </w:r>
      <w:r w:rsidR="00473B65" w:rsidRPr="00074558">
        <w:tab/>
        <w:t xml:space="preserve">Defense </w:t>
      </w:r>
      <w:r w:rsidR="00473B65">
        <w:t>o</w:t>
      </w:r>
      <w:r w:rsidR="00473B65" w:rsidRPr="00074558">
        <w:t>f Another Person</w:t>
      </w:r>
    </w:p>
    <w:p w:rsidR="00074558" w:rsidRDefault="0056294C" w:rsidP="00E007F8">
      <w:pPr>
        <w:pStyle w:val="ToC"/>
      </w:pPr>
      <w:hyperlink w:anchor="a20_15" w:history="1">
        <w:r w:rsidR="00473B65" w:rsidRPr="00074558">
          <w:rPr>
            <w:rStyle w:val="Hyperlink"/>
          </w:rPr>
          <w:t>20:15</w:t>
        </w:r>
      </w:hyperlink>
      <w:r w:rsidR="00473B65" w:rsidRPr="00074558">
        <w:t xml:space="preserve"> </w:t>
      </w:r>
      <w:r w:rsidR="00473B65" w:rsidRPr="00074558">
        <w:tab/>
        <w:t xml:space="preserve">Battery Defenses — Defense </w:t>
      </w:r>
      <w:r w:rsidR="00473B65">
        <w:t>o</w:t>
      </w:r>
      <w:r w:rsidR="00473B65" w:rsidRPr="00074558">
        <w:t>f Real Property</w:t>
      </w:r>
    </w:p>
    <w:p w:rsidR="00074558" w:rsidRDefault="0056294C" w:rsidP="00E007F8">
      <w:pPr>
        <w:pStyle w:val="ToC"/>
      </w:pPr>
      <w:hyperlink w:anchor="a20_16" w:history="1">
        <w:r w:rsidR="00473B65" w:rsidRPr="00074558">
          <w:rPr>
            <w:rStyle w:val="Hyperlink"/>
          </w:rPr>
          <w:t>20:16</w:t>
        </w:r>
      </w:hyperlink>
      <w:r w:rsidR="00473B65" w:rsidRPr="00074558">
        <w:t xml:space="preserve"> </w:t>
      </w:r>
      <w:r w:rsidR="00473B65" w:rsidRPr="00074558">
        <w:tab/>
        <w:t xml:space="preserve">Battery Defenses — Defense </w:t>
      </w:r>
      <w:r w:rsidR="00473B65">
        <w:t>o</w:t>
      </w:r>
      <w:r w:rsidR="00473B65" w:rsidRPr="00074558">
        <w:t>f Personal Property</w:t>
      </w:r>
    </w:p>
    <w:p w:rsidR="00074558" w:rsidRDefault="0056294C" w:rsidP="00E007F8">
      <w:pPr>
        <w:pStyle w:val="ToC"/>
      </w:pPr>
      <w:hyperlink w:anchor="a20_17" w:history="1">
        <w:r w:rsidR="00473B65" w:rsidRPr="00074558">
          <w:rPr>
            <w:rStyle w:val="Hyperlink"/>
          </w:rPr>
          <w:t>20:17</w:t>
        </w:r>
      </w:hyperlink>
      <w:r w:rsidR="00473B65" w:rsidRPr="00074558">
        <w:t xml:space="preserve"> </w:t>
      </w:r>
      <w:r w:rsidR="00473B65" w:rsidRPr="00074558">
        <w:tab/>
        <w:t xml:space="preserve">Battery Defenses — Recapture </w:t>
      </w:r>
      <w:r w:rsidR="00473B65">
        <w:t>o</w:t>
      </w:r>
      <w:r w:rsidR="00473B65" w:rsidRPr="00074558">
        <w:t>f Personal Property</w:t>
      </w:r>
    </w:p>
    <w:p w:rsidR="00352111" w:rsidRPr="00352111" w:rsidRDefault="00352111">
      <w:pPr>
        <w:rPr>
          <w:rFonts w:eastAsia="Times New Roman"/>
          <w:sz w:val="24"/>
          <w:szCs w:val="24"/>
        </w:rPr>
      </w:pPr>
      <w:r w:rsidRPr="00352111">
        <w:rPr>
          <w:rFonts w:eastAsia="Times New Roman"/>
          <w:sz w:val="24"/>
          <w:szCs w:val="24"/>
        </w:rPr>
        <w:br w:type="page"/>
      </w:r>
    </w:p>
    <w:p w:rsidR="009E3DA4" w:rsidRDefault="002547C3" w:rsidP="009E3DA4">
      <w:pPr>
        <w:spacing w:after="240"/>
        <w:jc w:val="center"/>
        <w:rPr>
          <w:rFonts w:eastAsia="Times New Roman"/>
          <w:b/>
          <w:sz w:val="24"/>
          <w:szCs w:val="24"/>
        </w:rPr>
      </w:pPr>
      <w:r w:rsidRPr="002547C3">
        <w:rPr>
          <w:rFonts w:eastAsia="Times New Roman"/>
          <w:b/>
          <w:sz w:val="24"/>
          <w:szCs w:val="24"/>
        </w:rPr>
        <w:lastRenderedPageBreak/>
        <w:t xml:space="preserve">A. </w:t>
      </w:r>
      <w:r w:rsidR="002B5FCF" w:rsidRPr="002B5FCF">
        <w:rPr>
          <w:rFonts w:eastAsia="Times New Roman"/>
          <w:b/>
          <w:sz w:val="24"/>
          <w:szCs w:val="24"/>
        </w:rPr>
        <w:t>ASSAULT</w:t>
      </w:r>
    </w:p>
    <w:p w:rsidR="009E3DA4" w:rsidRPr="009E3DA4" w:rsidRDefault="002B5FCF" w:rsidP="00CC0502">
      <w:pPr>
        <w:spacing w:after="240"/>
        <w:ind w:left="720" w:hanging="720"/>
        <w:rPr>
          <w:rFonts w:eastAsia="Times New Roman"/>
          <w:b/>
          <w:sz w:val="24"/>
          <w:szCs w:val="24"/>
        </w:rPr>
      </w:pPr>
      <w:bookmarkStart w:id="1" w:name="a20_01"/>
      <w:bookmarkEnd w:id="1"/>
      <w:r w:rsidRPr="002B5FCF">
        <w:rPr>
          <w:rFonts w:eastAsia="Times New Roman"/>
          <w:b/>
          <w:sz w:val="24"/>
          <w:szCs w:val="24"/>
        </w:rPr>
        <w:t xml:space="preserve">20:1 </w:t>
      </w:r>
      <w:r w:rsidRPr="002B5FCF">
        <w:rPr>
          <w:rFonts w:eastAsia="Times New Roman"/>
          <w:b/>
          <w:sz w:val="24"/>
          <w:szCs w:val="24"/>
        </w:rPr>
        <w:tab/>
        <w:t>ELEMENTS OF LIABILITY</w:t>
      </w:r>
    </w:p>
    <w:p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 xml:space="preserve">For the plaintiff, </w:t>
      </w:r>
      <w:r w:rsidRPr="002B5FCF">
        <w:rPr>
          <w:rFonts w:eastAsia="Times New Roman"/>
          <w:i/>
          <w:sz w:val="24"/>
          <w:szCs w:val="24"/>
        </w:rPr>
        <w:t>(name)</w:t>
      </w:r>
      <w:r w:rsidRPr="002B5FCF">
        <w:rPr>
          <w:rFonts w:eastAsia="Times New Roman"/>
          <w:b/>
          <w:sz w:val="24"/>
          <w:szCs w:val="24"/>
        </w:rPr>
        <w:t xml:space="preserve">, to recover from the defendant, </w:t>
      </w:r>
      <w:r w:rsidRPr="002B5FCF">
        <w:rPr>
          <w:rFonts w:eastAsia="Times New Roman"/>
          <w:i/>
          <w:sz w:val="24"/>
          <w:szCs w:val="24"/>
        </w:rPr>
        <w:t>(name)</w:t>
      </w:r>
      <w:r w:rsidRPr="002B5FCF">
        <w:rPr>
          <w:rFonts w:eastAsia="Times New Roman"/>
          <w:sz w:val="24"/>
          <w:szCs w:val="24"/>
        </w:rPr>
        <w:t>,</w:t>
      </w:r>
      <w:r w:rsidRPr="002B5FCF">
        <w:rPr>
          <w:rFonts w:eastAsia="Times New Roman"/>
          <w:b/>
          <w:sz w:val="24"/>
          <w:szCs w:val="24"/>
        </w:rPr>
        <w:t xml:space="preserve"> on (his) (her) claim of assault, you must find that all of the following have been proved by a preponderance of the evidence:</w:t>
      </w:r>
    </w:p>
    <w:p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1. The defendant intended to cause an offensive or harmful physical contact with the plaintiff or intended to place the plaintiff in apprehension of such contact; and</w:t>
      </w:r>
    </w:p>
    <w:p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2. The defendant placed the plaintiff in apprehension of immediate physical contact; and</w:t>
      </w:r>
    </w:p>
    <w:p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(3. That contact [was] [appeared to be] [harmful] [or] [offensive].)</w:t>
      </w:r>
    </w:p>
    <w:p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 xml:space="preserve">If you find that any one or more of these </w:t>
      </w:r>
      <w:r w:rsidRPr="002B5FCF">
        <w:rPr>
          <w:rFonts w:eastAsia="Times New Roman"/>
          <w:i/>
          <w:sz w:val="24"/>
          <w:szCs w:val="24"/>
        </w:rPr>
        <w:t xml:space="preserve">(number) </w:t>
      </w:r>
      <w:r w:rsidRPr="002B5FCF">
        <w:rPr>
          <w:rFonts w:eastAsia="Times New Roman"/>
          <w:b/>
          <w:sz w:val="24"/>
          <w:szCs w:val="24"/>
        </w:rPr>
        <w:t>statements has not been proved, then your verdict must be for the defendant.</w:t>
      </w:r>
    </w:p>
    <w:p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 xml:space="preserve">On the other hand, if you find that all of these </w:t>
      </w:r>
      <w:r w:rsidRPr="002B5FCF">
        <w:rPr>
          <w:rFonts w:eastAsia="Times New Roman"/>
          <w:i/>
          <w:sz w:val="24"/>
          <w:szCs w:val="24"/>
        </w:rPr>
        <w:t>(number)</w:t>
      </w:r>
      <w:r w:rsidRPr="002B5FCF">
        <w:rPr>
          <w:rFonts w:eastAsia="Times New Roman"/>
          <w:b/>
          <w:sz w:val="24"/>
          <w:szCs w:val="24"/>
        </w:rPr>
        <w:t xml:space="preserve"> statements have been proved, (then your verdict must be for the plaintiff) (then you must consider the defendant’s affirmative defense(s) of </w:t>
      </w:r>
      <w:r w:rsidRPr="002B5FCF">
        <w:rPr>
          <w:rFonts w:eastAsia="Times New Roman"/>
          <w:i/>
          <w:sz w:val="24"/>
          <w:szCs w:val="24"/>
        </w:rPr>
        <w:t>[insert any affirmative defense that would be a complete defense to plaintiff’s claim]</w:t>
      </w:r>
      <w:r w:rsidRPr="002B5FCF">
        <w:rPr>
          <w:rFonts w:eastAsia="Times New Roman"/>
          <w:b/>
          <w:sz w:val="24"/>
          <w:szCs w:val="24"/>
        </w:rPr>
        <w:t>).</w:t>
      </w:r>
    </w:p>
    <w:p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If you find that (this affirmative defense has) (any one or more of these affirmative defenses have) been proved by a preponderance of the evidence, then your verdict must be for the defendant.</w:t>
      </w:r>
    </w:p>
    <w:p w:rsidR="002B5FCF" w:rsidRPr="002B5FCF" w:rsidRDefault="002B5FCF" w:rsidP="002B5FCF">
      <w:pPr>
        <w:spacing w:after="240"/>
        <w:ind w:firstLine="720"/>
        <w:rPr>
          <w:rFonts w:eastAsia="Times New Roman"/>
          <w:b/>
          <w:sz w:val="24"/>
          <w:szCs w:val="24"/>
        </w:rPr>
      </w:pPr>
      <w:r w:rsidRPr="002B5FCF">
        <w:rPr>
          <w:rFonts w:eastAsia="Times New Roman"/>
          <w:b/>
          <w:sz w:val="24"/>
          <w:szCs w:val="24"/>
        </w:rPr>
        <w:t>However, if you find that (this affirmative defense has not) (none of these affirmative defenses have) been proved, then your verdict must be for the plaintiff.</w:t>
      </w:r>
    </w:p>
    <w:p w:rsidR="00832DB4" w:rsidRDefault="00832DB4" w:rsidP="0054263B">
      <w:pPr>
        <w:jc w:val="center"/>
        <w:rPr>
          <w:rFonts w:eastAsia="Times New Roman"/>
          <w:sz w:val="24"/>
          <w:szCs w:val="24"/>
        </w:rPr>
      </w:pPr>
    </w:p>
    <w:p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rsidR="002B5FCF" w:rsidRPr="002B5FCF" w:rsidRDefault="002B5FCF" w:rsidP="002B5FCF">
      <w:pPr>
        <w:spacing w:after="240"/>
        <w:ind w:firstLine="720"/>
        <w:rPr>
          <w:rFonts w:eastAsia="Times New Roman"/>
          <w:sz w:val="24"/>
          <w:szCs w:val="24"/>
        </w:rPr>
      </w:pPr>
      <w:r w:rsidRPr="002B5FCF">
        <w:rPr>
          <w:rFonts w:eastAsia="Times New Roman"/>
          <w:sz w:val="24"/>
          <w:szCs w:val="24"/>
        </w:rPr>
        <w:t>1. Omit any numbered paragraph the facts of which are not in dispute, and make such other changes as are necessary in such circumstances to make the instruction understandable.</w:t>
      </w:r>
    </w:p>
    <w:p w:rsidR="002B5FCF" w:rsidRPr="002B5FCF" w:rsidRDefault="002B5FCF" w:rsidP="002B5FCF">
      <w:pPr>
        <w:spacing w:after="240"/>
        <w:ind w:firstLine="720"/>
        <w:rPr>
          <w:rFonts w:eastAsia="Times New Roman"/>
          <w:sz w:val="24"/>
          <w:szCs w:val="24"/>
        </w:rPr>
      </w:pPr>
      <w:r w:rsidRPr="002B5FCF">
        <w:rPr>
          <w:rFonts w:eastAsia="Times New Roman"/>
          <w:sz w:val="24"/>
          <w:szCs w:val="24"/>
        </w:rPr>
        <w:t>2. In cases involving multiple defendants or designated nonparties where the pro rata liability statute, § 13-21-111.5, C.R.S., is applicable, see the Notes on Use to Instruction 4:20.</w:t>
      </w:r>
    </w:p>
    <w:p w:rsidR="002B5FCF" w:rsidRPr="002B5FCF" w:rsidRDefault="002B5FCF" w:rsidP="002B5FCF">
      <w:pPr>
        <w:spacing w:after="240"/>
        <w:ind w:firstLine="720"/>
        <w:rPr>
          <w:rFonts w:eastAsia="Times New Roman"/>
          <w:sz w:val="24"/>
          <w:szCs w:val="24"/>
        </w:rPr>
      </w:pPr>
      <w:r w:rsidRPr="002B5FCF">
        <w:rPr>
          <w:rFonts w:eastAsia="Times New Roman"/>
          <w:sz w:val="24"/>
          <w:szCs w:val="24"/>
        </w:rPr>
        <w:t>3. Use whichever parenthesized or bracketed words are appropriate and omit the last two paragraphs if the defendant has put no affirmative defense in issue or there is insufficient evidence to support any defense.</w:t>
      </w:r>
    </w:p>
    <w:p w:rsidR="002B5FCF" w:rsidRPr="002B5FCF" w:rsidRDefault="002B5FCF" w:rsidP="002B5FCF">
      <w:pPr>
        <w:spacing w:after="240"/>
        <w:ind w:firstLine="720"/>
        <w:rPr>
          <w:rFonts w:eastAsia="Times New Roman"/>
          <w:sz w:val="24"/>
          <w:szCs w:val="24"/>
        </w:rPr>
      </w:pPr>
      <w:r w:rsidRPr="002B5FCF">
        <w:rPr>
          <w:rFonts w:eastAsia="Times New Roman"/>
          <w:sz w:val="24"/>
          <w:szCs w:val="24"/>
        </w:rPr>
        <w:t xml:space="preserve">4. In some circumstances, for a “contact” to be actionable, whether as a threatened one for an assault or as an actual one for a battery, it need not be “harmful” or “offensive.” </w:t>
      </w:r>
      <w:r w:rsidRPr="002B5FCF">
        <w:rPr>
          <w:rFonts w:eastAsia="Times New Roman"/>
          <w:i/>
          <w:sz w:val="24"/>
          <w:szCs w:val="24"/>
        </w:rPr>
        <w:t>See, e.g.</w:t>
      </w:r>
      <w:r w:rsidRPr="002B5FCF">
        <w:rPr>
          <w:rFonts w:eastAsia="Times New Roman"/>
          <w:sz w:val="24"/>
          <w:szCs w:val="24"/>
        </w:rPr>
        <w:t>,</w:t>
      </w:r>
      <w:r w:rsidRPr="002B5FCF">
        <w:rPr>
          <w:rFonts w:eastAsia="Times New Roman"/>
          <w:i/>
          <w:sz w:val="24"/>
          <w:szCs w:val="24"/>
        </w:rPr>
        <w:t xml:space="preserve"> </w:t>
      </w:r>
      <w:r w:rsidRPr="002B5FCF">
        <w:rPr>
          <w:rFonts w:eastAsia="Times New Roman"/>
          <w:b/>
          <w:sz w:val="24"/>
          <w:szCs w:val="24"/>
        </w:rPr>
        <w:t>Bloskas v. Murray</w:t>
      </w:r>
      <w:r w:rsidRPr="002B5FCF">
        <w:rPr>
          <w:rFonts w:eastAsia="Times New Roman"/>
          <w:sz w:val="24"/>
          <w:szCs w:val="24"/>
        </w:rPr>
        <w:t xml:space="preserve">, 646 P.2d 907 (Colo. 1982). In such cases, the parenthesized numbered paragraph 3 of this instruction, as well as the parenthesized definitions of “harmful” and </w:t>
      </w:r>
      <w:r w:rsidRPr="002B5FCF">
        <w:rPr>
          <w:rFonts w:eastAsia="Times New Roman"/>
          <w:sz w:val="24"/>
          <w:szCs w:val="24"/>
        </w:rPr>
        <w:lastRenderedPageBreak/>
        <w:t>“offensive” in Instruction 20:6, when that instruction is given with this instruction, must be omitted.</w:t>
      </w:r>
    </w:p>
    <w:p w:rsidR="002B5FCF" w:rsidRPr="002B5FCF" w:rsidRDefault="002B5FCF" w:rsidP="002B5FCF">
      <w:pPr>
        <w:spacing w:after="240"/>
        <w:ind w:firstLine="720"/>
        <w:rPr>
          <w:rFonts w:eastAsia="Times New Roman"/>
          <w:sz w:val="24"/>
          <w:szCs w:val="24"/>
        </w:rPr>
      </w:pPr>
      <w:r w:rsidRPr="002B5FCF">
        <w:rPr>
          <w:rFonts w:eastAsia="Times New Roman"/>
          <w:sz w:val="24"/>
          <w:szCs w:val="24"/>
        </w:rPr>
        <w:t xml:space="preserve">5. Though mitigation of damages is an affirmative defense, </w:t>
      </w:r>
      <w:r w:rsidRPr="002B5FCF">
        <w:rPr>
          <w:rFonts w:eastAsia="Times New Roman"/>
          <w:i/>
          <w:sz w:val="24"/>
          <w:szCs w:val="24"/>
        </w:rPr>
        <w:t>see</w:t>
      </w:r>
      <w:r w:rsidRPr="002B5FCF">
        <w:rPr>
          <w:rFonts w:eastAsia="Times New Roman"/>
          <w:sz w:val="24"/>
          <w:szCs w:val="24"/>
        </w:rPr>
        <w:t xml:space="preserve"> Instruction 5:2, it is rarely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rsidR="002B5FCF" w:rsidRPr="002B5FCF" w:rsidRDefault="002B5FCF" w:rsidP="002B5FCF">
      <w:pPr>
        <w:spacing w:after="240"/>
        <w:ind w:firstLine="720"/>
        <w:rPr>
          <w:rFonts w:eastAsia="Times New Roman"/>
          <w:sz w:val="24"/>
          <w:szCs w:val="24"/>
        </w:rPr>
      </w:pPr>
      <w:r w:rsidRPr="002B5FCF">
        <w:rPr>
          <w:rFonts w:eastAsia="Times New Roman"/>
          <w:sz w:val="24"/>
          <w:szCs w:val="24"/>
        </w:rPr>
        <w:t>6. Other appropriate instructions defining the terms used in this instruction, for example, Instruction 20:2, defining “apprehension,” and Instruction 20:6, defining “contact,” must also be given with this instruction.</w:t>
      </w:r>
    </w:p>
    <w:p w:rsidR="002B5FCF" w:rsidRPr="002B5FCF" w:rsidRDefault="002B5FCF" w:rsidP="002B5FCF">
      <w:pPr>
        <w:spacing w:after="240"/>
        <w:ind w:firstLine="720"/>
        <w:rPr>
          <w:rFonts w:eastAsia="Times New Roman"/>
          <w:sz w:val="24"/>
          <w:szCs w:val="24"/>
        </w:rPr>
      </w:pPr>
      <w:r w:rsidRPr="002B5FCF">
        <w:rPr>
          <w:rFonts w:eastAsia="Times New Roman"/>
          <w:sz w:val="24"/>
          <w:szCs w:val="24"/>
        </w:rPr>
        <w:t xml:space="preserve">7. An assault may exist if the defendant’s intentional conduct was directed toward a third person, rather than the plaintiff. In such cases, numbered paragraph 1 should be modified accordingly. </w:t>
      </w:r>
      <w:r w:rsidRPr="002B5FCF">
        <w:rPr>
          <w:rFonts w:eastAsia="Times New Roman"/>
          <w:i/>
          <w:sz w:val="24"/>
          <w:szCs w:val="24"/>
        </w:rPr>
        <w:t>See, e.g.</w:t>
      </w:r>
      <w:r w:rsidRPr="002B5FCF">
        <w:rPr>
          <w:rFonts w:eastAsia="Times New Roman"/>
          <w:sz w:val="24"/>
          <w:szCs w:val="24"/>
        </w:rPr>
        <w:t>, numbered paragraph 1 of Instruction 20:5.</w:t>
      </w:r>
    </w:p>
    <w:p w:rsidR="002B5FCF" w:rsidRPr="002B5FCF" w:rsidRDefault="002B5FCF" w:rsidP="002B5FCF">
      <w:pPr>
        <w:spacing w:after="240"/>
        <w:ind w:firstLine="720"/>
        <w:rPr>
          <w:rFonts w:eastAsia="Times New Roman"/>
          <w:sz w:val="24"/>
          <w:szCs w:val="24"/>
        </w:rPr>
      </w:pPr>
      <w:r w:rsidRPr="002B5FCF">
        <w:rPr>
          <w:rFonts w:eastAsia="Times New Roman"/>
          <w:sz w:val="24"/>
          <w:szCs w:val="24"/>
        </w:rPr>
        <w:t xml:space="preserve">8. This instruction must be appropriately modified in cases in which there is sufficient evidence that the claimed assault may have occurred under circumstances that would immunize the defendant from liability under certain conditions. </w:t>
      </w:r>
      <w:r w:rsidRPr="002B5FCF">
        <w:rPr>
          <w:rFonts w:eastAsia="Times New Roman"/>
          <w:i/>
          <w:sz w:val="24"/>
          <w:szCs w:val="24"/>
        </w:rPr>
        <w:t>See, e.g.</w:t>
      </w:r>
      <w:r w:rsidRPr="002B5FCF">
        <w:rPr>
          <w:rFonts w:eastAsia="Times New Roman"/>
          <w:sz w:val="24"/>
          <w:szCs w:val="24"/>
        </w:rPr>
        <w:t>, § 13-21-108, C.R.S. (the “Good Samaritan” statute).</w:t>
      </w:r>
    </w:p>
    <w:p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rsidR="009007E8" w:rsidRDefault="002B5FCF" w:rsidP="00E007F8">
      <w:pPr>
        <w:spacing w:after="240"/>
        <w:ind w:firstLine="720"/>
        <w:rPr>
          <w:rFonts w:eastAsia="Times New Roman"/>
          <w:sz w:val="24"/>
          <w:szCs w:val="24"/>
        </w:rPr>
      </w:pPr>
      <w:r w:rsidRPr="002B5FCF">
        <w:rPr>
          <w:rFonts w:eastAsia="Times New Roman"/>
          <w:sz w:val="24"/>
          <w:szCs w:val="24"/>
        </w:rPr>
        <w:t xml:space="preserve">This instruction is supported by </w:t>
      </w:r>
      <w:r w:rsidRPr="002B5FCF">
        <w:rPr>
          <w:rFonts w:eastAsia="Times New Roman"/>
          <w:b/>
          <w:sz w:val="24"/>
          <w:szCs w:val="24"/>
        </w:rPr>
        <w:t>White v. Muniz</w:t>
      </w:r>
      <w:r w:rsidRPr="002B5FCF">
        <w:rPr>
          <w:rFonts w:eastAsia="Times New Roman"/>
          <w:sz w:val="24"/>
          <w:szCs w:val="24"/>
        </w:rPr>
        <w:t xml:space="preserve">, 999 P.2d 814, 819 (Colo. 2000) (for assault or battery, plaintiff must prove that defendant intended “to cause offensive or harmful consequences by his act,” but need not prove that the defendant intended the harm that actually occurred); </w:t>
      </w:r>
      <w:r w:rsidRPr="002B5FCF">
        <w:rPr>
          <w:rFonts w:eastAsia="Times New Roman"/>
          <w:b/>
          <w:sz w:val="24"/>
          <w:szCs w:val="24"/>
        </w:rPr>
        <w:t>Horton v. Reaves</w:t>
      </w:r>
      <w:r w:rsidRPr="002B5FCF">
        <w:rPr>
          <w:rFonts w:eastAsia="Times New Roman"/>
          <w:sz w:val="24"/>
          <w:szCs w:val="24"/>
        </w:rPr>
        <w:t xml:space="preserve">, 186 Colo. 149, 526 P.2d 304 (1974); </w:t>
      </w:r>
      <w:r w:rsidRPr="002B5FCF">
        <w:rPr>
          <w:rFonts w:eastAsia="Times New Roman"/>
          <w:b/>
          <w:sz w:val="24"/>
          <w:szCs w:val="24"/>
        </w:rPr>
        <w:t>Adams v. Corrections Corp. of America</w:t>
      </w:r>
      <w:r w:rsidRPr="002B5FCF">
        <w:rPr>
          <w:rFonts w:eastAsia="Times New Roman"/>
          <w:sz w:val="24"/>
          <w:szCs w:val="24"/>
        </w:rPr>
        <w:t xml:space="preserve">, 187 P.3d 1190 (Colo. App. 2008); and </w:t>
      </w:r>
      <w:r w:rsidRPr="002B5FCF">
        <w:rPr>
          <w:rFonts w:eastAsia="Times New Roman"/>
          <w:b/>
          <w:sz w:val="24"/>
          <w:szCs w:val="24"/>
        </w:rPr>
        <w:t>Bohrer v. DeHart</w:t>
      </w:r>
      <w:r w:rsidRPr="002B5FCF">
        <w:rPr>
          <w:rFonts w:eastAsia="Times New Roman"/>
          <w:sz w:val="24"/>
          <w:szCs w:val="24"/>
        </w:rPr>
        <w:t xml:space="preserve">, 943 P.2d 1220 (Colo. App. 1996). </w:t>
      </w:r>
      <w:r w:rsidRPr="002B5FCF">
        <w:rPr>
          <w:rFonts w:eastAsia="Times New Roman"/>
          <w:i/>
          <w:sz w:val="24"/>
          <w:szCs w:val="24"/>
        </w:rPr>
        <w:t>See also</w:t>
      </w:r>
      <w:r w:rsidRPr="002B5FCF">
        <w:rPr>
          <w:rFonts w:eastAsia="Times New Roman"/>
          <w:sz w:val="24"/>
          <w:szCs w:val="24"/>
        </w:rPr>
        <w:t xml:space="preserve"> </w:t>
      </w:r>
      <w:r w:rsidRPr="002B5FCF">
        <w:rPr>
          <w:rFonts w:eastAsia="Times New Roman"/>
          <w:smallCaps/>
          <w:sz w:val="24"/>
          <w:szCs w:val="24"/>
        </w:rPr>
        <w:t>Restatement (Second) of Torts</w:t>
      </w:r>
      <w:r w:rsidRPr="002B5FCF">
        <w:rPr>
          <w:rFonts w:eastAsia="Times New Roman"/>
          <w:sz w:val="24"/>
          <w:szCs w:val="24"/>
        </w:rPr>
        <w:t xml:space="preserve"> § 21(1) (1965); 1 </w:t>
      </w:r>
      <w:r w:rsidRPr="002B5FCF">
        <w:rPr>
          <w:rFonts w:eastAsia="Times New Roman"/>
          <w:smallCaps/>
          <w:sz w:val="24"/>
          <w:szCs w:val="24"/>
        </w:rPr>
        <w:t>F. Harper et al., Harper, James, and Gray on Torts</w:t>
      </w:r>
      <w:r w:rsidRPr="002B5FCF">
        <w:rPr>
          <w:rFonts w:eastAsia="Times New Roman"/>
          <w:sz w:val="24"/>
          <w:szCs w:val="24"/>
        </w:rPr>
        <w:t xml:space="preserve"> §§ 3.4, 3.5 (3d. ed. 2006); </w:t>
      </w:r>
      <w:r w:rsidRPr="002B5FCF">
        <w:rPr>
          <w:rFonts w:eastAsia="Times New Roman"/>
          <w:smallCaps/>
          <w:sz w:val="24"/>
          <w:szCs w:val="24"/>
        </w:rPr>
        <w:t xml:space="preserve">W. Page Keeton, Prosser and Keeton on the </w:t>
      </w:r>
      <w:r>
        <w:rPr>
          <w:rFonts w:eastAsia="Times New Roman"/>
          <w:smallCaps/>
          <w:sz w:val="24"/>
          <w:szCs w:val="24"/>
        </w:rPr>
        <w:t>L</w:t>
      </w:r>
      <w:r w:rsidRPr="002B5FCF">
        <w:rPr>
          <w:rFonts w:eastAsia="Times New Roman"/>
          <w:smallCaps/>
          <w:sz w:val="24"/>
          <w:szCs w:val="24"/>
        </w:rPr>
        <w:t>aw of Torts</w:t>
      </w:r>
      <w:r w:rsidRPr="002B5FCF">
        <w:rPr>
          <w:rFonts w:eastAsia="Times New Roman"/>
          <w:sz w:val="24"/>
          <w:szCs w:val="24"/>
        </w:rPr>
        <w:t xml:space="preserve"> § 10 (5th ed. 1984).</w:t>
      </w:r>
    </w:p>
    <w:p w:rsidR="002F0E75" w:rsidRDefault="002F0E75">
      <w:pPr>
        <w:rPr>
          <w:rFonts w:eastAsia="Times New Roman"/>
          <w:sz w:val="24"/>
          <w:szCs w:val="24"/>
        </w:rPr>
      </w:pPr>
      <w:r>
        <w:rPr>
          <w:rFonts w:eastAsia="Times New Roman"/>
          <w:sz w:val="24"/>
          <w:szCs w:val="24"/>
        </w:rPr>
        <w:br w:type="page"/>
      </w:r>
    </w:p>
    <w:p w:rsidR="002F0E75" w:rsidRPr="009E3DA4" w:rsidRDefault="002F0E75" w:rsidP="002F0E75">
      <w:pPr>
        <w:spacing w:after="240"/>
        <w:ind w:left="720" w:hanging="720"/>
        <w:rPr>
          <w:rFonts w:eastAsia="Times New Roman"/>
          <w:b/>
          <w:sz w:val="24"/>
          <w:szCs w:val="24"/>
        </w:rPr>
      </w:pPr>
      <w:bookmarkStart w:id="2" w:name="a20_02"/>
      <w:bookmarkEnd w:id="2"/>
      <w:r w:rsidRPr="002F0E75">
        <w:rPr>
          <w:rFonts w:eastAsia="Times New Roman"/>
          <w:b/>
          <w:sz w:val="24"/>
          <w:szCs w:val="24"/>
        </w:rPr>
        <w:lastRenderedPageBreak/>
        <w:t xml:space="preserve">20:2 </w:t>
      </w:r>
      <w:r w:rsidRPr="002F0E75">
        <w:rPr>
          <w:rFonts w:eastAsia="Times New Roman"/>
          <w:b/>
          <w:sz w:val="24"/>
          <w:szCs w:val="24"/>
        </w:rPr>
        <w:tab/>
        <w:t>APPREHENSION — DEFINED</w:t>
      </w:r>
    </w:p>
    <w:p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Apprehension is a state of mind experienced when a person anticipates immediate harmful or offensive physical contact.</w:t>
      </w:r>
    </w:p>
    <w:p w:rsidR="002F0E75" w:rsidRDefault="002F0E75" w:rsidP="002F0E75">
      <w:pPr>
        <w:jc w:val="center"/>
        <w:rPr>
          <w:rFonts w:eastAsia="Times New Roman"/>
          <w:sz w:val="24"/>
          <w:szCs w:val="24"/>
        </w:rPr>
      </w:pPr>
    </w:p>
    <w:p w:rsidR="002F0E75" w:rsidRPr="0054263B" w:rsidRDefault="002F0E75" w:rsidP="002F0E75">
      <w:pPr>
        <w:keepNext/>
        <w:spacing w:after="240"/>
        <w:jc w:val="center"/>
        <w:rPr>
          <w:rFonts w:eastAsia="Times New Roman"/>
          <w:b/>
          <w:sz w:val="24"/>
          <w:szCs w:val="24"/>
        </w:rPr>
      </w:pPr>
      <w:r w:rsidRPr="0054263B">
        <w:rPr>
          <w:rFonts w:eastAsia="Times New Roman"/>
          <w:b/>
          <w:sz w:val="24"/>
          <w:szCs w:val="24"/>
        </w:rPr>
        <w:t>Notes on Use</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This instruction should be used with Instruction 20:1.</w:t>
      </w:r>
    </w:p>
    <w:p w:rsidR="002F0E75" w:rsidRPr="0054263B" w:rsidRDefault="002F0E75" w:rsidP="002F0E75">
      <w:pPr>
        <w:keepNext/>
        <w:spacing w:after="240"/>
        <w:jc w:val="center"/>
        <w:rPr>
          <w:rFonts w:eastAsia="Times New Roman"/>
          <w:b/>
          <w:sz w:val="24"/>
          <w:szCs w:val="24"/>
        </w:rPr>
      </w:pPr>
      <w:r>
        <w:rPr>
          <w:rFonts w:eastAsia="Times New Roman"/>
          <w:b/>
          <w:sz w:val="24"/>
          <w:szCs w:val="24"/>
        </w:rPr>
        <w:t>Source and Authority</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This instruction is supported by </w:t>
      </w:r>
      <w:r w:rsidRPr="002F0E75">
        <w:rPr>
          <w:rFonts w:eastAsia="Times New Roman"/>
          <w:smallCaps/>
          <w:sz w:val="24"/>
          <w:szCs w:val="24"/>
        </w:rPr>
        <w:t>W. Page Keeton et al., Prosser and Keeton on the Law of Torts</w:t>
      </w:r>
      <w:r w:rsidRPr="002F0E75">
        <w:rPr>
          <w:rFonts w:eastAsia="Times New Roman"/>
          <w:sz w:val="24"/>
          <w:szCs w:val="24"/>
        </w:rPr>
        <w:t xml:space="preserve"> § 10, at 43-44 (5th ed. 1984); and </w:t>
      </w:r>
      <w:r w:rsidRPr="002F0E75">
        <w:rPr>
          <w:rFonts w:eastAsia="Times New Roman"/>
          <w:smallCaps/>
          <w:sz w:val="24"/>
          <w:szCs w:val="24"/>
        </w:rPr>
        <w:t>Restatement (Second) of Torts</w:t>
      </w:r>
      <w:r w:rsidRPr="002F0E75">
        <w:rPr>
          <w:rFonts w:eastAsia="Times New Roman"/>
          <w:sz w:val="24"/>
          <w:szCs w:val="24"/>
        </w:rPr>
        <w:t xml:space="preserve"> §§ 24, 27 (1965). </w:t>
      </w:r>
      <w:r w:rsidRPr="002F0E75">
        <w:rPr>
          <w:rFonts w:eastAsia="Times New Roman"/>
          <w:i/>
          <w:sz w:val="24"/>
          <w:szCs w:val="24"/>
        </w:rPr>
        <w:t>See also</w:t>
      </w:r>
      <w:r w:rsidRPr="002F0E75">
        <w:rPr>
          <w:rFonts w:eastAsia="Times New Roman"/>
          <w:b/>
          <w:sz w:val="24"/>
          <w:szCs w:val="24"/>
        </w:rPr>
        <w:t xml:space="preserve"> Campbell v. Jenkins</w:t>
      </w:r>
      <w:r w:rsidRPr="002F0E75">
        <w:rPr>
          <w:rFonts w:eastAsia="Times New Roman"/>
          <w:sz w:val="24"/>
          <w:szCs w:val="24"/>
        </w:rPr>
        <w:t>,</w:t>
      </w:r>
      <w:r w:rsidRPr="002F0E75">
        <w:rPr>
          <w:rFonts w:eastAsia="Times New Roman"/>
          <w:b/>
          <w:sz w:val="24"/>
          <w:szCs w:val="24"/>
        </w:rPr>
        <w:t xml:space="preserve"> </w:t>
      </w:r>
      <w:r w:rsidRPr="002F0E75">
        <w:rPr>
          <w:rFonts w:eastAsia="Times New Roman"/>
          <w:sz w:val="24"/>
          <w:szCs w:val="24"/>
        </w:rPr>
        <w:t>43 Colo. App. 458, 608 P.2d 363 (1979).</w:t>
      </w:r>
    </w:p>
    <w:p w:rsidR="002F0E75" w:rsidRDefault="002F0E75">
      <w:pPr>
        <w:rPr>
          <w:rFonts w:eastAsia="Times New Roman"/>
          <w:sz w:val="24"/>
          <w:szCs w:val="24"/>
        </w:rPr>
      </w:pPr>
      <w:r>
        <w:rPr>
          <w:rFonts w:eastAsia="Times New Roman"/>
          <w:sz w:val="24"/>
          <w:szCs w:val="24"/>
        </w:rPr>
        <w:br w:type="page"/>
      </w:r>
    </w:p>
    <w:p w:rsidR="002F0E75" w:rsidRPr="009E3DA4" w:rsidRDefault="002F0E75" w:rsidP="002F0E75">
      <w:pPr>
        <w:spacing w:after="240"/>
        <w:ind w:left="720" w:hanging="720"/>
        <w:rPr>
          <w:rFonts w:eastAsia="Times New Roman"/>
          <w:b/>
          <w:sz w:val="24"/>
          <w:szCs w:val="24"/>
        </w:rPr>
      </w:pPr>
      <w:bookmarkStart w:id="3" w:name="a20_03"/>
      <w:bookmarkEnd w:id="3"/>
      <w:r w:rsidRPr="002F0E75">
        <w:rPr>
          <w:rFonts w:eastAsia="Times New Roman"/>
          <w:b/>
          <w:sz w:val="24"/>
          <w:szCs w:val="24"/>
        </w:rPr>
        <w:lastRenderedPageBreak/>
        <w:t xml:space="preserve">20:3 </w:t>
      </w:r>
      <w:r w:rsidRPr="002F0E75">
        <w:rPr>
          <w:rFonts w:eastAsia="Times New Roman"/>
          <w:b/>
          <w:sz w:val="24"/>
          <w:szCs w:val="24"/>
        </w:rPr>
        <w:tab/>
        <w:t>INTENT TO PLACE ANOTHER IN APPREHENSION — DEFINED</w:t>
      </w:r>
    </w:p>
    <w:p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A person intends to place another in apprehension of physical contact when (he) (she):</w:t>
      </w:r>
    </w:p>
    <w:p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1. Acts with the purpose of causing apprehension of physical contact; or</w:t>
      </w:r>
    </w:p>
    <w:p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2. Knows that (his) (her) conduct will probably place the other person in apprehension of physical contact.</w:t>
      </w:r>
    </w:p>
    <w:p w:rsidR="002F0E75" w:rsidRDefault="002F0E75" w:rsidP="002F0E75">
      <w:pPr>
        <w:jc w:val="center"/>
        <w:rPr>
          <w:rFonts w:eastAsia="Times New Roman"/>
          <w:sz w:val="24"/>
          <w:szCs w:val="24"/>
        </w:rPr>
      </w:pPr>
    </w:p>
    <w:p w:rsidR="002F0E75" w:rsidRPr="0054263B" w:rsidRDefault="002F0E75" w:rsidP="002F0E75">
      <w:pPr>
        <w:keepNext/>
        <w:spacing w:after="240"/>
        <w:jc w:val="center"/>
        <w:rPr>
          <w:rFonts w:eastAsia="Times New Roman"/>
          <w:b/>
          <w:sz w:val="24"/>
          <w:szCs w:val="24"/>
        </w:rPr>
      </w:pPr>
      <w:r w:rsidRPr="0054263B">
        <w:rPr>
          <w:rFonts w:eastAsia="Times New Roman"/>
          <w:b/>
          <w:sz w:val="24"/>
          <w:szCs w:val="24"/>
        </w:rPr>
        <w:t>Notes on Use</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Where the intent may have been directed to a third person, rather than the plaintiff, this instruction should be appropriately modified.</w:t>
      </w:r>
    </w:p>
    <w:p w:rsidR="002F0E75" w:rsidRPr="0054263B" w:rsidRDefault="002F0E75" w:rsidP="002F0E75">
      <w:pPr>
        <w:keepNext/>
        <w:spacing w:after="240"/>
        <w:jc w:val="center"/>
        <w:rPr>
          <w:rFonts w:eastAsia="Times New Roman"/>
          <w:b/>
          <w:sz w:val="24"/>
          <w:szCs w:val="24"/>
        </w:rPr>
      </w:pPr>
      <w:r>
        <w:rPr>
          <w:rFonts w:eastAsia="Times New Roman"/>
          <w:b/>
          <w:sz w:val="24"/>
          <w:szCs w:val="24"/>
        </w:rPr>
        <w:t>Source and Authority</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1. This instruction is supported by </w:t>
      </w:r>
      <w:r w:rsidRPr="002F0E75">
        <w:rPr>
          <w:rFonts w:eastAsia="Times New Roman"/>
          <w:b/>
          <w:sz w:val="24"/>
          <w:szCs w:val="24"/>
        </w:rPr>
        <w:t>White v. Muniz</w:t>
      </w:r>
      <w:r w:rsidRPr="002F0E75">
        <w:rPr>
          <w:rFonts w:eastAsia="Times New Roman"/>
          <w:sz w:val="24"/>
          <w:szCs w:val="24"/>
        </w:rPr>
        <w:t xml:space="preserve">, 999 P.2d 814 (Colo. 2000). </w:t>
      </w:r>
      <w:r w:rsidRPr="002F0E75">
        <w:rPr>
          <w:rFonts w:eastAsia="Times New Roman"/>
          <w:i/>
          <w:sz w:val="24"/>
          <w:szCs w:val="24"/>
        </w:rPr>
        <w:t>See also</w:t>
      </w:r>
      <w:r w:rsidRPr="002F0E75">
        <w:rPr>
          <w:rFonts w:eastAsia="Times New Roman"/>
          <w:sz w:val="24"/>
          <w:szCs w:val="24"/>
        </w:rPr>
        <w:t xml:space="preserve"> </w:t>
      </w:r>
      <w:r w:rsidRPr="002F0E75">
        <w:rPr>
          <w:rFonts w:eastAsia="Times New Roman"/>
          <w:b/>
          <w:sz w:val="24"/>
          <w:szCs w:val="24"/>
        </w:rPr>
        <w:t>Mooney v. Carter</w:t>
      </w:r>
      <w:r w:rsidRPr="002F0E75">
        <w:rPr>
          <w:rFonts w:eastAsia="Times New Roman"/>
          <w:sz w:val="24"/>
          <w:szCs w:val="24"/>
        </w:rPr>
        <w:t xml:space="preserve">, 114 Colo. 267, 160 P.2d 390 (1945); </w:t>
      </w:r>
      <w:r w:rsidRPr="002F0E75">
        <w:rPr>
          <w:rFonts w:eastAsia="Times New Roman"/>
          <w:smallCaps/>
          <w:sz w:val="24"/>
          <w:szCs w:val="24"/>
        </w:rPr>
        <w:t>Restatement (Second) of Torts</w:t>
      </w:r>
      <w:r w:rsidRPr="002F0E75">
        <w:rPr>
          <w:rFonts w:eastAsia="Times New Roman"/>
          <w:sz w:val="24"/>
          <w:szCs w:val="24"/>
        </w:rPr>
        <w:t xml:space="preserve"> § 32 (1965); </w:t>
      </w:r>
      <w:r w:rsidRPr="002F0E75">
        <w:rPr>
          <w:rFonts w:eastAsia="Times New Roman"/>
          <w:smallCaps/>
          <w:sz w:val="24"/>
          <w:szCs w:val="24"/>
        </w:rPr>
        <w:t>W. Page Keeton et al., Prosser and Keeton on the Law of Torts</w:t>
      </w:r>
      <w:r w:rsidRPr="002F0E75">
        <w:rPr>
          <w:rFonts w:eastAsia="Times New Roman"/>
          <w:sz w:val="24"/>
          <w:szCs w:val="24"/>
        </w:rPr>
        <w:t xml:space="preserve"> § 10, at 46 (5th ed. 1984).</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2. “With regard to the intent element of the intentional torts of assault and battery . . . a plaintiff must prove that the actor desired to cause offensive or harmful consequences by his act. The plaintiff need not prove, however, that the actor intended the harm that actually results.” </w:t>
      </w:r>
      <w:r w:rsidRPr="002F0E75">
        <w:rPr>
          <w:rFonts w:eastAsia="Times New Roman"/>
          <w:b/>
          <w:sz w:val="24"/>
          <w:szCs w:val="24"/>
        </w:rPr>
        <w:t>White</w:t>
      </w:r>
      <w:r w:rsidRPr="002F0E75">
        <w:rPr>
          <w:rFonts w:eastAsia="Times New Roman"/>
          <w:sz w:val="24"/>
          <w:szCs w:val="24"/>
        </w:rPr>
        <w:t>, 999 P.2d at 819.</w:t>
      </w:r>
    </w:p>
    <w:p w:rsidR="002F0E75" w:rsidRDefault="002F0E75">
      <w:pPr>
        <w:rPr>
          <w:rFonts w:eastAsia="Times New Roman"/>
          <w:sz w:val="24"/>
          <w:szCs w:val="24"/>
        </w:rPr>
      </w:pPr>
      <w:r>
        <w:rPr>
          <w:rFonts w:eastAsia="Times New Roman"/>
          <w:sz w:val="24"/>
          <w:szCs w:val="24"/>
        </w:rPr>
        <w:br w:type="page"/>
      </w:r>
    </w:p>
    <w:p w:rsidR="002F0E75" w:rsidRPr="009E3DA4" w:rsidRDefault="002F0E75" w:rsidP="002F0E75">
      <w:pPr>
        <w:spacing w:after="240"/>
        <w:ind w:left="720" w:hanging="720"/>
        <w:rPr>
          <w:rFonts w:eastAsia="Times New Roman"/>
          <w:b/>
          <w:sz w:val="24"/>
          <w:szCs w:val="24"/>
        </w:rPr>
      </w:pPr>
      <w:bookmarkStart w:id="4" w:name="a20_04"/>
      <w:bookmarkEnd w:id="4"/>
      <w:r w:rsidRPr="002F0E75">
        <w:rPr>
          <w:rFonts w:eastAsia="Times New Roman"/>
          <w:b/>
          <w:sz w:val="24"/>
          <w:szCs w:val="24"/>
        </w:rPr>
        <w:lastRenderedPageBreak/>
        <w:t xml:space="preserve">20:4 </w:t>
      </w:r>
      <w:r w:rsidRPr="002F0E75">
        <w:rPr>
          <w:rFonts w:eastAsia="Times New Roman"/>
          <w:b/>
          <w:sz w:val="24"/>
          <w:szCs w:val="24"/>
        </w:rPr>
        <w:tab/>
        <w:t>ACTUAL OR NOMINAL DAMAGES</w:t>
      </w:r>
    </w:p>
    <w:p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 xml:space="preserve">Plaintiff, </w:t>
      </w:r>
      <w:r w:rsidRPr="002F0E75">
        <w:rPr>
          <w:rFonts w:eastAsia="Times New Roman"/>
          <w:i/>
          <w:sz w:val="24"/>
          <w:szCs w:val="24"/>
        </w:rPr>
        <w:t>(name)</w:t>
      </w:r>
      <w:r w:rsidRPr="002F0E75">
        <w:rPr>
          <w:rFonts w:eastAsia="Times New Roman"/>
          <w:b/>
          <w:sz w:val="24"/>
          <w:szCs w:val="24"/>
        </w:rPr>
        <w:t xml:space="preserve">, has the burden of proving the nature and extent of (his) (her) damages by a preponderance of the evidence. If you find in favor of the plaintiff, you must determine the total dollar amount of the plaintiff’s damages, if any, that were caused by the </w:t>
      </w:r>
      <w:r w:rsidRPr="002F0E75">
        <w:rPr>
          <w:rFonts w:eastAsia="Times New Roman"/>
          <w:i/>
          <w:sz w:val="24"/>
          <w:szCs w:val="24"/>
        </w:rPr>
        <w:t xml:space="preserve">(insert appropriate description, e.g., “assault” or “battery”) </w:t>
      </w:r>
      <w:r w:rsidRPr="002F0E75">
        <w:rPr>
          <w:rFonts w:eastAsia="Times New Roman"/>
          <w:b/>
          <w:sz w:val="24"/>
          <w:szCs w:val="24"/>
        </w:rPr>
        <w:t xml:space="preserve">of the defendant(s), </w:t>
      </w:r>
      <w:r w:rsidRPr="002F0E75">
        <w:rPr>
          <w:rFonts w:eastAsia="Times New Roman"/>
          <w:i/>
          <w:sz w:val="24"/>
          <w:szCs w:val="24"/>
        </w:rPr>
        <w:t>(name[s])</w:t>
      </w:r>
      <w:r w:rsidRPr="002F0E75">
        <w:rPr>
          <w:rFonts w:eastAsia="Times New Roman"/>
          <w:b/>
          <w:sz w:val="24"/>
          <w:szCs w:val="24"/>
        </w:rPr>
        <w:t xml:space="preserve">, (and the </w:t>
      </w:r>
      <w:r w:rsidRPr="002F0E75">
        <w:rPr>
          <w:rFonts w:eastAsia="Times New Roman"/>
          <w:i/>
          <w:sz w:val="24"/>
          <w:szCs w:val="24"/>
        </w:rPr>
        <w:t>[insert appropriate description, e.g., “negligence”]</w:t>
      </w:r>
      <w:r w:rsidRPr="002F0E75">
        <w:rPr>
          <w:rFonts w:eastAsia="Times New Roman"/>
          <w:b/>
          <w:sz w:val="24"/>
          <w:szCs w:val="24"/>
        </w:rPr>
        <w:t>,</w:t>
      </w:r>
      <w:r w:rsidRPr="002F0E75">
        <w:rPr>
          <w:rFonts w:eastAsia="Times New Roman"/>
          <w:i/>
          <w:sz w:val="24"/>
          <w:szCs w:val="24"/>
        </w:rPr>
        <w:t xml:space="preserve"> </w:t>
      </w:r>
      <w:r w:rsidRPr="002F0E75">
        <w:rPr>
          <w:rFonts w:eastAsia="Times New Roman"/>
          <w:b/>
          <w:sz w:val="24"/>
          <w:szCs w:val="24"/>
        </w:rPr>
        <w:t>if any, of any designated nonparties).</w:t>
      </w:r>
    </w:p>
    <w:p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In determining these damages, you shall consider the following:</w:t>
      </w:r>
    </w:p>
    <w:p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 xml:space="preserve">1. Any noneconomic losses or injuries the plaintiff has had to the present time or that the plaintiff will probably have in the future, including: physical and mental pain and suffering, inconvenience, emotional stress, fear, anxiety, embarrassment, humiliation, impairment of the quality of life, and </w:t>
      </w:r>
      <w:r w:rsidRPr="002F0E75">
        <w:rPr>
          <w:rFonts w:eastAsia="Times New Roman"/>
          <w:i/>
          <w:sz w:val="24"/>
          <w:szCs w:val="24"/>
        </w:rPr>
        <w:t>[insert any other recoverable noneconomic losses for which there is sufficient evidence]</w:t>
      </w:r>
      <w:r w:rsidRPr="002F0E75">
        <w:rPr>
          <w:rFonts w:eastAsia="Times New Roman"/>
          <w:b/>
          <w:sz w:val="24"/>
          <w:szCs w:val="24"/>
        </w:rPr>
        <w:t>.</w:t>
      </w:r>
      <w:r w:rsidRPr="002F0E75">
        <w:rPr>
          <w:rFonts w:eastAsia="Times New Roman"/>
          <w:i/>
          <w:sz w:val="24"/>
          <w:szCs w:val="24"/>
        </w:rPr>
        <w:t xml:space="preserve"> </w:t>
      </w:r>
      <w:r w:rsidRPr="002F0E75">
        <w:rPr>
          <w:rFonts w:eastAsia="Times New Roman"/>
          <w:b/>
          <w:sz w:val="24"/>
          <w:szCs w:val="24"/>
        </w:rPr>
        <w:t>(In considering damages in this category, you shall not consider damages for [physical impairment] [or] [disfigurement], because these damages, if any, are to be considered in a separate category.)</w:t>
      </w:r>
    </w:p>
    <w:p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 xml:space="preserve">2. Any economic losses or injuries the plaintiff has had to the present time or that the plaintiff will probably have in the future, including: loss of earnings or income; impairment of earning capacity; (reasonable and necessary) medical, hospital and other expenses, and </w:t>
      </w:r>
      <w:r w:rsidRPr="002F0E75">
        <w:rPr>
          <w:rFonts w:eastAsia="Times New Roman"/>
          <w:i/>
          <w:sz w:val="24"/>
          <w:szCs w:val="24"/>
        </w:rPr>
        <w:t>[insert any other recoverable economic losses for which there is sufficient evidence]</w:t>
      </w:r>
      <w:r w:rsidRPr="002F0E75">
        <w:rPr>
          <w:rFonts w:eastAsia="Times New Roman"/>
          <w:b/>
          <w:sz w:val="24"/>
          <w:szCs w:val="24"/>
        </w:rPr>
        <w:t>.</w:t>
      </w:r>
      <w:r w:rsidRPr="002F0E75">
        <w:rPr>
          <w:rFonts w:eastAsia="Times New Roman"/>
          <w:i/>
          <w:sz w:val="24"/>
          <w:szCs w:val="24"/>
        </w:rPr>
        <w:t xml:space="preserve"> </w:t>
      </w:r>
      <w:r w:rsidRPr="002F0E75">
        <w:rPr>
          <w:rFonts w:eastAsia="Times New Roman"/>
          <w:b/>
          <w:sz w:val="24"/>
          <w:szCs w:val="24"/>
        </w:rPr>
        <w:t>(In considering damages in this category, you shall not consider damages for [physical impairment] [or] [disfigurement], since these damages, if any, are to be considered in a separate category.)</w:t>
      </w:r>
    </w:p>
    <w:p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(3. Any [physical impairment] [or] [disfigurement]. In considering damages in this category, you shall not include damages again for losses or injuries already determined in either numbered paragraph 1 or 2 above.)</w:t>
      </w:r>
    </w:p>
    <w:p w:rsidR="002F0E75" w:rsidRPr="002F0E75" w:rsidRDefault="002F0E75" w:rsidP="002F0E75">
      <w:pPr>
        <w:spacing w:after="240"/>
        <w:ind w:firstLine="720"/>
        <w:rPr>
          <w:rFonts w:eastAsia="Times New Roman"/>
          <w:b/>
          <w:sz w:val="24"/>
          <w:szCs w:val="24"/>
        </w:rPr>
      </w:pPr>
      <w:r w:rsidRPr="002F0E75">
        <w:rPr>
          <w:rFonts w:eastAsia="Times New Roman"/>
          <w:b/>
          <w:sz w:val="24"/>
          <w:szCs w:val="24"/>
        </w:rPr>
        <w:t>If you find in favor of the plaintiff, but do not find any actual damages, you shall award (him) (her) nominal damages of one dollar.</w:t>
      </w:r>
    </w:p>
    <w:p w:rsidR="002F0E75" w:rsidRDefault="002F0E75" w:rsidP="002F0E75">
      <w:pPr>
        <w:jc w:val="center"/>
        <w:rPr>
          <w:rFonts w:eastAsia="Times New Roman"/>
          <w:sz w:val="24"/>
          <w:szCs w:val="24"/>
        </w:rPr>
      </w:pPr>
    </w:p>
    <w:p w:rsidR="002F0E75" w:rsidRPr="0054263B" w:rsidRDefault="002F0E75" w:rsidP="002F0E75">
      <w:pPr>
        <w:keepNext/>
        <w:spacing w:after="240"/>
        <w:jc w:val="center"/>
        <w:rPr>
          <w:rFonts w:eastAsia="Times New Roman"/>
          <w:b/>
          <w:sz w:val="24"/>
          <w:szCs w:val="24"/>
        </w:rPr>
      </w:pPr>
      <w:r w:rsidRPr="0054263B">
        <w:rPr>
          <w:rFonts w:eastAsia="Times New Roman"/>
          <w:b/>
          <w:sz w:val="24"/>
          <w:szCs w:val="24"/>
        </w:rPr>
        <w:t>Notes on Use</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1. Use only those numbered, parenthesized paragraphs or portions that are appropriate to the evidence in the case.</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2. This instruction is also applicable to damages recoverable for a battery. In such cases the parenthesized word “battery” should be substituted for the word “assault.”</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3. In some cases an appropriate instruction relating to causation may need to be given with this instruction. </w:t>
      </w:r>
      <w:r w:rsidRPr="002F0E75">
        <w:rPr>
          <w:rFonts w:eastAsia="Times New Roman"/>
          <w:i/>
          <w:sz w:val="24"/>
          <w:szCs w:val="24"/>
        </w:rPr>
        <w:t>See</w:t>
      </w:r>
      <w:r w:rsidRPr="002F0E75">
        <w:rPr>
          <w:rFonts w:eastAsia="Times New Roman"/>
          <w:sz w:val="24"/>
          <w:szCs w:val="24"/>
        </w:rPr>
        <w:t xml:space="preserve"> Instructions 9:18-9:21.</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lastRenderedPageBreak/>
        <w:t xml:space="preserve">4. Where there is uncontroverted evidence of actual damages, the last paragraph referring to nominal damages should be deleted. </w:t>
      </w:r>
      <w:r w:rsidRPr="002F0E75">
        <w:rPr>
          <w:rFonts w:eastAsia="Times New Roman"/>
          <w:b/>
          <w:sz w:val="24"/>
          <w:szCs w:val="24"/>
        </w:rPr>
        <w:t>Whitley v. Andersen</w:t>
      </w:r>
      <w:r w:rsidRPr="002F0E75">
        <w:rPr>
          <w:rFonts w:eastAsia="Times New Roman"/>
          <w:sz w:val="24"/>
          <w:szCs w:val="24"/>
        </w:rPr>
        <w:t xml:space="preserve">, 37 Colo. App. 486, 551 P.2d 1083 (1976), </w:t>
      </w:r>
      <w:r w:rsidRPr="002F0E75">
        <w:rPr>
          <w:rFonts w:eastAsia="Times New Roman"/>
          <w:i/>
          <w:sz w:val="24"/>
          <w:szCs w:val="24"/>
        </w:rPr>
        <w:t>aff’d on other grounds</w:t>
      </w:r>
      <w:r w:rsidRPr="002F0E75">
        <w:rPr>
          <w:rFonts w:eastAsia="Times New Roman"/>
          <w:sz w:val="24"/>
          <w:szCs w:val="24"/>
        </w:rPr>
        <w:t>, 194 Colo. 87, 570 P.2d 525 (1977).</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5. Comparative negligence is not a defense to an intentional tort claim. </w:t>
      </w:r>
      <w:r w:rsidRPr="002F0E75">
        <w:rPr>
          <w:rFonts w:eastAsia="Times New Roman"/>
          <w:b/>
          <w:sz w:val="24"/>
          <w:szCs w:val="24"/>
        </w:rPr>
        <w:t>Carman v. Heber</w:t>
      </w:r>
      <w:r w:rsidRPr="002F0E75">
        <w:rPr>
          <w:rFonts w:eastAsia="Times New Roman"/>
          <w:sz w:val="24"/>
          <w:szCs w:val="24"/>
        </w:rPr>
        <w:t>,</w:t>
      </w:r>
      <w:r w:rsidRPr="002F0E75">
        <w:rPr>
          <w:rFonts w:eastAsia="Times New Roman"/>
          <w:b/>
          <w:sz w:val="24"/>
          <w:szCs w:val="24"/>
        </w:rPr>
        <w:t xml:space="preserve"> </w:t>
      </w:r>
      <w:r w:rsidRPr="002F0E75">
        <w:rPr>
          <w:rFonts w:eastAsia="Times New Roman"/>
          <w:sz w:val="24"/>
          <w:szCs w:val="24"/>
        </w:rPr>
        <w:t>43 Colo. App. 5, 601 P.2d 646 (1979). Therefore, the first paragraph of this instruction varies from the comparable damage instructions in “simple” negligence cases by eliminating any reference to plaintiff’s own negligence.</w:t>
      </w:r>
    </w:p>
    <w:p w:rsidR="002F0E75" w:rsidRPr="0054263B" w:rsidRDefault="002F0E75" w:rsidP="002F0E75">
      <w:pPr>
        <w:keepNext/>
        <w:spacing w:after="240"/>
        <w:jc w:val="center"/>
        <w:rPr>
          <w:rFonts w:eastAsia="Times New Roman"/>
          <w:b/>
          <w:sz w:val="24"/>
          <w:szCs w:val="24"/>
        </w:rPr>
      </w:pPr>
      <w:r>
        <w:rPr>
          <w:rFonts w:eastAsia="Times New Roman"/>
          <w:b/>
          <w:sz w:val="24"/>
          <w:szCs w:val="24"/>
        </w:rPr>
        <w:t>Source and Authority</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1. This instruction is supported by </w:t>
      </w:r>
      <w:r w:rsidRPr="002F0E75">
        <w:rPr>
          <w:rFonts w:eastAsia="Times New Roman"/>
          <w:b/>
          <w:sz w:val="24"/>
          <w:szCs w:val="24"/>
        </w:rPr>
        <w:t>Jones v. Franklin</w:t>
      </w:r>
      <w:r w:rsidRPr="002F0E75">
        <w:rPr>
          <w:rFonts w:eastAsia="Times New Roman"/>
          <w:sz w:val="24"/>
          <w:szCs w:val="24"/>
        </w:rPr>
        <w:t xml:space="preserve">, 139 Colo. 384, 340 P.2d 123 (1959) (in an assault and battery case, instruction enumerating basically the same elements of damages approved); </w:t>
      </w:r>
      <w:r w:rsidRPr="002F0E75">
        <w:rPr>
          <w:rFonts w:eastAsia="Times New Roman"/>
          <w:b/>
          <w:sz w:val="24"/>
          <w:szCs w:val="24"/>
        </w:rPr>
        <w:t>Whitley</w:t>
      </w:r>
      <w:r w:rsidRPr="002F0E75">
        <w:rPr>
          <w:rFonts w:eastAsia="Times New Roman"/>
          <w:sz w:val="24"/>
          <w:szCs w:val="24"/>
        </w:rPr>
        <w:t xml:space="preserve">, 37 Colo. App. at 488-89, 551 P.2d at 1085; and </w:t>
      </w:r>
      <w:r w:rsidRPr="002F0E75">
        <w:rPr>
          <w:rFonts w:eastAsia="Times New Roman"/>
          <w:smallCaps/>
          <w:sz w:val="24"/>
          <w:szCs w:val="24"/>
        </w:rPr>
        <w:t>W. Page Keeton et al., Prosser and Keeton on the Law of Torts</w:t>
      </w:r>
      <w:r w:rsidRPr="002F0E75">
        <w:rPr>
          <w:rFonts w:eastAsia="Times New Roman"/>
          <w:sz w:val="24"/>
          <w:szCs w:val="24"/>
        </w:rPr>
        <w:t xml:space="preserve"> § 10, at 43 (5th ed. 1984).</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2. Plaintiff’s words alone, “even if spoken immediately preceding the assault and battery, cannot be considered by a jury in mitigation of compensatory damages.” </w:t>
      </w:r>
      <w:r w:rsidRPr="002F0E75">
        <w:rPr>
          <w:rFonts w:eastAsia="Times New Roman"/>
          <w:b/>
          <w:sz w:val="24"/>
          <w:szCs w:val="24"/>
        </w:rPr>
        <w:t>Whitley</w:t>
      </w:r>
      <w:r w:rsidRPr="002F0E75">
        <w:rPr>
          <w:rFonts w:eastAsia="Times New Roman"/>
          <w:sz w:val="24"/>
          <w:szCs w:val="24"/>
        </w:rPr>
        <w:t>,</w:t>
      </w:r>
      <w:r w:rsidRPr="002F0E75">
        <w:rPr>
          <w:rFonts w:eastAsia="Times New Roman"/>
          <w:i/>
          <w:sz w:val="24"/>
          <w:szCs w:val="24"/>
        </w:rPr>
        <w:t xml:space="preserve"> </w:t>
      </w:r>
      <w:r w:rsidRPr="002F0E75">
        <w:rPr>
          <w:rFonts w:eastAsia="Times New Roman"/>
          <w:sz w:val="24"/>
          <w:szCs w:val="24"/>
        </w:rPr>
        <w:t xml:space="preserve">194 Colo. at 88, 570 P.2d at 526. They may, however, be considered in mitigation of punitive damages. </w:t>
      </w:r>
      <w:r w:rsidRPr="002F0E75">
        <w:rPr>
          <w:rFonts w:eastAsia="Times New Roman"/>
          <w:i/>
          <w:sz w:val="24"/>
          <w:szCs w:val="24"/>
        </w:rPr>
        <w:t>Id</w:t>
      </w:r>
      <w:r w:rsidRPr="002F0E75">
        <w:rPr>
          <w:rFonts w:eastAsia="Times New Roman"/>
          <w:sz w:val="24"/>
          <w:szCs w:val="24"/>
        </w:rPr>
        <w:t>.</w:t>
      </w:r>
    </w:p>
    <w:p w:rsidR="002F0E75" w:rsidRPr="002F0E75" w:rsidRDefault="002F0E75" w:rsidP="002F0E75">
      <w:pPr>
        <w:spacing w:after="240"/>
        <w:ind w:firstLine="720"/>
        <w:rPr>
          <w:rFonts w:eastAsia="Times New Roman"/>
          <w:sz w:val="24"/>
          <w:szCs w:val="24"/>
        </w:rPr>
      </w:pPr>
      <w:r w:rsidRPr="002F0E75">
        <w:rPr>
          <w:rFonts w:eastAsia="Times New Roman"/>
          <w:sz w:val="24"/>
          <w:szCs w:val="24"/>
        </w:rPr>
        <w:t xml:space="preserve">3. In an assault action, where there is “no evidence that the fright manifested itself in any physical or mental problems [or] that any medical assistance had been sought[,]” or any other actual damages were incurred, the plaintiff is entitled to recover only nominal damages. </w:t>
      </w:r>
      <w:r w:rsidRPr="002F0E75">
        <w:rPr>
          <w:rFonts w:eastAsia="Times New Roman"/>
          <w:b/>
          <w:sz w:val="24"/>
          <w:szCs w:val="24"/>
        </w:rPr>
        <w:t>Campbell v. Jenkins</w:t>
      </w:r>
      <w:r w:rsidRPr="002F0E75">
        <w:rPr>
          <w:rFonts w:eastAsia="Times New Roman"/>
          <w:sz w:val="24"/>
          <w:szCs w:val="24"/>
        </w:rPr>
        <w:t xml:space="preserve">, 43 Colo. App. 458, 459, 608 P.2d 363, 364 (1979). For more than a nominal damage recovery based only on emotional distress, such distress must have manifested itself in some form of physical or mental illness. </w:t>
      </w:r>
      <w:r w:rsidRPr="002F0E75">
        <w:rPr>
          <w:rFonts w:eastAsia="Times New Roman"/>
          <w:i/>
          <w:sz w:val="24"/>
          <w:szCs w:val="24"/>
        </w:rPr>
        <w:t>Id.</w:t>
      </w:r>
    </w:p>
    <w:p w:rsidR="004D2C99" w:rsidRDefault="004D2C99">
      <w:pPr>
        <w:rPr>
          <w:rFonts w:eastAsia="Times New Roman"/>
          <w:sz w:val="24"/>
          <w:szCs w:val="24"/>
        </w:rPr>
      </w:pPr>
      <w:r>
        <w:rPr>
          <w:rFonts w:eastAsia="Times New Roman"/>
          <w:sz w:val="24"/>
          <w:szCs w:val="24"/>
        </w:rPr>
        <w:br w:type="page"/>
      </w:r>
    </w:p>
    <w:p w:rsidR="004D2C99" w:rsidRDefault="00642649" w:rsidP="004D2C99">
      <w:pPr>
        <w:spacing w:after="240"/>
        <w:jc w:val="center"/>
        <w:rPr>
          <w:rFonts w:eastAsia="Times New Roman"/>
          <w:b/>
          <w:sz w:val="24"/>
          <w:szCs w:val="24"/>
        </w:rPr>
      </w:pPr>
      <w:r>
        <w:rPr>
          <w:rFonts w:eastAsia="Times New Roman"/>
          <w:b/>
          <w:sz w:val="24"/>
          <w:szCs w:val="24"/>
        </w:rPr>
        <w:lastRenderedPageBreak/>
        <w:t>B</w:t>
      </w:r>
      <w:r w:rsidR="004D2C99" w:rsidRPr="002547C3">
        <w:rPr>
          <w:rFonts w:eastAsia="Times New Roman"/>
          <w:b/>
          <w:sz w:val="24"/>
          <w:szCs w:val="24"/>
        </w:rPr>
        <w:t xml:space="preserve">. </w:t>
      </w:r>
      <w:r w:rsidR="004D2C99">
        <w:rPr>
          <w:rFonts w:eastAsia="Times New Roman"/>
          <w:b/>
          <w:sz w:val="24"/>
          <w:szCs w:val="24"/>
        </w:rPr>
        <w:t>BATTERY</w:t>
      </w:r>
    </w:p>
    <w:p w:rsidR="004D2C99" w:rsidRPr="009E3DA4" w:rsidRDefault="004D2C99" w:rsidP="004D2C99">
      <w:pPr>
        <w:spacing w:after="240"/>
        <w:ind w:left="720" w:hanging="720"/>
        <w:rPr>
          <w:rFonts w:eastAsia="Times New Roman"/>
          <w:b/>
          <w:sz w:val="24"/>
          <w:szCs w:val="24"/>
        </w:rPr>
      </w:pPr>
      <w:bookmarkStart w:id="5" w:name="a20_05"/>
      <w:bookmarkEnd w:id="5"/>
      <w:r w:rsidRPr="004D2C99">
        <w:rPr>
          <w:rFonts w:eastAsia="Times New Roman"/>
          <w:b/>
          <w:sz w:val="24"/>
          <w:szCs w:val="24"/>
        </w:rPr>
        <w:t xml:space="preserve">20:5 </w:t>
      </w:r>
      <w:r w:rsidRPr="004D2C99">
        <w:rPr>
          <w:rFonts w:eastAsia="Times New Roman"/>
          <w:b/>
          <w:sz w:val="24"/>
          <w:szCs w:val="24"/>
        </w:rPr>
        <w:tab/>
        <w:t>ELEMENTS OF LIABILITY</w:t>
      </w:r>
    </w:p>
    <w:p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 xml:space="preserve">For the plaintiff, </w:t>
      </w:r>
      <w:r w:rsidRPr="004D2C99">
        <w:rPr>
          <w:rFonts w:eastAsia="Times New Roman"/>
          <w:i/>
          <w:sz w:val="24"/>
          <w:szCs w:val="24"/>
        </w:rPr>
        <w:t>(name)</w:t>
      </w:r>
      <w:r w:rsidRPr="004D2C99">
        <w:rPr>
          <w:rFonts w:eastAsia="Times New Roman"/>
          <w:b/>
          <w:sz w:val="24"/>
          <w:szCs w:val="24"/>
        </w:rPr>
        <w:t xml:space="preserve">, to recover from the defendant, </w:t>
      </w:r>
      <w:r w:rsidRPr="004D2C99">
        <w:rPr>
          <w:rFonts w:eastAsia="Times New Roman"/>
          <w:i/>
          <w:sz w:val="24"/>
          <w:szCs w:val="24"/>
        </w:rPr>
        <w:t>(name)</w:t>
      </w:r>
      <w:r w:rsidRPr="004D2C99">
        <w:rPr>
          <w:rFonts w:eastAsia="Times New Roman"/>
          <w:b/>
          <w:sz w:val="24"/>
          <w:szCs w:val="24"/>
        </w:rPr>
        <w:t>, on (his) (her) claim of battery, you must find that all of the following have been proved by a preponderance of the evidence:</w:t>
      </w:r>
    </w:p>
    <w:p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1. The defendant’s act resulted in physical contact with the plaintiff; and</w:t>
      </w:r>
    </w:p>
    <w:p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2. The defendant intended to make harmful or offensive physical contact with the plaintiff (or another person) (or knew that [he] [she] would probably make such contact); and</w:t>
      </w:r>
    </w:p>
    <w:p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(3. The contact was [harmful] [or] [offensive].)</w:t>
      </w:r>
    </w:p>
    <w:p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 xml:space="preserve">If you find that any one or more of these </w:t>
      </w:r>
      <w:r w:rsidRPr="004D2C99">
        <w:rPr>
          <w:rFonts w:eastAsia="Times New Roman"/>
          <w:i/>
          <w:sz w:val="24"/>
          <w:szCs w:val="24"/>
        </w:rPr>
        <w:t>(number)</w:t>
      </w:r>
      <w:r w:rsidRPr="004D2C99">
        <w:rPr>
          <w:rFonts w:eastAsia="Times New Roman"/>
          <w:b/>
          <w:sz w:val="24"/>
          <w:szCs w:val="24"/>
        </w:rPr>
        <w:t xml:space="preserve"> statements has not been proved, then your verdict must be for the defendant.</w:t>
      </w:r>
    </w:p>
    <w:p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 xml:space="preserve">On the other hand, if you find that all of these </w:t>
      </w:r>
      <w:r w:rsidRPr="004D2C99">
        <w:rPr>
          <w:rFonts w:eastAsia="Times New Roman"/>
          <w:i/>
          <w:sz w:val="24"/>
          <w:szCs w:val="24"/>
        </w:rPr>
        <w:t>(number)</w:t>
      </w:r>
      <w:r w:rsidRPr="004D2C99">
        <w:rPr>
          <w:rFonts w:eastAsia="Times New Roman"/>
          <w:b/>
          <w:sz w:val="24"/>
          <w:szCs w:val="24"/>
        </w:rPr>
        <w:t xml:space="preserve"> statements have been proved, (then your verdict must be for the plaintiff) (then you must consider the defendant’s affirmative defense(s) of </w:t>
      </w:r>
      <w:r w:rsidRPr="004D2C99">
        <w:rPr>
          <w:rFonts w:eastAsia="Times New Roman"/>
          <w:i/>
          <w:sz w:val="24"/>
          <w:szCs w:val="24"/>
        </w:rPr>
        <w:t>[insert any affirmative defense that would be a complete defense to plaintiff’s claim]</w:t>
      </w:r>
      <w:r w:rsidRPr="004D2C99">
        <w:rPr>
          <w:rFonts w:eastAsia="Times New Roman"/>
          <w:b/>
          <w:sz w:val="24"/>
          <w:szCs w:val="24"/>
        </w:rPr>
        <w:t>).</w:t>
      </w:r>
    </w:p>
    <w:p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If you find that (this affirmative defense has) (any one or more of these affirmative defenses have) been proved by a preponderance of the evidence, then your verdict must be for the defendant.</w:t>
      </w:r>
    </w:p>
    <w:p w:rsidR="004D2C99" w:rsidRPr="004D2C99" w:rsidRDefault="004D2C99" w:rsidP="004D2C99">
      <w:pPr>
        <w:spacing w:after="240"/>
        <w:ind w:firstLine="720"/>
        <w:rPr>
          <w:rFonts w:eastAsia="Times New Roman"/>
          <w:b/>
          <w:sz w:val="24"/>
          <w:szCs w:val="24"/>
        </w:rPr>
      </w:pPr>
      <w:r w:rsidRPr="004D2C99">
        <w:rPr>
          <w:rFonts w:eastAsia="Times New Roman"/>
          <w:b/>
          <w:sz w:val="24"/>
          <w:szCs w:val="24"/>
        </w:rPr>
        <w:t>However, if you find that (this affirmative defense has not) (none of these affirmative defenses have) been proved, then your verdict must be for the plaintiff.</w:t>
      </w:r>
    </w:p>
    <w:p w:rsidR="004D2C99" w:rsidRDefault="004D2C99" w:rsidP="004D2C99">
      <w:pPr>
        <w:jc w:val="center"/>
        <w:rPr>
          <w:rFonts w:eastAsia="Times New Roman"/>
          <w:sz w:val="24"/>
          <w:szCs w:val="24"/>
        </w:rPr>
      </w:pPr>
    </w:p>
    <w:p w:rsidR="004D2C99" w:rsidRPr="0054263B" w:rsidRDefault="004D2C99" w:rsidP="004D2C99">
      <w:pPr>
        <w:keepNext/>
        <w:spacing w:after="240"/>
        <w:jc w:val="center"/>
        <w:rPr>
          <w:rFonts w:eastAsia="Times New Roman"/>
          <w:b/>
          <w:sz w:val="24"/>
          <w:szCs w:val="24"/>
        </w:rPr>
      </w:pPr>
      <w:r w:rsidRPr="0054263B">
        <w:rPr>
          <w:rFonts w:eastAsia="Times New Roman"/>
          <w:b/>
          <w:sz w:val="24"/>
          <w:szCs w:val="24"/>
        </w:rPr>
        <w:t>Notes on Use</w:t>
      </w:r>
    </w:p>
    <w:p w:rsidR="004D2C99" w:rsidRPr="004D2C99" w:rsidRDefault="004D2C99" w:rsidP="004D2C99">
      <w:pPr>
        <w:spacing w:after="240"/>
        <w:ind w:firstLine="720"/>
        <w:rPr>
          <w:rFonts w:eastAsia="Times New Roman"/>
          <w:sz w:val="24"/>
          <w:szCs w:val="24"/>
        </w:rPr>
      </w:pPr>
      <w:r w:rsidRPr="004D2C99">
        <w:rPr>
          <w:rFonts w:eastAsia="Times New Roman"/>
          <w:sz w:val="24"/>
          <w:szCs w:val="24"/>
        </w:rPr>
        <w:t>1. Note 4 of the Notes on Use to Instruction 20:1 also applies to this instruction.</w:t>
      </w:r>
    </w:p>
    <w:p w:rsidR="004D2C99" w:rsidRPr="004D2C99" w:rsidRDefault="004D2C99" w:rsidP="004D2C99">
      <w:pPr>
        <w:spacing w:after="240"/>
        <w:ind w:firstLine="720"/>
        <w:rPr>
          <w:rFonts w:eastAsia="Times New Roman"/>
          <w:sz w:val="24"/>
          <w:szCs w:val="24"/>
        </w:rPr>
      </w:pPr>
      <w:r w:rsidRPr="004D2C99">
        <w:rPr>
          <w:rFonts w:eastAsia="Times New Roman"/>
          <w:sz w:val="24"/>
          <w:szCs w:val="24"/>
        </w:rPr>
        <w:t>2. In cases involving multiple defendants or designated nonparties where the pro rata liability statute, § 13-21-111.5, C.R.S., is applicable, see the Notes on Use to Instruction 4:20.</w:t>
      </w:r>
    </w:p>
    <w:p w:rsidR="004D2C99" w:rsidRPr="004D2C99" w:rsidRDefault="004D2C99" w:rsidP="004D2C99">
      <w:pPr>
        <w:spacing w:after="240"/>
        <w:ind w:firstLine="720"/>
        <w:rPr>
          <w:rFonts w:eastAsia="Times New Roman"/>
          <w:sz w:val="24"/>
          <w:szCs w:val="24"/>
        </w:rPr>
      </w:pPr>
      <w:r w:rsidRPr="004D2C99">
        <w:rPr>
          <w:rFonts w:eastAsia="Times New Roman"/>
          <w:sz w:val="24"/>
          <w:szCs w:val="24"/>
        </w:rPr>
        <w:t>3. Omit any numbered paragraph the facts of which are not in dispute, and make such other changes as are necessary in such circumstances to make the instruction understandable.</w:t>
      </w:r>
    </w:p>
    <w:p w:rsidR="004D2C99" w:rsidRPr="004D2C99" w:rsidRDefault="004D2C99" w:rsidP="004D2C99">
      <w:pPr>
        <w:spacing w:after="240"/>
        <w:ind w:firstLine="720"/>
        <w:rPr>
          <w:rFonts w:eastAsia="Times New Roman"/>
          <w:sz w:val="24"/>
          <w:szCs w:val="24"/>
        </w:rPr>
      </w:pPr>
      <w:r w:rsidRPr="004D2C99">
        <w:rPr>
          <w:rFonts w:eastAsia="Times New Roman"/>
          <w:sz w:val="24"/>
          <w:szCs w:val="24"/>
        </w:rPr>
        <w:t>4. Use whichever parenthesized words are appropriate and omit the last two paragraphs if the defendant has put no affirmative defense in issue or there is insufficient evidence to support any defense.</w:t>
      </w:r>
    </w:p>
    <w:p w:rsidR="004D2C99" w:rsidRPr="004D2C99" w:rsidRDefault="004D2C99" w:rsidP="004D2C99">
      <w:pPr>
        <w:spacing w:after="240"/>
        <w:ind w:firstLine="720"/>
        <w:rPr>
          <w:rFonts w:eastAsia="Times New Roman"/>
          <w:sz w:val="24"/>
          <w:szCs w:val="24"/>
        </w:rPr>
      </w:pPr>
      <w:r w:rsidRPr="004D2C99">
        <w:rPr>
          <w:rFonts w:eastAsia="Times New Roman"/>
          <w:sz w:val="24"/>
          <w:szCs w:val="24"/>
        </w:rPr>
        <w:t xml:space="preserve">5. Though mitigation of damages is an affirmative defense, </w:t>
      </w:r>
      <w:r w:rsidRPr="004D2C99">
        <w:rPr>
          <w:rFonts w:eastAsia="Times New Roman"/>
          <w:i/>
          <w:sz w:val="24"/>
          <w:szCs w:val="24"/>
        </w:rPr>
        <w:t>see</w:t>
      </w:r>
      <w:r w:rsidRPr="004D2C99">
        <w:rPr>
          <w:rFonts w:eastAsia="Times New Roman"/>
          <w:sz w:val="24"/>
          <w:szCs w:val="24"/>
        </w:rPr>
        <w:t xml:space="preserve"> Instruction 5:2, it is rarely a complete defense. For this reason, mitigation should not be identified as an affirmative defense </w:t>
      </w:r>
      <w:r w:rsidRPr="004D2C99">
        <w:rPr>
          <w:rFonts w:eastAsia="Times New Roman"/>
          <w:sz w:val="24"/>
          <w:szCs w:val="24"/>
        </w:rPr>
        <w:lastRenderedPageBreak/>
        <w:t>in the concluding paragraphs of this instruction. Instead, if supported by sufficient evidence, Instruction 5:2 should be given along with the actual damages instruction appropriate to the claim and the evidence in the case.</w:t>
      </w:r>
    </w:p>
    <w:p w:rsidR="004D2C99" w:rsidRPr="004D2C99" w:rsidRDefault="004D2C99" w:rsidP="004D2C99">
      <w:pPr>
        <w:spacing w:after="240"/>
        <w:ind w:firstLine="720"/>
        <w:rPr>
          <w:rFonts w:eastAsia="Times New Roman"/>
          <w:sz w:val="24"/>
          <w:szCs w:val="24"/>
        </w:rPr>
      </w:pPr>
      <w:r w:rsidRPr="004D2C99">
        <w:rPr>
          <w:rFonts w:eastAsia="Times New Roman"/>
          <w:sz w:val="24"/>
          <w:szCs w:val="24"/>
        </w:rPr>
        <w:t>6. Other appropriate instructions defining the terms used in this instruction, for example, Instruction 20:6, defining “contact,” and Instruction 20:7, defining “intent,” must also be given with this instruction.</w:t>
      </w:r>
    </w:p>
    <w:p w:rsidR="004D2C99" w:rsidRPr="004D2C99" w:rsidRDefault="004D2C99" w:rsidP="004D2C99">
      <w:pPr>
        <w:spacing w:after="240"/>
        <w:ind w:firstLine="720"/>
        <w:rPr>
          <w:rFonts w:eastAsia="Times New Roman"/>
          <w:sz w:val="24"/>
          <w:szCs w:val="24"/>
        </w:rPr>
      </w:pPr>
      <w:r w:rsidRPr="004D2C99">
        <w:rPr>
          <w:rFonts w:eastAsia="Times New Roman"/>
          <w:sz w:val="24"/>
          <w:szCs w:val="24"/>
        </w:rPr>
        <w:t>7. For cases involving persons who allegedly committed a battery while practicing one of the healing arts, see the instructions in subparts B and C of Part I of Chapter 15.</w:t>
      </w:r>
    </w:p>
    <w:p w:rsidR="004D2C99" w:rsidRPr="004D2C99" w:rsidRDefault="004D2C99" w:rsidP="004D2C99">
      <w:pPr>
        <w:spacing w:after="240"/>
        <w:ind w:firstLine="720"/>
        <w:rPr>
          <w:rFonts w:eastAsia="Times New Roman"/>
          <w:sz w:val="24"/>
          <w:szCs w:val="24"/>
        </w:rPr>
      </w:pPr>
      <w:r w:rsidRPr="004D2C99">
        <w:rPr>
          <w:rFonts w:eastAsia="Times New Roman"/>
          <w:sz w:val="24"/>
          <w:szCs w:val="24"/>
        </w:rPr>
        <w:t xml:space="preserve">8. This instruction must be appropriately modified in cases in which there is sufficient evidence that the claimed battery may have occurred under circumstances that would immunize the defendant from liability under certain conditions. </w:t>
      </w:r>
      <w:r w:rsidRPr="004D2C99">
        <w:rPr>
          <w:rFonts w:eastAsia="Times New Roman"/>
          <w:i/>
          <w:sz w:val="24"/>
          <w:szCs w:val="24"/>
        </w:rPr>
        <w:t>See, e.g.</w:t>
      </w:r>
      <w:r w:rsidRPr="004D2C99">
        <w:rPr>
          <w:rFonts w:eastAsia="Times New Roman"/>
          <w:sz w:val="24"/>
          <w:szCs w:val="24"/>
        </w:rPr>
        <w:t>, § 13-21-108, C.R.S. (the “Good Samaritan” statute).</w:t>
      </w:r>
    </w:p>
    <w:p w:rsidR="004D2C99" w:rsidRPr="0054263B" w:rsidRDefault="004D2C99" w:rsidP="004D2C99">
      <w:pPr>
        <w:keepNext/>
        <w:spacing w:after="240"/>
        <w:jc w:val="center"/>
        <w:rPr>
          <w:rFonts w:eastAsia="Times New Roman"/>
          <w:b/>
          <w:sz w:val="24"/>
          <w:szCs w:val="24"/>
        </w:rPr>
      </w:pPr>
      <w:r>
        <w:rPr>
          <w:rFonts w:eastAsia="Times New Roman"/>
          <w:b/>
          <w:sz w:val="24"/>
          <w:szCs w:val="24"/>
        </w:rPr>
        <w:t>Source and Authority</w:t>
      </w:r>
    </w:p>
    <w:p w:rsidR="004D2C99" w:rsidRPr="004D2C99" w:rsidRDefault="004D2C99" w:rsidP="004D2C99">
      <w:pPr>
        <w:spacing w:after="240"/>
        <w:ind w:firstLine="720"/>
        <w:rPr>
          <w:rFonts w:eastAsia="Times New Roman"/>
          <w:sz w:val="24"/>
          <w:szCs w:val="24"/>
        </w:rPr>
      </w:pPr>
      <w:r w:rsidRPr="004D2C99">
        <w:rPr>
          <w:rFonts w:eastAsia="Times New Roman"/>
          <w:sz w:val="24"/>
          <w:szCs w:val="24"/>
        </w:rPr>
        <w:t xml:space="preserve">1. This instruction is supported by </w:t>
      </w:r>
      <w:r w:rsidRPr="004D2C99">
        <w:rPr>
          <w:rFonts w:eastAsia="Times New Roman"/>
          <w:smallCaps/>
          <w:sz w:val="24"/>
          <w:szCs w:val="24"/>
        </w:rPr>
        <w:t>Restatement (Second) of Torts</w:t>
      </w:r>
      <w:r w:rsidRPr="004D2C99">
        <w:rPr>
          <w:rFonts w:eastAsia="Times New Roman"/>
          <w:sz w:val="24"/>
          <w:szCs w:val="24"/>
        </w:rPr>
        <w:t xml:space="preserve"> §§ 13, 18 (1965); 1 </w:t>
      </w:r>
      <w:r w:rsidRPr="004D2C99">
        <w:rPr>
          <w:rFonts w:eastAsia="Times New Roman"/>
          <w:smallCaps/>
          <w:sz w:val="24"/>
          <w:szCs w:val="24"/>
        </w:rPr>
        <w:t>F. Harper et al., Harper, James, and Gray on Torts</w:t>
      </w:r>
      <w:r w:rsidRPr="004D2C99">
        <w:rPr>
          <w:rFonts w:eastAsia="Times New Roman"/>
          <w:sz w:val="24"/>
          <w:szCs w:val="24"/>
        </w:rPr>
        <w:t xml:space="preserve"> §§ 3.1-3.3 (3d ed. 2006); and </w:t>
      </w:r>
      <w:r w:rsidRPr="004D2C99">
        <w:rPr>
          <w:rFonts w:eastAsia="Times New Roman"/>
          <w:smallCaps/>
          <w:sz w:val="24"/>
          <w:szCs w:val="24"/>
        </w:rPr>
        <w:t>W. Page Keeton et al., Prosser and Keeton on the Law of Torts</w:t>
      </w:r>
      <w:r w:rsidRPr="004D2C99">
        <w:rPr>
          <w:rFonts w:eastAsia="Times New Roman"/>
          <w:sz w:val="24"/>
          <w:szCs w:val="24"/>
        </w:rPr>
        <w:t xml:space="preserve"> § 9 (5th ed. 1984). </w:t>
      </w:r>
      <w:r w:rsidRPr="004D2C99">
        <w:rPr>
          <w:rFonts w:eastAsia="Times New Roman"/>
          <w:i/>
          <w:sz w:val="24"/>
          <w:szCs w:val="24"/>
        </w:rPr>
        <w:t>See also</w:t>
      </w:r>
      <w:r w:rsidRPr="004D2C99">
        <w:rPr>
          <w:rFonts w:eastAsia="Times New Roman"/>
          <w:sz w:val="24"/>
          <w:szCs w:val="24"/>
        </w:rPr>
        <w:t xml:space="preserve"> </w:t>
      </w:r>
      <w:r w:rsidRPr="004D2C99">
        <w:rPr>
          <w:rFonts w:eastAsia="Times New Roman"/>
          <w:b/>
          <w:sz w:val="24"/>
          <w:szCs w:val="24"/>
        </w:rPr>
        <w:t>White v. Muniz</w:t>
      </w:r>
      <w:r w:rsidRPr="004D2C99">
        <w:rPr>
          <w:rFonts w:eastAsia="Times New Roman"/>
          <w:sz w:val="24"/>
          <w:szCs w:val="24"/>
        </w:rPr>
        <w:t xml:space="preserve">, 999 P.2d 814 (Colo. 2000); </w:t>
      </w:r>
      <w:r w:rsidRPr="004D2C99">
        <w:rPr>
          <w:rFonts w:eastAsia="Times New Roman"/>
          <w:b/>
          <w:sz w:val="24"/>
          <w:szCs w:val="24"/>
        </w:rPr>
        <w:t>Horton v. Reaves</w:t>
      </w:r>
      <w:r w:rsidRPr="004D2C99">
        <w:rPr>
          <w:rFonts w:eastAsia="Times New Roman"/>
          <w:sz w:val="24"/>
          <w:szCs w:val="24"/>
        </w:rPr>
        <w:t xml:space="preserve">, 186 Colo. 149, 526 P.2d 304 (1974); </w:t>
      </w:r>
      <w:r w:rsidRPr="004D2C99">
        <w:rPr>
          <w:rFonts w:eastAsia="Times New Roman"/>
          <w:b/>
          <w:sz w:val="24"/>
          <w:szCs w:val="24"/>
        </w:rPr>
        <w:t>Mooney v. Carter</w:t>
      </w:r>
      <w:r w:rsidRPr="004D2C99">
        <w:rPr>
          <w:rFonts w:eastAsia="Times New Roman"/>
          <w:sz w:val="24"/>
          <w:szCs w:val="24"/>
        </w:rPr>
        <w:t xml:space="preserve">, 114 Colo. 267, 160 P.2d 390 (1945); </w:t>
      </w:r>
      <w:r w:rsidRPr="004D2C99">
        <w:rPr>
          <w:rFonts w:eastAsia="Times New Roman"/>
          <w:b/>
          <w:sz w:val="24"/>
          <w:szCs w:val="24"/>
        </w:rPr>
        <w:t>Whitley v. Andersen</w:t>
      </w:r>
      <w:r w:rsidRPr="004D2C99">
        <w:rPr>
          <w:rFonts w:eastAsia="Times New Roman"/>
          <w:sz w:val="24"/>
          <w:szCs w:val="24"/>
        </w:rPr>
        <w:t xml:space="preserve">, 37 Colo. App. 486, 551 P.2d 1083 (1976), </w:t>
      </w:r>
      <w:r w:rsidRPr="004D2C99">
        <w:rPr>
          <w:rFonts w:eastAsia="Times New Roman"/>
          <w:i/>
          <w:sz w:val="24"/>
          <w:szCs w:val="24"/>
        </w:rPr>
        <w:t>aff’d on other grounds</w:t>
      </w:r>
      <w:r w:rsidRPr="004D2C99">
        <w:rPr>
          <w:rFonts w:eastAsia="Times New Roman"/>
          <w:sz w:val="24"/>
          <w:szCs w:val="24"/>
        </w:rPr>
        <w:t>, 194 Colo. 87, 570 P.2d 525 (1977).</w:t>
      </w:r>
    </w:p>
    <w:p w:rsidR="004D2C99" w:rsidRPr="004D2C99" w:rsidRDefault="004D2C99" w:rsidP="004D2C99">
      <w:pPr>
        <w:spacing w:after="240"/>
        <w:ind w:firstLine="720"/>
        <w:rPr>
          <w:rFonts w:eastAsia="Times New Roman"/>
          <w:sz w:val="24"/>
          <w:szCs w:val="24"/>
        </w:rPr>
      </w:pPr>
      <w:r w:rsidRPr="004D2C99">
        <w:rPr>
          <w:rFonts w:eastAsia="Times New Roman"/>
          <w:sz w:val="24"/>
          <w:szCs w:val="24"/>
        </w:rPr>
        <w:t xml:space="preserve">2. In addition to the defenses set out in Part C of this chapter (Instructions 20:10 through 20:17), see section 13-80-119, C.R.S. (circumstances in which a person may not be entitled to recover damages sustained while engaged in the commission of, or during immediate flight from, an act constituting a felony (discussed in </w:t>
      </w:r>
      <w:r w:rsidRPr="004D2C99">
        <w:rPr>
          <w:rFonts w:eastAsia="Times New Roman"/>
          <w:b/>
          <w:sz w:val="24"/>
          <w:szCs w:val="24"/>
        </w:rPr>
        <w:t>Molnar v. Law</w:t>
      </w:r>
      <w:r w:rsidRPr="004D2C99">
        <w:rPr>
          <w:rFonts w:eastAsia="Times New Roman"/>
          <w:sz w:val="24"/>
          <w:szCs w:val="24"/>
        </w:rPr>
        <w:t>, 776 P.2d 1156 (Colo. App. 1989))).</w:t>
      </w:r>
    </w:p>
    <w:p w:rsidR="004D2C99" w:rsidRPr="004D2C99" w:rsidRDefault="004D2C99" w:rsidP="004D2C99">
      <w:pPr>
        <w:spacing w:after="240"/>
        <w:ind w:firstLine="720"/>
        <w:rPr>
          <w:rFonts w:eastAsia="Times New Roman"/>
          <w:sz w:val="24"/>
          <w:szCs w:val="24"/>
        </w:rPr>
      </w:pPr>
      <w:r w:rsidRPr="004D2C99">
        <w:rPr>
          <w:rFonts w:eastAsia="Times New Roman"/>
          <w:sz w:val="24"/>
          <w:szCs w:val="24"/>
        </w:rPr>
        <w:t xml:space="preserve">3. This instruction should be appropriately modified where there is evidence that the defendant did not intend to make contact with the plaintiff or another, but did intend to put the plaintiff or another “in apprehension of a harmful or offensive bodily contact.” </w:t>
      </w:r>
      <w:r w:rsidRPr="004D2C99">
        <w:rPr>
          <w:rFonts w:eastAsia="Times New Roman"/>
          <w:b/>
          <w:sz w:val="24"/>
          <w:szCs w:val="24"/>
        </w:rPr>
        <w:t>Hall v. McBryde</w:t>
      </w:r>
      <w:r w:rsidRPr="004D2C99">
        <w:rPr>
          <w:rFonts w:eastAsia="Times New Roman"/>
          <w:sz w:val="24"/>
          <w:szCs w:val="24"/>
        </w:rPr>
        <w:t>, 919 P.2d 910, 914 (Colo. App. 1996).</w:t>
      </w:r>
    </w:p>
    <w:p w:rsidR="004D2C99" w:rsidRDefault="004D2C99" w:rsidP="004D2C99">
      <w:pPr>
        <w:spacing w:after="240"/>
        <w:ind w:firstLine="720"/>
        <w:rPr>
          <w:rFonts w:eastAsia="Times New Roman"/>
          <w:sz w:val="24"/>
          <w:szCs w:val="24"/>
        </w:rPr>
      </w:pPr>
      <w:r w:rsidRPr="004D2C99">
        <w:rPr>
          <w:rFonts w:eastAsia="Times New Roman"/>
          <w:sz w:val="24"/>
          <w:szCs w:val="24"/>
        </w:rPr>
        <w:t xml:space="preserve">4. “With regard to the intent element of the intentional torts of assault and battery . . . a plaintiff must prove that the actor desired to cause offensive or harmful consequences by his act. The plaintiff need not prove, however, that the actor intended the harm that actually results.” </w:t>
      </w:r>
      <w:r w:rsidRPr="004D2C99">
        <w:rPr>
          <w:rFonts w:eastAsia="Times New Roman"/>
          <w:b/>
          <w:sz w:val="24"/>
          <w:szCs w:val="24"/>
        </w:rPr>
        <w:t>White</w:t>
      </w:r>
      <w:r w:rsidRPr="004D2C99">
        <w:rPr>
          <w:rFonts w:eastAsia="Times New Roman"/>
          <w:sz w:val="24"/>
          <w:szCs w:val="24"/>
        </w:rPr>
        <w:t>, 999 P.2d at 819.</w:t>
      </w:r>
    </w:p>
    <w:p w:rsidR="00642649" w:rsidRDefault="00642649">
      <w:pPr>
        <w:rPr>
          <w:rFonts w:eastAsia="Times New Roman"/>
          <w:sz w:val="24"/>
          <w:szCs w:val="24"/>
        </w:rPr>
      </w:pPr>
      <w:r>
        <w:rPr>
          <w:rFonts w:eastAsia="Times New Roman"/>
          <w:sz w:val="24"/>
          <w:szCs w:val="24"/>
        </w:rPr>
        <w:br w:type="page"/>
      </w:r>
    </w:p>
    <w:p w:rsidR="00642649" w:rsidRPr="009E3DA4" w:rsidRDefault="00642649" w:rsidP="00642649">
      <w:pPr>
        <w:spacing w:after="240"/>
        <w:ind w:left="720" w:hanging="720"/>
        <w:rPr>
          <w:rFonts w:eastAsia="Times New Roman"/>
          <w:b/>
          <w:sz w:val="24"/>
          <w:szCs w:val="24"/>
        </w:rPr>
      </w:pPr>
      <w:bookmarkStart w:id="6" w:name="a20_06"/>
      <w:bookmarkEnd w:id="6"/>
      <w:r w:rsidRPr="00642649">
        <w:rPr>
          <w:rFonts w:eastAsia="Times New Roman"/>
          <w:b/>
          <w:sz w:val="24"/>
          <w:szCs w:val="24"/>
        </w:rPr>
        <w:lastRenderedPageBreak/>
        <w:t xml:space="preserve">20:6 </w:t>
      </w:r>
      <w:r w:rsidRPr="00642649">
        <w:rPr>
          <w:rFonts w:eastAsia="Times New Roman"/>
          <w:b/>
          <w:sz w:val="24"/>
          <w:szCs w:val="24"/>
        </w:rPr>
        <w:tab/>
        <w:t>CONTACT — DEFINED</w:t>
      </w:r>
    </w:p>
    <w:p w:rsidR="00642649" w:rsidRPr="00642649" w:rsidRDefault="00642649" w:rsidP="00642649">
      <w:pPr>
        <w:spacing w:after="240"/>
        <w:ind w:firstLine="720"/>
        <w:rPr>
          <w:rFonts w:eastAsia="Times New Roman"/>
          <w:b/>
          <w:sz w:val="24"/>
          <w:szCs w:val="24"/>
        </w:rPr>
      </w:pPr>
      <w:r w:rsidRPr="00642649">
        <w:rPr>
          <w:rFonts w:eastAsia="Times New Roman"/>
          <w:b/>
          <w:sz w:val="24"/>
          <w:szCs w:val="24"/>
        </w:rPr>
        <w:t>A contact is the physical touching of another person.</w:t>
      </w:r>
    </w:p>
    <w:p w:rsidR="00642649" w:rsidRPr="00642649" w:rsidRDefault="00642649" w:rsidP="00642649">
      <w:pPr>
        <w:spacing w:after="240"/>
        <w:ind w:firstLine="720"/>
        <w:rPr>
          <w:rFonts w:eastAsia="Times New Roman"/>
          <w:b/>
          <w:sz w:val="24"/>
          <w:szCs w:val="24"/>
        </w:rPr>
      </w:pPr>
      <w:r w:rsidRPr="00642649">
        <w:rPr>
          <w:rFonts w:eastAsia="Times New Roman"/>
          <w:b/>
          <w:sz w:val="24"/>
          <w:szCs w:val="24"/>
        </w:rPr>
        <w:t xml:space="preserve">(A harmful contact is one that causes physical pain, injury, illness or emotional distress.) </w:t>
      </w:r>
    </w:p>
    <w:p w:rsidR="00642649" w:rsidRPr="00642649" w:rsidRDefault="00642649" w:rsidP="00642649">
      <w:pPr>
        <w:spacing w:after="240"/>
        <w:ind w:firstLine="720"/>
        <w:rPr>
          <w:rFonts w:eastAsia="Times New Roman"/>
          <w:b/>
          <w:sz w:val="24"/>
          <w:szCs w:val="24"/>
        </w:rPr>
      </w:pPr>
      <w:r w:rsidRPr="00642649">
        <w:rPr>
          <w:rFonts w:eastAsia="Times New Roman"/>
          <w:b/>
          <w:sz w:val="24"/>
          <w:szCs w:val="24"/>
        </w:rPr>
        <w:t>(An offensive contact is one that would offend another’s reasonable sense of personal dignity.)</w:t>
      </w:r>
    </w:p>
    <w:p w:rsidR="00642649" w:rsidRDefault="00642649" w:rsidP="00642649">
      <w:pPr>
        <w:jc w:val="center"/>
        <w:rPr>
          <w:rFonts w:eastAsia="Times New Roman"/>
          <w:sz w:val="24"/>
          <w:szCs w:val="24"/>
        </w:rPr>
      </w:pPr>
    </w:p>
    <w:p w:rsidR="00642649" w:rsidRPr="0054263B" w:rsidRDefault="00642649" w:rsidP="00642649">
      <w:pPr>
        <w:keepNext/>
        <w:spacing w:after="240"/>
        <w:jc w:val="center"/>
        <w:rPr>
          <w:rFonts w:eastAsia="Times New Roman"/>
          <w:b/>
          <w:sz w:val="24"/>
          <w:szCs w:val="24"/>
        </w:rPr>
      </w:pPr>
      <w:r w:rsidRPr="0054263B">
        <w:rPr>
          <w:rFonts w:eastAsia="Times New Roman"/>
          <w:b/>
          <w:sz w:val="24"/>
          <w:szCs w:val="24"/>
        </w:rPr>
        <w:t>Notes on Use</w:t>
      </w:r>
    </w:p>
    <w:p w:rsidR="00642649" w:rsidRPr="00642649" w:rsidRDefault="00642649" w:rsidP="00642649">
      <w:pPr>
        <w:spacing w:after="240"/>
        <w:ind w:firstLine="720"/>
        <w:rPr>
          <w:rFonts w:eastAsia="Times New Roman"/>
          <w:sz w:val="24"/>
          <w:szCs w:val="24"/>
        </w:rPr>
      </w:pPr>
      <w:r w:rsidRPr="00642649">
        <w:rPr>
          <w:rFonts w:eastAsia="Times New Roman"/>
          <w:sz w:val="24"/>
          <w:szCs w:val="24"/>
        </w:rPr>
        <w:t>1. Note 4 of the Notes on Use to Instruction 20:1 is also applicable to this instruction.</w:t>
      </w:r>
    </w:p>
    <w:p w:rsidR="00642649" w:rsidRPr="00642649" w:rsidRDefault="00642649" w:rsidP="00642649">
      <w:pPr>
        <w:spacing w:after="240"/>
        <w:ind w:firstLine="720"/>
        <w:rPr>
          <w:rFonts w:eastAsia="Times New Roman"/>
          <w:sz w:val="24"/>
          <w:szCs w:val="24"/>
        </w:rPr>
      </w:pPr>
      <w:r w:rsidRPr="00642649">
        <w:rPr>
          <w:rFonts w:eastAsia="Times New Roman"/>
          <w:sz w:val="24"/>
          <w:szCs w:val="24"/>
        </w:rPr>
        <w:t>2. Use whichever one, or both, of the parenthesized sentences in the second paragraph as is appropriate.</w:t>
      </w:r>
    </w:p>
    <w:p w:rsidR="00642649" w:rsidRPr="00642649" w:rsidRDefault="00642649" w:rsidP="00642649">
      <w:pPr>
        <w:spacing w:after="240"/>
        <w:ind w:firstLine="720"/>
        <w:rPr>
          <w:rFonts w:eastAsia="Times New Roman"/>
          <w:sz w:val="24"/>
          <w:szCs w:val="24"/>
        </w:rPr>
      </w:pPr>
      <w:r w:rsidRPr="00642649">
        <w:rPr>
          <w:rFonts w:eastAsia="Times New Roman"/>
          <w:sz w:val="24"/>
          <w:szCs w:val="24"/>
        </w:rPr>
        <w:t xml:space="preserve">3. In appropriate cases, the first sentence should be modified to read: “A contact is the physical touching of another person or putting into motion anything which touches another person.” In addition, in appropriate cases, the following phrase should be added to the first sentence, either as it appears in the instruction or as modified above: “or anything that is connected with or in contact with the other person.” Also in appropriate cases, the first sentence should be changed to read: “A contact is the physical touching of another person or causing another person to come in contact with some physical object.” </w:t>
      </w:r>
      <w:r w:rsidRPr="00642649">
        <w:rPr>
          <w:rFonts w:eastAsia="Times New Roman"/>
          <w:i/>
          <w:sz w:val="24"/>
          <w:szCs w:val="24"/>
        </w:rPr>
        <w:t>See, e.g.</w:t>
      </w:r>
      <w:r w:rsidRPr="00642649">
        <w:rPr>
          <w:rFonts w:eastAsia="Times New Roman"/>
          <w:sz w:val="24"/>
          <w:szCs w:val="24"/>
        </w:rPr>
        <w:t xml:space="preserve">, </w:t>
      </w:r>
      <w:r w:rsidRPr="00642649">
        <w:rPr>
          <w:rFonts w:eastAsia="Times New Roman"/>
          <w:b/>
          <w:sz w:val="24"/>
          <w:szCs w:val="24"/>
        </w:rPr>
        <w:t>Mooney v. Carter</w:t>
      </w:r>
      <w:r w:rsidRPr="00642649">
        <w:rPr>
          <w:rFonts w:eastAsia="Times New Roman"/>
          <w:sz w:val="24"/>
          <w:szCs w:val="24"/>
        </w:rPr>
        <w:t>,</w:t>
      </w:r>
      <w:r w:rsidRPr="00642649">
        <w:rPr>
          <w:rFonts w:eastAsia="Times New Roman"/>
          <w:b/>
          <w:sz w:val="24"/>
          <w:szCs w:val="24"/>
        </w:rPr>
        <w:t xml:space="preserve"> </w:t>
      </w:r>
      <w:r w:rsidRPr="00642649">
        <w:rPr>
          <w:rFonts w:eastAsia="Times New Roman"/>
          <w:sz w:val="24"/>
          <w:szCs w:val="24"/>
        </w:rPr>
        <w:t>114 Colo. 267, 160 P.2d 390 (1945) (intentionally trying to throw plaintiff from running board of moving car by swerving the car, when the probable result would be that the plaintiff would be thrown to the ground).</w:t>
      </w:r>
    </w:p>
    <w:p w:rsidR="00642649" w:rsidRPr="0054263B" w:rsidRDefault="00642649" w:rsidP="00642649">
      <w:pPr>
        <w:keepNext/>
        <w:spacing w:after="240"/>
        <w:jc w:val="center"/>
        <w:rPr>
          <w:rFonts w:eastAsia="Times New Roman"/>
          <w:b/>
          <w:sz w:val="24"/>
          <w:szCs w:val="24"/>
        </w:rPr>
      </w:pPr>
      <w:r>
        <w:rPr>
          <w:rFonts w:eastAsia="Times New Roman"/>
          <w:b/>
          <w:sz w:val="24"/>
          <w:szCs w:val="24"/>
        </w:rPr>
        <w:t>Source and Authority</w:t>
      </w:r>
    </w:p>
    <w:p w:rsidR="00642649" w:rsidRPr="00642649" w:rsidRDefault="00642649" w:rsidP="00642649">
      <w:pPr>
        <w:spacing w:after="240"/>
        <w:ind w:firstLine="720"/>
        <w:rPr>
          <w:rFonts w:eastAsia="Times New Roman"/>
          <w:sz w:val="24"/>
          <w:szCs w:val="24"/>
        </w:rPr>
      </w:pPr>
      <w:r w:rsidRPr="00642649">
        <w:rPr>
          <w:rFonts w:eastAsia="Times New Roman"/>
          <w:sz w:val="24"/>
          <w:szCs w:val="24"/>
        </w:rPr>
        <w:t xml:space="preserve">This instruction is supported by the authorities cited in the Source and Authority to Instruction 20:5 and </w:t>
      </w:r>
      <w:r w:rsidRPr="00642649">
        <w:rPr>
          <w:rFonts w:eastAsia="Times New Roman"/>
          <w:smallCaps/>
          <w:sz w:val="24"/>
          <w:szCs w:val="24"/>
        </w:rPr>
        <w:t>Restatement (Second) of Torts</w:t>
      </w:r>
      <w:r w:rsidRPr="00642649">
        <w:rPr>
          <w:rFonts w:eastAsia="Times New Roman"/>
          <w:sz w:val="24"/>
          <w:szCs w:val="24"/>
        </w:rPr>
        <w:t xml:space="preserve"> §§ 15, 19 (1965).</w:t>
      </w:r>
    </w:p>
    <w:p w:rsidR="00A06ED6" w:rsidRDefault="00A06ED6">
      <w:pPr>
        <w:rPr>
          <w:rFonts w:eastAsia="Times New Roman"/>
          <w:sz w:val="24"/>
          <w:szCs w:val="24"/>
        </w:rPr>
      </w:pPr>
      <w:r>
        <w:rPr>
          <w:rFonts w:eastAsia="Times New Roman"/>
          <w:sz w:val="24"/>
          <w:szCs w:val="24"/>
        </w:rPr>
        <w:br w:type="page"/>
      </w:r>
    </w:p>
    <w:p w:rsidR="00A06ED6" w:rsidRPr="009E3DA4" w:rsidRDefault="00A06ED6" w:rsidP="00A06ED6">
      <w:pPr>
        <w:spacing w:after="240"/>
        <w:ind w:left="720" w:hanging="720"/>
        <w:rPr>
          <w:rFonts w:eastAsia="Times New Roman"/>
          <w:b/>
          <w:sz w:val="24"/>
          <w:szCs w:val="24"/>
        </w:rPr>
      </w:pPr>
      <w:bookmarkStart w:id="7" w:name="a20_07"/>
      <w:bookmarkEnd w:id="7"/>
      <w:r w:rsidRPr="00A06ED6">
        <w:rPr>
          <w:rFonts w:eastAsia="Times New Roman"/>
          <w:b/>
          <w:sz w:val="24"/>
          <w:szCs w:val="24"/>
        </w:rPr>
        <w:lastRenderedPageBreak/>
        <w:t xml:space="preserve">20:7 </w:t>
      </w:r>
      <w:r w:rsidRPr="00A06ED6">
        <w:rPr>
          <w:rFonts w:eastAsia="Times New Roman"/>
          <w:b/>
          <w:sz w:val="24"/>
          <w:szCs w:val="24"/>
        </w:rPr>
        <w:tab/>
        <w:t>INTENT — DEFINED</w:t>
      </w:r>
    </w:p>
    <w:p w:rsidR="00A06ED6" w:rsidRPr="00A06ED6" w:rsidRDefault="00A06ED6" w:rsidP="00A06ED6">
      <w:pPr>
        <w:spacing w:after="240"/>
        <w:ind w:firstLine="720"/>
        <w:rPr>
          <w:rFonts w:eastAsia="Times New Roman"/>
          <w:b/>
          <w:sz w:val="24"/>
          <w:szCs w:val="24"/>
        </w:rPr>
      </w:pPr>
      <w:r w:rsidRPr="00A06ED6">
        <w:rPr>
          <w:rFonts w:eastAsia="Times New Roman"/>
          <w:b/>
          <w:sz w:val="24"/>
          <w:szCs w:val="24"/>
        </w:rPr>
        <w:t>A person intends to make (harmful) (or) (offensive) physical contact with someone else if (he) (she) acts with the purpose of causing such contact even if (he) (she) did not intend to cause the specific harm that actually occurred.</w:t>
      </w:r>
    </w:p>
    <w:p w:rsidR="00A06ED6" w:rsidRDefault="00A06ED6" w:rsidP="00A06ED6">
      <w:pPr>
        <w:jc w:val="center"/>
        <w:rPr>
          <w:rFonts w:eastAsia="Times New Roman"/>
          <w:sz w:val="24"/>
          <w:szCs w:val="24"/>
        </w:rPr>
      </w:pPr>
    </w:p>
    <w:p w:rsidR="00A06ED6" w:rsidRPr="0054263B" w:rsidRDefault="00A06ED6" w:rsidP="00A06ED6">
      <w:pPr>
        <w:keepNext/>
        <w:spacing w:after="240"/>
        <w:jc w:val="center"/>
        <w:rPr>
          <w:rFonts w:eastAsia="Times New Roman"/>
          <w:b/>
          <w:sz w:val="24"/>
          <w:szCs w:val="24"/>
        </w:rPr>
      </w:pPr>
      <w:r w:rsidRPr="0054263B">
        <w:rPr>
          <w:rFonts w:eastAsia="Times New Roman"/>
          <w:b/>
          <w:sz w:val="24"/>
          <w:szCs w:val="24"/>
        </w:rPr>
        <w:t>Notes on Use</w:t>
      </w:r>
    </w:p>
    <w:p w:rsidR="00A06ED6" w:rsidRPr="00A06ED6" w:rsidRDefault="00A06ED6" w:rsidP="00A06ED6">
      <w:pPr>
        <w:spacing w:after="240"/>
        <w:ind w:firstLine="720"/>
        <w:rPr>
          <w:rFonts w:eastAsia="Times New Roman"/>
          <w:sz w:val="24"/>
          <w:szCs w:val="24"/>
        </w:rPr>
      </w:pPr>
      <w:r w:rsidRPr="00A06ED6">
        <w:rPr>
          <w:rFonts w:eastAsia="Times New Roman"/>
          <w:sz w:val="24"/>
          <w:szCs w:val="24"/>
        </w:rPr>
        <w:t>1. This instruction should be given with Instruction 20:5 whenever numbered paragraph 1 of that instruction is given.</w:t>
      </w:r>
    </w:p>
    <w:p w:rsidR="00A06ED6" w:rsidRPr="00A06ED6" w:rsidRDefault="00A06ED6" w:rsidP="00A06ED6">
      <w:pPr>
        <w:spacing w:after="240"/>
        <w:ind w:firstLine="720"/>
        <w:rPr>
          <w:rFonts w:eastAsia="Times New Roman"/>
          <w:sz w:val="24"/>
          <w:szCs w:val="24"/>
        </w:rPr>
      </w:pPr>
      <w:r w:rsidRPr="00A06ED6">
        <w:rPr>
          <w:rFonts w:eastAsia="Times New Roman"/>
          <w:sz w:val="24"/>
          <w:szCs w:val="24"/>
        </w:rPr>
        <w:t xml:space="preserve">2. This instruction should be appropriately modified where there is evidence that the defendant did not intend to make contact with the plaintiff or another, but did intend to put the plaintiff or another “in apprehension of a harmful or offensive bodily contact.” </w:t>
      </w:r>
      <w:r w:rsidRPr="00A06ED6">
        <w:rPr>
          <w:rFonts w:eastAsia="Times New Roman"/>
          <w:b/>
          <w:sz w:val="24"/>
          <w:szCs w:val="24"/>
        </w:rPr>
        <w:t>Hall v. McBryde</w:t>
      </w:r>
      <w:r w:rsidRPr="00A06ED6">
        <w:rPr>
          <w:rFonts w:eastAsia="Times New Roman"/>
          <w:sz w:val="24"/>
          <w:szCs w:val="24"/>
        </w:rPr>
        <w:t>, 919 P.2d 910, 914 (Colo. App. 1996).</w:t>
      </w:r>
    </w:p>
    <w:p w:rsidR="00A06ED6" w:rsidRPr="0054263B" w:rsidRDefault="00A06ED6" w:rsidP="00A06ED6">
      <w:pPr>
        <w:keepNext/>
        <w:spacing w:after="240"/>
        <w:jc w:val="center"/>
        <w:rPr>
          <w:rFonts w:eastAsia="Times New Roman"/>
          <w:b/>
          <w:sz w:val="24"/>
          <w:szCs w:val="24"/>
        </w:rPr>
      </w:pPr>
      <w:r>
        <w:rPr>
          <w:rFonts w:eastAsia="Times New Roman"/>
          <w:b/>
          <w:sz w:val="24"/>
          <w:szCs w:val="24"/>
        </w:rPr>
        <w:t>Source and Authority</w:t>
      </w:r>
    </w:p>
    <w:p w:rsidR="00A06ED6" w:rsidRPr="00A06ED6" w:rsidRDefault="00A06ED6" w:rsidP="00A06ED6">
      <w:pPr>
        <w:spacing w:after="240"/>
        <w:ind w:firstLine="720"/>
        <w:rPr>
          <w:rFonts w:eastAsia="Times New Roman"/>
          <w:sz w:val="24"/>
          <w:szCs w:val="24"/>
        </w:rPr>
      </w:pPr>
      <w:r w:rsidRPr="00A06ED6">
        <w:rPr>
          <w:rFonts w:eastAsia="Times New Roman"/>
          <w:sz w:val="24"/>
          <w:szCs w:val="24"/>
        </w:rPr>
        <w:t xml:space="preserve">1. This instruction is supported by </w:t>
      </w:r>
      <w:r w:rsidRPr="00A06ED6">
        <w:rPr>
          <w:rFonts w:eastAsia="Times New Roman"/>
          <w:b/>
          <w:sz w:val="24"/>
          <w:szCs w:val="24"/>
        </w:rPr>
        <w:t>White v. Muniz</w:t>
      </w:r>
      <w:r w:rsidRPr="00A06ED6">
        <w:rPr>
          <w:rFonts w:eastAsia="Times New Roman"/>
          <w:sz w:val="24"/>
          <w:szCs w:val="24"/>
        </w:rPr>
        <w:t xml:space="preserve">, 999 P.2d 814 (Colo. 2000); and </w:t>
      </w:r>
      <w:r w:rsidRPr="00A06ED6">
        <w:rPr>
          <w:rFonts w:eastAsia="Times New Roman"/>
          <w:b/>
          <w:sz w:val="24"/>
          <w:szCs w:val="24"/>
        </w:rPr>
        <w:t>Mooney v. Carter</w:t>
      </w:r>
      <w:r w:rsidRPr="00A06ED6">
        <w:rPr>
          <w:rFonts w:eastAsia="Times New Roman"/>
          <w:sz w:val="24"/>
          <w:szCs w:val="24"/>
        </w:rPr>
        <w:t>,</w:t>
      </w:r>
      <w:r w:rsidRPr="00A06ED6">
        <w:rPr>
          <w:rFonts w:eastAsia="Times New Roman"/>
          <w:b/>
          <w:sz w:val="24"/>
          <w:szCs w:val="24"/>
        </w:rPr>
        <w:t xml:space="preserve"> </w:t>
      </w:r>
      <w:r w:rsidRPr="00A06ED6">
        <w:rPr>
          <w:rFonts w:eastAsia="Times New Roman"/>
          <w:sz w:val="24"/>
          <w:szCs w:val="24"/>
        </w:rPr>
        <w:t xml:space="preserve">114 Colo. 267, 160 P.2d 390 (1945) (defendant had sufficient intent for battery where she intentionally sped up her car and swerved for the purpose of throwing the plaintiff from the running board, because willfully setting in motion a force which in its ordinary course would bring about the injury is sufficient). </w:t>
      </w:r>
      <w:r w:rsidRPr="00A06ED6">
        <w:rPr>
          <w:rFonts w:eastAsia="Times New Roman"/>
          <w:i/>
          <w:sz w:val="24"/>
          <w:szCs w:val="24"/>
        </w:rPr>
        <w:t>See also</w:t>
      </w:r>
      <w:r w:rsidRPr="00A06ED6">
        <w:rPr>
          <w:rFonts w:eastAsia="Times New Roman"/>
          <w:sz w:val="24"/>
          <w:szCs w:val="24"/>
        </w:rPr>
        <w:t xml:space="preserve"> </w:t>
      </w:r>
      <w:r w:rsidRPr="00A06ED6">
        <w:rPr>
          <w:rFonts w:eastAsia="Times New Roman"/>
          <w:b/>
          <w:sz w:val="24"/>
          <w:szCs w:val="24"/>
        </w:rPr>
        <w:t>Horton v. Reaves</w:t>
      </w:r>
      <w:r w:rsidRPr="00A06ED6">
        <w:rPr>
          <w:rFonts w:eastAsia="Times New Roman"/>
          <w:sz w:val="24"/>
          <w:szCs w:val="24"/>
        </w:rPr>
        <w:t>,</w:t>
      </w:r>
      <w:r w:rsidRPr="00A06ED6">
        <w:rPr>
          <w:rFonts w:eastAsia="Times New Roman"/>
          <w:b/>
          <w:sz w:val="24"/>
          <w:szCs w:val="24"/>
        </w:rPr>
        <w:t xml:space="preserve"> </w:t>
      </w:r>
      <w:r w:rsidRPr="00A06ED6">
        <w:rPr>
          <w:rFonts w:eastAsia="Times New Roman"/>
          <w:sz w:val="24"/>
          <w:szCs w:val="24"/>
        </w:rPr>
        <w:t xml:space="preserve">186 Colo. 149, 526 P.2d 304 (1974) (in the case of a very young child, the requisite intent must include some awareness of the natural consequences of intentional acts); </w:t>
      </w:r>
      <w:r w:rsidRPr="00A06ED6">
        <w:rPr>
          <w:rFonts w:eastAsia="Times New Roman"/>
          <w:smallCaps/>
          <w:sz w:val="24"/>
          <w:szCs w:val="24"/>
        </w:rPr>
        <w:t>Restatement (Second) of Torts</w:t>
      </w:r>
      <w:r w:rsidRPr="00A06ED6">
        <w:rPr>
          <w:rFonts w:eastAsia="Times New Roman"/>
          <w:sz w:val="24"/>
          <w:szCs w:val="24"/>
        </w:rPr>
        <w:t xml:space="preserve"> §§ 16, 20 (1965); </w:t>
      </w:r>
      <w:r w:rsidRPr="00A06ED6">
        <w:rPr>
          <w:rFonts w:eastAsia="Times New Roman"/>
          <w:smallCaps/>
          <w:sz w:val="24"/>
          <w:szCs w:val="24"/>
        </w:rPr>
        <w:t>W. Page Keeton et al., Prosser and Keeton on the Law of Torts</w:t>
      </w:r>
      <w:r w:rsidRPr="00A06ED6">
        <w:rPr>
          <w:rFonts w:eastAsia="Times New Roman"/>
          <w:sz w:val="24"/>
          <w:szCs w:val="24"/>
        </w:rPr>
        <w:t xml:space="preserve"> §§ 8, 9 (5th ed. 1984).</w:t>
      </w:r>
      <w:r w:rsidRPr="00A06ED6">
        <w:rPr>
          <w:rFonts w:eastAsia="Times New Roman"/>
          <w:sz w:val="24"/>
          <w:szCs w:val="24"/>
        </w:rPr>
        <w:tab/>
      </w:r>
    </w:p>
    <w:p w:rsidR="00A06ED6" w:rsidRPr="00A06ED6" w:rsidRDefault="00A06ED6" w:rsidP="00A06ED6">
      <w:pPr>
        <w:spacing w:after="240"/>
        <w:ind w:firstLine="720"/>
        <w:rPr>
          <w:rFonts w:eastAsia="Times New Roman"/>
          <w:sz w:val="24"/>
          <w:szCs w:val="24"/>
        </w:rPr>
      </w:pPr>
      <w:r w:rsidRPr="00A06ED6">
        <w:rPr>
          <w:rFonts w:eastAsia="Times New Roman"/>
          <w:sz w:val="24"/>
          <w:szCs w:val="24"/>
        </w:rPr>
        <w:t xml:space="preserve">2. “With regard to the intent element of the intentional torts of assault and battery . . . a plaintiff must prove that the actor desired to cause offensive or harmful consequences by his act. The plaintiff need not prove, however, that the actor intended the harm that actually results.” </w:t>
      </w:r>
      <w:r w:rsidRPr="00A06ED6">
        <w:rPr>
          <w:rFonts w:eastAsia="Times New Roman"/>
          <w:b/>
          <w:sz w:val="24"/>
          <w:szCs w:val="24"/>
        </w:rPr>
        <w:t>White</w:t>
      </w:r>
      <w:r w:rsidRPr="00A06ED6">
        <w:rPr>
          <w:rFonts w:eastAsia="Times New Roman"/>
          <w:sz w:val="24"/>
          <w:szCs w:val="24"/>
        </w:rPr>
        <w:t>, 999 P.2d at 819.</w:t>
      </w:r>
    </w:p>
    <w:p w:rsidR="00A06ED6" w:rsidRDefault="00A06ED6">
      <w:pPr>
        <w:rPr>
          <w:rFonts w:eastAsia="Times New Roman"/>
          <w:sz w:val="24"/>
          <w:szCs w:val="24"/>
        </w:rPr>
      </w:pPr>
      <w:r>
        <w:rPr>
          <w:rFonts w:eastAsia="Times New Roman"/>
          <w:sz w:val="24"/>
          <w:szCs w:val="24"/>
        </w:rPr>
        <w:br w:type="page"/>
      </w:r>
    </w:p>
    <w:p w:rsidR="00A06ED6" w:rsidRPr="009E3DA4" w:rsidRDefault="00A06ED6" w:rsidP="00A06ED6">
      <w:pPr>
        <w:spacing w:after="240"/>
        <w:ind w:left="720" w:hanging="720"/>
        <w:rPr>
          <w:rFonts w:eastAsia="Times New Roman"/>
          <w:b/>
          <w:sz w:val="24"/>
          <w:szCs w:val="24"/>
        </w:rPr>
      </w:pPr>
      <w:bookmarkStart w:id="8" w:name="a20_08"/>
      <w:bookmarkEnd w:id="8"/>
      <w:r w:rsidRPr="00A06ED6">
        <w:rPr>
          <w:rFonts w:eastAsia="Times New Roman"/>
          <w:b/>
          <w:sz w:val="24"/>
          <w:szCs w:val="24"/>
        </w:rPr>
        <w:lastRenderedPageBreak/>
        <w:t xml:space="preserve">20:8 </w:t>
      </w:r>
      <w:r w:rsidRPr="00A06ED6">
        <w:rPr>
          <w:rFonts w:eastAsia="Times New Roman"/>
          <w:b/>
          <w:sz w:val="24"/>
          <w:szCs w:val="24"/>
        </w:rPr>
        <w:tab/>
        <w:t>TRANSFERRED INTENT</w:t>
      </w:r>
    </w:p>
    <w:p w:rsidR="00A06ED6" w:rsidRPr="00A06ED6" w:rsidRDefault="00A06ED6" w:rsidP="00A06ED6">
      <w:pPr>
        <w:spacing w:after="240"/>
        <w:ind w:firstLine="720"/>
        <w:rPr>
          <w:rFonts w:eastAsia="Times New Roman"/>
          <w:b/>
          <w:sz w:val="24"/>
          <w:szCs w:val="24"/>
        </w:rPr>
      </w:pPr>
      <w:r w:rsidRPr="00A06ED6">
        <w:rPr>
          <w:rFonts w:eastAsia="Times New Roman"/>
          <w:b/>
          <w:sz w:val="24"/>
          <w:szCs w:val="24"/>
        </w:rPr>
        <w:t xml:space="preserve">It is not necessary that the defendant intended to make (harmful) (or) (offensive) physical contact specifically with the plaintiff. </w:t>
      </w:r>
    </w:p>
    <w:p w:rsidR="00A06ED6" w:rsidRPr="00A06ED6" w:rsidRDefault="00A06ED6" w:rsidP="00A06ED6">
      <w:pPr>
        <w:spacing w:after="240"/>
        <w:ind w:firstLine="720"/>
        <w:rPr>
          <w:rFonts w:eastAsia="Times New Roman"/>
          <w:b/>
          <w:sz w:val="24"/>
          <w:szCs w:val="24"/>
        </w:rPr>
      </w:pPr>
      <w:r w:rsidRPr="00A06ED6">
        <w:rPr>
          <w:rFonts w:eastAsia="Times New Roman"/>
          <w:b/>
          <w:sz w:val="24"/>
          <w:szCs w:val="24"/>
        </w:rPr>
        <w:t>Intent exists even if the defendant originally intended to make (harmful) (or) (offensive) physical contact with someone else.</w:t>
      </w:r>
    </w:p>
    <w:p w:rsidR="00A06ED6" w:rsidRDefault="00A06ED6" w:rsidP="00A06ED6">
      <w:pPr>
        <w:jc w:val="center"/>
        <w:rPr>
          <w:rFonts w:eastAsia="Times New Roman"/>
          <w:sz w:val="24"/>
          <w:szCs w:val="24"/>
        </w:rPr>
      </w:pPr>
    </w:p>
    <w:p w:rsidR="00A06ED6" w:rsidRPr="0054263B" w:rsidRDefault="00A06ED6" w:rsidP="00A06ED6">
      <w:pPr>
        <w:keepNext/>
        <w:spacing w:after="240"/>
        <w:jc w:val="center"/>
        <w:rPr>
          <w:rFonts w:eastAsia="Times New Roman"/>
          <w:b/>
          <w:sz w:val="24"/>
          <w:szCs w:val="24"/>
        </w:rPr>
      </w:pPr>
      <w:r w:rsidRPr="0054263B">
        <w:rPr>
          <w:rFonts w:eastAsia="Times New Roman"/>
          <w:b/>
          <w:sz w:val="24"/>
          <w:szCs w:val="24"/>
        </w:rPr>
        <w:t>Notes on Use</w:t>
      </w:r>
    </w:p>
    <w:p w:rsidR="00A06ED6" w:rsidRPr="00A06ED6" w:rsidRDefault="00A06ED6" w:rsidP="00A06ED6">
      <w:pPr>
        <w:spacing w:after="240"/>
        <w:ind w:firstLine="720"/>
        <w:rPr>
          <w:rFonts w:eastAsia="Times New Roman"/>
          <w:sz w:val="24"/>
          <w:szCs w:val="24"/>
        </w:rPr>
      </w:pPr>
      <w:r w:rsidRPr="00A06ED6">
        <w:rPr>
          <w:rFonts w:eastAsia="Times New Roman"/>
          <w:sz w:val="24"/>
          <w:szCs w:val="24"/>
        </w:rPr>
        <w:t>1. As to whether the parenthesized word “harmful” or “offensive” should be given, see Note 4 of the Notes on Use to Instruction 20:1.</w:t>
      </w:r>
    </w:p>
    <w:p w:rsidR="00A06ED6" w:rsidRPr="00A06ED6" w:rsidRDefault="00A06ED6" w:rsidP="00A06ED6">
      <w:pPr>
        <w:spacing w:after="240"/>
        <w:ind w:firstLine="720"/>
        <w:rPr>
          <w:rFonts w:eastAsia="Times New Roman"/>
          <w:sz w:val="24"/>
          <w:szCs w:val="24"/>
        </w:rPr>
      </w:pPr>
      <w:r w:rsidRPr="00A06ED6">
        <w:rPr>
          <w:rFonts w:eastAsia="Times New Roman"/>
          <w:sz w:val="24"/>
          <w:szCs w:val="24"/>
        </w:rPr>
        <w:t>2. This instruction should be given only when there is evidence that the defendant may have or did intend to touch the person of another, as well as, or rather than, the person of the plaintiff.</w:t>
      </w:r>
    </w:p>
    <w:p w:rsidR="00A06ED6" w:rsidRPr="00A06ED6" w:rsidRDefault="00A06ED6" w:rsidP="00A06ED6">
      <w:pPr>
        <w:spacing w:after="240"/>
        <w:ind w:firstLine="720"/>
        <w:rPr>
          <w:rFonts w:eastAsia="Times New Roman"/>
          <w:sz w:val="24"/>
          <w:szCs w:val="24"/>
        </w:rPr>
      </w:pPr>
      <w:r w:rsidRPr="00A06ED6">
        <w:rPr>
          <w:rFonts w:eastAsia="Times New Roman"/>
          <w:sz w:val="24"/>
          <w:szCs w:val="24"/>
        </w:rPr>
        <w:t>3. When this instruction is given, Instruction 20:7, defining “intent,” must also be given.</w:t>
      </w:r>
    </w:p>
    <w:p w:rsidR="00A06ED6" w:rsidRPr="00A06ED6" w:rsidRDefault="00A06ED6" w:rsidP="00A06ED6">
      <w:pPr>
        <w:spacing w:after="240"/>
        <w:ind w:firstLine="720"/>
        <w:rPr>
          <w:rFonts w:eastAsia="Times New Roman"/>
          <w:sz w:val="24"/>
          <w:szCs w:val="24"/>
        </w:rPr>
      </w:pPr>
      <w:r w:rsidRPr="00A06ED6">
        <w:rPr>
          <w:rFonts w:eastAsia="Times New Roman"/>
          <w:sz w:val="24"/>
          <w:szCs w:val="24"/>
        </w:rPr>
        <w:t xml:space="preserve">4. This instruction should be appropriately modified where there is evidence that the defendant did not intend to make contact with the plaintiff or another but did intend to put the plaintiff or another “in apprehension of a harmful or offensive bodily contact.” </w:t>
      </w:r>
      <w:r w:rsidRPr="00A06ED6">
        <w:rPr>
          <w:rFonts w:eastAsia="Times New Roman"/>
          <w:b/>
          <w:sz w:val="24"/>
          <w:szCs w:val="24"/>
        </w:rPr>
        <w:t>Hall v. McBryde</w:t>
      </w:r>
      <w:r w:rsidRPr="00A06ED6">
        <w:rPr>
          <w:rFonts w:eastAsia="Times New Roman"/>
          <w:sz w:val="24"/>
          <w:szCs w:val="24"/>
        </w:rPr>
        <w:t>, 919 P.2d 910, 914 (Colo. App. 1996).</w:t>
      </w:r>
    </w:p>
    <w:p w:rsidR="00A06ED6" w:rsidRPr="0054263B" w:rsidRDefault="00A06ED6" w:rsidP="00A06ED6">
      <w:pPr>
        <w:keepNext/>
        <w:spacing w:after="240"/>
        <w:jc w:val="center"/>
        <w:rPr>
          <w:rFonts w:eastAsia="Times New Roman"/>
          <w:b/>
          <w:sz w:val="24"/>
          <w:szCs w:val="24"/>
        </w:rPr>
      </w:pPr>
      <w:r>
        <w:rPr>
          <w:rFonts w:eastAsia="Times New Roman"/>
          <w:b/>
          <w:sz w:val="24"/>
          <w:szCs w:val="24"/>
        </w:rPr>
        <w:t>Source and Authority</w:t>
      </w:r>
    </w:p>
    <w:p w:rsidR="00A06ED6" w:rsidRPr="00A06ED6" w:rsidRDefault="00A06ED6" w:rsidP="00A06ED6">
      <w:pPr>
        <w:spacing w:after="240"/>
        <w:ind w:firstLine="720"/>
        <w:rPr>
          <w:rFonts w:eastAsia="Times New Roman"/>
          <w:sz w:val="24"/>
          <w:szCs w:val="24"/>
        </w:rPr>
      </w:pPr>
      <w:r w:rsidRPr="00A06ED6">
        <w:rPr>
          <w:rFonts w:eastAsia="Times New Roman"/>
          <w:sz w:val="24"/>
          <w:szCs w:val="24"/>
        </w:rPr>
        <w:t xml:space="preserve">1. This instruction is supported by </w:t>
      </w:r>
      <w:r w:rsidRPr="00074558">
        <w:rPr>
          <w:rFonts w:eastAsia="Times New Roman"/>
          <w:smallCaps/>
          <w:sz w:val="24"/>
          <w:szCs w:val="24"/>
        </w:rPr>
        <w:t>W. Page Keeton et al., Prosser and Keeton on the Law of Torts</w:t>
      </w:r>
      <w:r w:rsidRPr="00A06ED6">
        <w:rPr>
          <w:rFonts w:eastAsia="Times New Roman"/>
          <w:sz w:val="24"/>
          <w:szCs w:val="24"/>
        </w:rPr>
        <w:t xml:space="preserve"> § 8, at 37-39 (5th ed. 1984); 1 </w:t>
      </w:r>
      <w:r w:rsidRPr="00A06ED6">
        <w:rPr>
          <w:rFonts w:eastAsia="Times New Roman"/>
          <w:smallCaps/>
          <w:sz w:val="24"/>
          <w:szCs w:val="24"/>
        </w:rPr>
        <w:t>F. Harper et al. Harper, James, and Gray on Torts</w:t>
      </w:r>
      <w:r w:rsidRPr="00A06ED6">
        <w:rPr>
          <w:rFonts w:eastAsia="Times New Roman"/>
          <w:sz w:val="24"/>
          <w:szCs w:val="24"/>
        </w:rPr>
        <w:t xml:space="preserve"> § 3.3, at 317-19 (3d ed. 2006); and </w:t>
      </w:r>
      <w:r w:rsidRPr="00A06ED6">
        <w:rPr>
          <w:rFonts w:eastAsia="Times New Roman"/>
          <w:smallCaps/>
          <w:sz w:val="24"/>
          <w:szCs w:val="24"/>
        </w:rPr>
        <w:t>Restatement (Second) of Torts</w:t>
      </w:r>
      <w:r w:rsidRPr="00A06ED6">
        <w:rPr>
          <w:rFonts w:eastAsia="Times New Roman"/>
          <w:sz w:val="24"/>
          <w:szCs w:val="24"/>
        </w:rPr>
        <w:t xml:space="preserve"> §§ 16(2), 20(2) (1965).</w:t>
      </w:r>
    </w:p>
    <w:p w:rsidR="00A06ED6" w:rsidRPr="00A06ED6" w:rsidRDefault="00A06ED6" w:rsidP="00A06ED6">
      <w:pPr>
        <w:spacing w:after="240"/>
        <w:ind w:firstLine="720"/>
        <w:rPr>
          <w:rFonts w:eastAsia="Times New Roman"/>
          <w:sz w:val="24"/>
          <w:szCs w:val="24"/>
        </w:rPr>
      </w:pPr>
      <w:r w:rsidRPr="00A06ED6">
        <w:rPr>
          <w:rFonts w:eastAsia="Times New Roman"/>
          <w:sz w:val="24"/>
          <w:szCs w:val="24"/>
        </w:rPr>
        <w:t xml:space="preserve">2. “With regard to the intent element of the intentional torts of assault and battery . . . a plaintiff must prove that the actor desired to cause offensive or harmful consequences by his act. The plaintiff need not prove, however, that the actor intended the harm that actually results.” </w:t>
      </w:r>
      <w:r w:rsidRPr="00A06ED6">
        <w:rPr>
          <w:rFonts w:eastAsia="Times New Roman"/>
          <w:b/>
          <w:sz w:val="24"/>
          <w:szCs w:val="24"/>
        </w:rPr>
        <w:t>White v. Muniz</w:t>
      </w:r>
      <w:r w:rsidRPr="00A06ED6">
        <w:rPr>
          <w:rFonts w:eastAsia="Times New Roman"/>
          <w:sz w:val="24"/>
          <w:szCs w:val="24"/>
        </w:rPr>
        <w:t>, 999 P.2d 814, 819 (Colo. 2000).</w:t>
      </w:r>
    </w:p>
    <w:p w:rsidR="00E30D4B" w:rsidRDefault="00E30D4B">
      <w:pPr>
        <w:rPr>
          <w:rFonts w:eastAsia="Times New Roman"/>
          <w:sz w:val="24"/>
          <w:szCs w:val="24"/>
        </w:rPr>
      </w:pPr>
      <w:r>
        <w:rPr>
          <w:rFonts w:eastAsia="Times New Roman"/>
          <w:sz w:val="24"/>
          <w:szCs w:val="24"/>
        </w:rPr>
        <w:br w:type="page"/>
      </w:r>
    </w:p>
    <w:p w:rsidR="00E30D4B" w:rsidRPr="009E3DA4" w:rsidRDefault="00E30D4B" w:rsidP="00E30D4B">
      <w:pPr>
        <w:spacing w:after="240"/>
        <w:ind w:left="720" w:hanging="720"/>
        <w:rPr>
          <w:rFonts w:eastAsia="Times New Roman"/>
          <w:b/>
          <w:sz w:val="24"/>
          <w:szCs w:val="24"/>
        </w:rPr>
      </w:pPr>
      <w:bookmarkStart w:id="9" w:name="a20_09"/>
      <w:bookmarkEnd w:id="9"/>
      <w:r w:rsidRPr="00E30D4B">
        <w:rPr>
          <w:rFonts w:eastAsia="Times New Roman"/>
          <w:b/>
          <w:sz w:val="24"/>
          <w:szCs w:val="24"/>
        </w:rPr>
        <w:lastRenderedPageBreak/>
        <w:t xml:space="preserve">20:9 </w:t>
      </w:r>
      <w:r w:rsidRPr="00E30D4B">
        <w:rPr>
          <w:rFonts w:eastAsia="Times New Roman"/>
          <w:b/>
          <w:sz w:val="24"/>
          <w:szCs w:val="24"/>
        </w:rPr>
        <w:tab/>
        <w:t>ACTUAL OR NOMINAL DAMAGES</w:t>
      </w:r>
    </w:p>
    <w:p w:rsidR="00E30D4B" w:rsidRPr="00E30D4B" w:rsidRDefault="00E30D4B" w:rsidP="00E30D4B">
      <w:pPr>
        <w:spacing w:after="240"/>
        <w:ind w:firstLine="720"/>
        <w:rPr>
          <w:rFonts w:eastAsia="Times New Roman"/>
          <w:b/>
          <w:sz w:val="24"/>
          <w:szCs w:val="24"/>
        </w:rPr>
      </w:pPr>
      <w:r w:rsidRPr="00E30D4B">
        <w:rPr>
          <w:rFonts w:eastAsia="Times New Roman"/>
          <w:b/>
          <w:sz w:val="24"/>
          <w:szCs w:val="24"/>
        </w:rPr>
        <w:t>Use Instruction 20:4.</w:t>
      </w:r>
    </w:p>
    <w:p w:rsidR="00E30D4B" w:rsidRDefault="00E30D4B" w:rsidP="00E30D4B">
      <w:pPr>
        <w:jc w:val="center"/>
        <w:rPr>
          <w:rFonts w:eastAsia="Times New Roman"/>
          <w:sz w:val="24"/>
          <w:szCs w:val="24"/>
        </w:rPr>
      </w:pPr>
    </w:p>
    <w:p w:rsidR="00E30D4B" w:rsidRPr="0054263B" w:rsidRDefault="00E30D4B" w:rsidP="00E30D4B">
      <w:pPr>
        <w:keepNext/>
        <w:spacing w:after="240"/>
        <w:jc w:val="center"/>
        <w:rPr>
          <w:rFonts w:eastAsia="Times New Roman"/>
          <w:b/>
          <w:sz w:val="24"/>
          <w:szCs w:val="24"/>
        </w:rPr>
      </w:pPr>
      <w:r w:rsidRPr="0054263B">
        <w:rPr>
          <w:rFonts w:eastAsia="Times New Roman"/>
          <w:b/>
          <w:sz w:val="24"/>
          <w:szCs w:val="24"/>
        </w:rPr>
        <w:t>Note</w:t>
      </w:r>
    </w:p>
    <w:p w:rsidR="00E30D4B" w:rsidRPr="00E30D4B" w:rsidRDefault="00E30D4B" w:rsidP="00E30D4B">
      <w:pPr>
        <w:spacing w:after="240"/>
        <w:ind w:firstLine="720"/>
        <w:rPr>
          <w:rFonts w:eastAsia="Times New Roman"/>
          <w:sz w:val="24"/>
          <w:szCs w:val="24"/>
        </w:rPr>
      </w:pPr>
      <w:r w:rsidRPr="00E30D4B">
        <w:rPr>
          <w:rFonts w:eastAsia="Times New Roman"/>
          <w:sz w:val="24"/>
          <w:szCs w:val="24"/>
        </w:rPr>
        <w:t>The damages instruction for battery is the same as that for assault.</w:t>
      </w:r>
    </w:p>
    <w:p w:rsidR="00E30D4B" w:rsidRDefault="00E30D4B">
      <w:pPr>
        <w:rPr>
          <w:rFonts w:eastAsia="Times New Roman"/>
          <w:sz w:val="24"/>
          <w:szCs w:val="24"/>
        </w:rPr>
      </w:pPr>
      <w:r>
        <w:rPr>
          <w:rFonts w:eastAsia="Times New Roman"/>
          <w:sz w:val="24"/>
          <w:szCs w:val="24"/>
        </w:rPr>
        <w:br w:type="page"/>
      </w:r>
    </w:p>
    <w:p w:rsidR="00E30D4B" w:rsidRDefault="00E30D4B" w:rsidP="00E30D4B">
      <w:pPr>
        <w:spacing w:after="240"/>
        <w:jc w:val="center"/>
        <w:rPr>
          <w:rFonts w:eastAsia="Times New Roman"/>
          <w:b/>
          <w:sz w:val="24"/>
          <w:szCs w:val="24"/>
        </w:rPr>
      </w:pPr>
      <w:r w:rsidRPr="00E30D4B">
        <w:rPr>
          <w:rFonts w:eastAsia="Times New Roman"/>
          <w:b/>
          <w:sz w:val="24"/>
          <w:szCs w:val="24"/>
        </w:rPr>
        <w:lastRenderedPageBreak/>
        <w:t>C. AFFIRMATIVE DEFENSES</w:t>
      </w:r>
    </w:p>
    <w:p w:rsidR="00E30D4B" w:rsidRPr="009E3DA4" w:rsidRDefault="00E30D4B" w:rsidP="00E30D4B">
      <w:pPr>
        <w:spacing w:after="240"/>
        <w:ind w:left="720" w:hanging="720"/>
        <w:rPr>
          <w:rFonts w:eastAsia="Times New Roman"/>
          <w:b/>
          <w:sz w:val="24"/>
          <w:szCs w:val="24"/>
        </w:rPr>
      </w:pPr>
      <w:bookmarkStart w:id="10" w:name="a20_10"/>
      <w:bookmarkEnd w:id="10"/>
      <w:r w:rsidRPr="00E30D4B">
        <w:rPr>
          <w:rFonts w:eastAsia="Times New Roman"/>
          <w:b/>
          <w:sz w:val="24"/>
          <w:szCs w:val="24"/>
        </w:rPr>
        <w:t xml:space="preserve">20:10 </w:t>
      </w:r>
      <w:r w:rsidRPr="00E30D4B">
        <w:rPr>
          <w:rFonts w:eastAsia="Times New Roman"/>
          <w:b/>
          <w:sz w:val="24"/>
          <w:szCs w:val="24"/>
        </w:rPr>
        <w:tab/>
        <w:t>WORDS ALONE DO NOT JUSTIFY</w:t>
      </w:r>
    </w:p>
    <w:p w:rsidR="00E30D4B" w:rsidRPr="00E30D4B" w:rsidRDefault="00E30D4B" w:rsidP="00E30D4B">
      <w:pPr>
        <w:spacing w:after="240"/>
        <w:ind w:firstLine="720"/>
        <w:rPr>
          <w:rFonts w:eastAsia="Times New Roman"/>
          <w:b/>
          <w:sz w:val="24"/>
          <w:szCs w:val="24"/>
        </w:rPr>
      </w:pPr>
      <w:r w:rsidRPr="00E30D4B">
        <w:rPr>
          <w:rFonts w:eastAsia="Times New Roman"/>
          <w:b/>
          <w:sz w:val="24"/>
          <w:szCs w:val="24"/>
        </w:rPr>
        <w:t>Words alone do not justify an assault or battery even if they are offensive.</w:t>
      </w:r>
    </w:p>
    <w:p w:rsidR="00E30D4B" w:rsidRDefault="00E30D4B" w:rsidP="00E30D4B">
      <w:pPr>
        <w:jc w:val="center"/>
        <w:rPr>
          <w:rFonts w:eastAsia="Times New Roman"/>
          <w:sz w:val="24"/>
          <w:szCs w:val="24"/>
        </w:rPr>
      </w:pPr>
    </w:p>
    <w:p w:rsidR="00E30D4B" w:rsidRPr="0054263B" w:rsidRDefault="00E30D4B" w:rsidP="00E30D4B">
      <w:pPr>
        <w:keepNext/>
        <w:spacing w:after="240"/>
        <w:jc w:val="center"/>
        <w:rPr>
          <w:rFonts w:eastAsia="Times New Roman"/>
          <w:b/>
          <w:sz w:val="24"/>
          <w:szCs w:val="24"/>
        </w:rPr>
      </w:pPr>
      <w:r w:rsidRPr="0054263B">
        <w:rPr>
          <w:rFonts w:eastAsia="Times New Roman"/>
          <w:b/>
          <w:sz w:val="24"/>
          <w:szCs w:val="24"/>
        </w:rPr>
        <w:t>Notes on Use</w:t>
      </w:r>
    </w:p>
    <w:p w:rsidR="00E30D4B" w:rsidRPr="00E30D4B" w:rsidRDefault="00E30D4B" w:rsidP="00E30D4B">
      <w:pPr>
        <w:spacing w:after="240"/>
        <w:ind w:firstLine="720"/>
        <w:rPr>
          <w:rFonts w:eastAsia="Times New Roman"/>
          <w:sz w:val="24"/>
          <w:szCs w:val="24"/>
        </w:rPr>
      </w:pPr>
      <w:r w:rsidRPr="00E30D4B">
        <w:rPr>
          <w:rFonts w:eastAsia="Times New Roman"/>
          <w:sz w:val="24"/>
          <w:szCs w:val="24"/>
        </w:rPr>
        <w:t>If there is evidence that an assault or battery was occasioned by an offensive or provocative gesture or gestures, this instruction should be appropriately modified.</w:t>
      </w:r>
    </w:p>
    <w:p w:rsidR="00E30D4B" w:rsidRPr="0054263B" w:rsidRDefault="00E30D4B" w:rsidP="00E30D4B">
      <w:pPr>
        <w:keepNext/>
        <w:spacing w:after="240"/>
        <w:jc w:val="center"/>
        <w:rPr>
          <w:rFonts w:eastAsia="Times New Roman"/>
          <w:b/>
          <w:sz w:val="24"/>
          <w:szCs w:val="24"/>
        </w:rPr>
      </w:pPr>
      <w:r>
        <w:rPr>
          <w:rFonts w:eastAsia="Times New Roman"/>
          <w:b/>
          <w:sz w:val="24"/>
          <w:szCs w:val="24"/>
        </w:rPr>
        <w:t>Source and Authority</w:t>
      </w:r>
    </w:p>
    <w:p w:rsidR="00E30D4B" w:rsidRPr="00E30D4B" w:rsidRDefault="00E30D4B" w:rsidP="00E30D4B">
      <w:pPr>
        <w:spacing w:after="240"/>
        <w:ind w:firstLine="720"/>
        <w:rPr>
          <w:rFonts w:eastAsia="Times New Roman"/>
          <w:sz w:val="24"/>
          <w:szCs w:val="24"/>
        </w:rPr>
      </w:pPr>
      <w:r w:rsidRPr="00E30D4B">
        <w:rPr>
          <w:rFonts w:eastAsia="Times New Roman"/>
          <w:sz w:val="24"/>
          <w:szCs w:val="24"/>
        </w:rPr>
        <w:t xml:space="preserve">1. This instruction is supported by </w:t>
      </w:r>
      <w:r w:rsidRPr="00E30D4B">
        <w:rPr>
          <w:rFonts w:eastAsia="Times New Roman"/>
          <w:b/>
          <w:sz w:val="24"/>
          <w:szCs w:val="24"/>
        </w:rPr>
        <w:t>Goldblatt v. Chase</w:t>
      </w:r>
      <w:r w:rsidRPr="00E30D4B">
        <w:rPr>
          <w:rFonts w:eastAsia="Times New Roman"/>
          <w:sz w:val="24"/>
          <w:szCs w:val="24"/>
        </w:rPr>
        <w:t xml:space="preserve">, 121 Colo. 355, 216 P.2d 435 (1950); </w:t>
      </w:r>
      <w:r w:rsidRPr="00E30D4B">
        <w:rPr>
          <w:rFonts w:eastAsia="Times New Roman"/>
          <w:smallCaps/>
          <w:sz w:val="24"/>
          <w:szCs w:val="24"/>
        </w:rPr>
        <w:t>W. Page Keeton et al., Prosser and Keeton on the Law of Torts</w:t>
      </w:r>
      <w:r w:rsidRPr="00E30D4B">
        <w:rPr>
          <w:rFonts w:eastAsia="Times New Roman"/>
          <w:sz w:val="24"/>
          <w:szCs w:val="24"/>
        </w:rPr>
        <w:t xml:space="preserve"> § 19, at 126 (5th ed. 1984); and </w:t>
      </w:r>
      <w:r w:rsidRPr="00E30D4B">
        <w:rPr>
          <w:rFonts w:eastAsia="Times New Roman"/>
          <w:smallCaps/>
          <w:sz w:val="24"/>
          <w:szCs w:val="24"/>
        </w:rPr>
        <w:t>Restatement (Second) of Torts</w:t>
      </w:r>
      <w:r w:rsidRPr="00E30D4B">
        <w:rPr>
          <w:rFonts w:eastAsia="Times New Roman"/>
          <w:sz w:val="24"/>
          <w:szCs w:val="24"/>
        </w:rPr>
        <w:t xml:space="preserve"> § 31 cmt. a (1965).</w:t>
      </w:r>
    </w:p>
    <w:p w:rsidR="00E30D4B" w:rsidRPr="00E30D4B" w:rsidRDefault="00E30D4B" w:rsidP="00E30D4B">
      <w:pPr>
        <w:spacing w:after="240"/>
        <w:ind w:firstLine="720"/>
        <w:rPr>
          <w:rFonts w:eastAsia="Times New Roman"/>
          <w:sz w:val="24"/>
          <w:szCs w:val="24"/>
        </w:rPr>
      </w:pPr>
      <w:r w:rsidRPr="00E30D4B">
        <w:rPr>
          <w:rFonts w:eastAsia="Times New Roman"/>
          <w:sz w:val="24"/>
          <w:szCs w:val="24"/>
        </w:rPr>
        <w:t xml:space="preserve">2. Words alone, “even if spoken immediately preceding the assault and battery, cannot be considered by a jury in mitigation of compensatory damages.” </w:t>
      </w:r>
      <w:r w:rsidRPr="00E30D4B">
        <w:rPr>
          <w:rFonts w:eastAsia="Times New Roman"/>
          <w:b/>
          <w:sz w:val="24"/>
          <w:szCs w:val="24"/>
        </w:rPr>
        <w:t>Andersen v. Whitley</w:t>
      </w:r>
      <w:r w:rsidRPr="00E30D4B">
        <w:rPr>
          <w:rFonts w:eastAsia="Times New Roman"/>
          <w:sz w:val="24"/>
          <w:szCs w:val="24"/>
        </w:rPr>
        <w:t xml:space="preserve">, 194 Colo. 87, 88, 570 P.2d 525, 526 (1977). They may, however, be considered in mitigation of exemplary damages. </w:t>
      </w:r>
      <w:r w:rsidRPr="00E30D4B">
        <w:rPr>
          <w:rFonts w:eastAsia="Times New Roman"/>
          <w:b/>
          <w:sz w:val="24"/>
          <w:szCs w:val="24"/>
        </w:rPr>
        <w:t>Heil v. Zink</w:t>
      </w:r>
      <w:r w:rsidRPr="00E30D4B">
        <w:rPr>
          <w:rFonts w:eastAsia="Times New Roman"/>
          <w:sz w:val="24"/>
          <w:szCs w:val="24"/>
        </w:rPr>
        <w:t>, 120 Colo. 481, 210 P.2d 610 (1949).</w:t>
      </w:r>
    </w:p>
    <w:p w:rsidR="00631BFF" w:rsidRDefault="00631BFF">
      <w:pPr>
        <w:rPr>
          <w:rFonts w:eastAsia="Times New Roman"/>
          <w:sz w:val="24"/>
          <w:szCs w:val="24"/>
        </w:rPr>
      </w:pPr>
      <w:r>
        <w:rPr>
          <w:rFonts w:eastAsia="Times New Roman"/>
          <w:sz w:val="24"/>
          <w:szCs w:val="24"/>
        </w:rPr>
        <w:br w:type="page"/>
      </w:r>
    </w:p>
    <w:p w:rsidR="00631BFF" w:rsidRPr="009E3DA4" w:rsidRDefault="00631BFF" w:rsidP="00631BFF">
      <w:pPr>
        <w:spacing w:after="240"/>
        <w:ind w:left="720" w:hanging="720"/>
        <w:rPr>
          <w:rFonts w:eastAsia="Times New Roman"/>
          <w:b/>
          <w:sz w:val="24"/>
          <w:szCs w:val="24"/>
        </w:rPr>
      </w:pPr>
      <w:bookmarkStart w:id="11" w:name="a20_11"/>
      <w:bookmarkEnd w:id="11"/>
      <w:r w:rsidRPr="00631BFF">
        <w:rPr>
          <w:rFonts w:eastAsia="Times New Roman"/>
          <w:b/>
          <w:sz w:val="24"/>
          <w:szCs w:val="24"/>
        </w:rPr>
        <w:lastRenderedPageBreak/>
        <w:t xml:space="preserve">20:11 </w:t>
      </w:r>
      <w:r w:rsidRPr="00631BFF">
        <w:rPr>
          <w:rFonts w:eastAsia="Times New Roman"/>
          <w:b/>
          <w:sz w:val="24"/>
          <w:szCs w:val="24"/>
        </w:rPr>
        <w:tab/>
        <w:t>CONSENT</w:t>
      </w:r>
    </w:p>
    <w:p w:rsidR="00631BFF" w:rsidRPr="00631BFF" w:rsidRDefault="00631BFF" w:rsidP="00631BFF">
      <w:pPr>
        <w:spacing w:after="240"/>
        <w:ind w:firstLine="720"/>
        <w:rPr>
          <w:rFonts w:eastAsia="Times New Roman"/>
          <w:b/>
          <w:sz w:val="24"/>
          <w:szCs w:val="24"/>
        </w:rPr>
      </w:pPr>
      <w:r w:rsidRPr="00631BFF">
        <w:rPr>
          <w:rFonts w:eastAsia="Times New Roman"/>
          <w:b/>
          <w:sz w:val="24"/>
          <w:szCs w:val="24"/>
        </w:rPr>
        <w:t xml:space="preserve">The defendant, </w:t>
      </w:r>
      <w:r w:rsidRPr="00631BFF">
        <w:rPr>
          <w:rFonts w:eastAsia="Times New Roman"/>
          <w:i/>
          <w:sz w:val="24"/>
          <w:szCs w:val="24"/>
        </w:rPr>
        <w:t>(name)</w:t>
      </w:r>
      <w:r w:rsidRPr="00631BFF">
        <w:rPr>
          <w:rFonts w:eastAsia="Times New Roman"/>
          <w:b/>
          <w:sz w:val="24"/>
          <w:szCs w:val="24"/>
        </w:rPr>
        <w:t xml:space="preserve">, is not legally responsible to the plaintiff, </w:t>
      </w:r>
      <w:r w:rsidRPr="00631BFF">
        <w:rPr>
          <w:rFonts w:eastAsia="Times New Roman"/>
          <w:i/>
          <w:sz w:val="24"/>
          <w:szCs w:val="24"/>
        </w:rPr>
        <w:t>(name)</w:t>
      </w:r>
      <w:r w:rsidRPr="00631BFF">
        <w:rPr>
          <w:rFonts w:eastAsia="Times New Roman"/>
          <w:b/>
          <w:sz w:val="24"/>
          <w:szCs w:val="24"/>
        </w:rPr>
        <w:t>,</w:t>
      </w:r>
      <w:r w:rsidRPr="00631BFF">
        <w:rPr>
          <w:rFonts w:eastAsia="Times New Roman"/>
          <w:i/>
          <w:sz w:val="24"/>
          <w:szCs w:val="24"/>
        </w:rPr>
        <w:t xml:space="preserve"> </w:t>
      </w:r>
      <w:r w:rsidRPr="00631BFF">
        <w:rPr>
          <w:rFonts w:eastAsia="Times New Roman"/>
          <w:b/>
          <w:sz w:val="24"/>
          <w:szCs w:val="24"/>
        </w:rPr>
        <w:t>on (his) (her) claim of (assault) (battery) if the affirmative defense of consent is proved. This defense is proved if you find all of the following:</w:t>
      </w:r>
    </w:p>
    <w:p w:rsidR="00631BFF" w:rsidRPr="00631BFF" w:rsidRDefault="00631BFF" w:rsidP="00631BFF">
      <w:pPr>
        <w:spacing w:after="240"/>
        <w:ind w:firstLine="720"/>
        <w:rPr>
          <w:rFonts w:eastAsia="Times New Roman"/>
          <w:b/>
          <w:sz w:val="24"/>
          <w:szCs w:val="24"/>
        </w:rPr>
      </w:pPr>
      <w:r w:rsidRPr="00631BFF">
        <w:rPr>
          <w:rFonts w:eastAsia="Times New Roman"/>
          <w:b/>
          <w:sz w:val="24"/>
          <w:szCs w:val="24"/>
        </w:rPr>
        <w:t>1. The plaintiff, by words or conduct, (consented) (or) (led the defendant reasonably to believe that [he] [she] consented) to the (contact) (or) (threatened contact) by the defendant; and</w:t>
      </w:r>
    </w:p>
    <w:p w:rsidR="00631BFF" w:rsidRPr="00631BFF" w:rsidRDefault="00631BFF" w:rsidP="00631BFF">
      <w:pPr>
        <w:spacing w:after="240"/>
        <w:ind w:firstLine="720"/>
        <w:rPr>
          <w:rFonts w:eastAsia="Times New Roman"/>
          <w:b/>
          <w:sz w:val="24"/>
          <w:szCs w:val="24"/>
        </w:rPr>
      </w:pPr>
      <w:r w:rsidRPr="00631BFF">
        <w:rPr>
          <w:rFonts w:eastAsia="Times New Roman"/>
          <w:b/>
          <w:sz w:val="24"/>
          <w:szCs w:val="24"/>
        </w:rPr>
        <w:t>2. The (contact) (or) (threatened contact) by the defendant was the same or substantially similar to that consented to by the plaintiff; and</w:t>
      </w:r>
    </w:p>
    <w:p w:rsidR="00631BFF" w:rsidRPr="00631BFF" w:rsidRDefault="00631BFF" w:rsidP="00631BFF">
      <w:pPr>
        <w:spacing w:after="240"/>
        <w:ind w:firstLine="720"/>
        <w:rPr>
          <w:rFonts w:eastAsia="Times New Roman"/>
          <w:b/>
          <w:sz w:val="24"/>
          <w:szCs w:val="24"/>
        </w:rPr>
      </w:pPr>
      <w:r w:rsidRPr="00631BFF">
        <w:rPr>
          <w:rFonts w:eastAsia="Times New Roman"/>
          <w:b/>
          <w:sz w:val="24"/>
          <w:szCs w:val="24"/>
        </w:rPr>
        <w:t>(3. The plaintiff was capable of giving consent.)</w:t>
      </w:r>
    </w:p>
    <w:p w:rsidR="00631BFF" w:rsidRDefault="00631BFF" w:rsidP="00631BFF">
      <w:pPr>
        <w:jc w:val="center"/>
        <w:rPr>
          <w:rFonts w:eastAsia="Times New Roman"/>
          <w:sz w:val="24"/>
          <w:szCs w:val="24"/>
        </w:rPr>
      </w:pPr>
    </w:p>
    <w:p w:rsidR="00631BFF" w:rsidRPr="0054263B" w:rsidRDefault="00631BFF" w:rsidP="00631BFF">
      <w:pPr>
        <w:keepNext/>
        <w:spacing w:after="240"/>
        <w:jc w:val="center"/>
        <w:rPr>
          <w:rFonts w:eastAsia="Times New Roman"/>
          <w:b/>
          <w:sz w:val="24"/>
          <w:szCs w:val="24"/>
        </w:rPr>
      </w:pPr>
      <w:r w:rsidRPr="0054263B">
        <w:rPr>
          <w:rFonts w:eastAsia="Times New Roman"/>
          <w:b/>
          <w:sz w:val="24"/>
          <w:szCs w:val="24"/>
        </w:rPr>
        <w:t>Notes on Use</w:t>
      </w:r>
    </w:p>
    <w:p w:rsidR="00631BFF" w:rsidRPr="00631BFF" w:rsidRDefault="00631BFF" w:rsidP="00631BFF">
      <w:pPr>
        <w:spacing w:after="240"/>
        <w:ind w:firstLine="720"/>
        <w:rPr>
          <w:rFonts w:eastAsia="Times New Roman"/>
          <w:sz w:val="24"/>
          <w:szCs w:val="24"/>
        </w:rPr>
      </w:pPr>
      <w:r w:rsidRPr="00631BFF">
        <w:rPr>
          <w:rFonts w:eastAsia="Times New Roman"/>
          <w:sz w:val="24"/>
          <w:szCs w:val="24"/>
        </w:rPr>
        <w:t>1. Use whichever parenthesized or bracketed words are appropriate.</w:t>
      </w:r>
    </w:p>
    <w:p w:rsidR="00631BFF" w:rsidRPr="00631BFF" w:rsidRDefault="00631BFF" w:rsidP="00631BFF">
      <w:pPr>
        <w:spacing w:after="240"/>
        <w:ind w:firstLine="720"/>
        <w:rPr>
          <w:rFonts w:eastAsia="Times New Roman"/>
          <w:sz w:val="24"/>
          <w:szCs w:val="24"/>
        </w:rPr>
      </w:pPr>
      <w:r w:rsidRPr="00631BFF">
        <w:rPr>
          <w:rFonts w:eastAsia="Times New Roman"/>
          <w:sz w:val="24"/>
          <w:szCs w:val="24"/>
        </w:rPr>
        <w:t>2. Omit numbered paragraph 3 if there is no evidence of incapacity in the case and omit either of the other numbered paragraphs if the facts are not in dispute.</w:t>
      </w:r>
    </w:p>
    <w:p w:rsidR="00631BFF" w:rsidRPr="00631BFF" w:rsidRDefault="00631BFF" w:rsidP="00631BFF">
      <w:pPr>
        <w:spacing w:after="240"/>
        <w:ind w:firstLine="720"/>
        <w:rPr>
          <w:rFonts w:eastAsia="Times New Roman"/>
          <w:sz w:val="24"/>
          <w:szCs w:val="24"/>
        </w:rPr>
      </w:pPr>
      <w:r w:rsidRPr="00631BFF">
        <w:rPr>
          <w:rFonts w:eastAsia="Times New Roman"/>
          <w:sz w:val="24"/>
          <w:szCs w:val="24"/>
        </w:rPr>
        <w:t xml:space="preserve">3. If there is evidence of some particular reason why the plaintiff was incapable of giving consent, for example, infancy or intoxication, paragraph 3 should be included and the following should be added to this instruction: “The plaintiff was not capable of effectively consenting if at the time </w:t>
      </w:r>
      <w:r w:rsidRPr="00631BFF">
        <w:rPr>
          <w:rFonts w:eastAsia="Times New Roman"/>
          <w:i/>
          <w:sz w:val="24"/>
          <w:szCs w:val="24"/>
        </w:rPr>
        <w:t>(insert a brief description of any conditions which would render the plaintiff incapable of giving effective consent).</w:t>
      </w:r>
      <w:r w:rsidRPr="00631BFF">
        <w:rPr>
          <w:rFonts w:eastAsia="Times New Roman"/>
          <w:sz w:val="24"/>
          <w:szCs w:val="24"/>
        </w:rPr>
        <w:t>” Similarly, if the plaintiff’s consent would not be effective for some other reason, for example, because it was obtained by fraud or duress, this instruction must be appropriately modified.</w:t>
      </w:r>
    </w:p>
    <w:p w:rsidR="00631BFF" w:rsidRPr="00631BFF" w:rsidRDefault="00631BFF" w:rsidP="00631BFF">
      <w:pPr>
        <w:spacing w:after="240"/>
        <w:ind w:firstLine="720"/>
        <w:rPr>
          <w:rFonts w:eastAsia="Times New Roman"/>
          <w:sz w:val="24"/>
          <w:szCs w:val="24"/>
        </w:rPr>
      </w:pPr>
      <w:r w:rsidRPr="00631BFF">
        <w:rPr>
          <w:rFonts w:eastAsia="Times New Roman"/>
          <w:sz w:val="24"/>
          <w:szCs w:val="24"/>
        </w:rPr>
        <w:t>4. If there is a dispute as to whether the defendant made or threatened any contact, this instruction must be appropriately modified.</w:t>
      </w:r>
    </w:p>
    <w:p w:rsidR="00631BFF" w:rsidRPr="00631BFF" w:rsidRDefault="00631BFF" w:rsidP="00631BFF">
      <w:pPr>
        <w:spacing w:after="240"/>
        <w:ind w:firstLine="720"/>
        <w:rPr>
          <w:rFonts w:eastAsia="Times New Roman"/>
          <w:sz w:val="24"/>
          <w:szCs w:val="24"/>
        </w:rPr>
      </w:pPr>
      <w:r w:rsidRPr="00631BFF">
        <w:rPr>
          <w:rFonts w:eastAsia="Times New Roman"/>
          <w:sz w:val="24"/>
          <w:szCs w:val="24"/>
        </w:rPr>
        <w:t>5. For cases involving persons who allegedly committed a battery while practicing one of the healing arts, see the instructions in Part I of Subparts B and C of Chapter 15.</w:t>
      </w:r>
    </w:p>
    <w:p w:rsidR="00631BFF" w:rsidRPr="0054263B" w:rsidRDefault="00631BFF" w:rsidP="00631BFF">
      <w:pPr>
        <w:keepNext/>
        <w:spacing w:after="240"/>
        <w:jc w:val="center"/>
        <w:rPr>
          <w:rFonts w:eastAsia="Times New Roman"/>
          <w:b/>
          <w:sz w:val="24"/>
          <w:szCs w:val="24"/>
        </w:rPr>
      </w:pPr>
      <w:r>
        <w:rPr>
          <w:rFonts w:eastAsia="Times New Roman"/>
          <w:b/>
          <w:sz w:val="24"/>
          <w:szCs w:val="24"/>
        </w:rPr>
        <w:t>Source and Authority</w:t>
      </w:r>
    </w:p>
    <w:p w:rsidR="00631BFF" w:rsidRPr="00631BFF" w:rsidRDefault="00631BFF" w:rsidP="00631BFF">
      <w:pPr>
        <w:spacing w:after="240"/>
        <w:ind w:firstLine="720"/>
        <w:rPr>
          <w:rFonts w:eastAsia="Times New Roman"/>
          <w:sz w:val="24"/>
          <w:szCs w:val="24"/>
        </w:rPr>
      </w:pPr>
      <w:r w:rsidRPr="00631BFF">
        <w:rPr>
          <w:rFonts w:eastAsia="Times New Roman"/>
          <w:sz w:val="24"/>
          <w:szCs w:val="24"/>
        </w:rPr>
        <w:t xml:space="preserve">This instruction is supported by </w:t>
      </w:r>
      <w:r w:rsidRPr="00631BFF">
        <w:rPr>
          <w:rFonts w:eastAsia="Times New Roman"/>
          <w:smallCaps/>
          <w:sz w:val="24"/>
          <w:szCs w:val="24"/>
        </w:rPr>
        <w:t>W. Page Keeton et al., Prosser and Keeton on the Law of Torts</w:t>
      </w:r>
      <w:r w:rsidRPr="00631BFF">
        <w:rPr>
          <w:rFonts w:eastAsia="Times New Roman"/>
          <w:sz w:val="24"/>
          <w:szCs w:val="24"/>
        </w:rPr>
        <w:t xml:space="preserve"> § 18 (5th ed. 1984); and </w:t>
      </w:r>
      <w:r w:rsidRPr="00631BFF">
        <w:rPr>
          <w:rFonts w:eastAsia="Times New Roman"/>
          <w:smallCaps/>
          <w:sz w:val="24"/>
          <w:szCs w:val="24"/>
        </w:rPr>
        <w:t>Restatement (Second) of Torts</w:t>
      </w:r>
      <w:r w:rsidRPr="00631BFF">
        <w:rPr>
          <w:rFonts w:eastAsia="Times New Roman"/>
          <w:sz w:val="24"/>
          <w:szCs w:val="24"/>
        </w:rPr>
        <w:t xml:space="preserve"> §§ 49-62 (1965).</w:t>
      </w:r>
    </w:p>
    <w:p w:rsidR="00FC544C" w:rsidRDefault="00FC544C">
      <w:pPr>
        <w:rPr>
          <w:rFonts w:eastAsia="Times New Roman"/>
          <w:sz w:val="24"/>
          <w:szCs w:val="24"/>
        </w:rPr>
      </w:pPr>
      <w:r>
        <w:rPr>
          <w:rFonts w:eastAsia="Times New Roman"/>
          <w:sz w:val="24"/>
          <w:szCs w:val="24"/>
        </w:rPr>
        <w:br w:type="page"/>
      </w:r>
    </w:p>
    <w:p w:rsidR="00FC544C" w:rsidRPr="009E3DA4" w:rsidRDefault="00FC544C" w:rsidP="00FC544C">
      <w:pPr>
        <w:spacing w:after="240"/>
        <w:ind w:left="720" w:hanging="720"/>
        <w:rPr>
          <w:rFonts w:eastAsia="Times New Roman"/>
          <w:b/>
          <w:sz w:val="24"/>
          <w:szCs w:val="24"/>
        </w:rPr>
      </w:pPr>
      <w:bookmarkStart w:id="12" w:name="a20_12"/>
      <w:bookmarkEnd w:id="12"/>
      <w:r w:rsidRPr="00FC544C">
        <w:rPr>
          <w:rFonts w:eastAsia="Times New Roman"/>
          <w:b/>
          <w:sz w:val="24"/>
          <w:szCs w:val="24"/>
        </w:rPr>
        <w:lastRenderedPageBreak/>
        <w:t xml:space="preserve">20:12 </w:t>
      </w:r>
      <w:r w:rsidRPr="00FC544C">
        <w:rPr>
          <w:rFonts w:eastAsia="Times New Roman"/>
          <w:b/>
          <w:sz w:val="24"/>
          <w:szCs w:val="24"/>
        </w:rPr>
        <w:tab/>
        <w:t>SELF-DEFENSE OF PERSON</w:t>
      </w:r>
    </w:p>
    <w:p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 xml:space="preserve">The defendant, </w:t>
      </w:r>
      <w:r w:rsidRPr="00FC544C">
        <w:rPr>
          <w:rFonts w:eastAsia="Times New Roman"/>
          <w:i/>
          <w:sz w:val="24"/>
          <w:szCs w:val="24"/>
        </w:rPr>
        <w:t>(name)</w:t>
      </w:r>
      <w:r w:rsidRPr="00FC544C">
        <w:rPr>
          <w:rFonts w:eastAsia="Times New Roman"/>
          <w:b/>
          <w:sz w:val="24"/>
          <w:szCs w:val="24"/>
        </w:rPr>
        <w:t xml:space="preserve">, is not legally responsible to the plaintiff, </w:t>
      </w:r>
      <w:r w:rsidRPr="00FC544C">
        <w:rPr>
          <w:rFonts w:eastAsia="Times New Roman"/>
          <w:i/>
          <w:sz w:val="24"/>
          <w:szCs w:val="24"/>
        </w:rPr>
        <w:t>(name)</w:t>
      </w:r>
      <w:r w:rsidRPr="00FC544C">
        <w:rPr>
          <w:rFonts w:eastAsia="Times New Roman"/>
          <w:b/>
          <w:sz w:val="24"/>
          <w:szCs w:val="24"/>
        </w:rPr>
        <w:t>, on (his) (her) claim of (assault) (battery) if the affirmative defense of self-defense of person is proved. This defense is proved if you find both of the following:</w:t>
      </w:r>
    </w:p>
    <w:p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1. The defendant reasonably believed (even if mistakenly) that under the circumstances it was necessary to use force to protect (himself) (herself) from an actual or threatened (harmful) (or) (offensive) contact; and</w:t>
      </w:r>
    </w:p>
    <w:p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2. The defendant used no more force than a reasonable person would have used under the same or similar circumstances to protect (himself) (herself) from the actual or</w:t>
      </w:r>
      <w:r w:rsidRPr="00FC544C">
        <w:rPr>
          <w:rFonts w:eastAsia="Times New Roman"/>
          <w:sz w:val="24"/>
          <w:szCs w:val="24"/>
        </w:rPr>
        <w:t xml:space="preserve"> </w:t>
      </w:r>
      <w:r w:rsidRPr="00FC544C">
        <w:rPr>
          <w:rFonts w:eastAsia="Times New Roman"/>
          <w:b/>
          <w:sz w:val="24"/>
          <w:szCs w:val="24"/>
        </w:rPr>
        <w:t>threatened contact.</w:t>
      </w:r>
    </w:p>
    <w:p w:rsidR="00FC544C" w:rsidRDefault="00FC544C" w:rsidP="00FC544C">
      <w:pPr>
        <w:jc w:val="center"/>
        <w:rPr>
          <w:rFonts w:eastAsia="Times New Roman"/>
          <w:sz w:val="24"/>
          <w:szCs w:val="24"/>
        </w:rPr>
      </w:pPr>
    </w:p>
    <w:p w:rsidR="00FC544C" w:rsidRPr="0054263B" w:rsidRDefault="00FC544C" w:rsidP="00FC544C">
      <w:pPr>
        <w:keepNext/>
        <w:spacing w:after="240"/>
        <w:jc w:val="center"/>
        <w:rPr>
          <w:rFonts w:eastAsia="Times New Roman"/>
          <w:b/>
          <w:sz w:val="24"/>
          <w:szCs w:val="24"/>
        </w:rPr>
      </w:pPr>
      <w:r w:rsidRPr="0054263B">
        <w:rPr>
          <w:rFonts w:eastAsia="Times New Roman"/>
          <w:b/>
          <w:sz w:val="24"/>
          <w:szCs w:val="24"/>
        </w:rPr>
        <w:t>Notes on Use</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1. Use whichever parenthesized words are appropriate. As to whether the parenthesized word “harmful” or “offensive” should be given, see Note 4 of the Notes on Use to Instruction 20:1.</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2. When applicable, Instruction 20:13 should also be given with this instruction.</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3. Omit either numbered paragraph or portions thereof if the facts are not in dispute, and make such other changes as are necessary in such circumstances to make the instruction understandable.</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4. If there is a dispute as to whether the defendant made or threatened any contact, this instruction must be appropriately modified.</w:t>
      </w:r>
    </w:p>
    <w:p w:rsidR="00FC544C" w:rsidRPr="0054263B" w:rsidRDefault="00FC544C" w:rsidP="00FC544C">
      <w:pPr>
        <w:keepNext/>
        <w:spacing w:after="240"/>
        <w:jc w:val="center"/>
        <w:rPr>
          <w:rFonts w:eastAsia="Times New Roman"/>
          <w:b/>
          <w:sz w:val="24"/>
          <w:szCs w:val="24"/>
        </w:rPr>
      </w:pPr>
      <w:r>
        <w:rPr>
          <w:rFonts w:eastAsia="Times New Roman"/>
          <w:b/>
          <w:sz w:val="24"/>
          <w:szCs w:val="24"/>
        </w:rPr>
        <w:t>Source and Authority</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1. This instruction is supported by </w:t>
      </w:r>
      <w:r w:rsidRPr="00FC544C">
        <w:rPr>
          <w:rFonts w:eastAsia="Times New Roman"/>
          <w:b/>
          <w:sz w:val="24"/>
          <w:szCs w:val="24"/>
        </w:rPr>
        <w:t>Minowitz v. Failing</w:t>
      </w:r>
      <w:r w:rsidRPr="00FC544C">
        <w:rPr>
          <w:rFonts w:eastAsia="Times New Roman"/>
          <w:sz w:val="24"/>
          <w:szCs w:val="24"/>
        </w:rPr>
        <w:t xml:space="preserve">, 109 Colo. 182, 123 P.2d 417 (1942) (numbered paragraph 2); </w:t>
      </w:r>
      <w:r w:rsidRPr="00FC544C">
        <w:rPr>
          <w:rFonts w:eastAsia="Times New Roman"/>
          <w:b/>
          <w:sz w:val="24"/>
          <w:szCs w:val="24"/>
        </w:rPr>
        <w:t>Courvoisier v. Raymond</w:t>
      </w:r>
      <w:r w:rsidRPr="00FC544C">
        <w:rPr>
          <w:rFonts w:eastAsia="Times New Roman"/>
          <w:sz w:val="24"/>
          <w:szCs w:val="24"/>
        </w:rPr>
        <w:t xml:space="preserve">, 23 Colo. 113, 47 P. 284 (1896) (numbered paragraph 1); </w:t>
      </w:r>
      <w:r w:rsidRPr="00FC544C">
        <w:rPr>
          <w:rFonts w:eastAsia="Times New Roman"/>
          <w:smallCaps/>
          <w:sz w:val="24"/>
          <w:szCs w:val="24"/>
        </w:rPr>
        <w:t>W. Page Keeton et al., Prosser and Keeton on the Law of Torts</w:t>
      </w:r>
      <w:r w:rsidRPr="00FC544C">
        <w:rPr>
          <w:rFonts w:eastAsia="Times New Roman"/>
          <w:sz w:val="24"/>
          <w:szCs w:val="24"/>
        </w:rPr>
        <w:t xml:space="preserve"> § 19 (5th ed. 1984); 1 </w:t>
      </w:r>
      <w:r w:rsidRPr="00FC544C">
        <w:rPr>
          <w:rFonts w:eastAsia="Times New Roman"/>
          <w:smallCaps/>
          <w:sz w:val="24"/>
          <w:szCs w:val="24"/>
        </w:rPr>
        <w:t>F. Harper et al., Harper, James, and Gray on Torts</w:t>
      </w:r>
      <w:r w:rsidRPr="00FC544C">
        <w:rPr>
          <w:rFonts w:eastAsia="Times New Roman"/>
          <w:sz w:val="24"/>
          <w:szCs w:val="24"/>
        </w:rPr>
        <w:t xml:space="preserve"> § 3.11 (3d ed. 2006); and </w:t>
      </w:r>
      <w:r w:rsidRPr="00FC544C">
        <w:rPr>
          <w:rFonts w:eastAsia="Times New Roman"/>
          <w:smallCaps/>
          <w:sz w:val="24"/>
          <w:szCs w:val="24"/>
        </w:rPr>
        <w:t>Restatement (Second) of Torts</w:t>
      </w:r>
      <w:r w:rsidRPr="00FC544C">
        <w:rPr>
          <w:rFonts w:eastAsia="Times New Roman"/>
          <w:sz w:val="24"/>
          <w:szCs w:val="24"/>
        </w:rPr>
        <w:t xml:space="preserve"> §§ 63, 65 (1965). </w:t>
      </w:r>
      <w:r w:rsidRPr="00FC544C">
        <w:rPr>
          <w:rFonts w:eastAsia="Times New Roman"/>
          <w:i/>
          <w:sz w:val="24"/>
          <w:szCs w:val="24"/>
        </w:rPr>
        <w:t>See also</w:t>
      </w:r>
      <w:r w:rsidRPr="00FC544C">
        <w:rPr>
          <w:rFonts w:eastAsia="Times New Roman"/>
          <w:sz w:val="24"/>
          <w:szCs w:val="24"/>
        </w:rPr>
        <w:t xml:space="preserve"> </w:t>
      </w:r>
      <w:r w:rsidRPr="00FC544C">
        <w:rPr>
          <w:rFonts w:eastAsia="Times New Roman"/>
          <w:b/>
          <w:sz w:val="24"/>
          <w:szCs w:val="24"/>
        </w:rPr>
        <w:t>Valdez v. City &amp; Cty. of Denver</w:t>
      </w:r>
      <w:r w:rsidRPr="00FC544C">
        <w:rPr>
          <w:rFonts w:eastAsia="Times New Roman"/>
          <w:sz w:val="24"/>
          <w:szCs w:val="24"/>
        </w:rPr>
        <w:t>,</w:t>
      </w:r>
      <w:r w:rsidRPr="00FC544C">
        <w:rPr>
          <w:rFonts w:eastAsia="Times New Roman"/>
          <w:b/>
          <w:sz w:val="24"/>
          <w:szCs w:val="24"/>
        </w:rPr>
        <w:t xml:space="preserve"> </w:t>
      </w:r>
      <w:r w:rsidRPr="00FC544C">
        <w:rPr>
          <w:rFonts w:eastAsia="Times New Roman"/>
          <w:sz w:val="24"/>
          <w:szCs w:val="24"/>
        </w:rPr>
        <w:t>764 P.2d 393 (Colo. App. 1988) (question of reasonableness of force used is ordinarily one for the jury).</w:t>
      </w:r>
      <w:r w:rsidRPr="00FC544C">
        <w:rPr>
          <w:rFonts w:eastAsia="Times New Roman"/>
          <w:sz w:val="24"/>
          <w:szCs w:val="24"/>
        </w:rPr>
        <w:cr/>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2. Section 18-1-704, C.R.S., the “make-my-day” statute, creates a defense in criminal cases (use of physical force, including deadly physical force, against an intruder of a dwelling). Section 18-1-704.5 creates immunity from civil liability if the statutory standards and circumstances of the “make my day” criminal defense are met. Although no Colorado appellate case has considered these statutes as applied in civil cases, if they are applicable, an appropriate instruction based on those statutes must be given, and this instruction should not be given, or, if given, must be appropriately modified as may be necessary to distinguish the privilege covered </w:t>
      </w:r>
      <w:r w:rsidRPr="00FC544C">
        <w:rPr>
          <w:rFonts w:eastAsia="Times New Roman"/>
          <w:sz w:val="24"/>
          <w:szCs w:val="24"/>
        </w:rPr>
        <w:lastRenderedPageBreak/>
        <w:t xml:space="preserve">by this instruction from the privilege provided by the statute. </w:t>
      </w:r>
      <w:r w:rsidRPr="00FC544C">
        <w:rPr>
          <w:rFonts w:eastAsia="Times New Roman"/>
          <w:i/>
          <w:sz w:val="24"/>
          <w:szCs w:val="24"/>
        </w:rPr>
        <w:t xml:space="preserve">See </w:t>
      </w:r>
      <w:r w:rsidRPr="00FC544C">
        <w:rPr>
          <w:rFonts w:eastAsia="Times New Roman"/>
          <w:b/>
          <w:sz w:val="24"/>
          <w:szCs w:val="24"/>
        </w:rPr>
        <w:t>People v. Guenther</w:t>
      </w:r>
      <w:r w:rsidRPr="00FC544C">
        <w:rPr>
          <w:rFonts w:eastAsia="Times New Roman"/>
          <w:sz w:val="24"/>
          <w:szCs w:val="24"/>
        </w:rPr>
        <w:t>,</w:t>
      </w:r>
      <w:r w:rsidRPr="00FC544C">
        <w:rPr>
          <w:rFonts w:eastAsia="Times New Roman"/>
          <w:b/>
          <w:sz w:val="24"/>
          <w:szCs w:val="24"/>
        </w:rPr>
        <w:t xml:space="preserve"> </w:t>
      </w:r>
      <w:r w:rsidRPr="00FC544C">
        <w:rPr>
          <w:rFonts w:eastAsia="Times New Roman"/>
          <w:sz w:val="24"/>
          <w:szCs w:val="24"/>
        </w:rPr>
        <w:t xml:space="preserve">740 P.2d 971, 981 (Colo. 1987) (holding that in criminal cases, under section 18-1-704.5(3), the phrase “immune from criminal prosecution” (which is comparable to the phrase “immune from any civil liability for injuries or death” in subsection (4)) requires the trial court to make a preliminary determination of the possible applicability of the statutory immunity to the facts of the case). If at a pretrial hearing the court determines that the defendant has shown by a preponderance of the evidence that the statute applies, the court must dismiss those “charges to which the immunity bar applies.” </w:t>
      </w:r>
      <w:r w:rsidRPr="00FC544C">
        <w:rPr>
          <w:rFonts w:eastAsia="Times New Roman"/>
          <w:i/>
          <w:sz w:val="24"/>
          <w:szCs w:val="24"/>
        </w:rPr>
        <w:t>Id.</w:t>
      </w:r>
      <w:r w:rsidRPr="00FC544C">
        <w:rPr>
          <w:rFonts w:eastAsia="Times New Roman"/>
          <w:sz w:val="24"/>
          <w:szCs w:val="24"/>
        </w:rPr>
        <w:t xml:space="preserve"> If the court does not determine that right to immunity has been so proved, then the defendant may still raise the issue again at trial as an affirmative defense to be determined by the jury. </w:t>
      </w:r>
      <w:r w:rsidRPr="00FC544C">
        <w:rPr>
          <w:rFonts w:eastAsia="Times New Roman"/>
          <w:i/>
          <w:sz w:val="24"/>
          <w:szCs w:val="24"/>
        </w:rPr>
        <w:t>See, e.g.</w:t>
      </w:r>
      <w:r w:rsidRPr="00FC544C">
        <w:rPr>
          <w:rFonts w:eastAsia="Times New Roman"/>
          <w:sz w:val="24"/>
          <w:szCs w:val="24"/>
        </w:rPr>
        <w:t xml:space="preserve">, </w:t>
      </w:r>
      <w:r w:rsidRPr="00FC544C">
        <w:rPr>
          <w:rFonts w:eastAsia="Times New Roman"/>
          <w:b/>
          <w:sz w:val="24"/>
          <w:szCs w:val="24"/>
        </w:rPr>
        <w:t>People v. Janes</w:t>
      </w:r>
      <w:r w:rsidRPr="00FC544C">
        <w:rPr>
          <w:rFonts w:eastAsia="Times New Roman"/>
          <w:sz w:val="24"/>
          <w:szCs w:val="24"/>
        </w:rPr>
        <w:t xml:space="preserve">, 982 P.2d 300 (Colo. 1999). In </w:t>
      </w:r>
      <w:r w:rsidRPr="00FC544C">
        <w:rPr>
          <w:rFonts w:eastAsia="Times New Roman"/>
          <w:b/>
          <w:sz w:val="24"/>
          <w:szCs w:val="24"/>
        </w:rPr>
        <w:t>Guenther</w:t>
      </w:r>
      <w:r w:rsidRPr="00FC544C">
        <w:rPr>
          <w:rFonts w:eastAsia="Times New Roman"/>
          <w:sz w:val="24"/>
          <w:szCs w:val="24"/>
        </w:rPr>
        <w:t>,</w:t>
      </w:r>
      <w:r w:rsidRPr="00FC544C">
        <w:rPr>
          <w:rFonts w:eastAsia="Times New Roman"/>
          <w:b/>
          <w:sz w:val="24"/>
          <w:szCs w:val="24"/>
        </w:rPr>
        <w:t xml:space="preserve"> </w:t>
      </w:r>
      <w:r w:rsidRPr="00FC544C">
        <w:rPr>
          <w:rFonts w:eastAsia="Times New Roman"/>
          <w:sz w:val="24"/>
          <w:szCs w:val="24"/>
        </w:rPr>
        <w:t>740 P.2d at 981, the court also set out the specific factual elements which must be proved under the statute.</w:t>
      </w:r>
    </w:p>
    <w:p w:rsidR="00FC544C" w:rsidRDefault="00FC544C">
      <w:pPr>
        <w:rPr>
          <w:rFonts w:eastAsia="Times New Roman"/>
          <w:sz w:val="24"/>
          <w:szCs w:val="24"/>
        </w:rPr>
      </w:pPr>
      <w:r>
        <w:rPr>
          <w:rFonts w:eastAsia="Times New Roman"/>
          <w:sz w:val="24"/>
          <w:szCs w:val="24"/>
        </w:rPr>
        <w:br w:type="page"/>
      </w:r>
    </w:p>
    <w:p w:rsidR="00FC544C" w:rsidRPr="009E3DA4" w:rsidRDefault="00FC544C" w:rsidP="00FC544C">
      <w:pPr>
        <w:spacing w:after="240"/>
        <w:ind w:left="720" w:hanging="720"/>
        <w:rPr>
          <w:rFonts w:eastAsia="Times New Roman"/>
          <w:b/>
          <w:sz w:val="24"/>
          <w:szCs w:val="24"/>
        </w:rPr>
      </w:pPr>
      <w:bookmarkStart w:id="13" w:name="a20_13"/>
      <w:bookmarkEnd w:id="13"/>
      <w:r w:rsidRPr="00FC544C">
        <w:rPr>
          <w:rFonts w:eastAsia="Times New Roman"/>
          <w:b/>
          <w:sz w:val="24"/>
          <w:szCs w:val="24"/>
        </w:rPr>
        <w:lastRenderedPageBreak/>
        <w:t xml:space="preserve">20:13 </w:t>
      </w:r>
      <w:r w:rsidRPr="00FC544C">
        <w:rPr>
          <w:rFonts w:eastAsia="Times New Roman"/>
          <w:b/>
          <w:sz w:val="24"/>
          <w:szCs w:val="24"/>
        </w:rPr>
        <w:tab/>
        <w:t>SELF-DEFENSE — FORCE CALCULATED TO INFLICT DEATH OR SERIOUS BODILY INJURY</w:t>
      </w:r>
    </w:p>
    <w:p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When a person acts in self-defense, the person may not use force that is likely to cause death or serious bodily harm, unless the person reasonably believes that he or she is in danger of death or serious bodily harm and that there is no other reasonable means of defense.</w:t>
      </w:r>
    </w:p>
    <w:p w:rsidR="00FC544C" w:rsidRDefault="00FC544C" w:rsidP="00FC544C">
      <w:pPr>
        <w:jc w:val="center"/>
        <w:rPr>
          <w:rFonts w:eastAsia="Times New Roman"/>
          <w:sz w:val="24"/>
          <w:szCs w:val="24"/>
        </w:rPr>
      </w:pPr>
    </w:p>
    <w:p w:rsidR="00FC544C" w:rsidRPr="0054263B" w:rsidRDefault="00FC544C" w:rsidP="00FC544C">
      <w:pPr>
        <w:keepNext/>
        <w:spacing w:after="240"/>
        <w:jc w:val="center"/>
        <w:rPr>
          <w:rFonts w:eastAsia="Times New Roman"/>
          <w:b/>
          <w:sz w:val="24"/>
          <w:szCs w:val="24"/>
        </w:rPr>
      </w:pPr>
      <w:r w:rsidRPr="0054263B">
        <w:rPr>
          <w:rFonts w:eastAsia="Times New Roman"/>
          <w:b/>
          <w:sz w:val="24"/>
          <w:szCs w:val="24"/>
        </w:rPr>
        <w:t>Notes on Use</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When the evidence shows that a force likely to inflict death or cause serious bodily injury may have been used in self-defense, this instruction, which elaborates more fully the rule stated in numbered paragraph 2 of Instruction 20:12, should also be given. </w:t>
      </w:r>
    </w:p>
    <w:p w:rsidR="00FC544C" w:rsidRPr="0054263B" w:rsidRDefault="00FC544C" w:rsidP="00FC544C">
      <w:pPr>
        <w:keepNext/>
        <w:spacing w:after="240"/>
        <w:jc w:val="center"/>
        <w:rPr>
          <w:rFonts w:eastAsia="Times New Roman"/>
          <w:b/>
          <w:sz w:val="24"/>
          <w:szCs w:val="24"/>
        </w:rPr>
      </w:pPr>
      <w:r>
        <w:rPr>
          <w:rFonts w:eastAsia="Times New Roman"/>
          <w:b/>
          <w:sz w:val="24"/>
          <w:szCs w:val="24"/>
        </w:rPr>
        <w:t>Source and Authority</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1. This instruction is supported by the cases cited in the Source and Authority to Instruction 20:12. </w:t>
      </w:r>
      <w:r w:rsidRPr="00FC544C">
        <w:rPr>
          <w:rFonts w:eastAsia="Times New Roman"/>
          <w:i/>
          <w:sz w:val="24"/>
          <w:szCs w:val="24"/>
        </w:rPr>
        <w:t>See also</w:t>
      </w:r>
      <w:r w:rsidRPr="00FC544C">
        <w:rPr>
          <w:rFonts w:eastAsia="Times New Roman"/>
          <w:sz w:val="24"/>
          <w:szCs w:val="24"/>
        </w:rPr>
        <w:t xml:space="preserve"> </w:t>
      </w:r>
      <w:r w:rsidRPr="00FC544C">
        <w:rPr>
          <w:rFonts w:eastAsia="Times New Roman"/>
          <w:b/>
          <w:sz w:val="24"/>
          <w:szCs w:val="24"/>
        </w:rPr>
        <w:t>Kaufman v. People</w:t>
      </w:r>
      <w:r w:rsidRPr="00FC544C">
        <w:rPr>
          <w:rFonts w:eastAsia="Times New Roman"/>
          <w:sz w:val="24"/>
          <w:szCs w:val="24"/>
        </w:rPr>
        <w:t>, 202 P.3d 542 (Colo. 2009).</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2. For a discussion of the use of deadly physical force in self-defense under section 18-1-704, C.R.S., see </w:t>
      </w:r>
      <w:r w:rsidRPr="00FC544C">
        <w:rPr>
          <w:rFonts w:eastAsia="Times New Roman"/>
          <w:b/>
          <w:sz w:val="24"/>
          <w:szCs w:val="24"/>
        </w:rPr>
        <w:t>People v. Toler</w:t>
      </w:r>
      <w:r w:rsidRPr="00FC544C">
        <w:rPr>
          <w:rFonts w:eastAsia="Times New Roman"/>
          <w:sz w:val="24"/>
          <w:szCs w:val="24"/>
        </w:rPr>
        <w:t>,</w:t>
      </w:r>
      <w:r w:rsidRPr="00FC544C">
        <w:rPr>
          <w:rFonts w:eastAsia="Times New Roman"/>
          <w:b/>
          <w:sz w:val="24"/>
          <w:szCs w:val="24"/>
        </w:rPr>
        <w:t xml:space="preserve"> </w:t>
      </w:r>
      <w:r w:rsidRPr="00FC544C">
        <w:rPr>
          <w:rFonts w:eastAsia="Times New Roman"/>
          <w:sz w:val="24"/>
          <w:szCs w:val="24"/>
        </w:rPr>
        <w:t>9 P.3d 341 (Colo. 2000) (no duty to retreat before using deadly force in self-defense except in certain specifically identified circumstances).</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3. See paragraph 2 of the Source and Authority to Instruction 20:12, which discusses the civil immunity provided in section 18-1-704.5, C.R.S. (“make-my-day” statute).</w:t>
      </w:r>
    </w:p>
    <w:p w:rsidR="00FC544C" w:rsidRDefault="00FC544C">
      <w:pPr>
        <w:rPr>
          <w:rFonts w:eastAsia="Times New Roman"/>
          <w:sz w:val="24"/>
          <w:szCs w:val="24"/>
        </w:rPr>
      </w:pPr>
      <w:r>
        <w:rPr>
          <w:rFonts w:eastAsia="Times New Roman"/>
          <w:sz w:val="24"/>
          <w:szCs w:val="24"/>
        </w:rPr>
        <w:br w:type="page"/>
      </w:r>
    </w:p>
    <w:p w:rsidR="00FC544C" w:rsidRPr="009E3DA4" w:rsidRDefault="00FC544C" w:rsidP="00FC544C">
      <w:pPr>
        <w:spacing w:after="240"/>
        <w:ind w:left="720" w:hanging="720"/>
        <w:rPr>
          <w:rFonts w:eastAsia="Times New Roman"/>
          <w:b/>
          <w:sz w:val="24"/>
          <w:szCs w:val="24"/>
        </w:rPr>
      </w:pPr>
      <w:bookmarkStart w:id="14" w:name="a20_14"/>
      <w:bookmarkEnd w:id="14"/>
      <w:r w:rsidRPr="00FC544C">
        <w:rPr>
          <w:rFonts w:eastAsia="Times New Roman"/>
          <w:b/>
          <w:sz w:val="24"/>
          <w:szCs w:val="24"/>
        </w:rPr>
        <w:lastRenderedPageBreak/>
        <w:t xml:space="preserve">20:14 </w:t>
      </w:r>
      <w:r w:rsidRPr="00FC544C">
        <w:rPr>
          <w:rFonts w:eastAsia="Times New Roman"/>
          <w:b/>
          <w:sz w:val="24"/>
          <w:szCs w:val="24"/>
        </w:rPr>
        <w:tab/>
        <w:t>DEFENSE OF ANOTHER PERSON</w:t>
      </w:r>
    </w:p>
    <w:p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 xml:space="preserve">The defendant, </w:t>
      </w:r>
      <w:r w:rsidRPr="00FC544C">
        <w:rPr>
          <w:rFonts w:eastAsia="Times New Roman"/>
          <w:i/>
          <w:sz w:val="24"/>
          <w:szCs w:val="24"/>
        </w:rPr>
        <w:t>(name)</w:t>
      </w:r>
      <w:r w:rsidRPr="00FC544C">
        <w:rPr>
          <w:rFonts w:eastAsia="Times New Roman"/>
          <w:b/>
          <w:sz w:val="24"/>
          <w:szCs w:val="24"/>
        </w:rPr>
        <w:t xml:space="preserve">, is not legally responsible to the plaintiff, </w:t>
      </w:r>
      <w:r w:rsidRPr="00FC544C">
        <w:rPr>
          <w:rFonts w:eastAsia="Times New Roman"/>
          <w:i/>
          <w:sz w:val="24"/>
          <w:szCs w:val="24"/>
        </w:rPr>
        <w:t>(name)</w:t>
      </w:r>
      <w:r w:rsidRPr="00FC544C">
        <w:rPr>
          <w:rFonts w:eastAsia="Times New Roman"/>
          <w:b/>
          <w:sz w:val="24"/>
          <w:szCs w:val="24"/>
        </w:rPr>
        <w:t>, on (his) (her) claim of (assault) (battery) if the affirmative defense of defense of another person is proved. This defense is proved if you find all of the following:</w:t>
      </w:r>
    </w:p>
    <w:p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 xml:space="preserve">1. The defendant reasonably believed (even if mistakenly) that the plaintiff was making or was about to make (a) (an) (harmful) (or) (offensive) contact with </w:t>
      </w:r>
      <w:r w:rsidRPr="00FC544C">
        <w:rPr>
          <w:rFonts w:eastAsia="Times New Roman"/>
          <w:i/>
          <w:sz w:val="24"/>
          <w:szCs w:val="24"/>
        </w:rPr>
        <w:t>(name of third person)</w:t>
      </w:r>
      <w:r w:rsidRPr="00FC544C">
        <w:rPr>
          <w:rFonts w:eastAsia="Times New Roman"/>
          <w:b/>
          <w:sz w:val="24"/>
          <w:szCs w:val="24"/>
        </w:rPr>
        <w:t>; and</w:t>
      </w:r>
    </w:p>
    <w:p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 xml:space="preserve">2. The defendant reasonably believed (even if mistakenly) that under the circumstances it was necessary for (him) (her) to intervene and use force to protect </w:t>
      </w:r>
      <w:r w:rsidRPr="00FC544C">
        <w:rPr>
          <w:rFonts w:eastAsia="Times New Roman"/>
          <w:i/>
          <w:sz w:val="24"/>
          <w:szCs w:val="24"/>
        </w:rPr>
        <w:t>(name of third person)</w:t>
      </w:r>
      <w:r w:rsidRPr="00FC544C">
        <w:rPr>
          <w:rFonts w:eastAsia="Times New Roman"/>
          <w:b/>
          <w:sz w:val="24"/>
          <w:szCs w:val="24"/>
        </w:rPr>
        <w:t>; and</w:t>
      </w:r>
    </w:p>
    <w:p w:rsidR="00FC544C" w:rsidRPr="00FC544C" w:rsidRDefault="00FC544C" w:rsidP="00FC544C">
      <w:pPr>
        <w:spacing w:after="240"/>
        <w:ind w:firstLine="720"/>
        <w:rPr>
          <w:rFonts w:eastAsia="Times New Roman"/>
          <w:b/>
          <w:sz w:val="24"/>
          <w:szCs w:val="24"/>
        </w:rPr>
      </w:pPr>
      <w:r w:rsidRPr="00FC544C">
        <w:rPr>
          <w:rFonts w:eastAsia="Times New Roman"/>
          <w:b/>
          <w:sz w:val="24"/>
          <w:szCs w:val="24"/>
        </w:rPr>
        <w:t xml:space="preserve">3. The defendant used no more force than a reasonable person would have used under the same or similar circumstances to protect </w:t>
      </w:r>
      <w:r w:rsidRPr="00FC544C">
        <w:rPr>
          <w:rFonts w:eastAsia="Times New Roman"/>
          <w:i/>
          <w:sz w:val="24"/>
          <w:szCs w:val="24"/>
        </w:rPr>
        <w:t>(name of third person)</w:t>
      </w:r>
      <w:r w:rsidRPr="00FC544C">
        <w:rPr>
          <w:rFonts w:eastAsia="Times New Roman"/>
          <w:b/>
          <w:sz w:val="24"/>
          <w:szCs w:val="24"/>
        </w:rPr>
        <w:t xml:space="preserve"> from the actual or threatened contact by the plaintiff.</w:t>
      </w:r>
    </w:p>
    <w:p w:rsidR="00FC544C" w:rsidRDefault="00FC544C" w:rsidP="00FC544C">
      <w:pPr>
        <w:jc w:val="center"/>
        <w:rPr>
          <w:rFonts w:eastAsia="Times New Roman"/>
          <w:sz w:val="24"/>
          <w:szCs w:val="24"/>
        </w:rPr>
      </w:pPr>
    </w:p>
    <w:p w:rsidR="00FC544C" w:rsidRPr="0054263B" w:rsidRDefault="00FC544C" w:rsidP="00FC544C">
      <w:pPr>
        <w:keepNext/>
        <w:spacing w:after="240"/>
        <w:jc w:val="center"/>
        <w:rPr>
          <w:rFonts w:eastAsia="Times New Roman"/>
          <w:b/>
          <w:sz w:val="24"/>
          <w:szCs w:val="24"/>
        </w:rPr>
      </w:pPr>
      <w:r w:rsidRPr="0054263B">
        <w:rPr>
          <w:rFonts w:eastAsia="Times New Roman"/>
          <w:b/>
          <w:sz w:val="24"/>
          <w:szCs w:val="24"/>
        </w:rPr>
        <w:t>Notes on Use</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1. Use whichever parenthesized words are appropriate. As to whether the parenthesized word “harmful” or “offensive” should be given, see Note 4 of the Notes on Use to Instruction 20:1.</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2. Omit any numbered paragraph or portions thereof if the facts are not in dispute.</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3. If a force calculated to inflict serious bodily injury or death is involved, it may also be necessary to give Instruction 20:13, appropriately modified.</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4. If the defendant’s intervention further provoked the plaintiff, so that the defendant became entitled to defend him or herself, Instruction 20:12 should also be given, with such modifications as are necessary to make it understandable in the context of the particular case.</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5. If there is a dispute as to whether the defendant made or threatened any contact, this instruction must be appropriately modified.</w:t>
      </w:r>
    </w:p>
    <w:p w:rsidR="00FC544C" w:rsidRPr="0054263B" w:rsidRDefault="00FC544C" w:rsidP="00FC544C">
      <w:pPr>
        <w:keepNext/>
        <w:spacing w:after="240"/>
        <w:jc w:val="center"/>
        <w:rPr>
          <w:rFonts w:eastAsia="Times New Roman"/>
          <w:b/>
          <w:sz w:val="24"/>
          <w:szCs w:val="24"/>
        </w:rPr>
      </w:pPr>
      <w:r>
        <w:rPr>
          <w:rFonts w:eastAsia="Times New Roman"/>
          <w:b/>
          <w:sz w:val="24"/>
          <w:szCs w:val="24"/>
        </w:rPr>
        <w:t>Source and Authority</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1. This instruction is supported by </w:t>
      </w:r>
      <w:r w:rsidRPr="00FC544C">
        <w:rPr>
          <w:rFonts w:eastAsia="Times New Roman"/>
          <w:smallCaps/>
          <w:sz w:val="24"/>
          <w:szCs w:val="24"/>
        </w:rPr>
        <w:t>W. Page Keeton et al., Prosser and Keeton on the Law of Torts</w:t>
      </w:r>
      <w:r w:rsidRPr="00FC544C">
        <w:rPr>
          <w:rFonts w:eastAsia="Times New Roman"/>
          <w:sz w:val="24"/>
          <w:szCs w:val="24"/>
        </w:rPr>
        <w:t xml:space="preserve"> § 20 (5th ed. 1984); and </w:t>
      </w:r>
      <w:r w:rsidRPr="00FC544C">
        <w:rPr>
          <w:rFonts w:eastAsia="Times New Roman"/>
          <w:smallCaps/>
          <w:sz w:val="24"/>
          <w:szCs w:val="24"/>
        </w:rPr>
        <w:t>Restatement (Second) of Torts</w:t>
      </w:r>
      <w:r w:rsidRPr="00FC544C">
        <w:rPr>
          <w:rFonts w:eastAsia="Times New Roman"/>
          <w:sz w:val="24"/>
          <w:szCs w:val="24"/>
        </w:rPr>
        <w:t xml:space="preserve"> § 76 (1965). </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2. In defending another person the defendant may have been mistaken, but reasonably so, as to (a) the need for intervention and (b) whether the third person was exercising or could have lawfully exercised his or her own privilege of self-defense. There is a split of authority on the question whether a defendant is entitled to the privilege of defense of another when the defendant has made either one or both of these mistakes, even reasonably. </w:t>
      </w:r>
      <w:r w:rsidRPr="00FC544C">
        <w:rPr>
          <w:rFonts w:eastAsia="Times New Roman"/>
          <w:smallCaps/>
          <w:sz w:val="24"/>
          <w:szCs w:val="24"/>
        </w:rPr>
        <w:t>Prosser and Keeton on the Law of Torts</w:t>
      </w:r>
      <w:r w:rsidRPr="00FC544C">
        <w:rPr>
          <w:rFonts w:eastAsia="Times New Roman"/>
          <w:sz w:val="24"/>
          <w:szCs w:val="24"/>
        </w:rPr>
        <w:t xml:space="preserve">, </w:t>
      </w:r>
      <w:r w:rsidRPr="00FC544C">
        <w:rPr>
          <w:rFonts w:eastAsia="Times New Roman"/>
          <w:i/>
          <w:sz w:val="24"/>
          <w:szCs w:val="24"/>
        </w:rPr>
        <w:t>supra</w:t>
      </w:r>
      <w:r w:rsidRPr="00FC544C">
        <w:rPr>
          <w:rFonts w:eastAsia="Times New Roman"/>
          <w:sz w:val="24"/>
          <w:szCs w:val="24"/>
        </w:rPr>
        <w:t xml:space="preserve">, § 20. </w:t>
      </w:r>
      <w:r w:rsidRPr="00FC544C">
        <w:rPr>
          <w:rFonts w:eastAsia="Times New Roman"/>
          <w:smallCaps/>
          <w:sz w:val="24"/>
          <w:szCs w:val="24"/>
        </w:rPr>
        <w:t>Restatement</w:t>
      </w:r>
      <w:r w:rsidRPr="00FC544C">
        <w:rPr>
          <w:rFonts w:eastAsia="Times New Roman"/>
          <w:sz w:val="24"/>
          <w:szCs w:val="24"/>
        </w:rPr>
        <w:t xml:space="preserve"> § 76 adopts the view that a reasonable </w:t>
      </w:r>
      <w:r w:rsidRPr="00FC544C">
        <w:rPr>
          <w:rFonts w:eastAsia="Times New Roman"/>
          <w:sz w:val="24"/>
          <w:szCs w:val="24"/>
        </w:rPr>
        <w:lastRenderedPageBreak/>
        <w:t xml:space="preserve">mistake will excuse the defendant. This instruction follows the </w:t>
      </w:r>
      <w:r w:rsidRPr="00FC544C">
        <w:rPr>
          <w:rFonts w:eastAsia="Times New Roman"/>
          <w:smallCaps/>
          <w:sz w:val="24"/>
          <w:szCs w:val="24"/>
        </w:rPr>
        <w:t>Restatement</w:t>
      </w:r>
      <w:r w:rsidRPr="00FC544C">
        <w:rPr>
          <w:rFonts w:eastAsia="Times New Roman"/>
          <w:sz w:val="24"/>
          <w:szCs w:val="24"/>
        </w:rPr>
        <w:t xml:space="preserve"> view which is favored by </w:t>
      </w:r>
      <w:r w:rsidRPr="00FC544C">
        <w:rPr>
          <w:rFonts w:eastAsia="Times New Roman"/>
          <w:smallCaps/>
          <w:sz w:val="24"/>
          <w:szCs w:val="24"/>
        </w:rPr>
        <w:t>W. Prosser &amp; W. Keeton</w:t>
      </w:r>
      <w:r w:rsidRPr="00FC544C">
        <w:rPr>
          <w:rFonts w:eastAsia="Times New Roman"/>
          <w:sz w:val="24"/>
          <w:szCs w:val="24"/>
        </w:rPr>
        <w:t xml:space="preserve"> as being more consistent with the usual rules governing self-defense. </w:t>
      </w:r>
      <w:r w:rsidRPr="00FC544C">
        <w:rPr>
          <w:rFonts w:eastAsia="Times New Roman"/>
          <w:i/>
          <w:sz w:val="24"/>
          <w:szCs w:val="24"/>
        </w:rPr>
        <w:t>See also</w:t>
      </w:r>
      <w:r w:rsidRPr="00FC544C">
        <w:rPr>
          <w:rFonts w:eastAsia="Times New Roman"/>
          <w:sz w:val="24"/>
          <w:szCs w:val="24"/>
        </w:rPr>
        <w:t xml:space="preserve"> 1 </w:t>
      </w:r>
      <w:r w:rsidRPr="00FC544C">
        <w:rPr>
          <w:rFonts w:eastAsia="Times New Roman"/>
          <w:smallCaps/>
          <w:sz w:val="24"/>
          <w:szCs w:val="24"/>
        </w:rPr>
        <w:t>F. Harper et al., Harper, James, and Gray on Torts</w:t>
      </w:r>
      <w:r w:rsidRPr="00FC544C">
        <w:rPr>
          <w:rFonts w:eastAsia="Times New Roman"/>
          <w:sz w:val="24"/>
          <w:szCs w:val="24"/>
        </w:rPr>
        <w:t xml:space="preserve"> § 3.12 (3d ed. 2006).</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 xml:space="preserve">3. As in other cases of a privilege to defend persons or property, one may not use more force than is reasonably necessary. </w:t>
      </w:r>
      <w:r w:rsidRPr="00FC544C">
        <w:rPr>
          <w:rFonts w:eastAsia="Times New Roman"/>
          <w:smallCaps/>
          <w:sz w:val="24"/>
          <w:szCs w:val="24"/>
        </w:rPr>
        <w:t>Prosser and Keeton on the Law of Torts</w:t>
      </w:r>
      <w:r w:rsidRPr="00FC544C">
        <w:rPr>
          <w:rFonts w:eastAsia="Times New Roman"/>
          <w:sz w:val="24"/>
          <w:szCs w:val="24"/>
        </w:rPr>
        <w:t xml:space="preserve">, </w:t>
      </w:r>
      <w:r w:rsidRPr="00FC544C">
        <w:rPr>
          <w:rFonts w:eastAsia="Times New Roman"/>
          <w:i/>
          <w:sz w:val="24"/>
          <w:szCs w:val="24"/>
        </w:rPr>
        <w:t>supra</w:t>
      </w:r>
      <w:r w:rsidRPr="00FC544C">
        <w:rPr>
          <w:rFonts w:eastAsia="Times New Roman"/>
          <w:sz w:val="24"/>
          <w:szCs w:val="24"/>
        </w:rPr>
        <w:t>, § 20.</w:t>
      </w:r>
    </w:p>
    <w:p w:rsidR="00FC544C" w:rsidRPr="00FC544C" w:rsidRDefault="00FC544C" w:rsidP="00FC544C">
      <w:pPr>
        <w:spacing w:after="240"/>
        <w:ind w:firstLine="720"/>
        <w:rPr>
          <w:rFonts w:eastAsia="Times New Roman"/>
          <w:sz w:val="24"/>
          <w:szCs w:val="24"/>
        </w:rPr>
      </w:pPr>
      <w:r w:rsidRPr="00FC544C">
        <w:rPr>
          <w:rFonts w:eastAsia="Times New Roman"/>
          <w:sz w:val="24"/>
          <w:szCs w:val="24"/>
        </w:rPr>
        <w:t>4. See paragraph 2 of the Source and Authority to Instruction 20:12, which discusses the civil immunity provided in section 18-1-704.5, C.R.S. (“make-my-day” statute).</w:t>
      </w:r>
    </w:p>
    <w:p w:rsidR="00FC544C" w:rsidRDefault="00FC544C">
      <w:pPr>
        <w:rPr>
          <w:rFonts w:eastAsia="Times New Roman"/>
          <w:sz w:val="24"/>
          <w:szCs w:val="24"/>
        </w:rPr>
      </w:pPr>
      <w:r>
        <w:rPr>
          <w:rFonts w:eastAsia="Times New Roman"/>
          <w:sz w:val="24"/>
          <w:szCs w:val="24"/>
        </w:rPr>
        <w:br w:type="page"/>
      </w:r>
    </w:p>
    <w:p w:rsidR="00FC544C" w:rsidRPr="009E3DA4" w:rsidRDefault="00DC0393" w:rsidP="00FC544C">
      <w:pPr>
        <w:spacing w:after="240"/>
        <w:ind w:left="720" w:hanging="720"/>
        <w:rPr>
          <w:rFonts w:eastAsia="Times New Roman"/>
          <w:b/>
          <w:sz w:val="24"/>
          <w:szCs w:val="24"/>
        </w:rPr>
      </w:pPr>
      <w:bookmarkStart w:id="15" w:name="a20_15"/>
      <w:bookmarkEnd w:id="15"/>
      <w:r w:rsidRPr="00DC0393">
        <w:rPr>
          <w:rFonts w:eastAsia="Times New Roman"/>
          <w:b/>
          <w:sz w:val="24"/>
          <w:szCs w:val="24"/>
        </w:rPr>
        <w:lastRenderedPageBreak/>
        <w:t xml:space="preserve">20:15 </w:t>
      </w:r>
      <w:r w:rsidRPr="00DC0393">
        <w:rPr>
          <w:rFonts w:eastAsia="Times New Roman"/>
          <w:b/>
          <w:sz w:val="24"/>
          <w:szCs w:val="24"/>
        </w:rPr>
        <w:tab/>
        <w:t>BATTERY DEFENSES — DEFENSE OF REAL PROPERTY</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The defendant, </w:t>
      </w:r>
      <w:r w:rsidRPr="00DC0393">
        <w:rPr>
          <w:rFonts w:eastAsia="Times New Roman"/>
          <w:i/>
          <w:sz w:val="24"/>
          <w:szCs w:val="24"/>
        </w:rPr>
        <w:t>(name)</w:t>
      </w:r>
      <w:r w:rsidRPr="00DC0393">
        <w:rPr>
          <w:rFonts w:eastAsia="Times New Roman"/>
          <w:b/>
          <w:sz w:val="24"/>
          <w:szCs w:val="24"/>
        </w:rPr>
        <w:t xml:space="preserve">, is not legally responsible to the plaintiff, </w:t>
      </w:r>
      <w:r w:rsidRPr="00DC0393">
        <w:rPr>
          <w:rFonts w:eastAsia="Times New Roman"/>
          <w:i/>
          <w:sz w:val="24"/>
          <w:szCs w:val="24"/>
        </w:rPr>
        <w:t>(name)</w:t>
      </w:r>
      <w:r w:rsidRPr="00DC0393">
        <w:rPr>
          <w:rFonts w:eastAsia="Times New Roman"/>
          <w:b/>
          <w:sz w:val="24"/>
          <w:szCs w:val="24"/>
        </w:rPr>
        <w:t>,</w:t>
      </w:r>
      <w:r w:rsidRPr="00DC0393">
        <w:rPr>
          <w:rFonts w:eastAsia="Times New Roman"/>
          <w:i/>
          <w:sz w:val="24"/>
          <w:szCs w:val="24"/>
        </w:rPr>
        <w:t xml:space="preserve"> </w:t>
      </w:r>
      <w:r w:rsidRPr="00DC0393">
        <w:rPr>
          <w:rFonts w:eastAsia="Times New Roman"/>
          <w:b/>
          <w:sz w:val="24"/>
          <w:szCs w:val="24"/>
        </w:rPr>
        <w:t>on (his) (her) claim of battery if the affirmative defense of defense of real property has been proved. This defense is proved if you find all of the following:</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1. The plaintiff was on the defendant’s property without permission;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2. Before using any force the defendant (asked) (or) (told) the plaintiff to leave the property and gave (him) (her) a reasonable opportunity to leave (or the defendant reasonably thought that under the circumstances such a request would have been useless);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3. The defendant reasonably thought it was necessary under the circumstances to use force to remove the plaintiff from (his) (her) property;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4. The defendant used reasonable force to remove the plaintiff from his property.</w:t>
      </w:r>
    </w:p>
    <w:p w:rsidR="00FC544C" w:rsidRDefault="00FC544C" w:rsidP="00FC544C">
      <w:pPr>
        <w:jc w:val="center"/>
        <w:rPr>
          <w:rFonts w:eastAsia="Times New Roman"/>
          <w:sz w:val="24"/>
          <w:szCs w:val="24"/>
        </w:rPr>
      </w:pPr>
    </w:p>
    <w:p w:rsidR="00FC544C" w:rsidRPr="0054263B" w:rsidRDefault="00FC544C" w:rsidP="00FC544C">
      <w:pPr>
        <w:keepNext/>
        <w:spacing w:after="240"/>
        <w:jc w:val="center"/>
        <w:rPr>
          <w:rFonts w:eastAsia="Times New Roman"/>
          <w:b/>
          <w:sz w:val="24"/>
          <w:szCs w:val="24"/>
        </w:rPr>
      </w:pPr>
      <w:r w:rsidRPr="0054263B">
        <w:rPr>
          <w:rFonts w:eastAsia="Times New Roman"/>
          <w:b/>
          <w:sz w:val="24"/>
          <w:szCs w:val="24"/>
        </w:rPr>
        <w:t>Notes on Use</w:t>
      </w:r>
    </w:p>
    <w:p w:rsidR="00DC0393" w:rsidRPr="00DC0393" w:rsidRDefault="00DC0393" w:rsidP="00DC0393">
      <w:pPr>
        <w:spacing w:after="240"/>
        <w:ind w:firstLine="720"/>
        <w:rPr>
          <w:rFonts w:eastAsia="Times New Roman"/>
          <w:sz w:val="24"/>
          <w:szCs w:val="24"/>
        </w:rPr>
      </w:pPr>
      <w:r w:rsidRPr="00DC0393">
        <w:rPr>
          <w:rFonts w:eastAsia="Times New Roman"/>
          <w:sz w:val="24"/>
          <w:szCs w:val="24"/>
        </w:rPr>
        <w:t>1. Use whichever parenthesized phrases are appropriate.</w:t>
      </w:r>
    </w:p>
    <w:p w:rsidR="00DC0393" w:rsidRPr="00DC0393" w:rsidRDefault="00DC0393" w:rsidP="00DC0393">
      <w:pPr>
        <w:spacing w:after="240"/>
        <w:ind w:firstLine="720"/>
        <w:rPr>
          <w:rFonts w:eastAsia="Times New Roman"/>
          <w:sz w:val="24"/>
          <w:szCs w:val="24"/>
        </w:rPr>
      </w:pPr>
      <w:r w:rsidRPr="00DC0393">
        <w:rPr>
          <w:rFonts w:eastAsia="Times New Roman"/>
          <w:sz w:val="24"/>
          <w:szCs w:val="24"/>
        </w:rPr>
        <w:t>2. Omit any numbered paragraph the facts of which are not in dispute.</w:t>
      </w:r>
    </w:p>
    <w:p w:rsidR="00DC0393" w:rsidRPr="00DC0393" w:rsidRDefault="00DC0393" w:rsidP="00DC0393">
      <w:pPr>
        <w:spacing w:after="240"/>
        <w:ind w:firstLine="720"/>
        <w:rPr>
          <w:rFonts w:eastAsia="Times New Roman"/>
          <w:sz w:val="24"/>
          <w:szCs w:val="24"/>
        </w:rPr>
      </w:pPr>
      <w:r w:rsidRPr="00DC0393">
        <w:rPr>
          <w:rFonts w:eastAsia="Times New Roman"/>
          <w:sz w:val="24"/>
          <w:szCs w:val="24"/>
        </w:rPr>
        <w:t>3. If the plaintiff used force to resist the defendant’s initial, privileged use of force, then the defendant may also be entitled to claim a privilege of self-defense of person. In such circumstances Instruction 20:12 (and, if appropriate, Instruction 20:13) should also be given with this instruction.</w:t>
      </w:r>
    </w:p>
    <w:p w:rsidR="00DC0393" w:rsidRPr="00DC0393" w:rsidRDefault="00DC0393" w:rsidP="00DC0393">
      <w:pPr>
        <w:spacing w:after="240"/>
        <w:ind w:firstLine="720"/>
        <w:rPr>
          <w:rFonts w:eastAsia="Times New Roman"/>
          <w:sz w:val="24"/>
          <w:szCs w:val="24"/>
        </w:rPr>
      </w:pPr>
      <w:r w:rsidRPr="00DC0393">
        <w:rPr>
          <w:rFonts w:eastAsia="Times New Roman"/>
          <w:sz w:val="24"/>
          <w:szCs w:val="24"/>
        </w:rPr>
        <w:t>4. If there is a dispute as to whether the defendant used any force, this instruction must be appropriately modified.</w:t>
      </w:r>
    </w:p>
    <w:p w:rsidR="00FC544C" w:rsidRPr="0054263B" w:rsidRDefault="00FC544C" w:rsidP="00FC544C">
      <w:pPr>
        <w:keepNext/>
        <w:spacing w:after="240"/>
        <w:jc w:val="center"/>
        <w:rPr>
          <w:rFonts w:eastAsia="Times New Roman"/>
          <w:b/>
          <w:sz w:val="24"/>
          <w:szCs w:val="24"/>
        </w:rPr>
      </w:pPr>
      <w:r>
        <w:rPr>
          <w:rFonts w:eastAsia="Times New Roman"/>
          <w:b/>
          <w:sz w:val="24"/>
          <w:szCs w:val="24"/>
        </w:rPr>
        <w:t>Source and Authority</w:t>
      </w:r>
    </w:p>
    <w:p w:rsidR="00DC0393" w:rsidRPr="00DC0393" w:rsidRDefault="00DC0393" w:rsidP="00DC0393">
      <w:pPr>
        <w:spacing w:after="240"/>
        <w:ind w:firstLine="720"/>
        <w:rPr>
          <w:rFonts w:eastAsia="Times New Roman"/>
          <w:sz w:val="24"/>
          <w:szCs w:val="24"/>
        </w:rPr>
      </w:pPr>
      <w:r w:rsidRPr="00DC0393">
        <w:rPr>
          <w:rFonts w:eastAsia="Times New Roman"/>
          <w:sz w:val="24"/>
          <w:szCs w:val="24"/>
        </w:rPr>
        <w:t xml:space="preserve">1. This instruction is supported by the general law as set out in </w:t>
      </w:r>
      <w:r w:rsidRPr="00DC0393">
        <w:rPr>
          <w:rFonts w:eastAsia="Times New Roman"/>
          <w:smallCaps/>
          <w:sz w:val="24"/>
          <w:szCs w:val="24"/>
        </w:rPr>
        <w:t>W. Page Keeton et al., Prosser and Keeton on the Law of Torts</w:t>
      </w:r>
      <w:r w:rsidRPr="00DC0393">
        <w:rPr>
          <w:rFonts w:eastAsia="Times New Roman"/>
          <w:sz w:val="24"/>
          <w:szCs w:val="24"/>
        </w:rPr>
        <w:t xml:space="preserve"> § 21 (5th ed. 1984); and </w:t>
      </w:r>
      <w:r w:rsidRPr="00DC0393">
        <w:rPr>
          <w:rFonts w:eastAsia="Times New Roman"/>
          <w:smallCaps/>
          <w:sz w:val="24"/>
          <w:szCs w:val="24"/>
        </w:rPr>
        <w:t>Restatement (Second) of Torts</w:t>
      </w:r>
      <w:r w:rsidRPr="00DC0393">
        <w:rPr>
          <w:rFonts w:eastAsia="Times New Roman"/>
          <w:sz w:val="24"/>
          <w:szCs w:val="24"/>
        </w:rPr>
        <w:t xml:space="preserve"> § 77 (1965).</w:t>
      </w:r>
    </w:p>
    <w:p w:rsidR="00DC0393" w:rsidRPr="00DC0393" w:rsidRDefault="00DC0393" w:rsidP="00DC0393">
      <w:pPr>
        <w:spacing w:after="240"/>
        <w:ind w:firstLine="720"/>
        <w:rPr>
          <w:rFonts w:eastAsia="Times New Roman"/>
          <w:sz w:val="24"/>
          <w:szCs w:val="24"/>
        </w:rPr>
      </w:pPr>
      <w:r w:rsidRPr="00DC0393">
        <w:rPr>
          <w:rFonts w:eastAsia="Times New Roman"/>
          <w:sz w:val="24"/>
          <w:szCs w:val="24"/>
        </w:rPr>
        <w:t>2. See paragraph 2 of the Source and Authority to Instruction 20:12, which discusses the civil immunity provided in section 18-1-704.5, C.R.S. (“make-my-day” statute).</w:t>
      </w:r>
    </w:p>
    <w:p w:rsidR="00DC0393" w:rsidRDefault="00DC0393">
      <w:pPr>
        <w:rPr>
          <w:rFonts w:eastAsia="Times New Roman"/>
          <w:sz w:val="24"/>
          <w:szCs w:val="24"/>
        </w:rPr>
      </w:pPr>
      <w:r>
        <w:rPr>
          <w:rFonts w:eastAsia="Times New Roman"/>
          <w:sz w:val="24"/>
          <w:szCs w:val="24"/>
        </w:rPr>
        <w:br w:type="page"/>
      </w:r>
    </w:p>
    <w:p w:rsidR="00DC0393" w:rsidRPr="009E3DA4" w:rsidRDefault="00DC0393" w:rsidP="00DC0393">
      <w:pPr>
        <w:spacing w:after="240"/>
        <w:ind w:left="720" w:hanging="720"/>
        <w:rPr>
          <w:rFonts w:eastAsia="Times New Roman"/>
          <w:b/>
          <w:sz w:val="24"/>
          <w:szCs w:val="24"/>
        </w:rPr>
      </w:pPr>
      <w:bookmarkStart w:id="16" w:name="a20_16"/>
      <w:bookmarkEnd w:id="16"/>
      <w:r w:rsidRPr="00DC0393">
        <w:rPr>
          <w:rFonts w:eastAsia="Times New Roman"/>
          <w:b/>
          <w:sz w:val="24"/>
          <w:szCs w:val="24"/>
        </w:rPr>
        <w:lastRenderedPageBreak/>
        <w:t xml:space="preserve">20:16 </w:t>
      </w:r>
      <w:r w:rsidRPr="00DC0393">
        <w:rPr>
          <w:rFonts w:eastAsia="Times New Roman"/>
          <w:b/>
          <w:sz w:val="24"/>
          <w:szCs w:val="24"/>
        </w:rPr>
        <w:tab/>
        <w:t>BATTERY DEFENSES — DEFENSE OF PERSONAL PROPERTY</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The defendant, </w:t>
      </w:r>
      <w:r w:rsidRPr="00DC0393">
        <w:rPr>
          <w:rFonts w:eastAsia="Times New Roman"/>
          <w:i/>
          <w:sz w:val="24"/>
          <w:szCs w:val="24"/>
        </w:rPr>
        <w:t>(name)</w:t>
      </w:r>
      <w:r w:rsidRPr="00DC0393">
        <w:rPr>
          <w:rFonts w:eastAsia="Times New Roman"/>
          <w:b/>
          <w:sz w:val="24"/>
          <w:szCs w:val="24"/>
        </w:rPr>
        <w:t xml:space="preserve">, is not legally responsible to the plaintiff, </w:t>
      </w:r>
      <w:r w:rsidRPr="00DC0393">
        <w:rPr>
          <w:rFonts w:eastAsia="Times New Roman"/>
          <w:i/>
          <w:sz w:val="24"/>
          <w:szCs w:val="24"/>
        </w:rPr>
        <w:t>(name)</w:t>
      </w:r>
      <w:r w:rsidRPr="00DC0393">
        <w:rPr>
          <w:rFonts w:eastAsia="Times New Roman"/>
          <w:b/>
          <w:sz w:val="24"/>
          <w:szCs w:val="24"/>
        </w:rPr>
        <w:t>, on (his) (her) claim of battery if the affirmative defense of defense of personal property is proved. This defense is proved if you find all of the following:</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1. The defendant had possession of </w:t>
      </w:r>
      <w:r w:rsidRPr="00DC0393">
        <w:rPr>
          <w:rFonts w:eastAsia="Times New Roman"/>
          <w:i/>
          <w:sz w:val="24"/>
          <w:szCs w:val="24"/>
        </w:rPr>
        <w:t>(insert description of the property)</w:t>
      </w:r>
      <w:r w:rsidRPr="00DC0393">
        <w:rPr>
          <w:rFonts w:eastAsia="Times New Roman"/>
          <w:b/>
          <w:sz w:val="24"/>
          <w:szCs w:val="24"/>
        </w:rPr>
        <w:t xml:space="preserve"> (and was entitled to such possession);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2. The plaintiff was attempting to interfere with the defendant’s possession (or it reasonably appeared to the defendant that the plaintiff was attempting to interfere with the defendant’s possession);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3. Before using any force, the defendant (asked) (or) (told) the plaintiff to stop interfering with the defendant’s possession of </w:t>
      </w:r>
      <w:r w:rsidRPr="00DC0393">
        <w:rPr>
          <w:rFonts w:eastAsia="Times New Roman"/>
          <w:i/>
          <w:sz w:val="24"/>
          <w:szCs w:val="24"/>
        </w:rPr>
        <w:t>(insert description of the property)</w:t>
      </w:r>
      <w:r w:rsidRPr="00DC0393">
        <w:rPr>
          <w:rFonts w:eastAsia="Times New Roman"/>
          <w:b/>
          <w:sz w:val="24"/>
          <w:szCs w:val="24"/>
        </w:rPr>
        <w:t xml:space="preserve"> and gave (him) (her) a reasonable opportunity to stop the interference (or the defendant reasonably thought that under the circumstances such a request would be useless);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4. The defendant reasonably thought that it was necessary under the circumstances to use force to prevent the plaintiff’s interference with the possession of (his) (her) </w:t>
      </w:r>
      <w:r w:rsidRPr="00DC0393">
        <w:rPr>
          <w:rFonts w:eastAsia="Times New Roman"/>
          <w:i/>
          <w:sz w:val="24"/>
          <w:szCs w:val="24"/>
        </w:rPr>
        <w:t>(insert description of the property)</w:t>
      </w:r>
      <w:r w:rsidRPr="00DC0393">
        <w:rPr>
          <w:rFonts w:eastAsia="Times New Roman"/>
          <w:b/>
          <w:sz w:val="24"/>
          <w:szCs w:val="24"/>
        </w:rPr>
        <w:t>;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5. The defendant used reasonable force to prevent the plaintiff’s interference with the possession of (his) (her) </w:t>
      </w:r>
      <w:r w:rsidRPr="00DC0393">
        <w:rPr>
          <w:rFonts w:eastAsia="Times New Roman"/>
          <w:i/>
          <w:sz w:val="24"/>
          <w:szCs w:val="24"/>
        </w:rPr>
        <w:t>(insert description of the property)</w:t>
      </w:r>
      <w:r w:rsidRPr="00DC0393">
        <w:rPr>
          <w:rFonts w:eastAsia="Times New Roman"/>
          <w:b/>
          <w:sz w:val="24"/>
          <w:szCs w:val="24"/>
        </w:rPr>
        <w:t>.</w:t>
      </w:r>
    </w:p>
    <w:p w:rsidR="00DC0393" w:rsidRDefault="00DC0393" w:rsidP="00DC0393">
      <w:pPr>
        <w:jc w:val="center"/>
        <w:rPr>
          <w:rFonts w:eastAsia="Times New Roman"/>
          <w:sz w:val="24"/>
          <w:szCs w:val="24"/>
        </w:rPr>
      </w:pPr>
    </w:p>
    <w:p w:rsidR="00DC0393" w:rsidRPr="0054263B" w:rsidRDefault="00DC0393" w:rsidP="00DC0393">
      <w:pPr>
        <w:keepNext/>
        <w:spacing w:after="240"/>
        <w:jc w:val="center"/>
        <w:rPr>
          <w:rFonts w:eastAsia="Times New Roman"/>
          <w:b/>
          <w:sz w:val="24"/>
          <w:szCs w:val="24"/>
        </w:rPr>
      </w:pPr>
      <w:r w:rsidRPr="0054263B">
        <w:rPr>
          <w:rFonts w:eastAsia="Times New Roman"/>
          <w:b/>
          <w:sz w:val="24"/>
          <w:szCs w:val="24"/>
        </w:rPr>
        <w:t>Notes on Use</w:t>
      </w:r>
    </w:p>
    <w:p w:rsidR="00DC0393" w:rsidRPr="00DC0393" w:rsidRDefault="00DC0393" w:rsidP="00DC0393">
      <w:pPr>
        <w:spacing w:after="240"/>
        <w:ind w:firstLine="720"/>
        <w:rPr>
          <w:rFonts w:eastAsia="Times New Roman"/>
          <w:sz w:val="24"/>
          <w:szCs w:val="24"/>
        </w:rPr>
      </w:pPr>
      <w:r w:rsidRPr="00DC0393">
        <w:rPr>
          <w:rFonts w:eastAsia="Times New Roman"/>
          <w:sz w:val="24"/>
          <w:szCs w:val="24"/>
        </w:rPr>
        <w:t>The Notes on Use to Instruction 20:15 are also applicable to this instruction and should be read and applied accordingly.</w:t>
      </w:r>
    </w:p>
    <w:p w:rsidR="00DC0393" w:rsidRPr="0054263B" w:rsidRDefault="00DC0393" w:rsidP="00DC0393">
      <w:pPr>
        <w:keepNext/>
        <w:spacing w:after="240"/>
        <w:jc w:val="center"/>
        <w:rPr>
          <w:rFonts w:eastAsia="Times New Roman"/>
          <w:b/>
          <w:sz w:val="24"/>
          <w:szCs w:val="24"/>
        </w:rPr>
      </w:pPr>
      <w:r>
        <w:rPr>
          <w:rFonts w:eastAsia="Times New Roman"/>
          <w:b/>
          <w:sz w:val="24"/>
          <w:szCs w:val="24"/>
        </w:rPr>
        <w:t>Source and Authority</w:t>
      </w:r>
    </w:p>
    <w:p w:rsidR="00DC0393" w:rsidRPr="00DC0393" w:rsidRDefault="00DC0393" w:rsidP="00DC0393">
      <w:pPr>
        <w:spacing w:after="240"/>
        <w:ind w:firstLine="720"/>
        <w:rPr>
          <w:rFonts w:eastAsia="Times New Roman"/>
          <w:sz w:val="24"/>
          <w:szCs w:val="24"/>
        </w:rPr>
      </w:pPr>
      <w:r w:rsidRPr="00DC0393">
        <w:rPr>
          <w:rFonts w:eastAsia="Times New Roman"/>
          <w:sz w:val="24"/>
          <w:szCs w:val="24"/>
        </w:rPr>
        <w:t xml:space="preserve">This instruction is supported by the general law as set out in </w:t>
      </w:r>
      <w:r w:rsidRPr="00DC0393">
        <w:rPr>
          <w:rFonts w:eastAsia="Times New Roman"/>
          <w:smallCaps/>
          <w:sz w:val="24"/>
          <w:szCs w:val="24"/>
        </w:rPr>
        <w:t>W. Page Keeton et al., Prosser and Keeton on the Law of Torts</w:t>
      </w:r>
      <w:r w:rsidRPr="00DC0393">
        <w:rPr>
          <w:rFonts w:eastAsia="Times New Roman"/>
          <w:sz w:val="24"/>
          <w:szCs w:val="24"/>
        </w:rPr>
        <w:t xml:space="preserve"> § 21 (5th ed. 1984); and </w:t>
      </w:r>
      <w:r w:rsidRPr="00DC0393">
        <w:rPr>
          <w:rFonts w:eastAsia="Times New Roman"/>
          <w:smallCaps/>
          <w:sz w:val="24"/>
          <w:szCs w:val="24"/>
        </w:rPr>
        <w:t>Restatement (Second) of Torts</w:t>
      </w:r>
      <w:r w:rsidRPr="00DC0393">
        <w:rPr>
          <w:rFonts w:eastAsia="Times New Roman"/>
          <w:sz w:val="24"/>
          <w:szCs w:val="24"/>
        </w:rPr>
        <w:t xml:space="preserve"> § 77 (1965).</w:t>
      </w:r>
    </w:p>
    <w:p w:rsidR="00DC0393" w:rsidRDefault="00DC0393">
      <w:pPr>
        <w:rPr>
          <w:rFonts w:eastAsia="Times New Roman"/>
          <w:sz w:val="24"/>
          <w:szCs w:val="24"/>
        </w:rPr>
      </w:pPr>
      <w:r>
        <w:rPr>
          <w:rFonts w:eastAsia="Times New Roman"/>
          <w:sz w:val="24"/>
          <w:szCs w:val="24"/>
        </w:rPr>
        <w:br w:type="page"/>
      </w:r>
    </w:p>
    <w:p w:rsidR="00DC0393" w:rsidRPr="009E3DA4" w:rsidRDefault="00DC0393" w:rsidP="00DC0393">
      <w:pPr>
        <w:spacing w:after="240"/>
        <w:ind w:left="720" w:hanging="720"/>
        <w:rPr>
          <w:rFonts w:eastAsia="Times New Roman"/>
          <w:b/>
          <w:sz w:val="24"/>
          <w:szCs w:val="24"/>
        </w:rPr>
      </w:pPr>
      <w:bookmarkStart w:id="17" w:name="a20_17"/>
      <w:bookmarkEnd w:id="17"/>
      <w:r w:rsidRPr="00DC0393">
        <w:rPr>
          <w:rFonts w:eastAsia="Times New Roman"/>
          <w:b/>
          <w:sz w:val="24"/>
          <w:szCs w:val="24"/>
        </w:rPr>
        <w:lastRenderedPageBreak/>
        <w:t xml:space="preserve">20:17 </w:t>
      </w:r>
      <w:r w:rsidRPr="00DC0393">
        <w:rPr>
          <w:rFonts w:eastAsia="Times New Roman"/>
          <w:b/>
          <w:sz w:val="24"/>
          <w:szCs w:val="24"/>
        </w:rPr>
        <w:tab/>
        <w:t>BATTERY DEFENSES — RECAPTURE OF PERSONAL PROPERTY</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The defendant, </w:t>
      </w:r>
      <w:r w:rsidRPr="00DC0393">
        <w:rPr>
          <w:rFonts w:eastAsia="Times New Roman"/>
          <w:i/>
          <w:sz w:val="24"/>
          <w:szCs w:val="24"/>
        </w:rPr>
        <w:t>(name)</w:t>
      </w:r>
      <w:r w:rsidRPr="00DC0393">
        <w:rPr>
          <w:rFonts w:eastAsia="Times New Roman"/>
          <w:b/>
          <w:sz w:val="24"/>
          <w:szCs w:val="24"/>
        </w:rPr>
        <w:t xml:space="preserve">, is not legally responsible to the plaintiff, </w:t>
      </w:r>
      <w:r w:rsidRPr="00DC0393">
        <w:rPr>
          <w:rFonts w:eastAsia="Times New Roman"/>
          <w:i/>
          <w:sz w:val="24"/>
          <w:szCs w:val="24"/>
        </w:rPr>
        <w:t>(name)</w:t>
      </w:r>
      <w:r w:rsidRPr="00DC0393">
        <w:rPr>
          <w:rFonts w:eastAsia="Times New Roman"/>
          <w:b/>
          <w:sz w:val="24"/>
          <w:szCs w:val="24"/>
        </w:rPr>
        <w:t>, on (his) (her) claim of battery if the affirmative defense of privilege to retake personal property is proved. This defense is proved if you find all of the following:</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1. The defendant had possession of </w:t>
      </w:r>
      <w:r w:rsidRPr="00DC0393">
        <w:rPr>
          <w:rFonts w:eastAsia="Times New Roman"/>
          <w:i/>
          <w:sz w:val="24"/>
          <w:szCs w:val="24"/>
        </w:rPr>
        <w:t>(insert description of the property)</w:t>
      </w:r>
      <w:r w:rsidRPr="00DC0393">
        <w:rPr>
          <w:rFonts w:eastAsia="Times New Roman"/>
          <w:b/>
          <w:sz w:val="24"/>
          <w:szCs w:val="24"/>
        </w:rPr>
        <w:t xml:space="preserve"> (and was entitled to such possession);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2. The plaintiff (took possession of </w:t>
      </w:r>
      <w:r w:rsidRPr="00DC0393">
        <w:rPr>
          <w:rFonts w:eastAsia="Times New Roman"/>
          <w:i/>
          <w:sz w:val="24"/>
          <w:szCs w:val="24"/>
        </w:rPr>
        <w:t xml:space="preserve">[insert description of property] </w:t>
      </w:r>
      <w:r w:rsidRPr="00DC0393">
        <w:rPr>
          <w:rFonts w:eastAsia="Times New Roman"/>
          <w:b/>
          <w:sz w:val="24"/>
          <w:szCs w:val="24"/>
        </w:rPr>
        <w:t xml:space="preserve">either forcibly or fraudulently) (or) (took possession of </w:t>
      </w:r>
      <w:r w:rsidRPr="00DC0393">
        <w:rPr>
          <w:rFonts w:eastAsia="Times New Roman"/>
          <w:i/>
          <w:sz w:val="24"/>
          <w:szCs w:val="24"/>
        </w:rPr>
        <w:t>[insert description of property]</w:t>
      </w:r>
      <w:r w:rsidRPr="00DC0393">
        <w:rPr>
          <w:rFonts w:eastAsia="Times New Roman"/>
          <w:b/>
          <w:sz w:val="24"/>
          <w:szCs w:val="24"/>
        </w:rPr>
        <w:t xml:space="preserve"> from someone else knowing that the other person had forcibly or fraudulently deprived the defendant of [his] [her] possession of </w:t>
      </w:r>
      <w:r w:rsidRPr="00DC0393">
        <w:rPr>
          <w:rFonts w:eastAsia="Times New Roman"/>
          <w:i/>
          <w:sz w:val="24"/>
          <w:szCs w:val="24"/>
        </w:rPr>
        <w:t>[insert description of property]</w:t>
      </w:r>
      <w:r w:rsidRPr="00DC0393">
        <w:rPr>
          <w:rFonts w:eastAsia="Times New Roman"/>
          <w:b/>
          <w:sz w:val="24"/>
          <w:szCs w:val="24"/>
        </w:rPr>
        <w:t>);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3. The defendant (either) (was immediately aware that </w:t>
      </w:r>
      <w:r w:rsidRPr="00DC0393">
        <w:rPr>
          <w:rFonts w:eastAsia="Times New Roman"/>
          <w:i/>
          <w:sz w:val="24"/>
          <w:szCs w:val="24"/>
        </w:rPr>
        <w:t xml:space="preserve">[insert description of property] </w:t>
      </w:r>
      <w:r w:rsidRPr="00DC0393">
        <w:rPr>
          <w:rFonts w:eastAsia="Times New Roman"/>
          <w:b/>
          <w:sz w:val="24"/>
          <w:szCs w:val="24"/>
        </w:rPr>
        <w:t xml:space="preserve">had been taken from [his] [her] possession and [he] [she] took prompt action to retake possession) (or) ([he] [she] discovered within a reasonably short period of time that </w:t>
      </w:r>
      <w:r w:rsidRPr="00DC0393">
        <w:rPr>
          <w:rFonts w:eastAsia="Times New Roman"/>
          <w:i/>
          <w:sz w:val="24"/>
          <w:szCs w:val="24"/>
        </w:rPr>
        <w:t>[insert description of property]</w:t>
      </w:r>
      <w:r w:rsidRPr="00DC0393">
        <w:rPr>
          <w:rFonts w:eastAsia="Times New Roman"/>
          <w:b/>
          <w:sz w:val="24"/>
          <w:szCs w:val="24"/>
        </w:rPr>
        <w:t xml:space="preserve"> had been taken from [his] [her] possession and [he] [she] then took prompt action to retake possession of </w:t>
      </w:r>
      <w:r w:rsidRPr="00DC0393">
        <w:rPr>
          <w:rFonts w:eastAsia="Times New Roman"/>
          <w:i/>
          <w:sz w:val="24"/>
          <w:szCs w:val="24"/>
        </w:rPr>
        <w:t>[insert description of property]</w:t>
      </w:r>
      <w:r w:rsidRPr="00DC0393">
        <w:rPr>
          <w:rFonts w:eastAsia="Times New Roman"/>
          <w:b/>
          <w:sz w:val="24"/>
          <w:szCs w:val="24"/>
        </w:rPr>
        <w:t>);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4. Before using any force, the defendant (asked) (or) (told) the plaintiff to return </w:t>
      </w:r>
      <w:r w:rsidRPr="00DC0393">
        <w:rPr>
          <w:rFonts w:eastAsia="Times New Roman"/>
          <w:i/>
          <w:sz w:val="24"/>
          <w:szCs w:val="24"/>
        </w:rPr>
        <w:t>(insert description of the property)</w:t>
      </w:r>
      <w:r w:rsidRPr="00DC0393">
        <w:rPr>
          <w:rFonts w:eastAsia="Times New Roman"/>
          <w:b/>
          <w:sz w:val="24"/>
          <w:szCs w:val="24"/>
        </w:rPr>
        <w:t xml:space="preserve"> and gave (him) (her) a reasonable time to do so (or the defendant reasonably thought that under the circumstances such a request would be useless);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5. The defendant reasonably thought it was necessary under the circumstances to use force to retake possession of </w:t>
      </w:r>
      <w:r w:rsidRPr="00DC0393">
        <w:rPr>
          <w:rFonts w:eastAsia="Times New Roman"/>
          <w:i/>
          <w:sz w:val="24"/>
          <w:szCs w:val="24"/>
        </w:rPr>
        <w:t>(insert description of property)</w:t>
      </w:r>
      <w:r w:rsidRPr="00DC0393">
        <w:rPr>
          <w:rFonts w:eastAsia="Times New Roman"/>
          <w:b/>
          <w:sz w:val="24"/>
          <w:szCs w:val="24"/>
        </w:rPr>
        <w:t>; and</w:t>
      </w:r>
    </w:p>
    <w:p w:rsidR="00DC0393" w:rsidRPr="00DC0393" w:rsidRDefault="00DC0393" w:rsidP="00DC0393">
      <w:pPr>
        <w:spacing w:after="240"/>
        <w:ind w:firstLine="720"/>
        <w:rPr>
          <w:rFonts w:eastAsia="Times New Roman"/>
          <w:b/>
          <w:sz w:val="24"/>
          <w:szCs w:val="24"/>
        </w:rPr>
      </w:pPr>
      <w:r w:rsidRPr="00DC0393">
        <w:rPr>
          <w:rFonts w:eastAsia="Times New Roman"/>
          <w:b/>
          <w:sz w:val="24"/>
          <w:szCs w:val="24"/>
        </w:rPr>
        <w:t xml:space="preserve">6. The defendant used reasonable force to retake possession of </w:t>
      </w:r>
      <w:r w:rsidRPr="00DC0393">
        <w:rPr>
          <w:rFonts w:eastAsia="Times New Roman"/>
          <w:i/>
          <w:sz w:val="24"/>
          <w:szCs w:val="24"/>
        </w:rPr>
        <w:t>(insert description of property)</w:t>
      </w:r>
      <w:r w:rsidRPr="00DC0393">
        <w:rPr>
          <w:rFonts w:eastAsia="Times New Roman"/>
          <w:b/>
          <w:sz w:val="24"/>
          <w:szCs w:val="24"/>
        </w:rPr>
        <w:t>.</w:t>
      </w:r>
    </w:p>
    <w:p w:rsidR="00DC0393" w:rsidRDefault="00DC0393" w:rsidP="00DC0393">
      <w:pPr>
        <w:jc w:val="center"/>
        <w:rPr>
          <w:rFonts w:eastAsia="Times New Roman"/>
          <w:sz w:val="24"/>
          <w:szCs w:val="24"/>
        </w:rPr>
      </w:pPr>
    </w:p>
    <w:p w:rsidR="00DC0393" w:rsidRPr="0054263B" w:rsidRDefault="00DC0393" w:rsidP="00DC0393">
      <w:pPr>
        <w:keepNext/>
        <w:spacing w:after="240"/>
        <w:jc w:val="center"/>
        <w:rPr>
          <w:rFonts w:eastAsia="Times New Roman"/>
          <w:b/>
          <w:sz w:val="24"/>
          <w:szCs w:val="24"/>
        </w:rPr>
      </w:pPr>
      <w:r w:rsidRPr="0054263B">
        <w:rPr>
          <w:rFonts w:eastAsia="Times New Roman"/>
          <w:b/>
          <w:sz w:val="24"/>
          <w:szCs w:val="24"/>
        </w:rPr>
        <w:t>Notes on Use</w:t>
      </w:r>
    </w:p>
    <w:p w:rsidR="00DC0393" w:rsidRPr="00DC0393" w:rsidRDefault="00DC0393" w:rsidP="00DC0393">
      <w:pPr>
        <w:spacing w:after="240"/>
        <w:ind w:firstLine="720"/>
        <w:rPr>
          <w:rFonts w:eastAsia="Times New Roman"/>
          <w:sz w:val="24"/>
          <w:szCs w:val="24"/>
        </w:rPr>
      </w:pPr>
      <w:r w:rsidRPr="00DC0393">
        <w:rPr>
          <w:rFonts w:eastAsia="Times New Roman"/>
          <w:sz w:val="24"/>
          <w:szCs w:val="24"/>
        </w:rPr>
        <w:t>The Notes on Use to Instruction 20:15 are also applicable to this instruction and should be read and applied accordingly.</w:t>
      </w:r>
    </w:p>
    <w:p w:rsidR="00DC0393" w:rsidRPr="0054263B" w:rsidRDefault="00DC0393" w:rsidP="00DC0393">
      <w:pPr>
        <w:keepNext/>
        <w:spacing w:after="240"/>
        <w:jc w:val="center"/>
        <w:rPr>
          <w:rFonts w:eastAsia="Times New Roman"/>
          <w:b/>
          <w:sz w:val="24"/>
          <w:szCs w:val="24"/>
        </w:rPr>
      </w:pPr>
      <w:r>
        <w:rPr>
          <w:rFonts w:eastAsia="Times New Roman"/>
          <w:b/>
          <w:sz w:val="24"/>
          <w:szCs w:val="24"/>
        </w:rPr>
        <w:t>Source and Authority</w:t>
      </w:r>
    </w:p>
    <w:p w:rsidR="00DC0393" w:rsidRPr="00DC0393" w:rsidRDefault="00DC0393" w:rsidP="00DC0393">
      <w:pPr>
        <w:spacing w:after="240"/>
        <w:ind w:firstLine="720"/>
        <w:rPr>
          <w:rFonts w:eastAsia="Times New Roman"/>
          <w:sz w:val="24"/>
          <w:szCs w:val="24"/>
        </w:rPr>
      </w:pPr>
      <w:r w:rsidRPr="00DC0393">
        <w:rPr>
          <w:rFonts w:eastAsia="Times New Roman"/>
          <w:sz w:val="24"/>
          <w:szCs w:val="24"/>
        </w:rPr>
        <w:t xml:space="preserve">1. This instruction is supported by the general law as set out in </w:t>
      </w:r>
      <w:r w:rsidRPr="00DC0393">
        <w:rPr>
          <w:rFonts w:eastAsia="Times New Roman"/>
          <w:smallCaps/>
          <w:sz w:val="24"/>
          <w:szCs w:val="24"/>
        </w:rPr>
        <w:t>W. Page Keeton et al., Prosser and Keeton on the Law of Torts</w:t>
      </w:r>
      <w:r w:rsidRPr="00DC0393">
        <w:rPr>
          <w:rFonts w:eastAsia="Times New Roman"/>
          <w:sz w:val="24"/>
          <w:szCs w:val="24"/>
        </w:rPr>
        <w:t xml:space="preserve"> § 22, at 137-39 (5th ed. 1984); and </w:t>
      </w:r>
      <w:r w:rsidRPr="00074558">
        <w:rPr>
          <w:rFonts w:eastAsia="Times New Roman"/>
          <w:smallCaps/>
          <w:sz w:val="24"/>
          <w:szCs w:val="24"/>
        </w:rPr>
        <w:t>Restatement (Second) of Torts</w:t>
      </w:r>
      <w:r w:rsidRPr="00DC0393">
        <w:rPr>
          <w:rFonts w:eastAsia="Times New Roman"/>
          <w:sz w:val="24"/>
          <w:szCs w:val="24"/>
        </w:rPr>
        <w:t xml:space="preserve"> §§ 100-106 (1965).</w:t>
      </w:r>
    </w:p>
    <w:p w:rsidR="00642649" w:rsidRPr="004D2C99" w:rsidRDefault="00DC0393" w:rsidP="004D2C99">
      <w:pPr>
        <w:spacing w:after="240"/>
        <w:ind w:firstLine="720"/>
        <w:rPr>
          <w:rFonts w:eastAsia="Times New Roman"/>
          <w:sz w:val="24"/>
          <w:szCs w:val="24"/>
        </w:rPr>
      </w:pPr>
      <w:r w:rsidRPr="00DC0393">
        <w:rPr>
          <w:rFonts w:eastAsia="Times New Roman"/>
          <w:sz w:val="24"/>
          <w:szCs w:val="24"/>
        </w:rPr>
        <w:t xml:space="preserve">2. If the plaintiff lawfully acquired possession, the defense of privilege to recapture is not applicable. </w:t>
      </w:r>
      <w:r w:rsidRPr="00074558">
        <w:rPr>
          <w:rFonts w:eastAsia="Times New Roman"/>
          <w:smallCaps/>
          <w:sz w:val="24"/>
          <w:szCs w:val="24"/>
        </w:rPr>
        <w:t>Prosser and Keeton on the Law of Torts</w:t>
      </w:r>
      <w:r w:rsidRPr="00DC0393">
        <w:rPr>
          <w:rFonts w:eastAsia="Times New Roman"/>
          <w:sz w:val="24"/>
          <w:szCs w:val="24"/>
        </w:rPr>
        <w:t xml:space="preserve">, </w:t>
      </w:r>
      <w:r w:rsidRPr="00DC0393">
        <w:rPr>
          <w:rFonts w:eastAsia="Times New Roman"/>
          <w:i/>
          <w:sz w:val="24"/>
          <w:szCs w:val="24"/>
        </w:rPr>
        <w:t>supra</w:t>
      </w:r>
      <w:r w:rsidRPr="00DC0393">
        <w:rPr>
          <w:rFonts w:eastAsia="Times New Roman"/>
          <w:sz w:val="24"/>
          <w:szCs w:val="24"/>
        </w:rPr>
        <w:t>, § 22, at 138.</w:t>
      </w:r>
    </w:p>
    <w:sectPr w:rsidR="00642649" w:rsidRPr="004D2C99"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191" w:rsidRDefault="00F86191" w:rsidP="0054263B">
      <w:r>
        <w:separator/>
      </w:r>
    </w:p>
    <w:p w:rsidR="00F86191" w:rsidRDefault="00F86191"/>
  </w:endnote>
  <w:endnote w:type="continuationSeparator" w:id="0">
    <w:p w:rsidR="00F86191" w:rsidRDefault="00F86191" w:rsidP="0054263B">
      <w:r>
        <w:continuationSeparator/>
      </w:r>
    </w:p>
    <w:p w:rsidR="00F86191" w:rsidRDefault="00F861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704159"/>
      <w:docPartObj>
        <w:docPartGallery w:val="Page Numbers (Bottom of Page)"/>
        <w:docPartUnique/>
      </w:docPartObj>
    </w:sdtPr>
    <w:sdtEndPr>
      <w:rPr>
        <w:noProof/>
      </w:rPr>
    </w:sdtEndPr>
    <w:sdtContent>
      <w:p w:rsidR="00074558" w:rsidRDefault="00074558">
        <w:pPr>
          <w:pStyle w:val="Footer"/>
          <w:jc w:val="center"/>
        </w:pPr>
        <w:r>
          <w:fldChar w:fldCharType="begin"/>
        </w:r>
        <w:r>
          <w:instrText xml:space="preserve"> PAGE   \* MERGEFORMAT </w:instrText>
        </w:r>
        <w:r>
          <w:fldChar w:fldCharType="separate"/>
        </w:r>
        <w:r w:rsidR="00E55D0B">
          <w:rPr>
            <w:noProof/>
          </w:rPr>
          <w:t>2</w:t>
        </w:r>
        <w:r>
          <w:rPr>
            <w:noProof/>
          </w:rPr>
          <w:fldChar w:fldCharType="end"/>
        </w:r>
      </w:p>
    </w:sdtContent>
  </w:sdt>
  <w:p w:rsidR="00074558" w:rsidRDefault="00074558">
    <w:pPr>
      <w:pStyle w:val="Footer"/>
    </w:pPr>
  </w:p>
  <w:p w:rsidR="00074558" w:rsidRDefault="000745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191" w:rsidRDefault="00F86191" w:rsidP="0054263B">
      <w:r>
        <w:separator/>
      </w:r>
    </w:p>
    <w:p w:rsidR="00F86191" w:rsidRDefault="00F86191"/>
  </w:footnote>
  <w:footnote w:type="continuationSeparator" w:id="0">
    <w:p w:rsidR="00F86191" w:rsidRDefault="00F86191" w:rsidP="0054263B">
      <w:r>
        <w:continuationSeparator/>
      </w:r>
    </w:p>
    <w:p w:rsidR="00F86191" w:rsidRDefault="00F8619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4B85"/>
    <w:rsid w:val="00037111"/>
    <w:rsid w:val="0006367C"/>
    <w:rsid w:val="00074558"/>
    <w:rsid w:val="000824C8"/>
    <w:rsid w:val="00085495"/>
    <w:rsid w:val="000921F1"/>
    <w:rsid w:val="000962C8"/>
    <w:rsid w:val="000A040F"/>
    <w:rsid w:val="000B1B7A"/>
    <w:rsid w:val="000C204E"/>
    <w:rsid w:val="000C503A"/>
    <w:rsid w:val="000C6F97"/>
    <w:rsid w:val="000C733C"/>
    <w:rsid w:val="000D4856"/>
    <w:rsid w:val="000F205C"/>
    <w:rsid w:val="001117D9"/>
    <w:rsid w:val="00112C8E"/>
    <w:rsid w:val="00112FF9"/>
    <w:rsid w:val="00125209"/>
    <w:rsid w:val="00126B7A"/>
    <w:rsid w:val="00144917"/>
    <w:rsid w:val="001608FF"/>
    <w:rsid w:val="001671A9"/>
    <w:rsid w:val="00172674"/>
    <w:rsid w:val="00174BB5"/>
    <w:rsid w:val="0018388B"/>
    <w:rsid w:val="001903CB"/>
    <w:rsid w:val="001913B1"/>
    <w:rsid w:val="00191498"/>
    <w:rsid w:val="00191C86"/>
    <w:rsid w:val="001A2648"/>
    <w:rsid w:val="001E0F3B"/>
    <w:rsid w:val="001F0193"/>
    <w:rsid w:val="00200BA5"/>
    <w:rsid w:val="00202B81"/>
    <w:rsid w:val="002065D8"/>
    <w:rsid w:val="0021368F"/>
    <w:rsid w:val="0021730E"/>
    <w:rsid w:val="00217435"/>
    <w:rsid w:val="0022134E"/>
    <w:rsid w:val="00223286"/>
    <w:rsid w:val="00227D3A"/>
    <w:rsid w:val="0024062B"/>
    <w:rsid w:val="0024597C"/>
    <w:rsid w:val="002547C3"/>
    <w:rsid w:val="002654B4"/>
    <w:rsid w:val="00267805"/>
    <w:rsid w:val="00273777"/>
    <w:rsid w:val="00293F7E"/>
    <w:rsid w:val="002A23B0"/>
    <w:rsid w:val="002A6EC7"/>
    <w:rsid w:val="002B5FCF"/>
    <w:rsid w:val="002D163D"/>
    <w:rsid w:val="002E0970"/>
    <w:rsid w:val="002E562A"/>
    <w:rsid w:val="002F0E75"/>
    <w:rsid w:val="002F48D6"/>
    <w:rsid w:val="00304398"/>
    <w:rsid w:val="00316D33"/>
    <w:rsid w:val="00320613"/>
    <w:rsid w:val="003247EA"/>
    <w:rsid w:val="003259EE"/>
    <w:rsid w:val="00333886"/>
    <w:rsid w:val="00335934"/>
    <w:rsid w:val="00336CE4"/>
    <w:rsid w:val="00345533"/>
    <w:rsid w:val="00352111"/>
    <w:rsid w:val="00352433"/>
    <w:rsid w:val="00352696"/>
    <w:rsid w:val="00353044"/>
    <w:rsid w:val="003613FE"/>
    <w:rsid w:val="00382177"/>
    <w:rsid w:val="003837B6"/>
    <w:rsid w:val="003937B8"/>
    <w:rsid w:val="003A2F1C"/>
    <w:rsid w:val="003A5A75"/>
    <w:rsid w:val="003D027F"/>
    <w:rsid w:val="003D1B54"/>
    <w:rsid w:val="003D370E"/>
    <w:rsid w:val="003E472A"/>
    <w:rsid w:val="003E5B38"/>
    <w:rsid w:val="003F108C"/>
    <w:rsid w:val="003F6E89"/>
    <w:rsid w:val="00434371"/>
    <w:rsid w:val="004425AA"/>
    <w:rsid w:val="00456038"/>
    <w:rsid w:val="00467B80"/>
    <w:rsid w:val="0047120C"/>
    <w:rsid w:val="00471618"/>
    <w:rsid w:val="00473B65"/>
    <w:rsid w:val="00474B1B"/>
    <w:rsid w:val="0048541F"/>
    <w:rsid w:val="0049313F"/>
    <w:rsid w:val="004A1210"/>
    <w:rsid w:val="004A32E6"/>
    <w:rsid w:val="004B753E"/>
    <w:rsid w:val="004C62F9"/>
    <w:rsid w:val="004C723A"/>
    <w:rsid w:val="004D2C99"/>
    <w:rsid w:val="004E0408"/>
    <w:rsid w:val="004E7EF1"/>
    <w:rsid w:val="005065E6"/>
    <w:rsid w:val="0051385E"/>
    <w:rsid w:val="00516447"/>
    <w:rsid w:val="0052537F"/>
    <w:rsid w:val="00527A18"/>
    <w:rsid w:val="00531F87"/>
    <w:rsid w:val="0053544D"/>
    <w:rsid w:val="0054263B"/>
    <w:rsid w:val="00547D97"/>
    <w:rsid w:val="00550AFD"/>
    <w:rsid w:val="00557FCC"/>
    <w:rsid w:val="0056294C"/>
    <w:rsid w:val="005648EF"/>
    <w:rsid w:val="0057771F"/>
    <w:rsid w:val="005A22A6"/>
    <w:rsid w:val="005B3A78"/>
    <w:rsid w:val="005C56C9"/>
    <w:rsid w:val="005C5CCB"/>
    <w:rsid w:val="005D1AD3"/>
    <w:rsid w:val="005D3156"/>
    <w:rsid w:val="005E712D"/>
    <w:rsid w:val="005F1017"/>
    <w:rsid w:val="005F19FD"/>
    <w:rsid w:val="005F5A94"/>
    <w:rsid w:val="006272FE"/>
    <w:rsid w:val="00631BFF"/>
    <w:rsid w:val="00642649"/>
    <w:rsid w:val="00647CC5"/>
    <w:rsid w:val="00651A64"/>
    <w:rsid w:val="00661D05"/>
    <w:rsid w:val="00675252"/>
    <w:rsid w:val="00682B93"/>
    <w:rsid w:val="0068336D"/>
    <w:rsid w:val="00683FA1"/>
    <w:rsid w:val="00685E76"/>
    <w:rsid w:val="00687304"/>
    <w:rsid w:val="00697DF2"/>
    <w:rsid w:val="006A74B6"/>
    <w:rsid w:val="006B2457"/>
    <w:rsid w:val="006B26D7"/>
    <w:rsid w:val="006E0D06"/>
    <w:rsid w:val="006E3575"/>
    <w:rsid w:val="006E62F0"/>
    <w:rsid w:val="006F7581"/>
    <w:rsid w:val="006F7DC0"/>
    <w:rsid w:val="00702B5A"/>
    <w:rsid w:val="0070752A"/>
    <w:rsid w:val="007119D8"/>
    <w:rsid w:val="0071225B"/>
    <w:rsid w:val="00713866"/>
    <w:rsid w:val="007216DA"/>
    <w:rsid w:val="00724230"/>
    <w:rsid w:val="007340B5"/>
    <w:rsid w:val="007532AB"/>
    <w:rsid w:val="00766F81"/>
    <w:rsid w:val="00770FFC"/>
    <w:rsid w:val="00787065"/>
    <w:rsid w:val="00792028"/>
    <w:rsid w:val="007A3A0E"/>
    <w:rsid w:val="007A612E"/>
    <w:rsid w:val="007B1633"/>
    <w:rsid w:val="007D168F"/>
    <w:rsid w:val="007D198E"/>
    <w:rsid w:val="007D2BCE"/>
    <w:rsid w:val="007D39CC"/>
    <w:rsid w:val="007E1675"/>
    <w:rsid w:val="007F7129"/>
    <w:rsid w:val="00801691"/>
    <w:rsid w:val="00806282"/>
    <w:rsid w:val="00813A6B"/>
    <w:rsid w:val="0082168C"/>
    <w:rsid w:val="0083254A"/>
    <w:rsid w:val="0083264A"/>
    <w:rsid w:val="00832DB4"/>
    <w:rsid w:val="0083763B"/>
    <w:rsid w:val="00837F81"/>
    <w:rsid w:val="00845F81"/>
    <w:rsid w:val="00850A48"/>
    <w:rsid w:val="00853ECF"/>
    <w:rsid w:val="008557E1"/>
    <w:rsid w:val="0086735A"/>
    <w:rsid w:val="008703EF"/>
    <w:rsid w:val="00875064"/>
    <w:rsid w:val="008812A8"/>
    <w:rsid w:val="00881431"/>
    <w:rsid w:val="00894209"/>
    <w:rsid w:val="00895065"/>
    <w:rsid w:val="008A1099"/>
    <w:rsid w:val="008A475A"/>
    <w:rsid w:val="008A6339"/>
    <w:rsid w:val="008A637B"/>
    <w:rsid w:val="008B1617"/>
    <w:rsid w:val="008C1739"/>
    <w:rsid w:val="008D2D56"/>
    <w:rsid w:val="008D4A28"/>
    <w:rsid w:val="008D609F"/>
    <w:rsid w:val="008D7ECC"/>
    <w:rsid w:val="008E41F1"/>
    <w:rsid w:val="008E51AF"/>
    <w:rsid w:val="008F4C42"/>
    <w:rsid w:val="008F746C"/>
    <w:rsid w:val="009007E8"/>
    <w:rsid w:val="009022AA"/>
    <w:rsid w:val="0090292A"/>
    <w:rsid w:val="00902A25"/>
    <w:rsid w:val="00914128"/>
    <w:rsid w:val="00932723"/>
    <w:rsid w:val="00935DA8"/>
    <w:rsid w:val="00936D0A"/>
    <w:rsid w:val="00950692"/>
    <w:rsid w:val="00952BBB"/>
    <w:rsid w:val="0095709A"/>
    <w:rsid w:val="009725D8"/>
    <w:rsid w:val="00973884"/>
    <w:rsid w:val="009902F2"/>
    <w:rsid w:val="009931B9"/>
    <w:rsid w:val="009A5AA6"/>
    <w:rsid w:val="009B6746"/>
    <w:rsid w:val="009C0C3F"/>
    <w:rsid w:val="009E20C7"/>
    <w:rsid w:val="009E3DA4"/>
    <w:rsid w:val="009F581C"/>
    <w:rsid w:val="00A005E6"/>
    <w:rsid w:val="00A06ED6"/>
    <w:rsid w:val="00A10F3D"/>
    <w:rsid w:val="00A110C7"/>
    <w:rsid w:val="00A36457"/>
    <w:rsid w:val="00A50F20"/>
    <w:rsid w:val="00A523E6"/>
    <w:rsid w:val="00A632A0"/>
    <w:rsid w:val="00A73AE6"/>
    <w:rsid w:val="00A76341"/>
    <w:rsid w:val="00A80C10"/>
    <w:rsid w:val="00A82D0A"/>
    <w:rsid w:val="00A85AAA"/>
    <w:rsid w:val="00A92C18"/>
    <w:rsid w:val="00AB2019"/>
    <w:rsid w:val="00AB71A7"/>
    <w:rsid w:val="00AC78F7"/>
    <w:rsid w:val="00AD4B56"/>
    <w:rsid w:val="00AF7D47"/>
    <w:rsid w:val="00B0264D"/>
    <w:rsid w:val="00B338E2"/>
    <w:rsid w:val="00B35185"/>
    <w:rsid w:val="00B37722"/>
    <w:rsid w:val="00B567C1"/>
    <w:rsid w:val="00B579DF"/>
    <w:rsid w:val="00B6275E"/>
    <w:rsid w:val="00B70D68"/>
    <w:rsid w:val="00B719C2"/>
    <w:rsid w:val="00B72D6B"/>
    <w:rsid w:val="00B80FD1"/>
    <w:rsid w:val="00B937E4"/>
    <w:rsid w:val="00B97801"/>
    <w:rsid w:val="00BA2389"/>
    <w:rsid w:val="00BA27A8"/>
    <w:rsid w:val="00BA510E"/>
    <w:rsid w:val="00BB344E"/>
    <w:rsid w:val="00BB4613"/>
    <w:rsid w:val="00BC49BF"/>
    <w:rsid w:val="00BC65EF"/>
    <w:rsid w:val="00BE2B09"/>
    <w:rsid w:val="00BE654D"/>
    <w:rsid w:val="00BE6634"/>
    <w:rsid w:val="00BF5DF3"/>
    <w:rsid w:val="00C21D93"/>
    <w:rsid w:val="00C225C9"/>
    <w:rsid w:val="00C26751"/>
    <w:rsid w:val="00C40968"/>
    <w:rsid w:val="00C473A2"/>
    <w:rsid w:val="00C60E95"/>
    <w:rsid w:val="00C610EC"/>
    <w:rsid w:val="00C724B6"/>
    <w:rsid w:val="00C84E71"/>
    <w:rsid w:val="00C87463"/>
    <w:rsid w:val="00C8797B"/>
    <w:rsid w:val="00C93B0B"/>
    <w:rsid w:val="00C94C5E"/>
    <w:rsid w:val="00CA41CC"/>
    <w:rsid w:val="00CA7EF2"/>
    <w:rsid w:val="00CB008B"/>
    <w:rsid w:val="00CC0502"/>
    <w:rsid w:val="00CC1AC8"/>
    <w:rsid w:val="00CC6A95"/>
    <w:rsid w:val="00CC7E17"/>
    <w:rsid w:val="00CD4A7D"/>
    <w:rsid w:val="00CE593D"/>
    <w:rsid w:val="00CF07F1"/>
    <w:rsid w:val="00D00330"/>
    <w:rsid w:val="00D0050C"/>
    <w:rsid w:val="00D014AE"/>
    <w:rsid w:val="00D05926"/>
    <w:rsid w:val="00D06D8D"/>
    <w:rsid w:val="00D16901"/>
    <w:rsid w:val="00D23BD0"/>
    <w:rsid w:val="00D333AA"/>
    <w:rsid w:val="00D347CA"/>
    <w:rsid w:val="00D51E80"/>
    <w:rsid w:val="00D53848"/>
    <w:rsid w:val="00D53AC5"/>
    <w:rsid w:val="00D5484F"/>
    <w:rsid w:val="00D8125F"/>
    <w:rsid w:val="00D90E67"/>
    <w:rsid w:val="00DA1796"/>
    <w:rsid w:val="00DA2814"/>
    <w:rsid w:val="00DB2C90"/>
    <w:rsid w:val="00DC0393"/>
    <w:rsid w:val="00DC63A9"/>
    <w:rsid w:val="00DC66A6"/>
    <w:rsid w:val="00DC7533"/>
    <w:rsid w:val="00DE2930"/>
    <w:rsid w:val="00DF2CB7"/>
    <w:rsid w:val="00DF3BF1"/>
    <w:rsid w:val="00DF7595"/>
    <w:rsid w:val="00E007F8"/>
    <w:rsid w:val="00E058BA"/>
    <w:rsid w:val="00E111AA"/>
    <w:rsid w:val="00E172C8"/>
    <w:rsid w:val="00E21120"/>
    <w:rsid w:val="00E24E10"/>
    <w:rsid w:val="00E2724A"/>
    <w:rsid w:val="00E30D4B"/>
    <w:rsid w:val="00E50187"/>
    <w:rsid w:val="00E55147"/>
    <w:rsid w:val="00E551EB"/>
    <w:rsid w:val="00E55D0B"/>
    <w:rsid w:val="00E67638"/>
    <w:rsid w:val="00E70C9B"/>
    <w:rsid w:val="00E72FF1"/>
    <w:rsid w:val="00E7526A"/>
    <w:rsid w:val="00E87248"/>
    <w:rsid w:val="00E87C31"/>
    <w:rsid w:val="00E87FFB"/>
    <w:rsid w:val="00E93068"/>
    <w:rsid w:val="00E970B9"/>
    <w:rsid w:val="00EB113C"/>
    <w:rsid w:val="00EB5133"/>
    <w:rsid w:val="00EC16F4"/>
    <w:rsid w:val="00EC17E3"/>
    <w:rsid w:val="00EC3919"/>
    <w:rsid w:val="00EC7C98"/>
    <w:rsid w:val="00ED5E52"/>
    <w:rsid w:val="00ED7176"/>
    <w:rsid w:val="00ED75EA"/>
    <w:rsid w:val="00EF4043"/>
    <w:rsid w:val="00F022D4"/>
    <w:rsid w:val="00F062A4"/>
    <w:rsid w:val="00F32AA4"/>
    <w:rsid w:val="00F573CF"/>
    <w:rsid w:val="00F57A2B"/>
    <w:rsid w:val="00F658E5"/>
    <w:rsid w:val="00F764F4"/>
    <w:rsid w:val="00F86191"/>
    <w:rsid w:val="00F86F49"/>
    <w:rsid w:val="00FA333E"/>
    <w:rsid w:val="00FA7B76"/>
    <w:rsid w:val="00FC544C"/>
    <w:rsid w:val="00FD2DF4"/>
    <w:rsid w:val="00FD7D4E"/>
    <w:rsid w:val="00FE00D7"/>
    <w:rsid w:val="00FE156B"/>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7C3C1499"/>
  <w15:docId w15:val="{B496314B-A339-44D8-B03D-934A2902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5588</Words>
  <Characters>31854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beck, jeremy</cp:lastModifiedBy>
  <cp:revision>2</cp:revision>
  <dcterms:created xsi:type="dcterms:W3CDTF">2019-12-12T17:42:00Z</dcterms:created>
  <dcterms:modified xsi:type="dcterms:W3CDTF">2019-12-12T17:42:00Z</dcterms:modified>
</cp:coreProperties>
</file>