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9A35" w14:textId="77777777" w:rsidR="00CA41CC" w:rsidRPr="00914128" w:rsidRDefault="0068336D" w:rsidP="00914128">
      <w:pPr>
        <w:pStyle w:val="Heading1"/>
      </w:pPr>
      <w:bookmarkStart w:id="0" w:name="_GoBack"/>
      <w:bookmarkEnd w:id="0"/>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4B0E7F"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4B0E7F" w:rsidP="00914128">
      <w:pPr>
        <w:pStyle w:val="ToC"/>
      </w:pPr>
      <w:hyperlink w:anchor="a30_01" w:history="1">
        <w:r w:rsidR="00770AB7" w:rsidRPr="00AE1C04">
          <w:rPr>
            <w:rStyle w:val="Hyperlink"/>
          </w:rPr>
          <w:t>30:1</w:t>
        </w:r>
      </w:hyperlink>
      <w:r w:rsidR="00770AB7" w:rsidRPr="00AE1C04">
        <w:tab/>
        <w:t>Contract Formation ― In Dispute</w:t>
      </w:r>
    </w:p>
    <w:p w14:paraId="13A6BC2F" w14:textId="77777777" w:rsidR="00AE1C04" w:rsidRDefault="004B0E7F"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4B0E7F"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4B0E7F"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4B0E7F"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4B0E7F"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4B0E7F"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4B0E7F"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4B0E7F"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4B0E7F"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4B0E7F" w:rsidP="00A73FC9">
      <w:pPr>
        <w:pStyle w:val="ToC"/>
      </w:pPr>
      <w:hyperlink w:anchor="a30_11" w:history="1">
        <w:r w:rsidR="00770AB7" w:rsidRPr="00AE1C04">
          <w:rPr>
            <w:rStyle w:val="Hyperlink"/>
          </w:rPr>
          <w:t>30:11</w:t>
        </w:r>
      </w:hyperlink>
      <w:r w:rsidR="00770AB7" w:rsidRPr="00AE1C04">
        <w:tab/>
        <w:t xml:space="preserve">Contract Performance — Breach </w:t>
      </w:r>
      <w:r w:rsidR="00770AB7">
        <w:t xml:space="preserve">of </w:t>
      </w:r>
      <w:r w:rsidR="00770AB7" w:rsidRPr="00AE1C04">
        <w:t>Contract Defined</w:t>
      </w:r>
    </w:p>
    <w:p w14:paraId="6CC9DDD5" w14:textId="77777777" w:rsidR="00AE1C04" w:rsidRDefault="004B0E7F"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4B0E7F"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4B0E7F"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4B0E7F"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4B0E7F"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4B0E7F"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4B0E7F" w:rsidP="00A73FC9">
      <w:pPr>
        <w:pStyle w:val="ToC"/>
      </w:pPr>
      <w:hyperlink w:anchor="IntroNoteC" w:history="1">
        <w:r w:rsidR="003F4A7F" w:rsidRPr="006F590D">
          <w:rPr>
            <w:rStyle w:val="Hyperlink"/>
          </w:rPr>
          <w:t>Introductory Note</w:t>
        </w:r>
      </w:hyperlink>
    </w:p>
    <w:p w14:paraId="0592BB4E" w14:textId="77777777" w:rsidR="003F4A7F" w:rsidRDefault="004B0E7F"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4B0E7F"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4B0E7F"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4B0E7F"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4B0E7F"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4B0E7F"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4B0E7F" w:rsidP="00A73FC9">
      <w:pPr>
        <w:pStyle w:val="ToC"/>
      </w:pPr>
      <w:hyperlink w:anchor="a30_24" w:history="1">
        <w:r w:rsidR="00770AB7" w:rsidRPr="00AC646C">
          <w:rPr>
            <w:rStyle w:val="Hyperlink"/>
          </w:rPr>
          <w:t>30:24</w:t>
        </w:r>
      </w:hyperlink>
      <w:r w:rsidR="00AB477F">
        <w:tab/>
        <w:t xml:space="preserve">Defense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4B0E7F"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4B0E7F"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4B0E7F"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4B0E7F"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4B0E7F"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4B0E7F" w:rsidP="00A73FC9">
      <w:pPr>
        <w:pStyle w:val="ToC"/>
      </w:pPr>
      <w:hyperlink w:anchor="IntroNoteD" w:history="1">
        <w:r w:rsidR="00AC646C" w:rsidRPr="006F590D">
          <w:rPr>
            <w:rStyle w:val="Hyperlink"/>
          </w:rPr>
          <w:t>Introductory Note</w:t>
        </w:r>
      </w:hyperlink>
    </w:p>
    <w:p w14:paraId="576EBBDD" w14:textId="77777777" w:rsidR="00AC646C" w:rsidRDefault="004B0E7F" w:rsidP="00A73FC9">
      <w:pPr>
        <w:pStyle w:val="ToC"/>
      </w:pPr>
      <w:hyperlink w:anchor="a30_30" w:history="1">
        <w:r w:rsidR="00770AB7" w:rsidRPr="00AC646C">
          <w:rPr>
            <w:rStyle w:val="Hyperlink"/>
          </w:rPr>
          <w:t>30:30</w:t>
        </w:r>
      </w:hyperlink>
      <w:r w:rsidR="00770AB7" w:rsidRPr="00AC646C">
        <w:tab/>
        <w:t>Contract Interpretation — Disputed Term</w:t>
      </w:r>
    </w:p>
    <w:p w14:paraId="4E29E2A1" w14:textId="77777777" w:rsidR="00AC646C" w:rsidRDefault="004B0E7F"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4B0E7F"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4B0E7F"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4B0E7F"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4B0E7F" w:rsidP="00A73FC9">
      <w:pPr>
        <w:pStyle w:val="ToC"/>
      </w:pPr>
      <w:hyperlink w:anchor="a30_35" w:history="1">
        <w:r w:rsidR="00770AB7" w:rsidRPr="00AC646C">
          <w:rPr>
            <w:rStyle w:val="Hyperlink"/>
          </w:rPr>
          <w:t>30:35</w:t>
        </w:r>
      </w:hyperlink>
      <w:r w:rsidR="00770AB7" w:rsidRPr="00AC646C">
        <w:tab/>
        <w:t>Contract Interpretation — Construction Against Drafter</w:t>
      </w:r>
    </w:p>
    <w:p w14:paraId="3FAABF3E" w14:textId="77777777" w:rsidR="00AC646C" w:rsidRDefault="004B0E7F"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4B0E7F" w:rsidP="00A73FC9">
      <w:pPr>
        <w:pStyle w:val="ToC"/>
      </w:pPr>
      <w:hyperlink w:anchor="IntroNoteE" w:history="1">
        <w:r w:rsidR="00AC646C" w:rsidRPr="006F590D">
          <w:rPr>
            <w:rStyle w:val="Hyperlink"/>
          </w:rPr>
          <w:t>Introductory Note</w:t>
        </w:r>
      </w:hyperlink>
    </w:p>
    <w:p w14:paraId="38AB42C7" w14:textId="77777777" w:rsidR="00AC646C" w:rsidRDefault="004B0E7F"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4B0E7F"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4B0E7F"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4B0E7F"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4B0E7F"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4B0E7F"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4B0E7F"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4B0E7F"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4B0E7F"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4B0E7F"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77777777" w:rsidR="00AC646C" w:rsidRDefault="004B0E7F" w:rsidP="00A73FC9">
      <w:pPr>
        <w:pStyle w:val="ToC"/>
      </w:pPr>
      <w:hyperlink w:anchor="a30_47" w:history="1">
        <w:r w:rsidR="00770AB7" w:rsidRPr="00AC646C">
          <w:rPr>
            <w:rStyle w:val="Hyperlink"/>
          </w:rPr>
          <w:t>30:47</w:t>
        </w:r>
      </w:hyperlink>
      <w:r w:rsidR="00AB477F">
        <w:t xml:space="preserve"> </w:t>
      </w:r>
      <w:r w:rsidR="00AB477F">
        <w:tab/>
        <w:t xml:space="preserve">Definition — </w:t>
      </w:r>
      <w:r w:rsidR="00770AB7" w:rsidRPr="00AC646C">
        <w:t>Contract Price Agreed Upon</w:t>
      </w:r>
    </w:p>
    <w:p w14:paraId="0E17F2AA" w14:textId="77777777" w:rsidR="00AC646C" w:rsidRDefault="004B0E7F" w:rsidP="00A73FC9">
      <w:pPr>
        <w:pStyle w:val="ToC"/>
      </w:pPr>
      <w:hyperlink w:anchor="a30_48" w:history="1">
        <w:r w:rsidR="00770AB7" w:rsidRPr="00AC646C">
          <w:rPr>
            <w:rStyle w:val="Hyperlink"/>
          </w:rPr>
          <w:t>30:48</w:t>
        </w:r>
      </w:hyperlink>
      <w:r w:rsidR="00AB477F">
        <w:t xml:space="preserve"> </w:t>
      </w:r>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7777777" w:rsidR="00AC646C" w:rsidRDefault="004B0E7F" w:rsidP="00A73FC9">
      <w:pPr>
        <w:pStyle w:val="ToC"/>
      </w:pPr>
      <w:hyperlink w:anchor="a30_49" w:history="1">
        <w:r w:rsidR="00770AB7" w:rsidRPr="00AC646C">
          <w:rPr>
            <w:rStyle w:val="Hyperlink"/>
          </w:rPr>
          <w:t>30:49</w:t>
        </w:r>
      </w:hyperlink>
      <w:r w:rsidR="00AB477F">
        <w:t xml:space="preserve"> </w:t>
      </w:r>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77777777" w:rsidR="00AC646C" w:rsidRDefault="004B0E7F" w:rsidP="00A73FC9">
      <w:pPr>
        <w:pStyle w:val="ToC"/>
      </w:pPr>
      <w:hyperlink w:anchor="a30_50" w:history="1">
        <w:r w:rsidR="00770AB7" w:rsidRPr="00AC646C">
          <w:rPr>
            <w:rStyle w:val="Hyperlink"/>
          </w:rPr>
          <w:t>30:50</w:t>
        </w:r>
      </w:hyperlink>
      <w:r w:rsidR="00AB477F">
        <w:t xml:space="preserve"> </w:t>
      </w:r>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77777777" w:rsidR="00AC646C" w:rsidRDefault="004B0E7F" w:rsidP="00A73FC9">
      <w:pPr>
        <w:pStyle w:val="ToC"/>
      </w:pPr>
      <w:hyperlink w:anchor="a30_51" w:history="1">
        <w:r w:rsidR="00770AB7" w:rsidRPr="00AC646C">
          <w:rPr>
            <w:rStyle w:val="Hyperlink"/>
          </w:rPr>
          <w:t>30:51</w:t>
        </w:r>
      </w:hyperlink>
      <w:r w:rsidR="00AB477F">
        <w:t xml:space="preserve"> </w:t>
      </w:r>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77777777" w:rsidR="00AC646C" w:rsidRDefault="004B0E7F" w:rsidP="00A73FC9">
      <w:pPr>
        <w:pStyle w:val="ToC"/>
      </w:pPr>
      <w:hyperlink w:anchor="a30_52" w:history="1">
        <w:r w:rsidR="00770AB7" w:rsidRPr="00AC646C">
          <w:rPr>
            <w:rStyle w:val="Hyperlink"/>
          </w:rPr>
          <w:t>30:52</w:t>
        </w:r>
      </w:hyperlink>
      <w:r w:rsidR="00AB477F">
        <w:t xml:space="preserve">  </w:t>
      </w:r>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4B0E7F"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Covenant Against Encumbrances</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77777777" w:rsidR="002B5FCF" w:rsidRDefault="004B0E7F" w:rsidP="002B5FCF">
      <w:pPr>
        <w:pStyle w:val="ToC"/>
      </w:pPr>
      <w:hyperlink w:anchor="a30_54" w:history="1">
        <w:r w:rsidR="00770AB7" w:rsidRPr="00AC646C">
          <w:rPr>
            <w:rStyle w:val="Hyperlink"/>
          </w:rPr>
          <w:t>30:54</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7777777" w:rsidR="00AC646C" w:rsidRDefault="004B0E7F" w:rsidP="002B5FCF">
      <w:pPr>
        <w:pStyle w:val="ToC"/>
      </w:pPr>
      <w:hyperlink w:anchor="a30_55" w:history="1">
        <w:r w:rsidR="00770AB7" w:rsidRPr="00AC646C">
          <w:rPr>
            <w:rStyle w:val="Hyperlink"/>
          </w:rPr>
          <w:t>30:55</w:t>
        </w:r>
      </w:hyperlink>
      <w:r w:rsidR="00AB477F">
        <w:tab/>
        <w:t xml:space="preserve">Definition — </w:t>
      </w:r>
      <w:r w:rsidR="00770AB7" w:rsidRPr="00AC646C">
        <w:t>Building Contractor’s Implied Warranties</w:t>
      </w:r>
    </w:p>
    <w:p w14:paraId="303BC84D" w14:textId="77777777" w:rsidR="00AC646C" w:rsidRDefault="004B0E7F" w:rsidP="002B5FCF">
      <w:pPr>
        <w:pStyle w:val="ToC"/>
      </w:pPr>
      <w:hyperlink w:anchor="a30_56" w:history="1">
        <w:r w:rsidR="00770AB7" w:rsidRPr="00AC646C">
          <w:rPr>
            <w:rStyle w:val="Hyperlink"/>
          </w:rPr>
          <w:t>30:56</w:t>
        </w:r>
      </w:hyperlink>
      <w:r w:rsidR="00AB477F">
        <w:tab/>
        <w:t xml:space="preserve">Claim — Real Estate Commission — </w:t>
      </w:r>
      <w:r w:rsidR="00770AB7" w:rsidRPr="00AC646C">
        <w:t xml:space="preserve">Elements </w:t>
      </w:r>
      <w:r w:rsidR="00770AB7">
        <w:t xml:space="preserve">of </w:t>
      </w:r>
      <w:r w:rsidR="00770AB7" w:rsidRPr="00AC646C">
        <w:t>Liability</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1" w:name="IntroNote"/>
      <w:bookmarkEnd w:id="1"/>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with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2" w:name="a30_01"/>
      <w:bookmarkEnd w:id="2"/>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7777777"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144 Colo. 219, 355 P.2d 948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Indus. Prods. Int’l, Inc. v. Emo Trans, Inc.</w:t>
      </w:r>
      <w:r w:rsidRPr="008F3AE7">
        <w:rPr>
          <w:rFonts w:eastAsia="Times New Roman"/>
          <w:sz w:val="24"/>
          <w:szCs w:val="24"/>
        </w:rPr>
        <w:t xml:space="preserve">, 962 P.2d 983 (Colo. App. 1997). </w:t>
      </w:r>
    </w:p>
    <w:p w14:paraId="4B1C4FF4"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r w:rsidRPr="008F3AE7">
        <w:rPr>
          <w:rFonts w:eastAsia="Times New Roman"/>
          <w:b/>
          <w:sz w:val="24"/>
          <w:szCs w:val="24"/>
        </w:rPr>
        <w:t>Sunshine v. M. R. Mansfield Realty, Inc.</w:t>
      </w:r>
      <w:r w:rsidRPr="008F3AE7">
        <w:rPr>
          <w:rFonts w:eastAsia="Times New Roman"/>
          <w:sz w:val="24"/>
          <w:szCs w:val="24"/>
        </w:rPr>
        <w:t xml:space="preserve">, 195 Colo. 95, 98, 575 P.2d 847, 849 (1978) (citation omitted). Moreover, when the parties to a bargain, sufficiently defined to be a contract, have not agreed to an essential term, the court may supply a term that is reasonable under the circumstances. </w:t>
      </w:r>
      <w:r w:rsidRPr="008F3AE7">
        <w:rPr>
          <w:rFonts w:eastAsia="Times New Roman"/>
          <w:b/>
          <w:sz w:val="24"/>
          <w:szCs w:val="24"/>
        </w:rPr>
        <w:t>Costello v. Cook</w:t>
      </w:r>
      <w:r w:rsidRPr="008F3AE7">
        <w:rPr>
          <w:rFonts w:eastAsia="Times New Roman"/>
          <w:sz w:val="24"/>
          <w:szCs w:val="24"/>
        </w:rPr>
        <w:t>,</w:t>
      </w:r>
      <w:r w:rsidRPr="008F3AE7">
        <w:rPr>
          <w:rFonts w:eastAsia="Times New Roman"/>
          <w:b/>
          <w:sz w:val="24"/>
          <w:szCs w:val="24"/>
        </w:rPr>
        <w:t xml:space="preserve"> </w:t>
      </w:r>
      <w:r w:rsidRPr="008F3AE7">
        <w:rPr>
          <w:rFonts w:eastAsia="Times New Roman"/>
          <w:sz w:val="24"/>
          <w:szCs w:val="24"/>
        </w:rPr>
        <w:t xml:space="preserve">852 P.2d 1330 (Colo. App. 1993). Also, a contract will not fail for indefiniteness if missing terms can be supplied by law, presumption, or custom. </w:t>
      </w:r>
      <w:r w:rsidRPr="008F3AE7">
        <w:rPr>
          <w:rFonts w:eastAsia="Times New Roman"/>
          <w:b/>
          <w:sz w:val="24"/>
          <w:szCs w:val="24"/>
        </w:rPr>
        <w:t>Winston Fin. Group, Inc. v. Fults Mgmt. Inc.</w:t>
      </w:r>
      <w:r w:rsidRPr="008F3AE7">
        <w:rPr>
          <w:rFonts w:eastAsia="Times New Roman"/>
          <w:sz w:val="24"/>
          <w:szCs w:val="24"/>
        </w:rPr>
        <w:t xml:space="preserve">, 872 P.2d 1356 (Colo. App. 1994). And, a contract is not fatally vague or indefinite simply because the parties disagree as to its meaning. </w:t>
      </w:r>
      <w:r w:rsidRPr="008F3AE7">
        <w:rPr>
          <w:rFonts w:eastAsia="Times New Roman"/>
          <w:b/>
          <w:sz w:val="24"/>
          <w:szCs w:val="24"/>
        </w:rPr>
        <w:t>Hauser v. Rose Health Care Sys.</w:t>
      </w:r>
      <w:r w:rsidRPr="008F3AE7">
        <w:rPr>
          <w:rFonts w:eastAsia="Times New Roman"/>
          <w:sz w:val="24"/>
          <w:szCs w:val="24"/>
        </w:rPr>
        <w:t xml:space="preserve">, 857 P.2d 524 (Colo. App. 1993);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In re May</w:t>
      </w:r>
      <w:r w:rsidRPr="008F3AE7">
        <w:rPr>
          <w:rFonts w:eastAsia="Times New Roman"/>
          <w:sz w:val="24"/>
          <w:szCs w:val="24"/>
        </w:rPr>
        <w:t xml:space="preserve">, 756 P.2d 362, 369 (Colo. 1988) (“The fact that the parties have different opinions about the interpretation of the contract does not of itself create an ambiguity.”). However, where a mistake is made by one party on the basic nature of a material contract provision, a resulting unconscionable contract may be avoided. </w:t>
      </w:r>
      <w:r w:rsidRPr="008F3AE7">
        <w:rPr>
          <w:rFonts w:eastAsia="Times New Roman"/>
          <w:b/>
          <w:sz w:val="24"/>
          <w:szCs w:val="24"/>
        </w:rPr>
        <w:t xml:space="preserve">Sumerel v. Goodyear </w:t>
      </w:r>
      <w:r w:rsidRPr="008F3AE7">
        <w:rPr>
          <w:rFonts w:eastAsia="Times New Roman"/>
          <w:b/>
          <w:sz w:val="24"/>
          <w:szCs w:val="24"/>
        </w:rPr>
        <w:lastRenderedPageBreak/>
        <w:t>Tire &amp; Rubber Co.</w:t>
      </w:r>
      <w:r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8F3AE7">
        <w:rPr>
          <w:rFonts w:eastAsia="Times New Roman"/>
          <w:smallCaps/>
          <w:sz w:val="24"/>
          <w:szCs w:val="24"/>
        </w:rPr>
        <w:t>Restatement (Second) of Contracts</w:t>
      </w:r>
      <w:r w:rsidRPr="008F3AE7">
        <w:rPr>
          <w:rFonts w:eastAsia="Times New Roman"/>
          <w:sz w:val="24"/>
          <w:szCs w:val="24"/>
        </w:rPr>
        <w:t xml:space="preserve"> §§ 153-54 (1981)).</w:t>
      </w:r>
    </w:p>
    <w:p w14:paraId="18342E1E" w14:textId="77777777" w:rsidR="008F3AE7" w:rsidRPr="008F3AE7" w:rsidRDefault="008F3AE7" w:rsidP="008F3AE7">
      <w:pPr>
        <w:spacing w:after="240"/>
        <w:ind w:firstLine="720"/>
        <w:rPr>
          <w:rFonts w:eastAsia="Times New Roman"/>
          <w:b/>
          <w:sz w:val="24"/>
          <w:szCs w:val="24"/>
        </w:rPr>
      </w:pPr>
      <w:r w:rsidRPr="008F3AE7">
        <w:rPr>
          <w:rFonts w:eastAsia="Times New Roman"/>
          <w:sz w:val="24"/>
          <w:szCs w:val="24"/>
        </w:rPr>
        <w:t xml:space="preserve">3. Generally, there can be no binding contract if further negotiations are required to come to an agreement as to important and essential terms of the contract. </w:t>
      </w:r>
      <w:r w:rsidRPr="008F3AE7">
        <w:rPr>
          <w:rFonts w:eastAsia="Times New Roman"/>
          <w:b/>
          <w:sz w:val="24"/>
          <w:szCs w:val="24"/>
        </w:rPr>
        <w:t>Sumerel</w:t>
      </w:r>
      <w:r w:rsidRPr="008F3AE7">
        <w:rPr>
          <w:rFonts w:eastAsia="Times New Roman"/>
          <w:sz w:val="24"/>
          <w:szCs w:val="24"/>
        </w:rPr>
        <w:t xml:space="preserve">, 232 P.3d at 136-37 (discussion to resolve dispute did not include offer sufficiently definite to be capable of acceptance); </w:t>
      </w:r>
      <w:r w:rsidRPr="008F3AE7">
        <w:rPr>
          <w:rFonts w:eastAsia="Times New Roman"/>
          <w:b/>
          <w:sz w:val="24"/>
          <w:szCs w:val="24"/>
        </w:rPr>
        <w:t>DiFrancesco v. Particle Interconnect Corp.</w:t>
      </w:r>
      <w:r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77777777" w:rsidR="008F3AE7" w:rsidRDefault="008F3AE7" w:rsidP="008F3AE7">
      <w:pPr>
        <w:spacing w:after="240"/>
        <w:ind w:firstLine="720"/>
        <w:rPr>
          <w:rFonts w:eastAsia="Times New Roman"/>
          <w:sz w:val="24"/>
          <w:szCs w:val="24"/>
        </w:rPr>
      </w:pPr>
      <w:r w:rsidRPr="008F3AE7">
        <w:rPr>
          <w:rFonts w:eastAsia="Times New Roman"/>
          <w:sz w:val="24"/>
          <w:szCs w:val="24"/>
        </w:rPr>
        <w:t xml:space="preserve">4. Where extrinsic evidence shows that parties did not intend the contract to be a binding agreement, and where they have previously agreed that their written promises would not bind them, such contract is a mere sham and lacks any legal effect. </w:t>
      </w:r>
      <w:r w:rsidRPr="008F3AE7">
        <w:rPr>
          <w:rFonts w:eastAsia="Times New Roman"/>
          <w:b/>
          <w:sz w:val="24"/>
          <w:szCs w:val="24"/>
        </w:rPr>
        <w:t>Landmark Towers Ass’n, Inc. v. UMB Bank, N.A</w:t>
      </w:r>
      <w:r w:rsidRPr="008F3AE7">
        <w:rPr>
          <w:rFonts w:eastAsia="Times New Roman"/>
          <w:sz w:val="24"/>
          <w:szCs w:val="24"/>
        </w:rPr>
        <w:t>, 2016 COA 61, ¶ 63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3" w:name="a30_02"/>
      <w:bookmarkEnd w:id="3"/>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77777777"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 xml:space="preserve">A contract does not have to be in writing. If written, it does not have to be signed by either party or dated. A contract may be partly oral and partly in writing.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77777777" w:rsidR="00EF5096" w:rsidRDefault="00EF5096" w:rsidP="00EF5096">
      <w:pPr>
        <w:spacing w:after="240"/>
        <w:ind w:firstLine="720"/>
        <w:rPr>
          <w:rFonts w:eastAsia="Times New Roman"/>
          <w:sz w:val="24"/>
          <w:szCs w:val="24"/>
        </w:rPr>
      </w:pPr>
      <w:r w:rsidRPr="00EF5096">
        <w:rPr>
          <w:rFonts w:eastAsia="Times New Roman"/>
          <w:sz w:val="24"/>
          <w:szCs w:val="24"/>
        </w:rPr>
        <w:t xml:space="preserve">This instruction is supported by </w:t>
      </w:r>
      <w:r w:rsidRPr="00EF5096">
        <w:rPr>
          <w:rFonts w:eastAsia="Times New Roman"/>
          <w:b/>
          <w:sz w:val="24"/>
          <w:szCs w:val="24"/>
        </w:rPr>
        <w:t>E-21 Engineering v. Steve Stock &amp; Associates, Inc.</w:t>
      </w:r>
      <w:r w:rsidRPr="00EF5096">
        <w:rPr>
          <w:rFonts w:eastAsia="Times New Roman"/>
          <w:sz w:val="24"/>
          <w:szCs w:val="24"/>
        </w:rPr>
        <w:t xml:space="preserve">, 252 P.3d 36 (Colo. App. 2010) (contracts may be formed without signatures of the parties bound by them). </w:t>
      </w:r>
      <w:r w:rsidRPr="00EF5096">
        <w:rPr>
          <w:rFonts w:eastAsia="Times New Roman"/>
          <w:i/>
          <w:sz w:val="24"/>
          <w:szCs w:val="24"/>
        </w:rPr>
        <w:t>See also</w:t>
      </w:r>
      <w:r w:rsidRPr="00EF5096">
        <w:rPr>
          <w:rFonts w:eastAsia="Times New Roman"/>
          <w:sz w:val="24"/>
          <w:szCs w:val="24"/>
        </w:rPr>
        <w:t xml:space="preserve"> </w:t>
      </w:r>
      <w:r w:rsidRPr="00EF5096">
        <w:rPr>
          <w:rFonts w:eastAsia="Times New Roman"/>
          <w:b/>
          <w:sz w:val="24"/>
          <w:szCs w:val="24"/>
        </w:rPr>
        <w:t>Lee v. Great Empire Broad., Inc.</w:t>
      </w:r>
      <w:r w:rsidRPr="00EF5096">
        <w:rPr>
          <w:rFonts w:eastAsia="Times New Roman"/>
          <w:sz w:val="24"/>
          <w:szCs w:val="24"/>
        </w:rPr>
        <w:t xml:space="preserve">, 794 P.2d 1032 (Colo. App. 1989) (employment agreement); </w:t>
      </w:r>
      <w:r w:rsidRPr="00EF5096">
        <w:rPr>
          <w:rFonts w:eastAsia="Times New Roman"/>
          <w:smallCaps/>
          <w:sz w:val="24"/>
          <w:szCs w:val="24"/>
        </w:rPr>
        <w:t>Restatement (Second) of Contracts</w:t>
      </w:r>
      <w:r w:rsidRPr="00EF5096">
        <w:rPr>
          <w:rFonts w:eastAsia="Times New Roman"/>
          <w:sz w:val="24"/>
          <w:szCs w:val="24"/>
        </w:rPr>
        <w:t xml:space="preserve"> § 4 (1981) (“A promise may be stated in words either oral or written, or may be inferred wholly or partly from conduct.”).</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4" w:name="a30_03"/>
      <w:bookmarkEnd w:id="4"/>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in conjunction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r w:rsidRPr="005D1F16">
        <w:rPr>
          <w:rFonts w:eastAsia="Times New Roman"/>
          <w:b/>
          <w:sz w:val="24"/>
          <w:szCs w:val="24"/>
        </w:rPr>
        <w:t>Central Inv. Corp. v. Container Advert. Co.</w:t>
      </w:r>
      <w:r w:rsidRPr="005D1F16">
        <w:rPr>
          <w:rFonts w:eastAsia="Times New Roman"/>
          <w:sz w:val="24"/>
          <w:szCs w:val="24"/>
        </w:rPr>
        <w:t>, 28 Colo. App. 184, 187, 471 P.2d 647, 648 (1970).</w:t>
      </w:r>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r w:rsidRPr="005D1F16">
        <w:rPr>
          <w:rFonts w:eastAsia="Times New Roman"/>
          <w:b/>
          <w:sz w:val="24"/>
          <w:szCs w:val="24"/>
        </w:rPr>
        <w:t>Kuta v. Joint Dist. No. 50(J)</w:t>
      </w:r>
      <w:r w:rsidRPr="005D1F16">
        <w:rPr>
          <w:rFonts w:eastAsia="Times New Roman"/>
          <w:sz w:val="24"/>
          <w:szCs w:val="24"/>
        </w:rPr>
        <w:t>, 799 P.2d 379 (Colo. 1990).</w:t>
      </w:r>
    </w:p>
    <w:p w14:paraId="33DCF3AD"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4.  Generally, the delivery of an insurance application by an insurer to a prospective customer does not constitute an offer of insurance; instead it is an invitation for an offer of insurance. </w:t>
      </w:r>
      <w:r w:rsidRPr="005D1F16">
        <w:rPr>
          <w:rFonts w:eastAsia="Times New Roman"/>
          <w:b/>
          <w:sz w:val="24"/>
          <w:szCs w:val="24"/>
        </w:rPr>
        <w:t>Griffin v. State Farm Fire &amp; Cas. Co.</w:t>
      </w:r>
      <w:r w:rsidRPr="005D1F16">
        <w:rPr>
          <w:rFonts w:eastAsia="Times New Roman"/>
          <w:sz w:val="24"/>
          <w:szCs w:val="24"/>
        </w:rPr>
        <w:t>, 104 P.3d 283 (Colo. App. 2004).</w:t>
      </w:r>
    </w:p>
    <w:p w14:paraId="3E7CF0B1"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r w:rsidRPr="005D1F16">
        <w:rPr>
          <w:rFonts w:eastAsia="Times New Roman"/>
          <w:b/>
          <w:sz w:val="24"/>
          <w:szCs w:val="24"/>
        </w:rPr>
        <w:t>Sumerel v. Goodyear Tire &amp; Rubber Co.</w:t>
      </w:r>
      <w:r w:rsidRPr="005D1F16">
        <w:rPr>
          <w:rFonts w:eastAsia="Times New Roman"/>
          <w:sz w:val="24"/>
          <w:szCs w:val="24"/>
        </w:rPr>
        <w:t>, 232 P.3d 128 (Colo. App. 2009).</w:t>
      </w:r>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5" w:name="a30_04"/>
      <w:bookmarkEnd w:id="5"/>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r w:rsidRPr="003E773D">
        <w:rPr>
          <w:rFonts w:eastAsia="Times New Roman"/>
          <w:bCs/>
          <w:sz w:val="24"/>
          <w:szCs w:val="24"/>
        </w:rPr>
        <w:t>None.</w:t>
      </w:r>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(4th ed. 1999).</w:t>
      </w:r>
    </w:p>
    <w:p w14:paraId="666D4204" w14:textId="77777777"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Minneapolis &amp; St. Louis Ry. v.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(10th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6" w:name="a30_05"/>
      <w:bookmarkEnd w:id="6"/>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If the person to whom an offer is made changes the offer in any way, that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736 P.2d 391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7" w:name="a30_06"/>
      <w:bookmarkEnd w:id="7"/>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Superior Distrib. 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8" w:name="a30_07"/>
      <w:bookmarkEnd w:id="8"/>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134 P.3d 500 (Colo. App. 2006).  </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r w:rsidRPr="00317364">
        <w:rPr>
          <w:rFonts w:eastAsia="Times New Roman"/>
          <w:b/>
          <w:bCs/>
          <w:sz w:val="24"/>
          <w:szCs w:val="24"/>
        </w:rPr>
        <w:t>Burch v. Burch</w:t>
      </w:r>
      <w:r w:rsidRPr="00317364">
        <w:rPr>
          <w:rFonts w:eastAsia="Times New Roman"/>
          <w:bCs/>
          <w:sz w:val="24"/>
          <w:szCs w:val="24"/>
        </w:rPr>
        <w:t>, 145 Colo. 125, 358 P.2d 1011 (1960).</w:t>
      </w:r>
    </w:p>
    <w:p w14:paraId="72EA56C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xml:space="preserve">, 5 Colo. App. 224, 37 P. 726 (1894).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r w:rsidRPr="00317364">
        <w:rPr>
          <w:rFonts w:eastAsia="Times New Roman"/>
          <w:b/>
          <w:bCs/>
          <w:sz w:val="24"/>
          <w:szCs w:val="24"/>
        </w:rPr>
        <w:t>Lucht’s Concrete Pumping, Inc. v. Horner</w:t>
      </w:r>
      <w:r w:rsidRPr="00317364">
        <w:rPr>
          <w:rFonts w:eastAsia="Times New Roman"/>
          <w:bCs/>
          <w:sz w:val="24"/>
          <w:szCs w:val="24"/>
        </w:rPr>
        <w:t>, 255 P.3d 1058 (Colo. 2011). And consideration is not insufficient merely because it comes from a third party.</w:t>
      </w:r>
      <w:r w:rsidRPr="00317364">
        <w:rPr>
          <w:rFonts w:eastAsia="Times New Roman"/>
          <w:bCs/>
          <w:i/>
          <w:sz w:val="24"/>
          <w:szCs w:val="24"/>
        </w:rPr>
        <w:t xml:space="preserve">  </w:t>
      </w:r>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r w:rsidRPr="00317364">
        <w:rPr>
          <w:rFonts w:eastAsia="Times New Roman"/>
          <w:b/>
          <w:bCs/>
          <w:sz w:val="24"/>
          <w:szCs w:val="24"/>
        </w:rPr>
        <w:t>Dawley v. Dawley’s Estate</w:t>
      </w:r>
      <w:r w:rsidRPr="00317364">
        <w:rPr>
          <w:rFonts w:eastAsia="Times New Roman"/>
          <w:bCs/>
          <w:sz w:val="24"/>
          <w:szCs w:val="24"/>
        </w:rPr>
        <w:t xml:space="preserve">, 60 Colo. 73, 152 P. 1171 (1915).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r w:rsidRPr="00317364">
        <w:rPr>
          <w:rFonts w:eastAsia="Times New Roman"/>
          <w:b/>
          <w:bCs/>
          <w:sz w:val="24"/>
          <w:szCs w:val="24"/>
        </w:rPr>
        <w:t>Rains v. Found. Health Sys. Life &amp; Health</w:t>
      </w:r>
      <w:r w:rsidRPr="00317364">
        <w:rPr>
          <w:rFonts w:eastAsia="Times New Roman"/>
          <w:bCs/>
          <w:sz w:val="24"/>
          <w:szCs w:val="24"/>
        </w:rPr>
        <w:t>, 23 P.3d 1249 (Colo. App. 2001) (arbitration provision not unenforceable simply because it did not require both parties to contract to arbitrate).</w:t>
      </w:r>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xml:space="preserve">, 849 P.2d 887 (Colo. App. 1992),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Cronk v. Intermountain Rural Elec.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765 P.2d 619 (Colo. App. 1988); </w:t>
      </w:r>
      <w:r w:rsidRPr="00317364">
        <w:rPr>
          <w:rFonts w:eastAsia="Times New Roman"/>
          <w:b/>
          <w:bCs/>
          <w:sz w:val="24"/>
          <w:szCs w:val="24"/>
        </w:rPr>
        <w:t>Galie v. RAM Assocs. Mgmt. 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r w:rsidRPr="00317364">
        <w:rPr>
          <w:rFonts w:eastAsia="Times New Roman"/>
          <w:b/>
          <w:bCs/>
          <w:sz w:val="24"/>
          <w:szCs w:val="24"/>
        </w:rPr>
        <w:t>Dep’t of Transp. v. 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261 (Colo. App. 2006). A claim based on promissory estoppel lies in contract rather than tort and, therefore, is not barred by the Governmental Immunity Act. </w:t>
      </w:r>
      <w:r w:rsidRPr="00317364">
        <w:rPr>
          <w:rFonts w:eastAsia="Times New Roman"/>
          <w:b/>
          <w:bCs/>
          <w:sz w:val="24"/>
          <w:szCs w:val="24"/>
        </w:rPr>
        <w:t>Bd. of Cty. 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917 P.2d 714 (Colo. 1996).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9" w:name="a30_08"/>
      <w:bookmarkEnd w:id="9"/>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10" w:name="a30_09"/>
      <w:bookmarkEnd w:id="10"/>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(he) (she) (it)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None.</w:t>
      </w:r>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Jefferson County School Dist. No. 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Parrish Chiropractic Ctrs., P.C. v. Progressive Cas.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r w:rsidRPr="00427199">
        <w:rPr>
          <w:rFonts w:eastAsia="Times New Roman"/>
          <w:b/>
          <w:bCs/>
          <w:sz w:val="24"/>
          <w:szCs w:val="24"/>
        </w:rPr>
        <w:t>Smith v. TCI Commc’ns, Inc.</w:t>
      </w:r>
      <w:r w:rsidRPr="00427199">
        <w:rPr>
          <w:rFonts w:eastAsia="Times New Roman"/>
          <w:bCs/>
          <w:sz w:val="24"/>
          <w:szCs w:val="24"/>
        </w:rPr>
        <w:t>, 981 P.2d 690 (Colo. App. 1999).</w:t>
      </w:r>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r w:rsidRPr="00427199">
        <w:rPr>
          <w:rFonts w:eastAsia="Times New Roman"/>
          <w:b/>
          <w:bCs/>
          <w:sz w:val="24"/>
          <w:szCs w:val="24"/>
        </w:rPr>
        <w:t>E.B. Roberts Constr. Co. v. Concrete Contractors, Inc.</w:t>
      </w:r>
      <w:r w:rsidRPr="00427199">
        <w:rPr>
          <w:rFonts w:eastAsia="Times New Roman"/>
          <w:bCs/>
          <w:sz w:val="24"/>
          <w:szCs w:val="24"/>
        </w:rPr>
        <w:t>, 704 P.2d 859 (Colo. 1985).</w:t>
      </w:r>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w:t>
      </w:r>
      <w:r w:rsidRPr="00427199">
        <w:rPr>
          <w:rFonts w:eastAsia="Times New Roman"/>
          <w:bCs/>
          <w:sz w:val="24"/>
          <w:szCs w:val="24"/>
        </w:rPr>
        <w:lastRenderedPageBreak/>
        <w:t xml:space="preserve">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Bain v. Pioneer Plaza Shopping Center. 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xml:space="preserve">, 851 P.2d 236 (Colo. App. 1992) (plaintiff only an incidental beneficiary). If a contract is annulled, rescinded, or canceled by the parties to the contract before it is accepted by a third-party beneficiary, the contract may not be enforced by the third-party beneficiary. </w:t>
      </w:r>
      <w:r w:rsidRPr="00427199">
        <w:rPr>
          <w:rFonts w:eastAsia="Times New Roman"/>
          <w:b/>
          <w:bCs/>
          <w:sz w:val="24"/>
          <w:szCs w:val="24"/>
        </w:rPr>
        <w:t>Jardel Enters., Inc. v. Triconsultants, Inc.</w:t>
      </w:r>
      <w:r w:rsidRPr="00427199">
        <w:rPr>
          <w:rFonts w:eastAsia="Times New Roman"/>
          <w:bCs/>
          <w:sz w:val="24"/>
          <w:szCs w:val="24"/>
        </w:rPr>
        <w:t xml:space="preserve">, 770 P.2d 1301 (Colo. App. 1988); </w:t>
      </w:r>
      <w:r w:rsidRPr="00427199">
        <w:rPr>
          <w:rFonts w:eastAsia="Times New Roman"/>
          <w:b/>
          <w:bCs/>
          <w:sz w:val="24"/>
          <w:szCs w:val="24"/>
        </w:rPr>
        <w:t>Galie v. RAM Assocs. Mgmt. Servs., Inc.</w:t>
      </w:r>
      <w:r w:rsidRPr="00427199">
        <w:rPr>
          <w:rFonts w:eastAsia="Times New Roman"/>
          <w:bCs/>
          <w:sz w:val="24"/>
          <w:szCs w:val="24"/>
        </w:rPr>
        <w:t>, 757 P.2d 176 (Colo. App. 1988) (third-party beneficiary need not be in privity).</w:t>
      </w: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1" w:name="a30_10"/>
      <w:bookmarkEnd w:id="11"/>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on (his) (her) (its)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[his] [her] [its] part of the contract) (or) (Plaintiff is excused from performance. Plaintiff is excused from performance of [his] [her] [its]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lastRenderedPageBreak/>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w:t>
      </w:r>
      <w:r w:rsidRPr="00427199">
        <w:rPr>
          <w:rFonts w:eastAsia="Times New Roman"/>
          <w:bCs/>
          <w:sz w:val="24"/>
          <w:szCs w:val="24"/>
        </w:rPr>
        <w:lastRenderedPageBreak/>
        <w:t xml:space="preserve">defendant, even though not every obligation was performed); and </w:t>
      </w:r>
      <w:r w:rsidRPr="00427199">
        <w:rPr>
          <w:rFonts w:eastAsia="Times New Roman"/>
          <w:b/>
          <w:bCs/>
          <w:sz w:val="24"/>
          <w:szCs w:val="24"/>
        </w:rPr>
        <w:t>D.R. Horton, Inc.-Denver v. 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r w:rsidRPr="00427199">
        <w:rPr>
          <w:rFonts w:eastAsia="Times New Roman"/>
          <w:b/>
          <w:bCs/>
          <w:sz w:val="24"/>
          <w:szCs w:val="24"/>
        </w:rPr>
        <w:t>Blood v. Qwest Servs.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 of Colo</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Interbank Invs.,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 xml:space="preserve">City of </w:t>
      </w:r>
      <w:r w:rsidR="00F06ADD" w:rsidRPr="00F06ADD">
        <w:rPr>
          <w:rFonts w:eastAsia="Times New Roman"/>
          <w:b/>
          <w:bCs/>
          <w:sz w:val="24"/>
          <w:szCs w:val="24"/>
        </w:rPr>
        <w:lastRenderedPageBreak/>
        <w:t>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Casey v. Colo. Higher Ed. Ins. Benefits All. Trust</w:t>
      </w:r>
      <w:r w:rsidRPr="00427199">
        <w:rPr>
          <w:rFonts w:eastAsia="Times New Roman"/>
          <w:bCs/>
          <w:sz w:val="24"/>
          <w:szCs w:val="24"/>
        </w:rPr>
        <w:t>, 2012 COA 134, ¶ 30, 310 P.3d 196 (same).</w:t>
      </w:r>
    </w:p>
    <w:p w14:paraId="2B1E1F31" w14:textId="77777777"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2" w:name="a30_11"/>
      <w:bookmarkEnd w:id="12"/>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breach is not material if the other party received substantially what (he) (she) (it)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xml:space="preserve">, 2013 COA 7, ¶ 9, 297 P.3d 1042 (“A party has substantially performed when the other party has substantially received the expected benefit from the contract” and “[d]eviation from contract duties in trifling particulars . . . does not constitute a material breach”); and </w:t>
      </w:r>
      <w:r w:rsidRPr="00A725B4">
        <w:rPr>
          <w:rFonts w:eastAsia="Times New Roman"/>
          <w:b/>
          <w:bCs/>
          <w:sz w:val="24"/>
          <w:szCs w:val="24"/>
        </w:rPr>
        <w:t>Coors v. Security Life of Denver Ins. Co.</w:t>
      </w:r>
      <w:r w:rsidRPr="00A725B4">
        <w:rPr>
          <w:rFonts w:eastAsia="Times New Roman"/>
          <w:bCs/>
          <w:sz w:val="24"/>
          <w:szCs w:val="24"/>
        </w:rPr>
        <w:t xml:space="preserve">, 91 P.3d 393 (Colo. App. 2003) (to prevail on claim for breach of contract, party must show existence of contract and failure to perform some term of contract by other party), </w:t>
      </w:r>
      <w:r w:rsidRPr="00A725B4">
        <w:rPr>
          <w:rFonts w:eastAsia="Times New Roman"/>
          <w:bCs/>
          <w:i/>
          <w:sz w:val="24"/>
          <w:szCs w:val="24"/>
        </w:rPr>
        <w:t>aff’d in part, rev’d in part on other grounds</w:t>
      </w:r>
      <w:r w:rsidRPr="00A725B4">
        <w:rPr>
          <w:rFonts w:eastAsia="Times New Roman"/>
          <w:bCs/>
          <w:sz w:val="24"/>
          <w:szCs w:val="24"/>
        </w:rPr>
        <w:t>, 112 P.3d 59 (Colo. 2005).</w:t>
      </w:r>
    </w:p>
    <w:p w14:paraId="2F4FA74C" w14:textId="77777777" w:rsidR="00527AD3" w:rsidRDefault="00527AD3">
      <w:pPr>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3" w:name="a30_12"/>
      <w:bookmarkEnd w:id="13"/>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(substantially performs) (or) (substantially complies with) the terms of a contract when the party performs the essential obligations under the contract, and the other party receives substantially what (he) (she) (it)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527AD3">
        <w:rPr>
          <w:rFonts w:eastAsia="Times New Roman"/>
          <w:b/>
          <w:bCs/>
          <w:sz w:val="24"/>
          <w:szCs w:val="24"/>
          <w:lang w:val="es-US"/>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r w:rsidRPr="00527AD3">
        <w:rPr>
          <w:rFonts w:eastAsia="Times New Roman"/>
          <w:b/>
          <w:bCs/>
          <w:sz w:val="24"/>
          <w:szCs w:val="24"/>
        </w:rPr>
        <w:t>Interbank Invs.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Blood v. Qwest Servs. Corp.</w:t>
      </w:r>
      <w:r w:rsidRPr="00527AD3">
        <w:rPr>
          <w:rFonts w:eastAsia="Times New Roman"/>
          <w:bCs/>
          <w:sz w:val="24"/>
          <w:szCs w:val="24"/>
        </w:rPr>
        <w:t xml:space="preserve">, 224 P.3d 301 (Colo. App. 2009) (whether third-party plaintiff had materially breached or </w:t>
      </w:r>
      <w:r w:rsidRPr="00527AD3">
        <w:rPr>
          <w:rFonts w:eastAsia="Times New Roman"/>
          <w:bCs/>
          <w:sz w:val="24"/>
          <w:szCs w:val="24"/>
        </w:rPr>
        <w:lastRenderedPageBreak/>
        <w:t xml:space="preserve">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r w:rsidRPr="00527AD3">
        <w:rPr>
          <w:rFonts w:eastAsia="Times New Roman"/>
          <w:b/>
          <w:bCs/>
          <w:sz w:val="24"/>
          <w:szCs w:val="24"/>
        </w:rPr>
        <w:t>Morris v. Belfor USA Group, Inc.</w:t>
      </w:r>
      <w:r w:rsidRPr="00527AD3">
        <w:rPr>
          <w:rFonts w:eastAsia="Times New Roman"/>
          <w:bCs/>
          <w:sz w:val="24"/>
          <w:szCs w:val="24"/>
        </w:rPr>
        <w:t xml:space="preserve">, 201 P.3d 1253 (Colo. App. 2008); </w:t>
      </w:r>
      <w:r w:rsidRPr="00527AD3">
        <w:rPr>
          <w:rFonts w:eastAsia="Times New Roman"/>
          <w:b/>
          <w:bCs/>
          <w:sz w:val="24"/>
          <w:szCs w:val="24"/>
        </w:rPr>
        <w:t>Kaiser v. Market Square Disc.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her a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r w:rsidRPr="00527AD3">
        <w:rPr>
          <w:rFonts w:eastAsia="Times New Roman"/>
          <w:b/>
          <w:bCs/>
          <w:sz w:val="24"/>
          <w:szCs w:val="24"/>
        </w:rPr>
        <w:t>Little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to the extent those benefits exceed the loss caused by the party’s breach. </w:t>
      </w:r>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616 P.2d at 991-92.</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4" w:name="a30_13"/>
      <w:bookmarkEnd w:id="14"/>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to a contract who shows a clear and definite intention not to perform the contract before the time when (his) (her) (its)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r w:rsidRPr="00527AD3">
        <w:rPr>
          <w:rFonts w:eastAsia="Times New Roman"/>
          <w:b/>
          <w:bCs/>
          <w:sz w:val="24"/>
          <w:szCs w:val="24"/>
        </w:rPr>
        <w:t>Interbank Invs. LLC v. Vail Valley Consol. Water Dist.</w:t>
      </w:r>
      <w:r w:rsidRPr="00527AD3">
        <w:rPr>
          <w:rFonts w:eastAsia="Times New Roman"/>
          <w:bCs/>
          <w:sz w:val="24"/>
          <w:szCs w:val="24"/>
        </w:rPr>
        <w:t>, 12 P.3d 1224 (Colo. App. 2000).</w:t>
      </w:r>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5" w:name="a30_14"/>
      <w:bookmarkEnd w:id="15"/>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Pr="00527AD3">
        <w:rPr>
          <w:rFonts w:eastAsia="Times New Roman"/>
          <w:b/>
          <w:bCs/>
          <w:sz w:val="24"/>
          <w:szCs w:val="24"/>
        </w:rPr>
        <w:t>Ranta Const., Inc. v. Anderson</w:t>
      </w:r>
      <w:r w:rsidRPr="00527AD3">
        <w:rPr>
          <w:rFonts w:eastAsia="Times New Roman"/>
          <w:bCs/>
          <w:sz w:val="24"/>
          <w:szCs w:val="24"/>
        </w:rPr>
        <w:t>, 190 P.3d 835 (Colo. App. 2008).</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r w:rsidRPr="00527AD3">
        <w:rPr>
          <w:rFonts w:eastAsia="Times New Roman"/>
          <w:b/>
          <w:bCs/>
          <w:sz w:val="24"/>
          <w:szCs w:val="24"/>
        </w:rPr>
        <w:t>Larimer v. Salida Granite Corp.</w:t>
      </w:r>
      <w:r w:rsidRPr="00527AD3">
        <w:rPr>
          <w:rFonts w:eastAsia="Times New Roman"/>
          <w:bCs/>
          <w:sz w:val="24"/>
          <w:szCs w:val="24"/>
        </w:rPr>
        <w:t xml:space="preserve">, 112 Colo. 598, 153 P.2d 998 (1944).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6" w:name="a30_15"/>
      <w:bookmarkEnd w:id="16"/>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r w:rsidRPr="00F57A28">
        <w:rPr>
          <w:rFonts w:eastAsia="Times New Roman"/>
          <w:bCs/>
          <w:smallCaps/>
          <w:sz w:val="24"/>
          <w:szCs w:val="24"/>
        </w:rPr>
        <w:t>Restatement (Second) of Contracts</w:t>
      </w:r>
      <w:r w:rsidRPr="00F57A28">
        <w:rPr>
          <w:rFonts w:eastAsia="Times New Roman"/>
          <w:bCs/>
          <w:sz w:val="24"/>
          <w:szCs w:val="24"/>
        </w:rPr>
        <w:t xml:space="preserve"> § 224 (1981).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r w:rsidRPr="00F57A28">
        <w:rPr>
          <w:rFonts w:eastAsia="Times New Roman"/>
          <w:b/>
          <w:bCs/>
          <w:sz w:val="24"/>
          <w:szCs w:val="24"/>
        </w:rPr>
        <w:t>Blood v. Qwest Servs.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77777777"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Main Elec., Ltd. v. Printz Servs. Corp.</w:t>
      </w:r>
      <w:r w:rsidRPr="00F57A28">
        <w:rPr>
          <w:rFonts w:eastAsia="Times New Roman"/>
          <w:bCs/>
          <w:sz w:val="24"/>
          <w:szCs w:val="24"/>
        </w:rPr>
        <w:t>, 980 P.2d 522 (Colo. 1999).</w:t>
      </w:r>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7" w:name="a30_16"/>
      <w:bookmarkEnd w:id="17"/>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A party performs a contract in good faith when (his) (her) (its)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r w:rsidRPr="00B96786">
        <w:rPr>
          <w:rFonts w:eastAsia="Times New Roman"/>
          <w:bCs/>
          <w:sz w:val="24"/>
          <w:szCs w:val="24"/>
        </w:rPr>
        <w:t>None.</w:t>
      </w:r>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348 P.3d 957; </w:t>
      </w:r>
      <w:r w:rsidRPr="00EA3B32">
        <w:rPr>
          <w:rFonts w:eastAsia="Times New Roman"/>
          <w:b/>
          <w:bCs/>
          <w:sz w:val="24"/>
          <w:szCs w:val="24"/>
        </w:rPr>
        <w:t>Platt v. Aspenwood Condo. Ass’n, Inc.</w:t>
      </w:r>
      <w:r w:rsidRPr="00EA3B32">
        <w:rPr>
          <w:rFonts w:eastAsia="Times New Roman"/>
          <w:bCs/>
          <w:sz w:val="24"/>
          <w:szCs w:val="24"/>
        </w:rPr>
        <w:t xml:space="preserve">, 214 P.3d 1060 (Colo. App. 2009).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t>Lutfi v. Brighton Cmty. 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 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xml:space="preserve">, 929 P.2d 42 (Colo. App. 1996).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lastRenderedPageBreak/>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State Farm Mut. Auto. Ins. Co. v. Nissen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Davis v. M.L.G.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ADT Sec. Servs.,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Nissen</w:t>
      </w:r>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Dupre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r w:rsidRPr="00EA3B32">
        <w:rPr>
          <w:rFonts w:eastAsia="Times New Roman"/>
          <w:b/>
          <w:bCs/>
          <w:sz w:val="24"/>
          <w:szCs w:val="24"/>
        </w:rPr>
        <w:t>Spaur v. Allstate Ins. Co.</w:t>
      </w:r>
      <w:r w:rsidRPr="00EA3B32">
        <w:rPr>
          <w:rFonts w:eastAsia="Times New Roman"/>
          <w:bCs/>
          <w:sz w:val="24"/>
          <w:szCs w:val="24"/>
        </w:rPr>
        <w:t xml:space="preserve">, 942 P.2d 1261 (Colo. App. 1996); </w:t>
      </w:r>
      <w:r w:rsidRPr="00EA3B32">
        <w:rPr>
          <w:rFonts w:eastAsia="Times New Roman"/>
          <w:b/>
          <w:bCs/>
          <w:sz w:val="24"/>
          <w:szCs w:val="24"/>
        </w:rPr>
        <w:t>Shean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712 P.2d 990-91.</w:t>
      </w:r>
    </w:p>
    <w:p w14:paraId="4F2B5946"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712 P.2d at 990; </w:t>
      </w:r>
      <w:r w:rsidRPr="00EA3B32">
        <w:rPr>
          <w:rFonts w:eastAsia="Times New Roman"/>
          <w:bCs/>
          <w:i/>
          <w:sz w:val="24"/>
          <w:szCs w:val="24"/>
        </w:rPr>
        <w:t>cf.</w:t>
      </w:r>
      <w:r w:rsidRPr="00EA3B32">
        <w:rPr>
          <w:rFonts w:eastAsia="Times New Roman"/>
          <w:bCs/>
          <w:sz w:val="24"/>
          <w:szCs w:val="24"/>
        </w:rPr>
        <w:t xml:space="preserve"> </w:t>
      </w:r>
      <w:r w:rsidRPr="00EA3B32">
        <w:rPr>
          <w:rFonts w:eastAsia="Times New Roman"/>
          <w:b/>
          <w:bCs/>
          <w:sz w:val="24"/>
          <w:szCs w:val="24"/>
        </w:rPr>
        <w:t>Spaur</w:t>
      </w:r>
      <w:r w:rsidRPr="00EA3B32">
        <w:rPr>
          <w:rFonts w:eastAsia="Times New Roman"/>
          <w:bCs/>
          <w:sz w:val="24"/>
          <w:szCs w:val="24"/>
        </w:rPr>
        <w:t xml:space="preserve">, 942 P.2d 1265; </w:t>
      </w:r>
      <w:r w:rsidRPr="00EA3B32">
        <w:rPr>
          <w:rFonts w:eastAsia="Times New Roman"/>
          <w:b/>
          <w:bCs/>
          <w:sz w:val="24"/>
          <w:szCs w:val="24"/>
        </w:rPr>
        <w:t>Shelter Mut. Ins. Co. v. Breit</w:t>
      </w:r>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p>
    <w:p w14:paraId="4D0C9FD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The test of the meaning of a word or phrase under the reasonable expectations doctrine is what an ordinary lay person would have understood it to mean. </w:t>
      </w:r>
      <w:r w:rsidRPr="00EA3B32">
        <w:rPr>
          <w:rFonts w:eastAsia="Times New Roman"/>
          <w:b/>
          <w:bCs/>
          <w:sz w:val="24"/>
          <w:szCs w:val="24"/>
        </w:rPr>
        <w:t>Breit</w:t>
      </w:r>
      <w:r w:rsidRPr="00EA3B32">
        <w:rPr>
          <w:rFonts w:eastAsia="Times New Roman"/>
          <w:bCs/>
          <w:sz w:val="24"/>
          <w:szCs w:val="24"/>
        </w:rPr>
        <w:t>, 908 P.2d at 1152.</w:t>
      </w:r>
    </w:p>
    <w:p w14:paraId="785C7A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r w:rsidRPr="00EA3B32">
        <w:rPr>
          <w:rFonts w:eastAsia="Times New Roman"/>
          <w:b/>
          <w:bCs/>
          <w:sz w:val="24"/>
          <w:szCs w:val="24"/>
        </w:rPr>
        <w:t>City of Boulder v. Pub. Serv. Co. of Colo.</w:t>
      </w:r>
      <w:r w:rsidRPr="00EA3B32">
        <w:rPr>
          <w:rFonts w:eastAsia="Times New Roman"/>
          <w:bCs/>
          <w:sz w:val="24"/>
          <w:szCs w:val="24"/>
        </w:rPr>
        <w:t xml:space="preserve">, 996 P.2d 198 (Colo. App. 1999); </w:t>
      </w:r>
      <w:r w:rsidRPr="00EA3B32">
        <w:rPr>
          <w:rFonts w:eastAsia="Times New Roman"/>
          <w:b/>
          <w:bCs/>
          <w:sz w:val="24"/>
          <w:szCs w:val="24"/>
        </w:rPr>
        <w:t>Soderlun v. Pub. Serv. Co. of Colo.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r w:rsidRPr="00EA3B32">
        <w:rPr>
          <w:rFonts w:eastAsia="Times New Roman"/>
          <w:b/>
          <w:bCs/>
          <w:sz w:val="24"/>
          <w:szCs w:val="24"/>
        </w:rPr>
        <w:t>Mortg. Fin., Inc. v. Podleski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lastRenderedPageBreak/>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Newflower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r w:rsidRPr="00EA3B32">
        <w:rPr>
          <w:rFonts w:eastAsia="Times New Roman"/>
          <w:b/>
          <w:bCs/>
          <w:sz w:val="24"/>
          <w:szCs w:val="24"/>
        </w:rPr>
        <w:t>Lutfi</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151 P.3d 685 (Colo. App. 2006).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908 P.2d at 498-99.</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cmt. e (1981));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Ranta Constr., Inc. v. Anderson</w:t>
      </w:r>
      <w:r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924 P.2d at 154.</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r w:rsidRPr="00EA3B32">
        <w:rPr>
          <w:rFonts w:eastAsia="Times New Roman"/>
          <w:b/>
          <w:bCs/>
          <w:sz w:val="24"/>
          <w:szCs w:val="24"/>
        </w:rPr>
        <w:t>Soderlun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944 P.2d at 623.</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r w:rsidRPr="00EA3B32">
        <w:rPr>
          <w:rFonts w:eastAsia="Times New Roman"/>
          <w:b/>
          <w:bCs/>
          <w:sz w:val="24"/>
          <w:szCs w:val="24"/>
        </w:rPr>
        <w:t>Decker v. Browning-Ferris Indus. of Colo., Inc.</w:t>
      </w:r>
      <w:r w:rsidRPr="00EA3B32">
        <w:rPr>
          <w:rFonts w:eastAsia="Times New Roman"/>
          <w:bCs/>
          <w:sz w:val="24"/>
          <w:szCs w:val="24"/>
        </w:rPr>
        <w:t xml:space="preserve">, 931 P.2d 436 (Colo. 1997). 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2012 COA 214, ¶ 22, 293 P.3d 598.</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8" w:name="a30_17"/>
      <w:bookmarkEnd w:id="18"/>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(him) (her) (it)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r w:rsidRPr="00F755B7">
        <w:rPr>
          <w:rFonts w:eastAsia="Times New Roman"/>
          <w:bCs/>
          <w:smallCaps/>
          <w:sz w:val="24"/>
          <w:szCs w:val="24"/>
        </w:rPr>
        <w:t>Restatement (Second) of Contracts</w:t>
      </w:r>
      <w:r w:rsidRPr="00F755B7">
        <w:rPr>
          <w:rFonts w:eastAsia="Times New Roman"/>
          <w:bCs/>
          <w:sz w:val="24"/>
          <w:szCs w:val="24"/>
        </w:rPr>
        <w:t xml:space="preserve"> § 317(1) (1981).</w:t>
      </w:r>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19" w:name="IntroNoteC"/>
      <w:bookmarkEnd w:id="19"/>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Casey v. Colo. Higher Educ. Ins. Benefits All. 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127 Colo. 416, 257 P.2d 412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xml:space="preserve">, 176 P.3d 737 (Colo. 2007) (contract for renewal authority to acquire certain property by eminent domain condemnation if necessary not void);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raised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
    <w:p w14:paraId="7F791D4C"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7.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Pr="00F755B7">
        <w:rPr>
          <w:rFonts w:eastAsia="Times New Roman"/>
          <w:b/>
          <w:bCs/>
          <w:sz w:val="24"/>
          <w:szCs w:val="24"/>
        </w:rPr>
        <w:t>McShane v. Stirling Ranch Prop. Owners Ass’n, Inc</w:t>
      </w:r>
      <w:r w:rsidRPr="00F755B7">
        <w:rPr>
          <w:rFonts w:eastAsia="Times New Roman"/>
          <w:bCs/>
          <w:sz w:val="24"/>
          <w:szCs w:val="24"/>
        </w:rPr>
        <w:t xml:space="preserve">., 2017 CO 38, ¶ 13, 393 P.3d 978;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Stone v. Life Time Fitness, Inc</w:t>
      </w:r>
      <w:r w:rsidRPr="00F755B7">
        <w:rPr>
          <w:rFonts w:eastAsia="Times New Roman"/>
          <w:bCs/>
          <w:sz w:val="24"/>
          <w:szCs w:val="24"/>
        </w:rPr>
        <w:t>., 2016 COA 189M, ¶ 35</w:t>
      </w:r>
      <w:r w:rsidR="004C330E">
        <w:rPr>
          <w:rFonts w:eastAsia="Times New Roman"/>
          <w:bCs/>
          <w:sz w:val="24"/>
          <w:szCs w:val="24"/>
        </w:rPr>
        <w:t>, 411 P.3d 225</w:t>
      </w:r>
      <w:r w:rsidRPr="00F755B7">
        <w:rPr>
          <w:rFonts w:eastAsia="Times New Roman"/>
          <w:bCs/>
          <w:sz w:val="24"/>
          <w:szCs w:val="24"/>
        </w:rPr>
        <w:t xml:space="preserve"> (release language in membership agreement was ambiguous and accordingly did not bar claim for injury sustained while washing hands in restroom).</w:t>
      </w:r>
    </w:p>
    <w:p w14:paraId="6465F7F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8. A contract may be unenforceable in some circumstances when it is so unfair as to be unconscionable. </w:t>
      </w:r>
      <w:r w:rsidRPr="00F755B7">
        <w:rPr>
          <w:rFonts w:eastAsia="Times New Roman"/>
          <w:b/>
          <w:bCs/>
          <w:sz w:val="24"/>
          <w:szCs w:val="24"/>
        </w:rPr>
        <w:t>Davis v. M.L.G. Corp.</w:t>
      </w:r>
      <w:r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Pr="00F755B7">
        <w:rPr>
          <w:rFonts w:eastAsia="Times New Roman"/>
          <w:b/>
          <w:bCs/>
          <w:sz w:val="24"/>
          <w:szCs w:val="24"/>
        </w:rPr>
        <w:t>Planned Pethood Plus, Inc. v. KeyCorp, Inc.</w:t>
      </w:r>
      <w:r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Pr="00F755B7">
        <w:rPr>
          <w:rFonts w:eastAsia="Times New Roman"/>
          <w:bCs/>
          <w:i/>
          <w:sz w:val="24"/>
          <w:szCs w:val="24"/>
        </w:rPr>
        <w:t>cf.</w:t>
      </w:r>
      <w:r w:rsidRPr="00F755B7">
        <w:rPr>
          <w:rFonts w:eastAsia="Times New Roman"/>
          <w:bCs/>
          <w:sz w:val="24"/>
          <w:szCs w:val="24"/>
        </w:rPr>
        <w:t xml:space="preserve"> </w:t>
      </w:r>
      <w:r w:rsidRPr="00F755B7">
        <w:rPr>
          <w:rFonts w:eastAsia="Times New Roman"/>
          <w:b/>
          <w:bCs/>
          <w:sz w:val="24"/>
          <w:szCs w:val="24"/>
        </w:rPr>
        <w:t>Bailey</w:t>
      </w:r>
      <w:r w:rsidRPr="00F755B7">
        <w:rPr>
          <w:rFonts w:eastAsia="Times New Roman"/>
          <w:bCs/>
          <w:sz w:val="24"/>
          <w:szCs w:val="24"/>
        </w:rPr>
        <w:t xml:space="preserve">, 255 P.3d at 1057 (provision in widely used standard rental agreement avoiding </w:t>
      </w:r>
      <w:r w:rsidRPr="00F755B7">
        <w:rPr>
          <w:rFonts w:eastAsia="Times New Roman"/>
          <w:bCs/>
          <w:sz w:val="24"/>
          <w:szCs w:val="24"/>
        </w:rPr>
        <w:lastRenderedPageBreak/>
        <w:t>coverage when car used in commission of a crime not unconscionable and did not violate the reasonable expectations of the insured).</w:t>
      </w:r>
    </w:p>
    <w:p w14:paraId="36E705F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9. A limitation of liability term in a contract is not enforceable where a party has committed a willful and wanton breach of contract. </w:t>
      </w:r>
      <w:r w:rsidRPr="00F755B7">
        <w:rPr>
          <w:rFonts w:eastAsia="Times New Roman"/>
          <w:b/>
          <w:bCs/>
          <w:sz w:val="24"/>
          <w:szCs w:val="24"/>
        </w:rPr>
        <w:t>Core-Mark Midcontinent, Inc. v. Sonitrol Corp.</w:t>
      </w:r>
      <w:r w:rsidRPr="00F755B7">
        <w:rPr>
          <w:rFonts w:eastAsia="Times New Roman"/>
          <w:bCs/>
          <w:sz w:val="24"/>
          <w:szCs w:val="24"/>
        </w:rPr>
        <w:t xml:space="preserve">, 2012 COA 120, ¶ 16, 300 P.3d 963 (whether a breach is willful and wanton presents a question of fact for the jury); </w:t>
      </w:r>
      <w:r w:rsidRPr="00F755B7">
        <w:rPr>
          <w:rFonts w:eastAsia="Times New Roman"/>
          <w:b/>
          <w:bCs/>
          <w:sz w:val="24"/>
          <w:szCs w:val="24"/>
        </w:rPr>
        <w:t>Taylor Morrison of Colo.</w:t>
      </w:r>
      <w:r w:rsidR="00FB29B2">
        <w:rPr>
          <w:rFonts w:eastAsia="Times New Roman"/>
          <w:b/>
          <w:bCs/>
          <w:sz w:val="24"/>
          <w:szCs w:val="24"/>
        </w:rPr>
        <w:t>,</w:t>
      </w:r>
      <w:r w:rsidRPr="00F755B7">
        <w:rPr>
          <w:rFonts w:eastAsia="Times New Roman"/>
          <w:b/>
          <w:bCs/>
          <w:sz w:val="24"/>
          <w:szCs w:val="24"/>
        </w:rPr>
        <w:t xml:space="preserve"> Inc., v. Terracon Consultants, Inc.</w:t>
      </w:r>
      <w:r w:rsidRPr="00F755B7">
        <w:rPr>
          <w:rFonts w:eastAsia="Times New Roman"/>
          <w:bCs/>
          <w:sz w:val="24"/>
          <w:szCs w:val="24"/>
        </w:rPr>
        <w:t>, 2017 COA 64, ¶ 10</w:t>
      </w:r>
      <w:r w:rsidR="00F06ADD">
        <w:rPr>
          <w:rFonts w:eastAsia="Times New Roman"/>
          <w:bCs/>
          <w:sz w:val="24"/>
          <w:szCs w:val="24"/>
        </w:rPr>
        <w:t>, 410 P.3d 767</w:t>
      </w:r>
      <w:r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10. The defense of noncooperation in an insurance context must be pleaded as either an affirmative defense or a failure of condition precedent. </w:t>
      </w:r>
      <w:r w:rsidRPr="00F755B7">
        <w:rPr>
          <w:rFonts w:eastAsia="Times New Roman"/>
          <w:b/>
          <w:bCs/>
          <w:sz w:val="24"/>
          <w:szCs w:val="24"/>
        </w:rPr>
        <w:t>Soicher v. State Farm Mut. Auto. Ins. Co</w:t>
      </w:r>
      <w:r w:rsidRPr="00F755B7">
        <w:rPr>
          <w:rFonts w:eastAsia="Times New Roman"/>
          <w:bCs/>
          <w:sz w:val="24"/>
          <w:szCs w:val="24"/>
        </w:rPr>
        <w:t>., 2015 COA 46, ¶ 2, 351 P.3d 559 (holding that failure to cooperate may not be raised for first time in a proposed verdict form).</w:t>
      </w:r>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20" w:name="a30_18"/>
      <w:bookmarkEnd w:id="20"/>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5. The defendant’s reliance caused (him) (her)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Restatement (Second) 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797 P.2d </w:t>
      </w:r>
      <w:r w:rsidRPr="002E1D1B">
        <w:rPr>
          <w:rFonts w:eastAsia="Times New Roman"/>
          <w:bCs/>
          <w:sz w:val="24"/>
          <w:szCs w:val="24"/>
        </w:rPr>
        <w:lastRenderedPageBreak/>
        <w:t xml:space="preserve">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may:</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he or she may take course a or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counterclaim for a or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(1960). On many occasions, the courts have also stated the rule that the defrauded person, having </w:t>
      </w:r>
      <w:r w:rsidRPr="002E1D1B">
        <w:rPr>
          <w:rFonts w:eastAsia="Times New Roman"/>
          <w:bCs/>
          <w:sz w:val="24"/>
          <w:szCs w:val="24"/>
        </w:rPr>
        <w:lastRenderedPageBreak/>
        <w:t xml:space="preserve">learned of the fraud, must, if that person elects to rescind, give notice promptly of his or her intention to do so.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 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r w:rsidRPr="002E1D1B">
        <w:rPr>
          <w:rFonts w:eastAsia="Times New Roman"/>
          <w:b/>
          <w:bCs/>
          <w:sz w:val="24"/>
          <w:szCs w:val="24"/>
        </w:rPr>
        <w:t>Stewart v. Blanning</w:t>
      </w:r>
      <w:r w:rsidRPr="002E1D1B">
        <w:rPr>
          <w:rFonts w:eastAsia="Times New Roman"/>
          <w:bCs/>
          <w:sz w:val="24"/>
          <w:szCs w:val="24"/>
        </w:rPr>
        <w:t>, 677 P.2d 1382 (Colo. App. 1984).</w:t>
      </w:r>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288 P.2d at 359. When one uses fraud in the inducement as a defense to a breach of contract action that person is in effect claiming a right to “rescind” the contract and consider himself or herself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666 P.2d 1122, 1124-25 (Colo. App. 1983).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w:t>
      </w:r>
      <w:r w:rsidRPr="002E1D1B">
        <w:rPr>
          <w:rFonts w:eastAsia="Times New Roman"/>
          <w:bCs/>
          <w:sz w:val="24"/>
          <w:szCs w:val="24"/>
        </w:rPr>
        <w:lastRenderedPageBreak/>
        <w:t xml:space="preserve">(dictum,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1" w:name="a30_19"/>
      <w:bookmarkEnd w:id="21"/>
      <w:r w:rsidRPr="002E1D1B">
        <w:rPr>
          <w:rFonts w:eastAsia="Times New Roman"/>
          <w:b/>
          <w:bCs/>
          <w:sz w:val="24"/>
          <w:szCs w:val="24"/>
        </w:rPr>
        <w:lastRenderedPageBreak/>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At the time the defendant entered into the (claimed) contract, the defendant was not acting of (his) (her)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The burdens of pleading and proving undue influence in an arm’s length transaction are on the party asserting it. C.R.C.P. 8(c).</w:t>
      </w:r>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b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2" w:name="a30_20"/>
      <w:bookmarkEnd w:id="22"/>
      <w:r w:rsidRPr="00BC29F9">
        <w:rPr>
          <w:rFonts w:eastAsia="Times New Roman"/>
          <w:b/>
          <w:bCs/>
          <w:sz w:val="24"/>
          <w:szCs w:val="24"/>
        </w:rPr>
        <w:lastRenderedPageBreak/>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At the time the defendant entered into the (claimed) contract, the defendant was not acting of (his) (her)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burdens of pleading and proving duress in an arm’s length transaction are on the party asserting it. C.R.C.P. 8(c).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law[.]”); </w:t>
      </w:r>
      <w:r w:rsidRPr="00BC29F9">
        <w:rPr>
          <w:rFonts w:eastAsia="Times New Roman"/>
          <w:b/>
          <w:bCs/>
          <w:sz w:val="24"/>
          <w:szCs w:val="24"/>
        </w:rPr>
        <w:t>Wiesen v. Short</w:t>
      </w:r>
      <w:r w:rsidRPr="00BC29F9">
        <w:rPr>
          <w:rFonts w:eastAsia="Times New Roman"/>
          <w:bCs/>
          <w:sz w:val="24"/>
          <w:szCs w:val="24"/>
        </w:rPr>
        <w:t xml:space="preserve">, 43 </w:t>
      </w:r>
      <w:r w:rsidRPr="00BC29F9">
        <w:rPr>
          <w:rFonts w:eastAsia="Times New Roman"/>
          <w:bCs/>
          <w:sz w:val="24"/>
          <w:szCs w:val="24"/>
        </w:rPr>
        <w:lastRenderedPageBreak/>
        <w:t xml:space="preserve">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3" w:name="a30_21"/>
      <w:bookmarkEnd w:id="23"/>
      <w:r w:rsidRPr="00BC29F9">
        <w:rPr>
          <w:rFonts w:eastAsia="Times New Roman"/>
          <w:b/>
          <w:bCs/>
          <w:sz w:val="24"/>
          <w:szCs w:val="24"/>
        </w:rPr>
        <w:lastRenderedPageBreak/>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138 Colo. at 38-39, 328 P.2d at 1081.</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4" w:name="a30_22"/>
      <w:bookmarkEnd w:id="24"/>
      <w:r w:rsidRPr="00BC29F9">
        <w:rPr>
          <w:rFonts w:eastAsia="Times New Roman"/>
          <w:b/>
          <w:bCs/>
          <w:sz w:val="24"/>
          <w:szCs w:val="24"/>
        </w:rPr>
        <w:lastRenderedPageBreak/>
        <w:t>30:22</w:t>
      </w:r>
      <w:r w:rsidRPr="00BC29F9">
        <w:rPr>
          <w:rFonts w:eastAsia="Times New Roman"/>
          <w:b/>
          <w:bCs/>
          <w:sz w:val="24"/>
          <w:szCs w:val="24"/>
        </w:rPr>
        <w:tab/>
        <w:t>DEFENSE ― MENTAL INCAPACITY</w:t>
      </w:r>
    </w:p>
    <w:p w14:paraId="7DF5007C"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(he) (she)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in conjunction with Instruction 34:12, which defines the term “insane delusion.”</w:t>
      </w:r>
    </w:p>
    <w:p w14:paraId="2BC5D6A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in conjunction with Instruction 3:5 regarding presumptions. There is always, in civil as well as criminal actions, a presumption of sanity. </w:t>
      </w:r>
      <w:r w:rsidRPr="00BC29F9">
        <w:rPr>
          <w:rFonts w:eastAsia="Times New Roman"/>
          <w:b/>
          <w:bCs/>
          <w:sz w:val="24"/>
          <w:szCs w:val="24"/>
        </w:rPr>
        <w:t>Hanks v. McNeil Coal Corp</w:t>
      </w:r>
      <w:r w:rsidRPr="00BC29F9">
        <w:rPr>
          <w:rFonts w:eastAsia="Times New Roman"/>
          <w:bCs/>
          <w:sz w:val="24"/>
          <w:szCs w:val="24"/>
        </w:rPr>
        <w:t xml:space="preserve">., 114 Colo. 578, 168 P.2d 256 (1946).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168 P.2d at 261-62. </w:t>
      </w:r>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5" w:name="a30_23"/>
      <w:bookmarkEnd w:id="25"/>
      <w:r w:rsidRPr="00BC29F9">
        <w:rPr>
          <w:rFonts w:eastAsia="Times New Roman"/>
          <w:b/>
          <w:bCs/>
          <w:sz w:val="24"/>
          <w:szCs w:val="24"/>
        </w:rPr>
        <w:lastRenderedPageBreak/>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not be given if the parties in their contract have impliedly or expressly dealt with the contingency giving rise to the claim of impossibility and have allocated the risk of the contingency taking place in a manner that would be inconsistent with paragraph 1 of this instruction. 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w:t>
      </w:r>
      <w:r w:rsidRPr="0000321C">
        <w:rPr>
          <w:rFonts w:eastAsia="Times New Roman"/>
          <w:bCs/>
          <w:sz w:val="24"/>
          <w:szCs w:val="24"/>
        </w:rPr>
        <w:lastRenderedPageBreak/>
        <w:t xml:space="preserve">(impossibility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Magnetic Copy Servs.,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costly,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26DACDB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xml:space="preserve">, 176 P.3d 737 (Colo. 2007). </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6" w:name="a30_24"/>
      <w:bookmarkEnd w:id="26"/>
      <w:r w:rsidRPr="0000321C">
        <w:rPr>
          <w:rFonts w:eastAsia="Times New Roman"/>
          <w:b/>
          <w:bCs/>
          <w:sz w:val="24"/>
          <w:szCs w:val="24"/>
        </w:rPr>
        <w:lastRenderedPageBreak/>
        <w:t>30:24</w:t>
      </w:r>
      <w:r w:rsidRPr="0000321C">
        <w:rPr>
          <w:rFonts w:eastAsia="Times New Roman"/>
          <w:b/>
          <w:bCs/>
          <w:sz w:val="24"/>
          <w:szCs w:val="24"/>
        </w:rPr>
        <w:tab/>
        <w:t>DEFENSE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1. By words or conduct, or both, the plaintiff caused the defendant not to perform (his) (her) (its) obligation as required by the (claimed) contract; and</w:t>
      </w:r>
    </w:p>
    <w:p w14:paraId="68F958F6"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2. The plaintiff actually knew, or knew there was a substantial likelihood, (his) (her)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7" w:name="a30_25"/>
      <w:bookmarkEnd w:id="27"/>
      <w:r w:rsidRPr="0000321C">
        <w:rPr>
          <w:rFonts w:eastAsia="Times New Roman"/>
          <w:b/>
          <w:bCs/>
          <w:sz w:val="24"/>
          <w:szCs w:val="24"/>
        </w:rPr>
        <w:lastRenderedPageBreak/>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(his) (her) (its)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(him) (her)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 xml:space="preserve">Tripp v. </w:t>
      </w:r>
      <w:r w:rsidRPr="0000321C">
        <w:rPr>
          <w:rFonts w:eastAsia="Times New Roman"/>
          <w:b/>
          <w:bCs/>
          <w:sz w:val="24"/>
          <w:szCs w:val="24"/>
        </w:rPr>
        <w:lastRenderedPageBreak/>
        <w:t>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xml:space="preserve">, 711 P.2d 708 (Colo. App. 1985) (waiver of right to repossess collateral),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If the plaintiff’s claim is for a liquidated sum of money and the alleged waiver goes to the obligation to pay the debt, then, unless the act of waiver also constituted an estoppel by inducing reasonable detrimental reliance on the defendant’s part, it appears necessary for an effective waiver that the plaintiff must also have been relieved of some obligations that he or she still owed under the contract. </w:t>
      </w:r>
      <w:r w:rsidRPr="0000321C">
        <w:rPr>
          <w:rFonts w:eastAsia="Times New Roman"/>
          <w:bCs/>
          <w:i/>
          <w:sz w:val="24"/>
          <w:szCs w:val="24"/>
        </w:rPr>
        <w:t>See</w:t>
      </w:r>
      <w:r w:rsidRPr="0000321C">
        <w:rPr>
          <w:rFonts w:eastAsia="Times New Roman"/>
          <w:bCs/>
          <w:sz w:val="24"/>
          <w:szCs w:val="24"/>
        </w:rPr>
        <w:t xml:space="preserve"> 13 </w:t>
      </w:r>
      <w:r w:rsidRPr="0000321C">
        <w:rPr>
          <w:rFonts w:eastAsia="Times New Roman"/>
          <w:bCs/>
          <w:smallCaps/>
          <w:sz w:val="24"/>
          <w:szCs w:val="24"/>
        </w:rPr>
        <w:t>Sarah Howard Jenkins, Corbin on Contracts</w:t>
      </w:r>
      <w:r w:rsidRPr="0000321C">
        <w:rPr>
          <w:rFonts w:eastAsia="Times New Roman"/>
          <w:bCs/>
          <w:sz w:val="24"/>
          <w:szCs w:val="24"/>
        </w:rPr>
        <w:t xml:space="preserve"> § 67.10 (Joseph M. Perillo ed., rev. ed. 2003).</w:t>
      </w:r>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2014 COA 74, ¶ 28, 365 P.3d 378.</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8" w:name="a30_26"/>
      <w:bookmarkEnd w:id="28"/>
      <w:r w:rsidRPr="0000321C">
        <w:rPr>
          <w:rFonts w:eastAsia="Times New Roman"/>
          <w:b/>
          <w:bCs/>
          <w:sz w:val="24"/>
          <w:szCs w:val="24"/>
        </w:rPr>
        <w:lastRenderedPageBreak/>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r w:rsidRPr="0000321C">
        <w:rPr>
          <w:rFonts w:eastAsia="Times New Roman"/>
          <w:b/>
          <w:bCs/>
          <w:sz w:val="24"/>
          <w:szCs w:val="24"/>
        </w:rPr>
        <w:t>Jackson v. Am. Family Mut. Ins. Co.</w:t>
      </w:r>
      <w:r w:rsidRPr="0000321C">
        <w:rPr>
          <w:rFonts w:eastAsia="Times New Roman"/>
          <w:bCs/>
          <w:sz w:val="24"/>
          <w:szCs w:val="24"/>
        </w:rPr>
        <w:t>, 258 P.3d 328 (Colo. App. 2011).</w:t>
      </w:r>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Portercare Adventist Health Sys. v.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Cs/>
          <w:sz w:val="24"/>
          <w:szCs w:val="24"/>
        </w:rPr>
        <w:lastRenderedPageBreak/>
        <w:t xml:space="preserve">§ 4-2-725(1), C.R.S. (incorporating the period of limitation set out in section 13-80-101(1)(a),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C.R.C.P. 8(c).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Pr="0000321C">
        <w:rPr>
          <w:rFonts w:eastAsia="Times New Roman"/>
          <w:b/>
          <w:bCs/>
          <w:sz w:val="24"/>
          <w:szCs w:val="24"/>
        </w:rPr>
        <w:t>Hutchins v. La Plata Mountain Res., Inc</w:t>
      </w:r>
      <w:r w:rsidRPr="0000321C">
        <w:rPr>
          <w:rFonts w:eastAsia="Times New Roman"/>
          <w:bCs/>
          <w:sz w:val="24"/>
          <w:szCs w:val="24"/>
        </w:rPr>
        <w:t xml:space="preserve">. 2016 CO 45, ¶ 10, 373 P.3d 582, 585;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Van Diest v. Towle</w:t>
      </w:r>
      <w:r w:rsidRPr="0000321C">
        <w:rPr>
          <w:rFonts w:eastAsia="Times New Roman"/>
          <w:bCs/>
          <w:sz w:val="24"/>
          <w:szCs w:val="24"/>
        </w:rPr>
        <w:t>, 116 Colo. 204, 179 P.2d 984 (1947).</w:t>
      </w:r>
    </w:p>
    <w:p w14:paraId="4AA392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In some instances, a demand or notice may be a condition precedent to creating a cause of action for breach of contract.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Stice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144 Colo. at 226-27, 355 P.2d at 953.</w:t>
      </w:r>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9" w:name="a30_27"/>
      <w:bookmarkEnd w:id="29"/>
      <w:r w:rsidRPr="00E43BF9">
        <w:rPr>
          <w:rFonts w:eastAsia="Times New Roman"/>
          <w:b/>
          <w:bCs/>
          <w:sz w:val="24"/>
          <w:szCs w:val="24"/>
        </w:rPr>
        <w:lastRenderedPageBreak/>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Before any party to the contract fully performed all (his) (her) (its)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w:t>
      </w:r>
      <w:r w:rsidRPr="00E43BF9">
        <w:rPr>
          <w:rFonts w:eastAsia="Times New Roman"/>
          <w:bCs/>
          <w:sz w:val="24"/>
          <w:szCs w:val="24"/>
        </w:rPr>
        <w:lastRenderedPageBreak/>
        <w:t xml:space="preserve">understanding of the parties’. . . . Where mutual rescission is founded on the acts and conduct of the parties, . . . such acts must be ‘inconsistent with the existence of the contract.’” (quoting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An agreement of rescission is an affirmative defense for which the party asserting it has the burdens of pleading and proof. C.R.C.P. 8(c).</w:t>
      </w:r>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30" w:name="a30_28"/>
      <w:bookmarkEnd w:id="30"/>
      <w:r w:rsidRPr="00E43BF9">
        <w:rPr>
          <w:rFonts w:eastAsia="Times New Roman"/>
          <w:b/>
          <w:bCs/>
          <w:sz w:val="24"/>
          <w:szCs w:val="24"/>
        </w:rPr>
        <w:lastRenderedPageBreak/>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3. The defendant has fully performed the (duty) (duties) (he) (she) (it)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C.R.C.P. 8(c).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r w:rsidRPr="00E43BF9">
        <w:rPr>
          <w:rFonts w:eastAsia="Times New Roman"/>
          <w:bCs/>
          <w:i/>
          <w:sz w:val="24"/>
          <w:szCs w:val="24"/>
        </w:rPr>
        <w:t>Id.</w:t>
      </w:r>
      <w:r w:rsidRPr="00E43BF9">
        <w:rPr>
          <w:rFonts w:eastAsia="Times New Roman"/>
          <w:bCs/>
          <w:sz w:val="24"/>
          <w:szCs w:val="24"/>
        </w:rPr>
        <w:t xml:space="preserve"> at 49.</w:t>
      </w:r>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w:t>
      </w:r>
      <w:r w:rsidRPr="00E43BF9">
        <w:rPr>
          <w:rFonts w:eastAsia="Times New Roman"/>
          <w:bCs/>
          <w:sz w:val="24"/>
          <w:szCs w:val="24"/>
        </w:rPr>
        <w:lastRenderedPageBreak/>
        <w:t xml:space="preserve">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r w:rsidRPr="00E43BF9">
        <w:rPr>
          <w:rFonts w:eastAsia="Times New Roman"/>
          <w:b/>
          <w:bCs/>
          <w:sz w:val="24"/>
          <w:szCs w:val="24"/>
        </w:rPr>
        <w:t>Metro. State Bank v. Cox</w:t>
      </w:r>
      <w:r w:rsidRPr="00E43BF9">
        <w:rPr>
          <w:rFonts w:eastAsia="Times New Roman"/>
          <w:bCs/>
          <w:sz w:val="24"/>
          <w:szCs w:val="24"/>
        </w:rPr>
        <w:t>, 134 Colo. 260, 302 P.2d 188 (1956).</w:t>
      </w:r>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1" w:name="a30_29"/>
      <w:bookmarkEnd w:id="31"/>
      <w:r w:rsidRPr="00E43BF9">
        <w:rPr>
          <w:rFonts w:eastAsia="Times New Roman"/>
          <w:b/>
          <w:bCs/>
          <w:sz w:val="24"/>
          <w:szCs w:val="24"/>
        </w:rPr>
        <w:lastRenderedPageBreak/>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800 P.2d at 1323.</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r w:rsidRPr="00E43BF9">
        <w:rPr>
          <w:rFonts w:eastAsia="Times New Roman"/>
          <w:b/>
          <w:bCs/>
          <w:sz w:val="24"/>
          <w:szCs w:val="24"/>
        </w:rPr>
        <w:t>Cardwell Inv. Co. v. United Supply &amp; Mfg. Co.</w:t>
      </w:r>
      <w:r w:rsidRPr="00E43BF9">
        <w:rPr>
          <w:rFonts w:eastAsia="Times New Roman"/>
          <w:bCs/>
          <w:sz w:val="24"/>
          <w:szCs w:val="24"/>
        </w:rPr>
        <w:t>, 268 F.2d 857, 859 (10th Cir. 1959).</w:t>
      </w:r>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lastRenderedPageBreak/>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2" w:name="IntroNoteD"/>
      <w:bookmarkEnd w:id="32"/>
      <w:r w:rsidRPr="00F755B7">
        <w:rPr>
          <w:rFonts w:eastAsia="Times New Roman"/>
          <w:b/>
          <w:sz w:val="24"/>
          <w:szCs w:val="24"/>
        </w:rPr>
        <w:t>Introductory Note</w:t>
      </w:r>
    </w:p>
    <w:p w14:paraId="76586FC0"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r w:rsidRPr="00C63547">
        <w:rPr>
          <w:rFonts w:eastAsia="Times New Roman"/>
          <w:b/>
          <w:bCs/>
          <w:sz w:val="24"/>
          <w:szCs w:val="24"/>
        </w:rPr>
        <w:t>USI Props. 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938 P.2d 168 (Colo. 1997). Where possible, the intent of the parties is to be determined from the language of the written contract itself. </w:t>
      </w:r>
      <w:r w:rsidRPr="00C63547">
        <w:rPr>
          <w:rFonts w:eastAsia="Times New Roman"/>
          <w:bCs/>
          <w:i/>
          <w:sz w:val="24"/>
          <w:szCs w:val="24"/>
        </w:rPr>
        <w:t>Id.</w:t>
      </w:r>
      <w:r w:rsidRPr="00C63547">
        <w:rPr>
          <w:rFonts w:eastAsia="Times New Roman"/>
          <w:bCs/>
          <w:sz w:val="24"/>
          <w:szCs w:val="24"/>
        </w:rPr>
        <w:t xml:space="preserve"> Written contracts that are complete and unambiguous will be interpreted and enforced according to the plain and generally accepted meaning of the words employed. </w:t>
      </w:r>
      <w:r w:rsidRPr="00C63547">
        <w:rPr>
          <w:rFonts w:eastAsia="Times New Roman"/>
          <w:bCs/>
          <w:i/>
          <w:sz w:val="24"/>
          <w:szCs w:val="24"/>
        </w:rPr>
        <w:t>Id</w:t>
      </w:r>
      <w:r w:rsidRPr="00C63547">
        <w:rPr>
          <w:rFonts w:eastAsia="Times New Roman"/>
          <w:bCs/>
          <w:sz w:val="24"/>
          <w:szCs w:val="24"/>
        </w:rPr>
        <w:t xml:space="preserve">. However, extrinsic evidence may be conditionally admitted to determine whether a contract is ambiguous. </w:t>
      </w:r>
      <w:r w:rsidRPr="00C63547">
        <w:rPr>
          <w:rFonts w:eastAsia="Times New Roman"/>
          <w:b/>
          <w:bCs/>
          <w:sz w:val="24"/>
          <w:szCs w:val="24"/>
        </w:rPr>
        <w:t>Lazy Dog Ranch v. Telluray Ranch Corp.</w:t>
      </w:r>
      <w:r w:rsidRPr="00C63547">
        <w:rPr>
          <w:rFonts w:eastAsia="Times New Roman"/>
          <w:bCs/>
          <w:sz w:val="24"/>
          <w:szCs w:val="24"/>
        </w:rPr>
        <w:t xml:space="preserve">, 965 P.2d 1229 (Colo. 1998) (rejecting rigid application of “four corners” rule); </w:t>
      </w:r>
      <w:r w:rsidRPr="00C63547">
        <w:rPr>
          <w:rFonts w:eastAsia="Times New Roman"/>
          <w:bCs/>
          <w:i/>
          <w:sz w:val="24"/>
          <w:szCs w:val="24"/>
        </w:rPr>
        <w:t>accord</w:t>
      </w:r>
      <w:r w:rsidRPr="00C63547">
        <w:rPr>
          <w:rFonts w:eastAsia="Times New Roman"/>
          <w:bCs/>
          <w:sz w:val="24"/>
          <w:szCs w:val="24"/>
        </w:rPr>
        <w:t xml:space="preserve"> </w:t>
      </w:r>
      <w:r w:rsidRPr="00C63547">
        <w:rPr>
          <w:rFonts w:eastAsia="Times New Roman"/>
          <w:b/>
          <w:bCs/>
          <w:sz w:val="24"/>
          <w:szCs w:val="24"/>
        </w:rPr>
        <w:t>East Ridge of Fort Collins, LLC v. Larimer &amp; Weld Irrigation Co.</w:t>
      </w:r>
      <w:r w:rsidRPr="00C63547">
        <w:rPr>
          <w:rFonts w:eastAsia="Times New Roman"/>
          <w:bCs/>
          <w:sz w:val="24"/>
          <w:szCs w:val="24"/>
        </w:rPr>
        <w:t xml:space="preserve">, 109 P.3d 969 (Colo. 2005); </w:t>
      </w:r>
      <w:r w:rsidRPr="00C63547">
        <w:rPr>
          <w:rFonts w:eastAsia="Times New Roman"/>
          <w:b/>
          <w:bCs/>
          <w:sz w:val="24"/>
          <w:szCs w:val="24"/>
        </w:rPr>
        <w:t>Lobato v. Taylor</w:t>
      </w:r>
      <w:r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r w:rsidRPr="00C63547">
        <w:rPr>
          <w:rFonts w:eastAsia="Times New Roman"/>
          <w:b/>
          <w:bCs/>
          <w:sz w:val="24"/>
          <w:szCs w:val="24"/>
        </w:rPr>
        <w:t>First Christian Assembly of God v. City &amp; County of Denver</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122 P.3d 1089 (Colo. App. 2005). An insurance policy is a contract, and courts must enforce the plain language of a policy if it is unambiguous. </w:t>
      </w:r>
      <w:r w:rsidRPr="00C63547">
        <w:rPr>
          <w:rFonts w:eastAsia="Times New Roman"/>
          <w:b/>
          <w:bCs/>
          <w:sz w:val="24"/>
          <w:szCs w:val="24"/>
        </w:rPr>
        <w:t>Craft v. Philadelphia Indem. Ins. Co</w:t>
      </w:r>
      <w:r w:rsidRPr="00C63547">
        <w:rPr>
          <w:rFonts w:eastAsia="Times New Roman"/>
          <w:bCs/>
          <w:sz w:val="24"/>
          <w:szCs w:val="24"/>
        </w:rPr>
        <w:t>., 2015 CO 11, ¶ 34, 343 P.3d 951.</w:t>
      </w:r>
    </w:p>
    <w:p w14:paraId="39C4010D"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The determination of whether an ambiguity exists in a written contract is also a question of law for the court. </w:t>
      </w:r>
      <w:r w:rsidRPr="00C63547">
        <w:rPr>
          <w:rFonts w:eastAsia="Times New Roman"/>
          <w:b/>
          <w:bCs/>
          <w:sz w:val="24"/>
          <w:szCs w:val="24"/>
        </w:rPr>
        <w:t>Nat’l Cas. Co. v. Great Sw. Fire Ins. Co.</w:t>
      </w:r>
      <w:r w:rsidRPr="00C63547">
        <w:rPr>
          <w:rFonts w:eastAsia="Times New Roman"/>
          <w:bCs/>
          <w:sz w:val="24"/>
          <w:szCs w:val="24"/>
        </w:rPr>
        <w:t xml:space="preserve">, 833 P.2d 741 (Colo. 1992). The provisions of a contract are ambiguous when they are susceptible to more than one reasonable interpretation. </w:t>
      </w:r>
      <w:r w:rsidRPr="00C63547">
        <w:rPr>
          <w:rFonts w:eastAsia="Times New Roman"/>
          <w:b/>
          <w:bCs/>
          <w:sz w:val="24"/>
          <w:szCs w:val="24"/>
        </w:rPr>
        <w:t>Am. Family Mut. Ins. Co. v. Hansen</w:t>
      </w:r>
      <w:r w:rsidRPr="00C63547">
        <w:rPr>
          <w:rFonts w:eastAsia="Times New Roman"/>
          <w:bCs/>
          <w:sz w:val="24"/>
          <w:szCs w:val="24"/>
        </w:rPr>
        <w:t xml:space="preserve">, 2016 CO 46, ¶ 23, 375 P.3d 115 (listing of names of insureds on declarations page was unambiguous); </w:t>
      </w:r>
      <w:r w:rsidRPr="00C63547">
        <w:rPr>
          <w:rFonts w:eastAsia="Times New Roman"/>
          <w:b/>
          <w:bCs/>
          <w:sz w:val="24"/>
          <w:szCs w:val="24"/>
        </w:rPr>
        <w:t>Union Ins. Co. v. Houtz</w:t>
      </w:r>
      <w:r w:rsidRPr="00C63547">
        <w:rPr>
          <w:rFonts w:eastAsia="Times New Roman"/>
          <w:bCs/>
          <w:sz w:val="24"/>
          <w:szCs w:val="24"/>
        </w:rPr>
        <w:t xml:space="preserve">, 883 P.2d 1057 (Colo. 1994); </w:t>
      </w:r>
      <w:r w:rsidRPr="00C63547">
        <w:rPr>
          <w:rFonts w:eastAsia="Times New Roman"/>
          <w:b/>
          <w:bCs/>
          <w:sz w:val="24"/>
          <w:szCs w:val="24"/>
        </w:rPr>
        <w:t>Ballow v. PHICO Ins. Co.</w:t>
      </w:r>
      <w:r w:rsidRPr="00C63547">
        <w:rPr>
          <w:rFonts w:eastAsia="Times New Roman"/>
          <w:bCs/>
          <w:sz w:val="24"/>
          <w:szCs w:val="24"/>
        </w:rPr>
        <w:t xml:space="preserve">, 875 P.2d 1354 (Colo. 1993). The fact that the parties may have different opinions regarding the interpretation of a contract does not itself mean that the contract is ambiguous, </w:t>
      </w:r>
      <w:r w:rsidRPr="00C63547">
        <w:rPr>
          <w:rFonts w:eastAsia="Times New Roman"/>
          <w:bCs/>
          <w:i/>
          <w:sz w:val="24"/>
          <w:szCs w:val="24"/>
        </w:rPr>
        <w:t>see</w:t>
      </w:r>
      <w:r w:rsidRPr="00C63547">
        <w:rPr>
          <w:rFonts w:eastAsia="Times New Roman"/>
          <w:bCs/>
          <w:sz w:val="24"/>
          <w:szCs w:val="24"/>
        </w:rPr>
        <w:t xml:space="preserve"> </w:t>
      </w:r>
      <w:r w:rsidRPr="00C63547">
        <w:rPr>
          <w:rFonts w:eastAsia="Times New Roman"/>
          <w:b/>
          <w:bCs/>
          <w:sz w:val="24"/>
          <w:szCs w:val="24"/>
        </w:rPr>
        <w:t>Mashburn v. Wilson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701 P.2d 67 (Colo. App. 1984), but the court may conclude that a contract is ambiguous even if the parties did not so argue. </w:t>
      </w:r>
      <w:r w:rsidRPr="00C63547">
        <w:rPr>
          <w:rFonts w:eastAsia="Times New Roman"/>
          <w:b/>
          <w:bCs/>
          <w:sz w:val="24"/>
          <w:szCs w:val="24"/>
        </w:rPr>
        <w:t>Gagne v. Gagne</w:t>
      </w:r>
      <w:r w:rsidRPr="00C63547">
        <w:rPr>
          <w:rFonts w:eastAsia="Times New Roman"/>
          <w:bCs/>
          <w:sz w:val="24"/>
          <w:szCs w:val="24"/>
        </w:rPr>
        <w:t xml:space="preserve">, 2014 COA 127, ¶¶ 50, 60, 338 P.3d 1152 (holding that terms in a disputed contract were subject to “a myriad of reasonable interpretations”). The court “should not allow a hyper-technical reading of the language in a contract to defeat the intention of the parties.” </w:t>
      </w:r>
      <w:r w:rsidRPr="00C63547">
        <w:rPr>
          <w:rFonts w:eastAsia="Times New Roman"/>
          <w:b/>
          <w:bCs/>
          <w:sz w:val="24"/>
          <w:szCs w:val="24"/>
        </w:rPr>
        <w:t>Ad Two, Inc.</w:t>
      </w:r>
      <w:r w:rsidRPr="00C63547">
        <w:rPr>
          <w:rFonts w:eastAsia="Times New Roman"/>
          <w:bCs/>
          <w:sz w:val="24"/>
          <w:szCs w:val="24"/>
        </w:rPr>
        <w:t>, 9 P.3d at 377.</w:t>
      </w:r>
    </w:p>
    <w:p w14:paraId="2F692392"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3.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914 P.2d 909 (Colo. 1996); </w:t>
      </w:r>
      <w:r w:rsidRPr="00C63547">
        <w:rPr>
          <w:rFonts w:eastAsia="Times New Roman"/>
          <w:b/>
          <w:bCs/>
          <w:sz w:val="24"/>
          <w:szCs w:val="24"/>
        </w:rPr>
        <w:t>Preserve at the Fort, Ltd. v. Prudential Huntoon Paige Assocs.</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129 P.3d 1015 (Colo. App. 2004); </w:t>
      </w:r>
      <w:r w:rsidRPr="00C63547">
        <w:rPr>
          <w:rFonts w:eastAsia="Times New Roman"/>
          <w:b/>
          <w:bCs/>
          <w:sz w:val="24"/>
          <w:szCs w:val="24"/>
        </w:rPr>
        <w:t>D.C. Concrete Mgmt., Inc. v. Mid-Century Ins.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lastRenderedPageBreak/>
        <w:t xml:space="preserve">4. The primary aim in contract interpretation is to determine what the parties intended, and every word in an instrument is to be given meaning if at all possible. </w:t>
      </w:r>
      <w:r w:rsidRPr="00C63547">
        <w:rPr>
          <w:rFonts w:eastAsia="Times New Roman"/>
          <w:b/>
          <w:bCs/>
          <w:sz w:val="24"/>
          <w:szCs w:val="24"/>
        </w:rPr>
        <w:t>Fed. Deposit Ins. Corp. v. Fisher</w:t>
      </w:r>
      <w:r w:rsidRPr="00C63547">
        <w:rPr>
          <w:rFonts w:eastAsia="Times New Roman"/>
          <w:bCs/>
          <w:sz w:val="24"/>
          <w:szCs w:val="24"/>
        </w:rPr>
        <w:t>, 2013 CO 5, ¶ 11, 292 P.3d 934.</w:t>
      </w:r>
    </w:p>
    <w:p w14:paraId="0F8467B0"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5. For a discussion as to whether an objective or subjective standard should be applied to a contract that is to be completed to the satisfaction of one of the parties, see </w:t>
      </w:r>
      <w:r w:rsidRPr="00C63547">
        <w:rPr>
          <w:rFonts w:eastAsia="Times New Roman"/>
          <w:b/>
          <w:bCs/>
          <w:sz w:val="24"/>
          <w:szCs w:val="24"/>
        </w:rPr>
        <w:t>Crum v. April Corp.</w:t>
      </w:r>
      <w:r w:rsidRPr="00C63547">
        <w:rPr>
          <w:rFonts w:eastAsia="Times New Roman"/>
          <w:bCs/>
          <w:sz w:val="24"/>
          <w:szCs w:val="24"/>
        </w:rPr>
        <w:t>, 62 P.3d 1039 (Colo. App. 2002).</w:t>
      </w:r>
    </w:p>
    <w:p w14:paraId="658A7B44" w14:textId="77777777"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6. For a discussion of contractual conditions implied in fact or by law, see </w:t>
      </w:r>
      <w:r w:rsidRPr="00C63547">
        <w:rPr>
          <w:rFonts w:eastAsia="Times New Roman"/>
          <w:b/>
          <w:bCs/>
          <w:sz w:val="24"/>
          <w:szCs w:val="24"/>
        </w:rPr>
        <w:t>Lane v. Urgitis</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145 P.3d 672 (Colo. 2006).</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3" w:name="a30_30"/>
      <w:bookmarkEnd w:id="33"/>
      <w:r w:rsidRPr="00C63547">
        <w:rPr>
          <w:rFonts w:eastAsia="Times New Roman"/>
          <w:b/>
          <w:bCs/>
          <w:sz w:val="24"/>
          <w:szCs w:val="24"/>
        </w:rPr>
        <w:lastRenderedPageBreak/>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r w:rsidRPr="00C63547">
        <w:rPr>
          <w:rFonts w:eastAsia="Times New Roman"/>
          <w:bCs/>
          <w:i/>
          <w:iCs/>
          <w:sz w:val="24"/>
          <w:szCs w:val="24"/>
        </w:rPr>
        <w:t>insert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77777777"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Dorman v. Petrol Aspen, Inc.,</w:t>
      </w:r>
      <w:r w:rsidRPr="00C63547">
        <w:rPr>
          <w:rFonts w:eastAsia="Times New Roman"/>
          <w:bCs/>
          <w:sz w:val="24"/>
          <w:szCs w:val="24"/>
        </w:rPr>
        <w:t xml:space="preserve"> 914 P.2d 909 (Colo. 1996) (the meaning of ambiguous contractual terms is generally an issue of fact); </w:t>
      </w:r>
      <w:r w:rsidRPr="00C63547">
        <w:rPr>
          <w:rFonts w:eastAsia="Times New Roman"/>
          <w:b/>
          <w:bCs/>
          <w:sz w:val="24"/>
          <w:szCs w:val="24"/>
        </w:rPr>
        <w:t>Denver Classroom Teachers Ass’n v. Sch. Dist. No. 1</w:t>
      </w:r>
      <w:r w:rsidRPr="00C63547">
        <w:rPr>
          <w:rFonts w:eastAsia="Times New Roman"/>
          <w:bCs/>
          <w:sz w:val="24"/>
          <w:szCs w:val="24"/>
        </w:rPr>
        <w:t>, 2017 COA 2, ¶ 17 (“We conclude that the [collective bargaining agreements] are ambiguous and the trial court properly let the interpretation go to the jury as a question of fact.”) (</w:t>
      </w:r>
      <w:r w:rsidRPr="00C63547">
        <w:rPr>
          <w:rFonts w:eastAsia="Times New Roman"/>
          <w:bCs/>
          <w:i/>
          <w:sz w:val="24"/>
          <w:szCs w:val="24"/>
        </w:rPr>
        <w:t>cert. granted</w:t>
      </w:r>
      <w:r w:rsidRPr="00C63547">
        <w:rPr>
          <w:rFonts w:eastAsia="Times New Roman"/>
          <w:bCs/>
          <w:sz w:val="24"/>
          <w:szCs w:val="24"/>
        </w:rPr>
        <w:t xml:space="preserve"> Oct. 2, 2017).</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4" w:name="a30_31"/>
      <w:bookmarkEnd w:id="34"/>
      <w:r w:rsidRPr="00C63547">
        <w:rPr>
          <w:rFonts w:eastAsia="Times New Roman"/>
          <w:b/>
          <w:bCs/>
          <w:sz w:val="24"/>
          <w:szCs w:val="24"/>
        </w:rPr>
        <w:lastRenderedPageBreak/>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528C3361"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Where the face of the contract shows a change, such as strike-outs, the terms may be proven by evidence outside the contract. </w:t>
      </w:r>
      <w:r w:rsidRPr="00C63547">
        <w:rPr>
          <w:rFonts w:eastAsia="Times New Roman"/>
          <w:b/>
          <w:bCs/>
          <w:sz w:val="24"/>
          <w:szCs w:val="24"/>
        </w:rPr>
        <w:t>Hildebrand v. New Vista Homes II, LLC</w:t>
      </w:r>
      <w:r w:rsidRPr="00C63547">
        <w:rPr>
          <w:rFonts w:eastAsia="Times New Roman"/>
          <w:bCs/>
          <w:sz w:val="24"/>
          <w:szCs w:val="24"/>
        </w:rPr>
        <w:t xml:space="preserve">, 252 P.3d 1159 (Colo. App. 2010). In cases involving an ambiguity in a written contract, the jury’s function is to determine the intention of the parties as a question of fact. </w:t>
      </w:r>
      <w:r w:rsidRPr="00C63547">
        <w:rPr>
          <w:rFonts w:eastAsia="Times New Roman"/>
          <w:b/>
          <w:bCs/>
          <w:sz w:val="24"/>
          <w:szCs w:val="24"/>
        </w:rPr>
        <w:t>Fire Ins. Exch. v. Rael</w:t>
      </w:r>
      <w:r w:rsidRPr="00C63547">
        <w:rPr>
          <w:rFonts w:eastAsia="Times New Roman"/>
          <w:bCs/>
          <w:sz w:val="24"/>
          <w:szCs w:val="24"/>
        </w:rPr>
        <w:t xml:space="preserve">, 895 P.2d 1139 (Colo. App. 1995). Determining the parties’ intent from the circumstances surrounding the execution of a contract is the primary method for determining the meaning of an ambiguous term. </w:t>
      </w:r>
    </w:p>
    <w:p w14:paraId="679BFC82"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lastRenderedPageBreak/>
        <w:t xml:space="preserve">3. The conduct of the parties may not be used to contradict the contract’s plain, unambiguous meaning. </w:t>
      </w:r>
      <w:r w:rsidRPr="00C63547">
        <w:rPr>
          <w:rFonts w:eastAsia="Times New Roman"/>
          <w:b/>
          <w:bCs/>
          <w:sz w:val="24"/>
          <w:szCs w:val="24"/>
        </w:rPr>
        <w:t>Great W. Sugar Co. v. White</w:t>
      </w:r>
      <w:r w:rsidRPr="00C63547">
        <w:rPr>
          <w:rFonts w:eastAsia="Times New Roman"/>
          <w:bCs/>
          <w:sz w:val="24"/>
          <w:szCs w:val="24"/>
        </w:rPr>
        <w:t>, 47 Colo. 547, 108 P. 156 (1910).</w:t>
      </w:r>
    </w:p>
    <w:p w14:paraId="6632F31F"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4. Insurance policies are contracts, the unambiguous terms of which must be enforced as written, unless doing so would violate public policy. </w:t>
      </w:r>
      <w:r w:rsidRPr="00C63547">
        <w:rPr>
          <w:rFonts w:eastAsia="Times New Roman"/>
          <w:b/>
          <w:bCs/>
          <w:sz w:val="24"/>
          <w:szCs w:val="24"/>
        </w:rPr>
        <w:t>Travelers Prop. Cas. Co. of Am. v. Stresscon Corp</w:t>
      </w:r>
      <w:r w:rsidRPr="00C63547">
        <w:rPr>
          <w:rFonts w:eastAsia="Times New Roman"/>
          <w:bCs/>
          <w:sz w:val="24"/>
          <w:szCs w:val="24"/>
        </w:rPr>
        <w:t xml:space="preserve">., 2016 CO 22M, ¶ 12, 370 P.3d 140; </w:t>
      </w:r>
      <w:r w:rsidRPr="00C63547">
        <w:rPr>
          <w:rFonts w:eastAsia="Times New Roman"/>
          <w:b/>
          <w:bCs/>
          <w:sz w:val="24"/>
          <w:szCs w:val="24"/>
        </w:rPr>
        <w:t>Allstate Ins. Co. v. Huizar</w:t>
      </w:r>
      <w:r w:rsidRPr="00C63547">
        <w:rPr>
          <w:rFonts w:eastAsia="Times New Roman"/>
          <w:bCs/>
          <w:sz w:val="24"/>
          <w:szCs w:val="24"/>
        </w:rPr>
        <w:t xml:space="preserve">, 52 P.3d 816 (Colo. 2002) (insurance contracts must be construed according to well-settled principles of contract interpretation); </w:t>
      </w:r>
      <w:r w:rsidRPr="00C63547">
        <w:rPr>
          <w:rFonts w:eastAsia="Times New Roman"/>
          <w:b/>
          <w:bCs/>
          <w:sz w:val="24"/>
          <w:szCs w:val="24"/>
        </w:rPr>
        <w:t>Novell v. Am. Guar. &amp; Liab. Ins.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15 P.3d 775 (Colo. App. 1999); </w:t>
      </w:r>
      <w:r w:rsidRPr="00C63547">
        <w:rPr>
          <w:rFonts w:eastAsia="Times New Roman"/>
          <w:b/>
          <w:bCs/>
          <w:sz w:val="24"/>
          <w:szCs w:val="24"/>
        </w:rPr>
        <w:t>Mt. Hawley Ins. Co. v. Casson Duncan Constr. Inc</w:t>
      </w:r>
      <w:r w:rsidRPr="00C63547">
        <w:rPr>
          <w:rFonts w:eastAsia="Times New Roman"/>
          <w:bCs/>
          <w:sz w:val="24"/>
          <w:szCs w:val="24"/>
        </w:rPr>
        <w:t>., 2016 COA 164, ¶ 15</w:t>
      </w:r>
      <w:r w:rsidR="004C330E">
        <w:rPr>
          <w:rFonts w:eastAsia="Times New Roman"/>
          <w:bCs/>
          <w:sz w:val="24"/>
          <w:szCs w:val="24"/>
        </w:rPr>
        <w:t>, 409 P.3d 619</w:t>
      </w:r>
      <w:r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Pr="00C63547">
        <w:rPr>
          <w:rFonts w:eastAsia="Times New Roman"/>
          <w:b/>
          <w:bCs/>
          <w:sz w:val="24"/>
          <w:szCs w:val="24"/>
        </w:rPr>
        <w:t>Cary v. United of Omaha Life Ins. Co.</w:t>
      </w:r>
      <w:r w:rsidRPr="00C63547">
        <w:rPr>
          <w:rFonts w:eastAsia="Times New Roman"/>
          <w:bCs/>
          <w:sz w:val="24"/>
          <w:szCs w:val="24"/>
        </w:rPr>
        <w:t xml:space="preserve">, 108 P.3d 288 (Colo. 2005); </w:t>
      </w:r>
      <w:r w:rsidRPr="00C63547">
        <w:rPr>
          <w:rFonts w:eastAsia="Times New Roman"/>
          <w:b/>
          <w:bCs/>
          <w:sz w:val="24"/>
          <w:szCs w:val="24"/>
        </w:rPr>
        <w:t>Cruz v. Farmers Ins. Exch.</w:t>
      </w:r>
      <w:r w:rsidRPr="00C63547">
        <w:rPr>
          <w:rFonts w:eastAsia="Times New Roman"/>
          <w:bCs/>
          <w:sz w:val="24"/>
          <w:szCs w:val="24"/>
        </w:rPr>
        <w:t xml:space="preserve">, 12 P.3d 307 (Colo. App. 2000); </w:t>
      </w:r>
      <w:r w:rsidRPr="00C63547">
        <w:rPr>
          <w:rFonts w:eastAsia="Times New Roman"/>
          <w:b/>
          <w:bCs/>
          <w:sz w:val="24"/>
          <w:szCs w:val="24"/>
        </w:rPr>
        <w:t>Bengtson v. USAA Prop. &amp; Cas. Ins.</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3 P.3d 1233 (Colo. App. 2000);</w:t>
      </w:r>
      <w:r w:rsidRPr="00C63547">
        <w:rPr>
          <w:rFonts w:eastAsia="Times New Roman"/>
          <w:b/>
          <w:bCs/>
          <w:sz w:val="24"/>
          <w:szCs w:val="24"/>
        </w:rPr>
        <w:t xml:space="preserve"> Novell</w:t>
      </w:r>
      <w:r w:rsidRPr="00C63547">
        <w:rPr>
          <w:rFonts w:eastAsia="Times New Roman"/>
          <w:bCs/>
          <w:sz w:val="24"/>
          <w:szCs w:val="24"/>
        </w:rPr>
        <w:t xml:space="preserve">, 15 P.3d at 778. </w:t>
      </w:r>
      <w:r w:rsidRPr="00C63547">
        <w:rPr>
          <w:rFonts w:eastAsia="Times New Roman"/>
          <w:bCs/>
          <w:i/>
          <w:sz w:val="24"/>
          <w:szCs w:val="24"/>
        </w:rPr>
        <w:t>See</w:t>
      </w:r>
      <w:r w:rsidRPr="00C63547">
        <w:rPr>
          <w:rFonts w:eastAsia="Times New Roman"/>
          <w:bCs/>
          <w:sz w:val="24"/>
          <w:szCs w:val="24"/>
        </w:rPr>
        <w:t xml:space="preserve"> Instruction 30:35 (construction against drafter).</w:t>
      </w:r>
    </w:p>
    <w:p w14:paraId="4BA5DBA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5. Generally, unless unequivocal language mandates otherwise, a contractual clause will be interpreted as a promise rather than as a condition precedent. </w:t>
      </w:r>
      <w:r w:rsidRPr="00C63547">
        <w:rPr>
          <w:rFonts w:eastAsia="Times New Roman"/>
          <w:b/>
          <w:bCs/>
          <w:sz w:val="24"/>
          <w:szCs w:val="24"/>
        </w:rPr>
        <w:t>Main Elec., Ltd. v. Printz Servs. Corp.</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980 P.2d 522 (Colo. 1999).</w:t>
      </w:r>
    </w:p>
    <w:p w14:paraId="34E97FDF"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6. A fundamental rule of contract interpretation is that the latest iteration of contractual terms controls. </w:t>
      </w:r>
      <w:r w:rsidRPr="00C63547">
        <w:rPr>
          <w:rFonts w:eastAsia="Times New Roman"/>
          <w:bCs/>
          <w:i/>
          <w:sz w:val="24"/>
          <w:szCs w:val="24"/>
        </w:rPr>
        <w:t>See</w:t>
      </w:r>
      <w:r w:rsidRPr="00C63547">
        <w:rPr>
          <w:rFonts w:eastAsia="Times New Roman"/>
          <w:bCs/>
          <w:sz w:val="24"/>
          <w:szCs w:val="24"/>
        </w:rPr>
        <w:t xml:space="preserve"> </w:t>
      </w:r>
      <w:r w:rsidRPr="00C63547">
        <w:rPr>
          <w:rFonts w:eastAsia="Times New Roman"/>
          <w:b/>
          <w:bCs/>
          <w:sz w:val="24"/>
          <w:szCs w:val="24"/>
        </w:rPr>
        <w:t>Fed. Deposit Ins. Corp. v. Fisher</w:t>
      </w:r>
      <w:r w:rsidRPr="00C63547">
        <w:rPr>
          <w:rFonts w:eastAsia="Times New Roman"/>
          <w:bCs/>
          <w:sz w:val="24"/>
          <w:szCs w:val="24"/>
        </w:rPr>
        <w:t>, 2013 CO 5, ¶ 11, 292 P.3d 934.</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5" w:name="a30_32"/>
      <w:bookmarkEnd w:id="35"/>
      <w:r w:rsidRPr="00E32C6D">
        <w:rPr>
          <w:rFonts w:eastAsia="Times New Roman"/>
          <w:b/>
          <w:bCs/>
          <w:sz w:val="24"/>
          <w:szCs w:val="24"/>
        </w:rPr>
        <w:lastRenderedPageBreak/>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Federal Deposit Insurance Corp. v. Fisher</w:t>
      </w:r>
      <w:r w:rsidRPr="00E32C6D">
        <w:rPr>
          <w:rFonts w:eastAsia="Times New Roman"/>
          <w:bCs/>
          <w:sz w:val="24"/>
          <w:szCs w:val="24"/>
        </w:rPr>
        <w:t xml:space="preserve">, 2013 COA 5, ¶ 11, 292 P.3d 934; </w:t>
      </w:r>
      <w:r w:rsidRPr="00E32C6D">
        <w:rPr>
          <w:rFonts w:eastAsia="Times New Roman"/>
          <w:b/>
          <w:bCs/>
          <w:sz w:val="24"/>
          <w:szCs w:val="24"/>
        </w:rPr>
        <w:t>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r w:rsidR="00FB29B2">
        <w:rPr>
          <w:rFonts w:eastAsia="Times New Roman"/>
          <w:b/>
          <w:bCs/>
          <w:sz w:val="24"/>
          <w:szCs w:val="24"/>
        </w:rPr>
        <w:t>Pulte Home Corp.</w:t>
      </w:r>
      <w:r w:rsidRPr="00E32C6D">
        <w:rPr>
          <w:rFonts w:eastAsia="Times New Roman"/>
          <w:b/>
          <w:bCs/>
          <w:sz w:val="24"/>
          <w:szCs w:val="24"/>
        </w:rPr>
        <w:t xml:space="preserve"> v. Countryside Cmty. Ass’n, Inc.</w:t>
      </w:r>
      <w:r w:rsidRPr="00E32C6D">
        <w:rPr>
          <w:rFonts w:eastAsia="Times New Roman"/>
          <w:bCs/>
          <w:sz w:val="24"/>
          <w:szCs w:val="24"/>
        </w:rPr>
        <w:t>, 2016 CO 64, ¶ 23, 382 P.3d 821, 826.</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6" w:name="a30_33"/>
      <w:bookmarkEnd w:id="36"/>
      <w:r w:rsidRPr="00E32C6D">
        <w:rPr>
          <w:rFonts w:eastAsia="Times New Roman"/>
          <w:b/>
          <w:bCs/>
          <w:sz w:val="24"/>
          <w:szCs w:val="24"/>
        </w:rPr>
        <w:lastRenderedPageBreak/>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This instruction is supported by </w:t>
      </w:r>
      <w:r w:rsidRPr="00E32C6D">
        <w:rPr>
          <w:rFonts w:eastAsia="Times New Roman"/>
          <w:b/>
          <w:bCs/>
          <w:sz w:val="24"/>
          <w:szCs w:val="24"/>
        </w:rPr>
        <w:t>Columbus Investments v. Lewis</w:t>
      </w:r>
      <w:r w:rsidRPr="00E32C6D">
        <w:rPr>
          <w:rFonts w:eastAsia="Times New Roman"/>
          <w:bCs/>
          <w:sz w:val="24"/>
          <w:szCs w:val="24"/>
        </w:rPr>
        <w:t xml:space="preserve">, 48 P.3d 1222 (Colo. 2002); </w:t>
      </w:r>
      <w:r w:rsidRPr="00E32C6D">
        <w:rPr>
          <w:rFonts w:eastAsia="Times New Roman"/>
          <w:b/>
          <w:bCs/>
          <w:sz w:val="24"/>
          <w:szCs w:val="24"/>
        </w:rPr>
        <w:t>Allstate Insurance Co. v. Huizar</w:t>
      </w:r>
      <w:r w:rsidRPr="00E32C6D">
        <w:rPr>
          <w:rFonts w:eastAsia="Times New Roman"/>
          <w:bCs/>
          <w:sz w:val="24"/>
          <w:szCs w:val="24"/>
        </w:rPr>
        <w:t xml:space="preserve">, 52 P.3d 816 (Colo. 2002) (interpretation of insurance contracts); </w:t>
      </w:r>
      <w:r w:rsidRPr="00E32C6D">
        <w:rPr>
          <w:rFonts w:eastAsia="Times New Roman"/>
          <w:b/>
          <w:bCs/>
          <w:sz w:val="24"/>
          <w:szCs w:val="24"/>
        </w:rPr>
        <w:t>Copper Mountain, Inc. v. Industrial Systems, Inc.</w:t>
      </w:r>
      <w:r w:rsidRPr="00E32C6D">
        <w:rPr>
          <w:rFonts w:eastAsia="Times New Roman"/>
          <w:bCs/>
          <w:sz w:val="24"/>
          <w:szCs w:val="24"/>
        </w:rPr>
        <w:t>,</w:t>
      </w:r>
      <w:r w:rsidRPr="00E32C6D">
        <w:rPr>
          <w:rFonts w:eastAsia="Times New Roman"/>
          <w:b/>
          <w:bCs/>
          <w:sz w:val="24"/>
          <w:szCs w:val="24"/>
        </w:rPr>
        <w:t xml:space="preserve"> </w:t>
      </w:r>
      <w:r w:rsidRPr="00E32C6D">
        <w:rPr>
          <w:rFonts w:eastAsia="Times New Roman"/>
          <w:bCs/>
          <w:sz w:val="24"/>
          <w:szCs w:val="24"/>
        </w:rPr>
        <w:t xml:space="preserve">208 P.3d 692 (Colo. 2009); and </w:t>
      </w:r>
      <w:r w:rsidRPr="00E32C6D">
        <w:rPr>
          <w:rFonts w:eastAsia="Times New Roman"/>
          <w:b/>
          <w:bCs/>
          <w:sz w:val="24"/>
          <w:szCs w:val="24"/>
        </w:rPr>
        <w:t>Smith v. State Farm Mutual Automobile Insurance Co</w:t>
      </w:r>
      <w:r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7" w:name="a30_34"/>
      <w:bookmarkEnd w:id="37"/>
      <w:r w:rsidRPr="00FE48F2">
        <w:rPr>
          <w:rFonts w:eastAsia="Times New Roman"/>
          <w:b/>
          <w:bCs/>
          <w:sz w:val="24"/>
          <w:szCs w:val="24"/>
        </w:rPr>
        <w:lastRenderedPageBreak/>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8" w:name="a30_35"/>
      <w:bookmarkEnd w:id="38"/>
      <w:r w:rsidRPr="008857D3">
        <w:rPr>
          <w:rFonts w:eastAsia="Times New Roman"/>
          <w:b/>
          <w:bCs/>
          <w:sz w:val="24"/>
          <w:szCs w:val="24"/>
        </w:rPr>
        <w:lastRenderedPageBreak/>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r w:rsidRPr="008857D3">
        <w:rPr>
          <w:rFonts w:eastAsia="Times New Roman"/>
          <w:b/>
          <w:bCs/>
          <w:sz w:val="24"/>
          <w:szCs w:val="24"/>
        </w:rPr>
        <w:t>Patterson v. Gage</w:t>
      </w:r>
      <w:r w:rsidRPr="008857D3">
        <w:rPr>
          <w:rFonts w:eastAsia="Times New Roman"/>
          <w:bCs/>
          <w:sz w:val="24"/>
          <w:szCs w:val="24"/>
        </w:rPr>
        <w:t>, 11 Colo. 50, 16 P. 560 (1888).</w:t>
      </w:r>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77777777"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U.S. Fid. &amp; Guar. Co. v. Budget Rent-A-Car Sys.,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Perl-Mack Enters. 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00BB32CE" w:rsidRPr="00BB32CE">
        <w:rPr>
          <w:rFonts w:eastAsia="Times New Roman"/>
          <w:b/>
          <w:bCs/>
          <w:sz w:val="24"/>
          <w:szCs w:val="24"/>
        </w:rPr>
        <w:t>Owners Ins. Co. v. Dakota Station II Condo</w:t>
      </w:r>
      <w:r w:rsidR="00BB32CE">
        <w:rPr>
          <w:rFonts w:eastAsia="Times New Roman"/>
          <w:b/>
          <w:bCs/>
          <w:sz w:val="24"/>
          <w:szCs w:val="24"/>
        </w:rPr>
        <w:t xml:space="preserve">. </w:t>
      </w:r>
      <w:r w:rsidR="00BB32CE" w:rsidRPr="00BB32CE">
        <w:rPr>
          <w:rFonts w:eastAsia="Times New Roman"/>
          <w:b/>
          <w:bCs/>
          <w:sz w:val="24"/>
          <w:szCs w:val="24"/>
        </w:rPr>
        <w:t>Ass</w:t>
      </w:r>
      <w:r w:rsidR="00BB32CE">
        <w:rPr>
          <w:rFonts w:eastAsia="Times New Roman"/>
          <w:b/>
          <w:bCs/>
          <w:sz w:val="24"/>
          <w:szCs w:val="24"/>
        </w:rPr>
        <w:t>’n</w:t>
      </w:r>
      <w:r w:rsidR="00BB32CE">
        <w:rPr>
          <w:rFonts w:eastAsia="Times New Roman"/>
          <w:bCs/>
          <w:sz w:val="24"/>
          <w:szCs w:val="24"/>
        </w:rPr>
        <w:t xml:space="preserve">, 2017 COA 103, </w:t>
      </w:r>
      <w:r w:rsidR="00BB32CE" w:rsidRPr="00A55DAC">
        <w:rPr>
          <w:rFonts w:eastAsia="Times New Roman"/>
          <w:bCs/>
          <w:sz w:val="24"/>
          <w:szCs w:val="24"/>
        </w:rPr>
        <w:t>¶</w:t>
      </w:r>
      <w:r w:rsidR="00BB32CE">
        <w:rPr>
          <w:rFonts w:eastAsia="Times New Roman"/>
          <w:bCs/>
          <w:sz w:val="24"/>
          <w:szCs w:val="24"/>
        </w:rPr>
        <w:t xml:space="preserve"> 21</w:t>
      </w:r>
      <w:r w:rsidR="004D5700">
        <w:rPr>
          <w:rFonts w:eastAsia="Times New Roman"/>
          <w:bCs/>
          <w:sz w:val="24"/>
          <w:szCs w:val="24"/>
        </w:rPr>
        <w:t xml:space="preserve"> (</w:t>
      </w:r>
      <w:r w:rsidR="004D5700" w:rsidRPr="009D5D97">
        <w:rPr>
          <w:rFonts w:eastAsia="Times New Roman"/>
          <w:bCs/>
          <w:i/>
          <w:sz w:val="24"/>
          <w:szCs w:val="24"/>
        </w:rPr>
        <w:t>cert. granted</w:t>
      </w:r>
      <w:r w:rsidR="004D5700">
        <w:rPr>
          <w:rFonts w:eastAsia="Times New Roman"/>
          <w:bCs/>
          <w:sz w:val="24"/>
          <w:szCs w:val="24"/>
        </w:rPr>
        <w:t xml:space="preserve"> </w:t>
      </w:r>
      <w:r w:rsidR="009D5D97">
        <w:rPr>
          <w:rFonts w:eastAsia="Times New Roman"/>
          <w:bCs/>
          <w:sz w:val="24"/>
          <w:szCs w:val="24"/>
        </w:rPr>
        <w:t>Feb. 20, 2018</w:t>
      </w:r>
      <w:r w:rsidR="004D5700">
        <w:rPr>
          <w:rFonts w:eastAsia="Times New Roman"/>
          <w:bCs/>
          <w:sz w:val="24"/>
          <w:szCs w:val="24"/>
        </w:rPr>
        <w:t>)</w:t>
      </w:r>
      <w:r w:rsidR="00BB32CE">
        <w:rPr>
          <w:rFonts w:eastAsia="Times New Roman"/>
          <w:bCs/>
          <w:sz w:val="24"/>
          <w:szCs w:val="24"/>
        </w:rPr>
        <w:t xml:space="preserve">;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 Auto. 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9" w:name="a30_36"/>
      <w:bookmarkEnd w:id="39"/>
      <w:r w:rsidRPr="00C737F3">
        <w:rPr>
          <w:rFonts w:eastAsia="Times New Roman"/>
          <w:b/>
          <w:bCs/>
          <w:sz w:val="24"/>
          <w:szCs w:val="24"/>
        </w:rPr>
        <w:lastRenderedPageBreak/>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lastRenderedPageBreak/>
        <w:t>E. DAMAGES</w:t>
      </w:r>
    </w:p>
    <w:p w14:paraId="0C46ADBB" w14:textId="77777777" w:rsidR="00A63D35" w:rsidRPr="0054263B" w:rsidRDefault="00A63D35" w:rsidP="00A63D35">
      <w:pPr>
        <w:keepNext/>
        <w:spacing w:after="240"/>
        <w:jc w:val="center"/>
        <w:rPr>
          <w:rFonts w:eastAsia="Times New Roman"/>
          <w:b/>
          <w:sz w:val="24"/>
          <w:szCs w:val="24"/>
        </w:rPr>
      </w:pPr>
      <w:bookmarkStart w:id="40" w:name="IntroNoteE"/>
      <w:bookmarkEnd w:id="40"/>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exists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HMO Sys.,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lastRenderedPageBreak/>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6. Under section 5-12-102(1)(a)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717 P.2d 1009, 1014-15 (Colo. App. 1986). </w:t>
      </w:r>
      <w:r w:rsidRPr="00A63D35">
        <w:rPr>
          <w:rFonts w:eastAsia="Times New Roman"/>
          <w:bCs/>
          <w:i/>
          <w:sz w:val="24"/>
          <w:szCs w:val="24"/>
        </w:rPr>
        <w:t>But see</w:t>
      </w:r>
      <w:r w:rsidRPr="00A63D35">
        <w:rPr>
          <w:rFonts w:eastAsia="Times New Roman"/>
          <w:bCs/>
          <w:sz w:val="24"/>
          <w:szCs w:val="24"/>
        </w:rPr>
        <w:t xml:space="preserve"> § 5-12-102(1)(a)–(b)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w:t>
      </w:r>
      <w:r w:rsidRPr="00A63D35">
        <w:rPr>
          <w:rFonts w:eastAsia="Times New Roman"/>
          <w:bCs/>
          <w:sz w:val="24"/>
          <w:szCs w:val="24"/>
        </w:rPr>
        <w:lastRenderedPageBreak/>
        <w:t xml:space="preserve">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Colo. Law.</w:t>
      </w:r>
      <w:r w:rsidRPr="00A63D35">
        <w:rPr>
          <w:rFonts w:eastAsia="Times New Roman"/>
          <w:bCs/>
          <w:sz w:val="24"/>
          <w:szCs w:val="24"/>
        </w:rPr>
        <w:t xml:space="preserve"> 1307 (1989).</w:t>
      </w:r>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r w:rsidRPr="00A63D35">
        <w:rPr>
          <w:rFonts w:eastAsia="Times New Roman"/>
          <w:b/>
          <w:bCs/>
          <w:sz w:val="24"/>
          <w:szCs w:val="24"/>
        </w:rPr>
        <w:t>Parker Excavating, Inc. v. City &amp; County of Denver</w:t>
      </w:r>
      <w:r w:rsidRPr="00A63D35">
        <w:rPr>
          <w:rFonts w:eastAsia="Times New Roman"/>
          <w:bCs/>
          <w:sz w:val="24"/>
          <w:szCs w:val="24"/>
        </w:rPr>
        <w:t xml:space="preserve">, 2012 COA 180, ¶ 18, 303 P.3d 1222.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1" w:name="a30_37"/>
      <w:bookmarkEnd w:id="41"/>
      <w:r w:rsidRPr="00E14F99">
        <w:rPr>
          <w:rFonts w:eastAsia="Times New Roman"/>
          <w:b/>
          <w:bCs/>
          <w:sz w:val="24"/>
          <w:szCs w:val="24"/>
        </w:rPr>
        <w:lastRenderedPageBreak/>
        <w:t>30:37</w:t>
      </w:r>
      <w:r w:rsidRPr="00E14F99">
        <w:rPr>
          <w:rFonts w:eastAsia="Times New Roman"/>
          <w:b/>
          <w:bCs/>
          <w:sz w:val="24"/>
          <w:szCs w:val="24"/>
        </w:rPr>
        <w:tab/>
        <w:t>DAMAGES ― INTRODUCTION</w:t>
      </w:r>
    </w:p>
    <w:p w14:paraId="10DAC338"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on (his) (her) (its) claim of breach of contract, then you must award (him) (her) (it)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33 Colo. App. 305, 519 P.2d 1216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2" w:name="a30_38"/>
      <w:bookmarkEnd w:id="42"/>
      <w:r w:rsidRPr="00E14F99">
        <w:rPr>
          <w:rFonts w:eastAsia="Times New Roman"/>
          <w:b/>
          <w:bCs/>
          <w:sz w:val="24"/>
          <w:szCs w:val="24"/>
        </w:rPr>
        <w:lastRenderedPageBreak/>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general damages have been proved, you shall award:</w:t>
      </w:r>
    </w:p>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30:53.</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 xml:space="preserve">Kaiser v. Market </w:t>
      </w:r>
      <w:r w:rsidRPr="00930778">
        <w:rPr>
          <w:rFonts w:eastAsia="Times New Roman"/>
          <w:b/>
          <w:bCs/>
          <w:sz w:val="24"/>
          <w:szCs w:val="24"/>
        </w:rPr>
        <w:lastRenderedPageBreak/>
        <w:t>Square Disc.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Total Condo. 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
    <w:p w14:paraId="34619F0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xml:space="preserve">, 2016 COA 22, ¶ 52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3" w:name="a30_39"/>
      <w:bookmarkEnd w:id="43"/>
      <w:r w:rsidRPr="00930778">
        <w:rPr>
          <w:rFonts w:eastAsia="Times New Roman"/>
          <w:b/>
          <w:bCs/>
          <w:sz w:val="24"/>
          <w:szCs w:val="24"/>
        </w:rPr>
        <w:lastRenderedPageBreak/>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Special damages must be pled with particularity. C.R.C.P. 9(g).</w:t>
      </w:r>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w:t>
      </w:r>
      <w:r w:rsidRPr="00930778">
        <w:rPr>
          <w:rFonts w:eastAsia="Times New Roman"/>
          <w:bCs/>
          <w:sz w:val="24"/>
          <w:szCs w:val="24"/>
        </w:rPr>
        <w:lastRenderedPageBreak/>
        <w:t xml:space="preserve">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lastRenderedPageBreak/>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r w:rsidRPr="00930778">
        <w:rPr>
          <w:rFonts w:eastAsia="Times New Roman"/>
          <w:b/>
          <w:bCs/>
          <w:sz w:val="24"/>
          <w:szCs w:val="24"/>
        </w:rPr>
        <w:t>McDonald’s Corp. v. Brentwood Ctr., Ltd.</w:t>
      </w:r>
      <w:r w:rsidRPr="00930778">
        <w:rPr>
          <w:rFonts w:eastAsia="Times New Roman"/>
          <w:bCs/>
          <w:sz w:val="24"/>
          <w:szCs w:val="24"/>
        </w:rPr>
        <w:t>, 942 P.2d 1308 (Colo. App. 1997).</w:t>
      </w:r>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4" w:name="a30_40"/>
      <w:bookmarkEnd w:id="44"/>
      <w:r w:rsidRPr="00930778">
        <w:rPr>
          <w:rFonts w:eastAsia="Times New Roman"/>
          <w:b/>
          <w:bCs/>
          <w:sz w:val="24"/>
          <w:szCs w:val="24"/>
        </w:rPr>
        <w:lastRenderedPageBreak/>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4B163D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r w:rsidRPr="00930778">
        <w:rPr>
          <w:rFonts w:eastAsia="Times New Roman"/>
          <w:b/>
          <w:bCs/>
          <w:sz w:val="24"/>
          <w:szCs w:val="24"/>
        </w:rPr>
        <w:t>Klinger v. Adams Cty.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Pr="00930778">
        <w:rPr>
          <w:rFonts w:eastAsia="Times New Roman"/>
          <w:bCs/>
          <w:sz w:val="24"/>
          <w:szCs w:val="24"/>
        </w:rPr>
        <w:t xml:space="preserve">. </w:t>
      </w:r>
    </w:p>
    <w:p w14:paraId="2F3F09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The party contending that a damages clause is an improper penalty carries the burden of proving that contention. </w:t>
      </w:r>
      <w:r w:rsidRPr="00930778">
        <w:rPr>
          <w:rFonts w:eastAsia="Times New Roman"/>
          <w:b/>
          <w:bCs/>
          <w:sz w:val="24"/>
          <w:szCs w:val="24"/>
        </w:rPr>
        <w:t>Jobe v. Writer Corp.</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34 Colo. App. 240, 242, 526 P.2d 151, 152 (1974) (“[u]nless it patently appears from the contract itself that the liquidated damages agreed upon are out of proportion to any possible loss . . . the party asserting that the damages clause </w:t>
      </w:r>
      <w:r w:rsidRPr="00930778">
        <w:rPr>
          <w:rFonts w:eastAsia="Times New Roman"/>
          <w:bCs/>
          <w:sz w:val="24"/>
          <w:szCs w:val="24"/>
        </w:rPr>
        <w:lastRenderedPageBreak/>
        <w:t xml:space="preserve">constitutes a penalty has the burden of proving that contention”);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Rohauer</w:t>
      </w:r>
      <w:r w:rsidRPr="00930778">
        <w:rPr>
          <w:rFonts w:eastAsia="Times New Roman"/>
          <w:bCs/>
          <w:sz w:val="24"/>
          <w:szCs w:val="24"/>
        </w:rPr>
        <w:t xml:space="preserve">, 736 P.2d at 410; </w:t>
      </w:r>
      <w:r w:rsidRPr="00930778">
        <w:rPr>
          <w:rFonts w:eastAsia="Times New Roman"/>
          <w:b/>
          <w:bCs/>
          <w:sz w:val="24"/>
          <w:szCs w:val="24"/>
        </w:rPr>
        <w:t>Yerton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Pr="00930778">
        <w:rPr>
          <w:rFonts w:eastAsia="Times New Roman"/>
          <w:b/>
          <w:bCs/>
          <w:sz w:val="24"/>
          <w:szCs w:val="24"/>
        </w:rPr>
        <w:t>Wojtowicz v. Greeley Anesthesia Servs., P.C.</w:t>
      </w:r>
      <w:r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Pr="00930778">
        <w:rPr>
          <w:rFonts w:eastAsia="Times New Roman"/>
          <w:bCs/>
          <w:i/>
          <w:sz w:val="24"/>
          <w:szCs w:val="24"/>
        </w:rPr>
        <w:t xml:space="preserve"> See </w:t>
      </w:r>
      <w:r w:rsidRPr="00930778">
        <w:rPr>
          <w:rFonts w:eastAsia="Times New Roman"/>
          <w:b/>
          <w:bCs/>
          <w:sz w:val="24"/>
          <w:szCs w:val="24"/>
        </w:rPr>
        <w:t>Planned Pethood Plus, Inc. v. KeyCorp, Inc.</w:t>
      </w:r>
      <w:r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r w:rsidRPr="00930778">
        <w:rPr>
          <w:rFonts w:eastAsia="Times New Roman"/>
          <w:b/>
          <w:bCs/>
          <w:sz w:val="24"/>
          <w:szCs w:val="24"/>
        </w:rPr>
        <w:t>Ravenstar LLC v. One Ski Hill Place LLC</w:t>
      </w:r>
      <w:r w:rsidRPr="00930778">
        <w:rPr>
          <w:rFonts w:eastAsia="Times New Roman"/>
          <w:bCs/>
          <w:sz w:val="24"/>
          <w:szCs w:val="24"/>
        </w:rPr>
        <w:t xml:space="preserve">, 2017 CO 83, ¶ 15, 401 P.3d 552. But the option must be exclusive. If a non-breaching party elects to pursue liquidated damages as allowed by the contract, the non-breaching party may not also seek actual damages. “Otherwise, an election to pursue liquidated damages would function as an invalid penalty.” </w:t>
      </w:r>
      <w:r w:rsidRPr="00930778">
        <w:rPr>
          <w:rFonts w:eastAsia="Times New Roman"/>
          <w:bCs/>
          <w:i/>
          <w:sz w:val="24"/>
          <w:szCs w:val="24"/>
        </w:rPr>
        <w:t>Id.</w:t>
      </w:r>
      <w:r w:rsidRPr="00930778">
        <w:rPr>
          <w:rFonts w:eastAsia="Times New Roman"/>
          <w:bCs/>
          <w:sz w:val="24"/>
          <w:szCs w:val="24"/>
        </w:rPr>
        <w:t xml:space="preserve"> at ¶ 16.</w:t>
      </w:r>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r w:rsidRPr="00930778">
        <w:rPr>
          <w:rFonts w:eastAsia="Times New Roman"/>
          <w:b/>
          <w:bCs/>
          <w:sz w:val="24"/>
          <w:szCs w:val="24"/>
        </w:rPr>
        <w:t>Bd. of Cty. Comm’rs v. City &amp; County of Denver</w:t>
      </w:r>
      <w:r w:rsidRPr="00930778">
        <w:rPr>
          <w:rFonts w:eastAsia="Times New Roman"/>
          <w:bCs/>
          <w:sz w:val="24"/>
          <w:szCs w:val="24"/>
        </w:rPr>
        <w:t xml:space="preserve">, 40 P.3d 25 (Colo. App. 2001).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r w:rsidRPr="00930778">
        <w:rPr>
          <w:rFonts w:eastAsia="Times New Roman"/>
          <w:b/>
          <w:bCs/>
          <w:sz w:val="24"/>
          <w:szCs w:val="24"/>
        </w:rPr>
        <w:t>Butler v. Lembeck</w:t>
      </w:r>
      <w:r w:rsidRPr="00930778">
        <w:rPr>
          <w:rFonts w:eastAsia="Times New Roman"/>
          <w:bCs/>
          <w:sz w:val="24"/>
          <w:szCs w:val="24"/>
        </w:rPr>
        <w:t>, 182 P.3d 1185 (Colo. App. 2007).</w:t>
      </w:r>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lastRenderedPageBreak/>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5" w:name="a30_41"/>
      <w:bookmarkEnd w:id="45"/>
      <w:r w:rsidRPr="00B538B9">
        <w:rPr>
          <w:rFonts w:eastAsia="Times New Roman"/>
          <w:b/>
          <w:bCs/>
          <w:sz w:val="24"/>
          <w:szCs w:val="24"/>
        </w:rPr>
        <w:lastRenderedPageBreak/>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(special),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6" w:name="a30_42"/>
      <w:bookmarkEnd w:id="46"/>
      <w:r w:rsidRPr="00B538B9">
        <w:rPr>
          <w:rFonts w:eastAsia="Times New Roman"/>
          <w:b/>
          <w:bCs/>
          <w:sz w:val="24"/>
          <w:szCs w:val="24"/>
        </w:rPr>
        <w:lastRenderedPageBreak/>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7" w:name="a30_43"/>
      <w:bookmarkEnd w:id="47"/>
      <w:r w:rsidRPr="00190BD9">
        <w:rPr>
          <w:rFonts w:eastAsia="Times New Roman"/>
          <w:b/>
          <w:bCs/>
          <w:sz w:val="24"/>
          <w:szCs w:val="24"/>
        </w:rPr>
        <w:lastRenderedPageBreak/>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8" w:name="a30_44"/>
      <w:bookmarkEnd w:id="48"/>
      <w:r w:rsidRPr="00190BD9">
        <w:rPr>
          <w:rFonts w:eastAsia="Times New Roman"/>
          <w:b/>
          <w:bCs/>
          <w:sz w:val="24"/>
          <w:szCs w:val="24"/>
        </w:rPr>
        <w:lastRenderedPageBreak/>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9" w:name="a30_45"/>
      <w:bookmarkEnd w:id="49"/>
      <w:r w:rsidRPr="00190BD9">
        <w:rPr>
          <w:rFonts w:eastAsia="Times New Roman"/>
          <w:b/>
          <w:bCs/>
          <w:sz w:val="24"/>
          <w:szCs w:val="24"/>
        </w:rPr>
        <w:lastRenderedPageBreak/>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on the contract; and</w:t>
      </w:r>
    </w:p>
    <w:p w14:paraId="6D0C50B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what it would have cost the plaintiff if [he] [she]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a repudiation,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0" w:name="a30_46"/>
      <w:bookmarkEnd w:id="50"/>
      <w:r w:rsidRPr="00190BD9">
        <w:rPr>
          <w:rFonts w:eastAsia="Times New Roman"/>
          <w:b/>
          <w:bCs/>
          <w:sz w:val="24"/>
          <w:szCs w:val="24"/>
        </w:rPr>
        <w:lastRenderedPageBreak/>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154 Colo. 425, 391 P.2d 365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lastRenderedPageBreak/>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391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1" w:name="a30_47"/>
      <w:bookmarkEnd w:id="51"/>
      <w:r w:rsidRPr="00190BD9">
        <w:rPr>
          <w:rFonts w:eastAsia="Times New Roman"/>
          <w:b/>
          <w:bCs/>
          <w:sz w:val="24"/>
          <w:szCs w:val="24"/>
        </w:rPr>
        <w:lastRenderedPageBreak/>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2" w:name="a30_48"/>
      <w:bookmarkEnd w:id="52"/>
      <w:r w:rsidRPr="008B39B8">
        <w:rPr>
          <w:rFonts w:eastAsia="Times New Roman"/>
          <w:b/>
          <w:bCs/>
          <w:sz w:val="24"/>
          <w:szCs w:val="24"/>
        </w:rPr>
        <w:lastRenderedPageBreak/>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(The amount of any installment payment[s] due the plaintiff under the contract.)</w:t>
      </w:r>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3" w:name="a30_49"/>
      <w:bookmarkEnd w:id="53"/>
      <w:r w:rsidRPr="008B39B8">
        <w:rPr>
          <w:rFonts w:eastAsia="Times New Roman"/>
          <w:b/>
          <w:bCs/>
          <w:sz w:val="24"/>
          <w:szCs w:val="24"/>
        </w:rPr>
        <w:lastRenderedPageBreak/>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xml:space="preserve">, 626 P.2d 750, 752 (Colo. App. 1981).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facilities[,]”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Instruction 6:11,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lastRenderedPageBreak/>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r w:rsidR="008B39B8" w:rsidRPr="008B39B8">
        <w:rPr>
          <w:rFonts w:eastAsia="Times New Roman"/>
          <w:b/>
          <w:bCs/>
          <w:sz w:val="24"/>
          <w:szCs w:val="24"/>
        </w:rPr>
        <w:t>Hott v. Tillotson-Lewis Constr. Co.</w:t>
      </w:r>
      <w:r w:rsidR="008B39B8" w:rsidRPr="008B39B8">
        <w:rPr>
          <w:rFonts w:eastAsia="Times New Roman"/>
          <w:bCs/>
          <w:sz w:val="24"/>
          <w:szCs w:val="24"/>
        </w:rPr>
        <w:t xml:space="preserve">, 682 P.2d 1220 (Colo. App. 1983). Under section 5-12-102(1)(b), where damages for costs to replace a defective heating system are appropriate, interest accrues from the time of the replacement. </w:t>
      </w:r>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4" w:name="a30_50"/>
      <w:bookmarkEnd w:id="54"/>
      <w:r w:rsidRPr="008B39B8">
        <w:rPr>
          <w:rFonts w:eastAsia="Times New Roman"/>
          <w:b/>
          <w:bCs/>
          <w:sz w:val="24"/>
          <w:szCs w:val="24"/>
        </w:rPr>
        <w:lastRenderedPageBreak/>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5" w:name="a30_51"/>
      <w:bookmarkEnd w:id="55"/>
      <w:r w:rsidRPr="00A76271">
        <w:rPr>
          <w:rFonts w:eastAsia="Times New Roman"/>
          <w:b/>
          <w:bCs/>
          <w:sz w:val="24"/>
          <w:szCs w:val="24"/>
        </w:rPr>
        <w:lastRenderedPageBreak/>
        <w:t xml:space="preserve">30:51 </w:t>
      </w:r>
      <w:r w:rsidRPr="00A76271">
        <w:rPr>
          <w:rFonts w:eastAsia="Times New Roman"/>
          <w:b/>
          <w:bCs/>
          <w:sz w:val="24"/>
          <w:szCs w:val="24"/>
        </w:rPr>
        <w:tab/>
        <w:t>DAMAGES ― BROKER’S FOR BREACH OF REAL ESTATE COMMISSION CONTRACT</w:t>
      </w:r>
    </w:p>
    <w:p w14:paraId="4CF0B7B9"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(That percentage of the sales price the defendant agreed to pay the plaintiff as [his] [her]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30:56 (listing elements of liability for a real estate commission claim), this instruction should be used as the insertion in Instruction 30:38.</w:t>
      </w:r>
    </w:p>
    <w:p w14:paraId="6E363A2F"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[his] [her]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30:56.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7777777" w:rsidR="00A76271" w:rsidRPr="009E3DA4" w:rsidRDefault="00A76271" w:rsidP="00A76271">
      <w:pPr>
        <w:spacing w:after="240"/>
        <w:ind w:left="720" w:hanging="720"/>
        <w:rPr>
          <w:rFonts w:eastAsia="Times New Roman"/>
          <w:b/>
          <w:sz w:val="24"/>
          <w:szCs w:val="24"/>
        </w:rPr>
      </w:pPr>
      <w:bookmarkStart w:id="56" w:name="a30_52"/>
      <w:bookmarkEnd w:id="56"/>
      <w:r w:rsidRPr="00A76271">
        <w:rPr>
          <w:rFonts w:eastAsia="Times New Roman"/>
          <w:b/>
          <w:bCs/>
          <w:sz w:val="24"/>
          <w:szCs w:val="24"/>
        </w:rPr>
        <w:lastRenderedPageBreak/>
        <w:t xml:space="preserve">30:52  </w:t>
      </w:r>
      <w:r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7" w:name="a30_53"/>
      <w:bookmarkEnd w:id="57"/>
      <w:r w:rsidRPr="00A76271">
        <w:rPr>
          <w:rFonts w:eastAsia="Times New Roman"/>
          <w:b/>
          <w:bCs/>
          <w:sz w:val="24"/>
          <w:szCs w:val="24"/>
        </w:rPr>
        <w:lastRenderedPageBreak/>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(The difference between the fair market value of the property with and without the encumbrance.)</w:t>
      </w:r>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p w14:paraId="3BB169D3" w14:textId="77777777" w:rsidR="00A76271" w:rsidRDefault="00A76271">
      <w:pPr>
        <w:rPr>
          <w:rFonts w:eastAsia="Times New Roman"/>
          <w:bCs/>
          <w:sz w:val="24"/>
          <w:szCs w:val="24"/>
        </w:rPr>
      </w:pPr>
      <w:r>
        <w:rPr>
          <w:rFonts w:eastAsia="Times New Roman"/>
          <w:bCs/>
          <w:sz w:val="24"/>
          <w:szCs w:val="24"/>
        </w:rPr>
        <w:br w:type="page"/>
      </w:r>
    </w:p>
    <w:p w14:paraId="203589CA" w14:textId="77777777" w:rsidR="00A76271" w:rsidRDefault="00A76271" w:rsidP="00A76271">
      <w:pPr>
        <w:spacing w:after="240"/>
        <w:jc w:val="center"/>
        <w:rPr>
          <w:rFonts w:eastAsia="Times New Roman"/>
          <w:b/>
          <w:sz w:val="24"/>
          <w:szCs w:val="24"/>
        </w:rPr>
      </w:pPr>
      <w:r w:rsidRPr="00A76271">
        <w:rPr>
          <w:rFonts w:eastAsia="Times New Roman"/>
          <w:b/>
          <w:sz w:val="24"/>
          <w:szCs w:val="24"/>
        </w:rPr>
        <w:lastRenderedPageBreak/>
        <w:t>F. PARTICULAR CONTRACTS</w:t>
      </w:r>
    </w:p>
    <w:p w14:paraId="40F3BE75" w14:textId="77777777" w:rsidR="00A76271" w:rsidRPr="009E3DA4" w:rsidRDefault="00A76271" w:rsidP="00A76271">
      <w:pPr>
        <w:spacing w:after="240"/>
        <w:ind w:left="720" w:hanging="720"/>
        <w:rPr>
          <w:rFonts w:eastAsia="Times New Roman"/>
          <w:b/>
          <w:sz w:val="24"/>
          <w:szCs w:val="24"/>
        </w:rPr>
      </w:pPr>
      <w:bookmarkStart w:id="58" w:name="a30_54"/>
      <w:bookmarkEnd w:id="58"/>
      <w:r w:rsidRPr="00A76271">
        <w:rPr>
          <w:rFonts w:eastAsia="Times New Roman"/>
          <w:b/>
          <w:bCs/>
          <w:sz w:val="24"/>
          <w:szCs w:val="24"/>
        </w:rPr>
        <w:t xml:space="preserve">30:54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p w14:paraId="61DE718F"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on (his) (her) claim of breach of implied warranty, you must find both of the following have been proved by a preponderance of the evidence:</w:t>
      </w:r>
    </w:p>
    <w:p w14:paraId="2DB759BC"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[he] [she]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either one or both of these statements has not been proved, then your verdict must be for the defendant.</w:t>
      </w:r>
    </w:p>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30:55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Omit either numbered paragraph, the facts of which are not in dispute, and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573A4B65" w14:textId="77777777" w:rsidR="00A76271" w:rsidRPr="00A76271" w:rsidRDefault="00A76271" w:rsidP="00D21951">
      <w:pPr>
        <w:spacing w:after="240"/>
        <w:ind w:firstLine="720"/>
        <w:rPr>
          <w:rFonts w:eastAsia="Times New Roman"/>
          <w:bCs/>
          <w:sz w:val="24"/>
          <w:szCs w:val="24"/>
        </w:rPr>
      </w:pPr>
      <w:r w:rsidRPr="00A76271">
        <w:rPr>
          <w:rFonts w:eastAsia="Times New Roman"/>
          <w:bCs/>
          <w:sz w:val="24"/>
          <w:szCs w:val="24"/>
        </w:rPr>
        <w:t xml:space="preserve">2. The failure to correct defects caused by hazards of soil, weather, labor, and other like conditions that are the responsibility of the builder is a failure to construct the building in a workmanlike manner. </w:t>
      </w:r>
      <w:r w:rsidRPr="00A76271">
        <w:rPr>
          <w:rFonts w:eastAsia="Times New Roman"/>
          <w:b/>
          <w:bCs/>
          <w:sz w:val="24"/>
          <w:szCs w:val="24"/>
        </w:rPr>
        <w:t>Newcomb v. Schaeffler</w:t>
      </w:r>
      <w:r w:rsidRPr="00A76271">
        <w:rPr>
          <w:rFonts w:eastAsia="Times New Roman"/>
          <w:bCs/>
          <w:sz w:val="24"/>
          <w:szCs w:val="24"/>
        </w:rPr>
        <w:t>, 131 Colo. 56, 279 P.2d 409 (1955).</w:t>
      </w:r>
    </w:p>
    <w:p w14:paraId="726B533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3. Privity is an essential element of claims for breach of implied warranties arising from transactions involving real property. </w:t>
      </w:r>
      <w:r w:rsidRPr="00A76271">
        <w:rPr>
          <w:rFonts w:eastAsia="Times New Roman"/>
          <w:b/>
          <w:bCs/>
          <w:sz w:val="24"/>
          <w:szCs w:val="24"/>
        </w:rPr>
        <w:t>Forest City Stapleton Inc. v. Rogers</w:t>
      </w:r>
      <w:r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Pr="00A76271">
        <w:rPr>
          <w:rFonts w:eastAsia="Times New Roman"/>
          <w:bCs/>
          <w:i/>
          <w:sz w:val="24"/>
          <w:szCs w:val="24"/>
        </w:rPr>
        <w:t>See</w:t>
      </w:r>
      <w:r w:rsidRPr="00A76271">
        <w:rPr>
          <w:rFonts w:eastAsia="Times New Roman"/>
          <w:bCs/>
          <w:sz w:val="24"/>
          <w:szCs w:val="24"/>
        </w:rPr>
        <w:t xml:space="preserve"> </w:t>
      </w:r>
      <w:r w:rsidRPr="00A76271">
        <w:rPr>
          <w:rFonts w:eastAsia="Times New Roman"/>
          <w:b/>
          <w:bCs/>
          <w:sz w:val="24"/>
          <w:szCs w:val="24"/>
        </w:rPr>
        <w:t>H.B. Bolas Enters., Inc. v. Zarlengo</w:t>
      </w:r>
      <w:r w:rsidRPr="00A76271">
        <w:rPr>
          <w:rFonts w:eastAsia="Times New Roman"/>
          <w:bCs/>
          <w:sz w:val="24"/>
          <w:szCs w:val="24"/>
        </w:rPr>
        <w:t xml:space="preserve">, 156 Colo. 530, 400 P.2d 447 (1965); </w:t>
      </w:r>
      <w:r w:rsidRPr="00A76271">
        <w:rPr>
          <w:rFonts w:eastAsia="Times New Roman"/>
          <w:bCs/>
          <w:i/>
          <w:sz w:val="24"/>
          <w:szCs w:val="24"/>
        </w:rPr>
        <w:t xml:space="preserve">see also </w:t>
      </w:r>
      <w:r w:rsidRPr="00A76271">
        <w:rPr>
          <w:rFonts w:eastAsia="Times New Roman"/>
          <w:b/>
          <w:bCs/>
          <w:sz w:val="24"/>
          <w:szCs w:val="24"/>
        </w:rPr>
        <w:t>Gallegos v. Graff</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Pr="00A76271">
        <w:rPr>
          <w:rFonts w:eastAsia="Times New Roman"/>
          <w:b/>
          <w:bCs/>
          <w:sz w:val="24"/>
          <w:szCs w:val="24"/>
        </w:rPr>
        <w:t>Utz v. Moss</w:t>
      </w:r>
      <w:r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Pr="00A76271">
        <w:rPr>
          <w:rFonts w:eastAsia="Times New Roman"/>
          <w:bCs/>
          <w:i/>
          <w:sz w:val="24"/>
          <w:szCs w:val="24"/>
        </w:rPr>
        <w:t>But see</w:t>
      </w:r>
      <w:r w:rsidRPr="00A76271">
        <w:rPr>
          <w:rFonts w:eastAsia="Times New Roman"/>
          <w:bCs/>
          <w:sz w:val="24"/>
          <w:szCs w:val="24"/>
        </w:rPr>
        <w:t xml:space="preserve"> </w:t>
      </w:r>
      <w:r w:rsidRPr="00A76271">
        <w:rPr>
          <w:rFonts w:eastAsia="Times New Roman"/>
          <w:b/>
          <w:bCs/>
          <w:sz w:val="24"/>
          <w:szCs w:val="24"/>
        </w:rPr>
        <w:t>Duncan v. Schuster-Graham Homes, Inc.</w:t>
      </w:r>
      <w:r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The implied warranty of suitability arises when a commercial developer improves and sells land for the express purpose of residential construction. </w:t>
      </w:r>
      <w:r w:rsidRPr="00A76271">
        <w:rPr>
          <w:rFonts w:eastAsia="Times New Roman"/>
          <w:b/>
          <w:bCs/>
          <w:sz w:val="24"/>
          <w:szCs w:val="24"/>
        </w:rPr>
        <w:t>Rusch v. Lincoln-Devore Testing Lab., Inc</w:t>
      </w:r>
      <w:r w:rsidRPr="00A76271">
        <w:rPr>
          <w:rFonts w:eastAsia="Times New Roman"/>
          <w:bCs/>
          <w:sz w:val="24"/>
          <w:szCs w:val="24"/>
        </w:rPr>
        <w:t>., 698 P.2d 832 (Colo.</w:t>
      </w:r>
      <w:r w:rsidRPr="00D93394">
        <w:rPr>
          <w:rFonts w:eastAsia="Times New Roman"/>
          <w:bCs/>
          <w:sz w:val="24"/>
          <w:szCs w:val="24"/>
        </w:rPr>
        <w:t xml:space="preserve"> App. 1984). The warranty of suitability has three elements: (1) land is improved and sold for a particular</w:t>
      </w:r>
      <w:r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  </w:t>
      </w:r>
    </w:p>
    <w:p w14:paraId="085C684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5.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warranty, see section 13-20-807.</w:t>
      </w:r>
    </w:p>
    <w:p w14:paraId="5C18651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6.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Pr="00A76271">
        <w:rPr>
          <w:rFonts w:eastAsia="Times New Roman"/>
          <w:b/>
          <w:bCs/>
          <w:sz w:val="24"/>
          <w:szCs w:val="24"/>
        </w:rPr>
        <w:t>Weller v. Cosmopolitan Homes, Inc.</w:t>
      </w:r>
      <w:r w:rsidRPr="00A76271">
        <w:rPr>
          <w:rFonts w:eastAsia="Times New Roman"/>
          <w:bCs/>
          <w:sz w:val="24"/>
          <w:szCs w:val="24"/>
        </w:rPr>
        <w:t xml:space="preserve">, 44 Colo. App. 470, 471, 622 P.2d 577, 578 (1980), </w:t>
      </w:r>
      <w:r w:rsidRPr="00A76271">
        <w:rPr>
          <w:rFonts w:eastAsia="Times New Roman"/>
          <w:bCs/>
          <w:i/>
          <w:sz w:val="24"/>
          <w:szCs w:val="24"/>
        </w:rPr>
        <w:t>aff’d</w:t>
      </w:r>
      <w:r w:rsidRPr="00A76271">
        <w:rPr>
          <w:rFonts w:eastAsia="Times New Roman"/>
          <w:bCs/>
          <w:sz w:val="24"/>
          <w:szCs w:val="24"/>
        </w:rPr>
        <w:t xml:space="preserve">, 663 P.2d 1041 (Colo. 1983) (limiting the rule of the case “to latent defects which the purchaser was unable to discover prior to purchase”);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Johnson v. Graham</w:t>
      </w:r>
      <w:r w:rsidRPr="00A76271">
        <w:rPr>
          <w:rFonts w:eastAsia="Times New Roman"/>
          <w:bCs/>
          <w:sz w:val="24"/>
          <w:szCs w:val="24"/>
        </w:rPr>
        <w:t xml:space="preserve">, 679 P.2d 1090 (Colo. App. 1983) (undiscovered failure to install drain or properly compact soil could be considered latent defects), </w:t>
      </w:r>
      <w:r w:rsidRPr="00A76271">
        <w:rPr>
          <w:rFonts w:eastAsia="Times New Roman"/>
          <w:bCs/>
          <w:i/>
          <w:sz w:val="24"/>
          <w:szCs w:val="24"/>
        </w:rPr>
        <w:t>rev’d in part on other grounds sub nom.</w:t>
      </w:r>
      <w:r w:rsidRPr="00A76271">
        <w:rPr>
          <w:rFonts w:eastAsia="Times New Roman"/>
          <w:bCs/>
          <w:sz w:val="24"/>
          <w:szCs w:val="24"/>
        </w:rPr>
        <w:t xml:space="preserve"> </w:t>
      </w:r>
      <w:r w:rsidRPr="00A76271">
        <w:rPr>
          <w:rFonts w:eastAsia="Times New Roman"/>
          <w:b/>
          <w:bCs/>
          <w:sz w:val="24"/>
          <w:szCs w:val="24"/>
        </w:rPr>
        <w:t>Tri-Aspen Constr. Co. v. Johnson</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714 P.2d 484 (Colo. 1986). </w:t>
      </w:r>
    </w:p>
    <w:p w14:paraId="2EEA4D1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7. To be liable as a builder under this instruction the defendant must have been a person regularly engaged in the “business of building” so that the sale is commercial in nature, rather than casual or personal. </w:t>
      </w:r>
      <w:r w:rsidRPr="00A76271">
        <w:rPr>
          <w:rFonts w:eastAsia="Times New Roman"/>
          <w:b/>
          <w:bCs/>
          <w:sz w:val="24"/>
          <w:szCs w:val="24"/>
        </w:rPr>
        <w:t>Mazurek v. Nielsen</w:t>
      </w:r>
      <w:r w:rsidRPr="00A76271">
        <w:rPr>
          <w:rFonts w:eastAsia="Times New Roman"/>
          <w:bCs/>
          <w:sz w:val="24"/>
          <w:szCs w:val="24"/>
        </w:rPr>
        <w:t xml:space="preserve">, 42 Colo. App. 386, 599 P.2d 269; </w:t>
      </w:r>
      <w:r w:rsidRPr="00A76271">
        <w:rPr>
          <w:rFonts w:eastAsia="Times New Roman"/>
          <w:bCs/>
          <w:i/>
          <w:sz w:val="24"/>
          <w:szCs w:val="24"/>
        </w:rPr>
        <w:t>accord</w:t>
      </w:r>
      <w:r w:rsidRPr="00A76271">
        <w:rPr>
          <w:rFonts w:eastAsia="Times New Roman"/>
          <w:bCs/>
          <w:sz w:val="24"/>
          <w:szCs w:val="24"/>
        </w:rPr>
        <w:t xml:space="preserve"> </w:t>
      </w:r>
      <w:r w:rsidRPr="00A76271">
        <w:rPr>
          <w:rFonts w:eastAsia="Times New Roman"/>
          <w:b/>
          <w:bCs/>
          <w:sz w:val="24"/>
          <w:szCs w:val="24"/>
        </w:rPr>
        <w:t>Erickson v. Oberlohr</w:t>
      </w:r>
      <w:r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Pr="00A76271">
        <w:rPr>
          <w:rFonts w:eastAsia="Times New Roman"/>
          <w:b/>
          <w:bCs/>
          <w:sz w:val="24"/>
          <w:szCs w:val="24"/>
        </w:rPr>
        <w:t>Sloat v. Matheny</w:t>
      </w:r>
      <w:r w:rsidRPr="00A76271">
        <w:rPr>
          <w:rFonts w:eastAsia="Times New Roman"/>
          <w:bCs/>
          <w:sz w:val="24"/>
          <w:szCs w:val="24"/>
        </w:rPr>
        <w:t xml:space="preserve">, 625 P.2d 1031 (Colo. 1981);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Davies v. Bradley</w:t>
      </w:r>
      <w:r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8.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Pr="00A76271">
        <w:rPr>
          <w:rFonts w:eastAsia="Times New Roman"/>
          <w:bCs/>
          <w:i/>
          <w:sz w:val="24"/>
          <w:szCs w:val="24"/>
        </w:rPr>
        <w:t>Id</w:t>
      </w:r>
      <w:r w:rsidRPr="00A76271">
        <w:rPr>
          <w:rFonts w:eastAsia="Times New Roman"/>
          <w:bCs/>
          <w:sz w:val="24"/>
          <w:szCs w:val="24"/>
        </w:rPr>
        <w:t>.</w:t>
      </w:r>
    </w:p>
    <w:p w14:paraId="41313813"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9. An implied warranty comparable to the warranties covered by this instruction may arise from the sale of land by a commercial developer who improves land and sells it for an express purpose. </w:t>
      </w:r>
      <w:r w:rsidRPr="00A76271">
        <w:rPr>
          <w:rFonts w:eastAsia="Times New Roman"/>
          <w:bCs/>
          <w:i/>
          <w:sz w:val="24"/>
          <w:szCs w:val="24"/>
        </w:rPr>
        <w:t>See, e.g.</w:t>
      </w:r>
      <w:r w:rsidRPr="00A76271">
        <w:rPr>
          <w:rFonts w:eastAsia="Times New Roman"/>
          <w:bCs/>
          <w:sz w:val="24"/>
          <w:szCs w:val="24"/>
        </w:rPr>
        <w:t xml:space="preserve">, </w:t>
      </w:r>
      <w:r w:rsidRPr="00A76271">
        <w:rPr>
          <w:rFonts w:eastAsia="Times New Roman"/>
          <w:b/>
          <w:bCs/>
          <w:sz w:val="24"/>
          <w:szCs w:val="24"/>
        </w:rPr>
        <w:t>Rusch</w:t>
      </w:r>
      <w:r w:rsidRPr="00A76271">
        <w:rPr>
          <w:rFonts w:eastAsia="Times New Roman"/>
          <w:bCs/>
          <w:sz w:val="24"/>
          <w:szCs w:val="24"/>
        </w:rPr>
        <w:t>, 698 P.2d at 835 (recognizing an implied warranty of fitness for a particular purpose).</w:t>
      </w:r>
    </w:p>
    <w:p w14:paraId="1841012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10. A builder or developer of residential construction must “provide the purchaser with a copy of a summary report of the analysis and the site recommendations” concerning soils and 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77777777" w:rsidR="00D21951" w:rsidRPr="009E3DA4" w:rsidRDefault="00D21951" w:rsidP="00D21951">
      <w:pPr>
        <w:spacing w:after="240"/>
        <w:ind w:left="720" w:hanging="720"/>
        <w:rPr>
          <w:rFonts w:eastAsia="Times New Roman"/>
          <w:b/>
          <w:sz w:val="24"/>
          <w:szCs w:val="24"/>
        </w:rPr>
      </w:pPr>
      <w:bookmarkStart w:id="59" w:name="a30_55"/>
      <w:bookmarkEnd w:id="59"/>
      <w:r w:rsidRPr="00D21951">
        <w:rPr>
          <w:rFonts w:eastAsia="Times New Roman"/>
          <w:b/>
          <w:bCs/>
          <w:sz w:val="24"/>
          <w:szCs w:val="24"/>
        </w:rPr>
        <w:lastRenderedPageBreak/>
        <w:t xml:space="preserve">30:55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30:54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r w:rsidRPr="00D21951">
        <w:rPr>
          <w:rFonts w:eastAsia="Times New Roman"/>
          <w:b/>
          <w:bCs/>
          <w:sz w:val="24"/>
          <w:szCs w:val="24"/>
        </w:rPr>
        <w:t>Shiffers v. Cunningham Shepherd Builders Co.</w:t>
      </w:r>
      <w:r w:rsidRPr="00D21951">
        <w:rPr>
          <w:rFonts w:eastAsia="Times New Roman"/>
          <w:bCs/>
          <w:sz w:val="24"/>
          <w:szCs w:val="24"/>
        </w:rPr>
        <w:t xml:space="preserve">, 28 Colo. App. 29, 470 P.2d 593 (1970). The implied warranty of habitability of a house (i.e., “suitable for its intended use”) also includes a water supply sufficient in quantity and quality for its useful occupancy. </w:t>
      </w:r>
      <w:r w:rsidRPr="00D21951">
        <w:rPr>
          <w:rFonts w:eastAsia="Times New Roman"/>
          <w:b/>
          <w:bCs/>
          <w:sz w:val="24"/>
          <w:szCs w:val="24"/>
        </w:rPr>
        <w:t>Mazurek v. Nielsen</w:t>
      </w:r>
      <w:r w:rsidRPr="00D21951">
        <w:rPr>
          <w:rFonts w:eastAsia="Times New Roman"/>
          <w:bCs/>
          <w:sz w:val="24"/>
          <w:szCs w:val="24"/>
        </w:rPr>
        <w:t>, 42 Colo. App. 386, 599 P.2d 269 (1979).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r w:rsidRPr="00D21951">
        <w:rPr>
          <w:rFonts w:eastAsia="Times New Roman"/>
          <w:b/>
          <w:bCs/>
          <w:sz w:val="24"/>
          <w:szCs w:val="24"/>
        </w:rPr>
        <w:t>Dann v. Perrotti &amp; Hauptman Dev. Co.</w:t>
      </w:r>
      <w:r w:rsidRPr="00D21951">
        <w:rPr>
          <w:rFonts w:eastAsia="Times New Roman"/>
          <w:bCs/>
          <w:sz w:val="24"/>
          <w:szCs w:val="24"/>
        </w:rPr>
        <w:t>, 670 P.2d 448, 451 (Colo. App. 1983).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w:t>
      </w:r>
      <w:r w:rsidRPr="00D21951">
        <w:rPr>
          <w:rFonts w:eastAsia="Times New Roman"/>
          <w:bCs/>
          <w:sz w:val="24"/>
          <w:szCs w:val="24"/>
        </w:rPr>
        <w:lastRenderedPageBreak/>
        <w:t xml:space="preserve">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77777777" w:rsidR="008D41E0" w:rsidRPr="009E3DA4" w:rsidRDefault="008D41E0" w:rsidP="008D41E0">
      <w:pPr>
        <w:spacing w:after="240"/>
        <w:ind w:left="720" w:hanging="720"/>
        <w:rPr>
          <w:rFonts w:eastAsia="Times New Roman"/>
          <w:b/>
          <w:sz w:val="24"/>
          <w:szCs w:val="24"/>
        </w:rPr>
      </w:pPr>
      <w:bookmarkStart w:id="60" w:name="a30_56"/>
      <w:bookmarkEnd w:id="60"/>
      <w:r w:rsidRPr="008D41E0">
        <w:rPr>
          <w:rFonts w:eastAsia="Times New Roman"/>
          <w:b/>
          <w:bCs/>
          <w:sz w:val="24"/>
          <w:szCs w:val="24"/>
        </w:rPr>
        <w:lastRenderedPageBreak/>
        <w:t xml:space="preserve">30:56 </w:t>
      </w:r>
      <w:r w:rsidRPr="008D41E0">
        <w:rPr>
          <w:rFonts w:eastAsia="Times New Roman"/>
          <w:b/>
          <w:bCs/>
          <w:sz w:val="24"/>
          <w:szCs w:val="24"/>
        </w:rPr>
        <w:tab/>
        <w:t>CLAIM ― REAL ESTATE COMMISSION ― ELEMENTS OF LIABILITY</w:t>
      </w:r>
    </w:p>
    <w:p w14:paraId="2C528581"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on (his) (her)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[insert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w:t>
      </w:r>
      <w:r w:rsidRPr="008D41E0">
        <w:rPr>
          <w:rFonts w:eastAsia="Times New Roman"/>
          <w:bCs/>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Lieff v. </w:t>
      </w:r>
      <w:r w:rsidRPr="008D41E0">
        <w:rPr>
          <w:rFonts w:eastAsia="Times New Roman"/>
          <w:b/>
          <w:bCs/>
          <w:sz w:val="24"/>
          <w:szCs w:val="24"/>
        </w:rPr>
        <w:lastRenderedPageBreak/>
        <w:t>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44 Colo. App. 59, 615 P.2d 42 (1980).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368 P.2d 195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w:t>
      </w:r>
      <w:r w:rsidRPr="008D41E0">
        <w:rPr>
          <w:rFonts w:eastAsia="Times New Roman"/>
          <w:bCs/>
          <w:sz w:val="24"/>
          <w:szCs w:val="24"/>
        </w:rPr>
        <w:lastRenderedPageBreak/>
        <w:t xml:space="preserve">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685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3D747BE" w14:textId="77777777" w:rsidR="00A76271" w:rsidRPr="00A76271" w:rsidRDefault="008D41E0" w:rsidP="00A76271">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Also, the “broker is charged with knowledge that the substantial variation exists when he submits the offer.”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Re/Max Suburban, Inc. v. Widener</w:t>
      </w:r>
      <w:r w:rsidRPr="008D41E0">
        <w:rPr>
          <w:rFonts w:eastAsia="Times New Roman"/>
          <w:bCs/>
          <w:sz w:val="24"/>
          <w:szCs w:val="24"/>
        </w:rPr>
        <w:t>, 633 P.2d 530 (Colo. App. 1981) (broker not entitled to commission when sale failed to close due to fault of broker).</w:t>
      </w:r>
    </w:p>
    <w:sectPr w:rsidR="00A76271" w:rsidRPr="00A76271"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88F987" w15:done="0"/>
  <w15:commentEx w15:paraId="23D9ABD4" w15:done="0"/>
  <w15:commentEx w15:paraId="70A19A30" w15:done="0"/>
  <w15:commentEx w15:paraId="02A509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88F987" w16cid:durableId="1F96CF71"/>
  <w16cid:commentId w16cid:paraId="23D9ABD4" w16cid:durableId="1F96CF88"/>
  <w16cid:commentId w16cid:paraId="70A19A30" w16cid:durableId="1F96CFA6"/>
  <w16cid:commentId w16cid:paraId="02A509CB" w16cid:durableId="1F96CF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621E" w14:textId="77777777" w:rsidR="004B0E7F" w:rsidRDefault="004B0E7F" w:rsidP="0054263B">
      <w:r>
        <w:separator/>
      </w:r>
    </w:p>
    <w:p w14:paraId="5A31FE20" w14:textId="77777777" w:rsidR="004B0E7F" w:rsidRDefault="004B0E7F"/>
  </w:endnote>
  <w:endnote w:type="continuationSeparator" w:id="0">
    <w:p w14:paraId="4D138BA6" w14:textId="77777777" w:rsidR="004B0E7F" w:rsidRDefault="004B0E7F" w:rsidP="0054263B">
      <w:r>
        <w:continuationSeparator/>
      </w:r>
    </w:p>
    <w:p w14:paraId="01E1401E" w14:textId="77777777" w:rsidR="004B0E7F" w:rsidRDefault="004B0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3505C874" w14:textId="77777777" w:rsidR="00F06ADD" w:rsidRDefault="00F06ADD">
        <w:pPr>
          <w:pStyle w:val="Footer"/>
          <w:jc w:val="center"/>
        </w:pPr>
        <w:r>
          <w:fldChar w:fldCharType="begin"/>
        </w:r>
        <w:r>
          <w:instrText xml:space="preserve"> PAGE   \* MERGEFORMAT </w:instrText>
        </w:r>
        <w:r>
          <w:fldChar w:fldCharType="separate"/>
        </w:r>
        <w:r w:rsidR="00FC4239">
          <w:rPr>
            <w:noProof/>
          </w:rPr>
          <w:t>99</w:t>
        </w:r>
        <w:r>
          <w:rPr>
            <w:noProof/>
          </w:rPr>
          <w:fldChar w:fldCharType="end"/>
        </w:r>
      </w:p>
    </w:sdtContent>
  </w:sdt>
  <w:p w14:paraId="39E7E541" w14:textId="77777777" w:rsidR="00F06ADD" w:rsidRDefault="00F06ADD">
    <w:pPr>
      <w:pStyle w:val="Footer"/>
    </w:pPr>
  </w:p>
  <w:p w14:paraId="1052C3A9" w14:textId="77777777" w:rsidR="00F06ADD" w:rsidRDefault="00F06A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164D" w14:textId="77777777" w:rsidR="004B0E7F" w:rsidRDefault="004B0E7F" w:rsidP="0054263B">
      <w:r>
        <w:separator/>
      </w:r>
    </w:p>
    <w:p w14:paraId="75F34B1B" w14:textId="77777777" w:rsidR="004B0E7F" w:rsidRDefault="004B0E7F"/>
  </w:footnote>
  <w:footnote w:type="continuationSeparator" w:id="0">
    <w:p w14:paraId="25FB9464" w14:textId="77777777" w:rsidR="004B0E7F" w:rsidRDefault="004B0E7F" w:rsidP="0054263B">
      <w:r>
        <w:continuationSeparator/>
      </w:r>
    </w:p>
    <w:p w14:paraId="3F789718" w14:textId="77777777" w:rsidR="004B0E7F" w:rsidRDefault="004B0E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20CF1"/>
    <w:rsid w:val="00037111"/>
    <w:rsid w:val="0006367C"/>
    <w:rsid w:val="00074558"/>
    <w:rsid w:val="00074E3E"/>
    <w:rsid w:val="000824C8"/>
    <w:rsid w:val="00082B8A"/>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5209"/>
    <w:rsid w:val="00126B7A"/>
    <w:rsid w:val="001333F4"/>
    <w:rsid w:val="00144917"/>
    <w:rsid w:val="001608FF"/>
    <w:rsid w:val="001671A9"/>
    <w:rsid w:val="00172259"/>
    <w:rsid w:val="00172674"/>
    <w:rsid w:val="00172700"/>
    <w:rsid w:val="00174BB5"/>
    <w:rsid w:val="0018388B"/>
    <w:rsid w:val="00184ADB"/>
    <w:rsid w:val="001903CB"/>
    <w:rsid w:val="00190BD9"/>
    <w:rsid w:val="001913B1"/>
    <w:rsid w:val="00191498"/>
    <w:rsid w:val="00191C86"/>
    <w:rsid w:val="001A2648"/>
    <w:rsid w:val="001E0F3B"/>
    <w:rsid w:val="001F0193"/>
    <w:rsid w:val="001F1E78"/>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6772"/>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4C57"/>
    <w:rsid w:val="003259EE"/>
    <w:rsid w:val="00333886"/>
    <w:rsid w:val="00335934"/>
    <w:rsid w:val="00336CE4"/>
    <w:rsid w:val="00345533"/>
    <w:rsid w:val="00352111"/>
    <w:rsid w:val="00352433"/>
    <w:rsid w:val="00352696"/>
    <w:rsid w:val="00353044"/>
    <w:rsid w:val="003613FE"/>
    <w:rsid w:val="00367D0F"/>
    <w:rsid w:val="00382177"/>
    <w:rsid w:val="003837B6"/>
    <w:rsid w:val="003937B8"/>
    <w:rsid w:val="003A2F1C"/>
    <w:rsid w:val="003A5A75"/>
    <w:rsid w:val="003D027F"/>
    <w:rsid w:val="003D1B54"/>
    <w:rsid w:val="003D370E"/>
    <w:rsid w:val="003E472A"/>
    <w:rsid w:val="003E5B38"/>
    <w:rsid w:val="003E773D"/>
    <w:rsid w:val="003F108C"/>
    <w:rsid w:val="003F4A7F"/>
    <w:rsid w:val="003F6E89"/>
    <w:rsid w:val="00410E6B"/>
    <w:rsid w:val="00416E67"/>
    <w:rsid w:val="0042704F"/>
    <w:rsid w:val="00427199"/>
    <w:rsid w:val="00434371"/>
    <w:rsid w:val="004425AA"/>
    <w:rsid w:val="0044495C"/>
    <w:rsid w:val="00454EE8"/>
    <w:rsid w:val="00456038"/>
    <w:rsid w:val="00456B2B"/>
    <w:rsid w:val="0046563F"/>
    <w:rsid w:val="00467B80"/>
    <w:rsid w:val="0047120C"/>
    <w:rsid w:val="00471618"/>
    <w:rsid w:val="00473B65"/>
    <w:rsid w:val="00474B1B"/>
    <w:rsid w:val="0048541F"/>
    <w:rsid w:val="0049313F"/>
    <w:rsid w:val="004978F9"/>
    <w:rsid w:val="004A1210"/>
    <w:rsid w:val="004A32E6"/>
    <w:rsid w:val="004B0E7F"/>
    <w:rsid w:val="004B753E"/>
    <w:rsid w:val="004C330E"/>
    <w:rsid w:val="004C62F9"/>
    <w:rsid w:val="004C723A"/>
    <w:rsid w:val="004D2C99"/>
    <w:rsid w:val="004D5700"/>
    <w:rsid w:val="004E0408"/>
    <w:rsid w:val="004E7EF1"/>
    <w:rsid w:val="004F003D"/>
    <w:rsid w:val="00502D97"/>
    <w:rsid w:val="005065E6"/>
    <w:rsid w:val="0051385E"/>
    <w:rsid w:val="005156F1"/>
    <w:rsid w:val="00516447"/>
    <w:rsid w:val="0052537F"/>
    <w:rsid w:val="00527A18"/>
    <w:rsid w:val="00527AD3"/>
    <w:rsid w:val="00531F87"/>
    <w:rsid w:val="0053544D"/>
    <w:rsid w:val="0054263B"/>
    <w:rsid w:val="00547D97"/>
    <w:rsid w:val="00550AFD"/>
    <w:rsid w:val="00555B52"/>
    <w:rsid w:val="00555BA5"/>
    <w:rsid w:val="00557FCC"/>
    <w:rsid w:val="005648EF"/>
    <w:rsid w:val="0057771F"/>
    <w:rsid w:val="005A22A6"/>
    <w:rsid w:val="005B27FE"/>
    <w:rsid w:val="005B3A78"/>
    <w:rsid w:val="005C56C9"/>
    <w:rsid w:val="005C5CCB"/>
    <w:rsid w:val="005D1AD3"/>
    <w:rsid w:val="005D1F16"/>
    <w:rsid w:val="005D3156"/>
    <w:rsid w:val="005E712D"/>
    <w:rsid w:val="005F1017"/>
    <w:rsid w:val="005F19FD"/>
    <w:rsid w:val="005F5A94"/>
    <w:rsid w:val="00604F03"/>
    <w:rsid w:val="006053F6"/>
    <w:rsid w:val="006272FE"/>
    <w:rsid w:val="00631BFF"/>
    <w:rsid w:val="006353DF"/>
    <w:rsid w:val="00642649"/>
    <w:rsid w:val="006451C7"/>
    <w:rsid w:val="00647CC5"/>
    <w:rsid w:val="00651A64"/>
    <w:rsid w:val="00661D05"/>
    <w:rsid w:val="00675252"/>
    <w:rsid w:val="00682B93"/>
    <w:rsid w:val="0068336D"/>
    <w:rsid w:val="00683FA1"/>
    <w:rsid w:val="00685E76"/>
    <w:rsid w:val="00687304"/>
    <w:rsid w:val="00697DF2"/>
    <w:rsid w:val="006A74B6"/>
    <w:rsid w:val="006B2457"/>
    <w:rsid w:val="006B26D7"/>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40B5"/>
    <w:rsid w:val="007532AB"/>
    <w:rsid w:val="00766F81"/>
    <w:rsid w:val="00770AB7"/>
    <w:rsid w:val="00770FFC"/>
    <w:rsid w:val="00783F23"/>
    <w:rsid w:val="00787065"/>
    <w:rsid w:val="00792028"/>
    <w:rsid w:val="007A3A0E"/>
    <w:rsid w:val="007A612E"/>
    <w:rsid w:val="007B1633"/>
    <w:rsid w:val="007D168F"/>
    <w:rsid w:val="007D198E"/>
    <w:rsid w:val="007D2BCE"/>
    <w:rsid w:val="007D39CC"/>
    <w:rsid w:val="007E1675"/>
    <w:rsid w:val="007E7C7D"/>
    <w:rsid w:val="007F7129"/>
    <w:rsid w:val="00801691"/>
    <w:rsid w:val="00806282"/>
    <w:rsid w:val="00813A6B"/>
    <w:rsid w:val="0082168C"/>
    <w:rsid w:val="00826FD6"/>
    <w:rsid w:val="0083254A"/>
    <w:rsid w:val="0083264A"/>
    <w:rsid w:val="00832DB4"/>
    <w:rsid w:val="0083763B"/>
    <w:rsid w:val="00837F81"/>
    <w:rsid w:val="00845F81"/>
    <w:rsid w:val="00850A48"/>
    <w:rsid w:val="00851A69"/>
    <w:rsid w:val="00853ECF"/>
    <w:rsid w:val="008557E1"/>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D1995"/>
    <w:rsid w:val="008D2D56"/>
    <w:rsid w:val="008D41E0"/>
    <w:rsid w:val="008D4A28"/>
    <w:rsid w:val="008D609F"/>
    <w:rsid w:val="008D7ECC"/>
    <w:rsid w:val="008E41F1"/>
    <w:rsid w:val="008E51AF"/>
    <w:rsid w:val="008F3AE7"/>
    <w:rsid w:val="008F4C42"/>
    <w:rsid w:val="008F746C"/>
    <w:rsid w:val="009007E8"/>
    <w:rsid w:val="009022AA"/>
    <w:rsid w:val="0090292A"/>
    <w:rsid w:val="00902A25"/>
    <w:rsid w:val="00914128"/>
    <w:rsid w:val="00930778"/>
    <w:rsid w:val="00932723"/>
    <w:rsid w:val="009355C5"/>
    <w:rsid w:val="00935DA8"/>
    <w:rsid w:val="00936D0A"/>
    <w:rsid w:val="00950692"/>
    <w:rsid w:val="00950960"/>
    <w:rsid w:val="00952BBB"/>
    <w:rsid w:val="0095709A"/>
    <w:rsid w:val="009725D8"/>
    <w:rsid w:val="00973884"/>
    <w:rsid w:val="009902F2"/>
    <w:rsid w:val="009931B9"/>
    <w:rsid w:val="009A5AA6"/>
    <w:rsid w:val="009B6746"/>
    <w:rsid w:val="009C0C3F"/>
    <w:rsid w:val="009D5D97"/>
    <w:rsid w:val="009E20C7"/>
    <w:rsid w:val="009E3DA4"/>
    <w:rsid w:val="009F581C"/>
    <w:rsid w:val="00A005E6"/>
    <w:rsid w:val="00A06ED6"/>
    <w:rsid w:val="00A10F3D"/>
    <w:rsid w:val="00A110C7"/>
    <w:rsid w:val="00A22F5A"/>
    <w:rsid w:val="00A36457"/>
    <w:rsid w:val="00A50F20"/>
    <w:rsid w:val="00A575BC"/>
    <w:rsid w:val="00A57F9C"/>
    <w:rsid w:val="00A632A0"/>
    <w:rsid w:val="00A63D35"/>
    <w:rsid w:val="00A677E8"/>
    <w:rsid w:val="00A725B4"/>
    <w:rsid w:val="00A73AE6"/>
    <w:rsid w:val="00A73FC9"/>
    <w:rsid w:val="00A76271"/>
    <w:rsid w:val="00A76341"/>
    <w:rsid w:val="00A80C10"/>
    <w:rsid w:val="00A82D0A"/>
    <w:rsid w:val="00A85AAA"/>
    <w:rsid w:val="00A92C18"/>
    <w:rsid w:val="00AB2019"/>
    <w:rsid w:val="00AB477F"/>
    <w:rsid w:val="00AB71A7"/>
    <w:rsid w:val="00AC646C"/>
    <w:rsid w:val="00AC78F7"/>
    <w:rsid w:val="00AD4B56"/>
    <w:rsid w:val="00AE1C04"/>
    <w:rsid w:val="00AF40E1"/>
    <w:rsid w:val="00AF7D47"/>
    <w:rsid w:val="00B0264D"/>
    <w:rsid w:val="00B338E2"/>
    <w:rsid w:val="00B35185"/>
    <w:rsid w:val="00B37722"/>
    <w:rsid w:val="00B407E5"/>
    <w:rsid w:val="00B538B9"/>
    <w:rsid w:val="00B567C1"/>
    <w:rsid w:val="00B579DF"/>
    <w:rsid w:val="00B6275E"/>
    <w:rsid w:val="00B70D68"/>
    <w:rsid w:val="00B7181F"/>
    <w:rsid w:val="00B719C2"/>
    <w:rsid w:val="00B72D6B"/>
    <w:rsid w:val="00B80FD1"/>
    <w:rsid w:val="00B937E4"/>
    <w:rsid w:val="00B96786"/>
    <w:rsid w:val="00B97801"/>
    <w:rsid w:val="00BA2389"/>
    <w:rsid w:val="00BA27A8"/>
    <w:rsid w:val="00BA510E"/>
    <w:rsid w:val="00BB32C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90E67"/>
    <w:rsid w:val="00D93394"/>
    <w:rsid w:val="00DA1796"/>
    <w:rsid w:val="00DA2814"/>
    <w:rsid w:val="00DB2C90"/>
    <w:rsid w:val="00DC0393"/>
    <w:rsid w:val="00DC63A9"/>
    <w:rsid w:val="00DC66A6"/>
    <w:rsid w:val="00DC7533"/>
    <w:rsid w:val="00DD5492"/>
    <w:rsid w:val="00DE2930"/>
    <w:rsid w:val="00DF2CB7"/>
    <w:rsid w:val="00DF3BF1"/>
    <w:rsid w:val="00DF7595"/>
    <w:rsid w:val="00E007F8"/>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F4043"/>
    <w:rsid w:val="00EF5096"/>
    <w:rsid w:val="00F022D4"/>
    <w:rsid w:val="00F062A4"/>
    <w:rsid w:val="00F06ADD"/>
    <w:rsid w:val="00F32AA4"/>
    <w:rsid w:val="00F573CF"/>
    <w:rsid w:val="00F57A28"/>
    <w:rsid w:val="00F57A2B"/>
    <w:rsid w:val="00F658E5"/>
    <w:rsid w:val="00F755B7"/>
    <w:rsid w:val="00F764F4"/>
    <w:rsid w:val="00F86F49"/>
    <w:rsid w:val="00FA333E"/>
    <w:rsid w:val="00FA7B76"/>
    <w:rsid w:val="00FB29B2"/>
    <w:rsid w:val="00FC4239"/>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3CF6-05C1-43E9-BF0F-9E47494D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31886</Words>
  <Characters>181752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2018-12-15T20:34:00Z</dcterms:created>
  <dcterms:modified xsi:type="dcterms:W3CDTF">2018-12-15T20:34:00Z</dcterms:modified>
</cp:coreProperties>
</file>