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CC" w:rsidRPr="00914128" w:rsidRDefault="0068336D" w:rsidP="00914128">
      <w:pPr>
        <w:pStyle w:val="Heading1"/>
      </w:pPr>
      <w:bookmarkStart w:id="0" w:name="_GoBack"/>
      <w:bookmarkEnd w:id="0"/>
      <w:r>
        <w:t xml:space="preserve">CHAPTER </w:t>
      </w:r>
      <w:r w:rsidR="006F7B49">
        <w:t>34</w:t>
      </w:r>
    </w:p>
    <w:p w:rsidR="00EC7C98" w:rsidRPr="00914128" w:rsidRDefault="006F7B49" w:rsidP="00914128">
      <w:pPr>
        <w:pStyle w:val="Heading1"/>
      </w:pPr>
      <w:r w:rsidRPr="006F7B49">
        <w:t>WILLS</w:t>
      </w:r>
    </w:p>
    <w:p w:rsidR="00533E74" w:rsidRDefault="001325AD" w:rsidP="00914128">
      <w:pPr>
        <w:pStyle w:val="ToC"/>
      </w:pPr>
      <w:hyperlink w:anchor="a34_01" w:history="1">
        <w:r w:rsidR="000E72CD" w:rsidRPr="001C5646">
          <w:rPr>
            <w:rStyle w:val="Hyperlink"/>
          </w:rPr>
          <w:t>34:1</w:t>
        </w:r>
      </w:hyperlink>
      <w:r w:rsidR="000E72CD" w:rsidRPr="001C5646">
        <w:t xml:space="preserve"> </w:t>
      </w:r>
      <w:r w:rsidR="000E72CD" w:rsidRPr="001C5646">
        <w:tab/>
        <w:t xml:space="preserve">Will Contest — Statement </w:t>
      </w:r>
      <w:r w:rsidR="000E72CD">
        <w:t>of the</w:t>
      </w:r>
      <w:r w:rsidR="000E72CD" w:rsidRPr="001C5646">
        <w:t xml:space="preserve"> Case</w:t>
      </w:r>
    </w:p>
    <w:p w:rsidR="001C5646" w:rsidRDefault="001325AD" w:rsidP="00914128">
      <w:pPr>
        <w:pStyle w:val="ToC"/>
      </w:pPr>
      <w:hyperlink w:anchor="a34_02" w:history="1">
        <w:r w:rsidR="000E72CD" w:rsidRPr="001C5646">
          <w:rPr>
            <w:rStyle w:val="Hyperlink"/>
          </w:rPr>
          <w:t>34:2</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 xml:space="preserve">Properly Executed, Signed, </w:t>
      </w:r>
      <w:r w:rsidR="000E72CD">
        <w:t>and</w:t>
      </w:r>
      <w:r w:rsidR="000E72CD" w:rsidRPr="001C5646">
        <w:t xml:space="preserve"> Witnessed </w:t>
      </w:r>
      <w:r w:rsidR="000E72CD">
        <w:t>or</w:t>
      </w:r>
      <w:r w:rsidR="000E72CD" w:rsidRPr="001C5646">
        <w:t xml:space="preserve"> Acknowledged Will — All Wills Except Self-Proved </w:t>
      </w:r>
      <w:r w:rsidR="000E72CD">
        <w:t>and</w:t>
      </w:r>
      <w:r w:rsidR="000E72CD" w:rsidRPr="001C5646">
        <w:t xml:space="preserve"> Holographic</w:t>
      </w:r>
    </w:p>
    <w:p w:rsidR="001C5646" w:rsidRDefault="001325AD" w:rsidP="00914128">
      <w:pPr>
        <w:pStyle w:val="ToC"/>
      </w:pPr>
      <w:hyperlink w:anchor="a34_03" w:history="1">
        <w:r w:rsidR="000E72CD" w:rsidRPr="001C5646">
          <w:rPr>
            <w:rStyle w:val="Hyperlink"/>
          </w:rPr>
          <w:t>34:3</w:t>
        </w:r>
      </w:hyperlink>
      <w:r w:rsidR="000E72CD" w:rsidRPr="001C5646">
        <w:t xml:space="preserve"> </w:t>
      </w:r>
      <w:r w:rsidR="000E72CD" w:rsidRPr="001C5646">
        <w:tab/>
        <w:t>Conscious Presence — Defined</w:t>
      </w:r>
    </w:p>
    <w:p w:rsidR="001C5646" w:rsidRDefault="001325AD" w:rsidP="00914128">
      <w:pPr>
        <w:pStyle w:val="ToC"/>
      </w:pPr>
      <w:hyperlink w:anchor="a34_04" w:history="1">
        <w:r w:rsidR="000E72CD" w:rsidRPr="001C5646">
          <w:rPr>
            <w:rStyle w:val="Hyperlink"/>
          </w:rPr>
          <w:t>34:4</w:t>
        </w:r>
      </w:hyperlink>
      <w:r w:rsidR="000E72CD" w:rsidRPr="001C5646">
        <w:t xml:space="preserve"> </w:t>
      </w:r>
      <w:r w:rsidR="000E72CD" w:rsidRPr="001C5646">
        <w:tab/>
        <w:t xml:space="preserve">Witness Having </w:t>
      </w:r>
      <w:r w:rsidR="000E72CD">
        <w:t>an</w:t>
      </w:r>
      <w:r w:rsidR="000E72CD" w:rsidRPr="001C5646">
        <w:t xml:space="preserve"> Interest Under </w:t>
      </w:r>
      <w:r w:rsidR="000E72CD">
        <w:t>the</w:t>
      </w:r>
      <w:r w:rsidR="000E72CD" w:rsidRPr="001C5646">
        <w:t xml:space="preserve"> Will</w:t>
      </w:r>
    </w:p>
    <w:p w:rsidR="001C5646" w:rsidRDefault="001325AD" w:rsidP="00914128">
      <w:pPr>
        <w:pStyle w:val="ToC"/>
      </w:pPr>
      <w:hyperlink w:anchor="a34_05" w:history="1">
        <w:r w:rsidR="000E72CD" w:rsidRPr="001C5646">
          <w:rPr>
            <w:rStyle w:val="Hyperlink"/>
          </w:rPr>
          <w:t>34:5</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Self-Proved Will</w:t>
      </w:r>
    </w:p>
    <w:p w:rsidR="001C5646" w:rsidRDefault="001325AD" w:rsidP="00914128">
      <w:pPr>
        <w:pStyle w:val="ToC"/>
      </w:pPr>
      <w:hyperlink w:anchor="a34_06" w:history="1">
        <w:r w:rsidR="000E72CD" w:rsidRPr="001C5646">
          <w:rPr>
            <w:rStyle w:val="Hyperlink"/>
          </w:rPr>
          <w:t>34:6</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Holographic Will</w:t>
      </w:r>
    </w:p>
    <w:p w:rsidR="001C5646" w:rsidRDefault="001325AD" w:rsidP="00914128">
      <w:pPr>
        <w:pStyle w:val="ToC"/>
      </w:pPr>
      <w:hyperlink w:anchor="a34_07" w:history="1">
        <w:r w:rsidR="000E72CD" w:rsidRPr="001C5646">
          <w:rPr>
            <w:rStyle w:val="Hyperlink"/>
          </w:rPr>
          <w:t>34:7</w:t>
        </w:r>
      </w:hyperlink>
      <w:r w:rsidR="000E72CD" w:rsidRPr="001C5646">
        <w:t xml:space="preserve"> </w:t>
      </w:r>
      <w:r w:rsidR="000E72CD" w:rsidRPr="001C5646">
        <w:tab/>
        <w:t>Testamentary Intent — Defined</w:t>
      </w:r>
    </w:p>
    <w:p w:rsidR="001C5646" w:rsidRDefault="001325AD" w:rsidP="00914128">
      <w:pPr>
        <w:pStyle w:val="ToC"/>
      </w:pPr>
      <w:hyperlink w:anchor="a34_08" w:history="1">
        <w:r w:rsidR="000E72CD" w:rsidRPr="001C5646">
          <w:rPr>
            <w:rStyle w:val="Hyperlink"/>
          </w:rPr>
          <w:t>34:8</w:t>
        </w:r>
      </w:hyperlink>
      <w:r w:rsidR="000E72CD" w:rsidRPr="001C5646">
        <w:t xml:space="preserve"> </w:t>
      </w:r>
      <w:r w:rsidR="000E72CD" w:rsidRPr="001C5646">
        <w:tab/>
        <w:t xml:space="preserve">Revocation </w:t>
      </w:r>
      <w:r w:rsidR="000E72CD">
        <w:t>by</w:t>
      </w:r>
      <w:r w:rsidR="000E72CD" w:rsidRPr="001C5646">
        <w:t xml:space="preserve"> Burning, Tearing, Cancelling, Obliterating, </w:t>
      </w:r>
      <w:r w:rsidR="000E72CD">
        <w:t>or</w:t>
      </w:r>
      <w:r w:rsidR="000E72CD" w:rsidRPr="001C5646">
        <w:t xml:space="preserve"> Destroying — Defined</w:t>
      </w:r>
    </w:p>
    <w:p w:rsidR="001C5646" w:rsidRDefault="001325AD" w:rsidP="00914128">
      <w:pPr>
        <w:pStyle w:val="ToC"/>
      </w:pPr>
      <w:hyperlink w:anchor="a34_09" w:history="1">
        <w:r w:rsidR="000E72CD" w:rsidRPr="001C5646">
          <w:rPr>
            <w:rStyle w:val="Hyperlink"/>
          </w:rPr>
          <w:t>34:9</w:t>
        </w:r>
      </w:hyperlink>
      <w:r w:rsidR="000E72CD" w:rsidRPr="001C5646">
        <w:t xml:space="preserve"> </w:t>
      </w:r>
      <w:r w:rsidR="000E72CD" w:rsidRPr="001C5646">
        <w:tab/>
        <w:t xml:space="preserve">Presumption </w:t>
      </w:r>
      <w:r w:rsidR="000E72CD">
        <w:t xml:space="preserve">of </w:t>
      </w:r>
      <w:r w:rsidR="000E72CD" w:rsidRPr="001C5646">
        <w:t xml:space="preserve">Revocation </w:t>
      </w:r>
      <w:r w:rsidR="000E72CD">
        <w:t xml:space="preserve">of </w:t>
      </w:r>
      <w:r w:rsidR="000E72CD" w:rsidRPr="001C5646">
        <w:t xml:space="preserve">Lost Will </w:t>
      </w:r>
      <w:r w:rsidR="000E72CD">
        <w:t>or</w:t>
      </w:r>
      <w:r w:rsidR="000E72CD" w:rsidRPr="001C5646">
        <w:t xml:space="preserve"> </w:t>
      </w:r>
      <w:r w:rsidR="000E72CD">
        <w:t xml:space="preserve">of </w:t>
      </w:r>
      <w:r w:rsidR="000E72CD" w:rsidRPr="001C5646">
        <w:t xml:space="preserve">Will </w:t>
      </w:r>
      <w:r w:rsidR="000E72CD">
        <w:t>or</w:t>
      </w:r>
      <w:r w:rsidR="000E72CD" w:rsidRPr="001C5646">
        <w:t xml:space="preserve"> Part(</w:t>
      </w:r>
      <w:r w:rsidR="000E72CD">
        <w:t>s</w:t>
      </w:r>
      <w:r w:rsidR="000E72CD" w:rsidRPr="001C5646">
        <w:t xml:space="preserve">) </w:t>
      </w:r>
      <w:r w:rsidR="000E72CD">
        <w:t xml:space="preserve">of </w:t>
      </w:r>
      <w:r w:rsidR="000E72CD" w:rsidRPr="001C5646">
        <w:t xml:space="preserve">Will Found Burned, Torn, Cancelled, Obliterated, </w:t>
      </w:r>
      <w:r w:rsidR="000E72CD">
        <w:t>or</w:t>
      </w:r>
      <w:r w:rsidR="000E72CD" w:rsidRPr="001C5646">
        <w:t xml:space="preserve"> Destroyed</w:t>
      </w:r>
    </w:p>
    <w:p w:rsidR="001C5646" w:rsidRDefault="001325AD" w:rsidP="00914128">
      <w:pPr>
        <w:pStyle w:val="ToC"/>
      </w:pPr>
      <w:hyperlink w:anchor="a34_10" w:history="1">
        <w:r w:rsidR="000E72CD" w:rsidRPr="001C5646">
          <w:rPr>
            <w:rStyle w:val="Hyperlink"/>
          </w:rPr>
          <w:t>34:10</w:t>
        </w:r>
      </w:hyperlink>
      <w:r w:rsidR="000E72CD" w:rsidRPr="001C5646">
        <w:tab/>
        <w:t xml:space="preserve">Burden </w:t>
      </w:r>
      <w:r w:rsidR="000E72CD">
        <w:t xml:space="preserve">of </w:t>
      </w:r>
      <w:r w:rsidR="000E72CD" w:rsidRPr="001C5646">
        <w:t xml:space="preserve">Proof </w:t>
      </w:r>
      <w:r w:rsidR="000E72CD">
        <w:t>on</w:t>
      </w:r>
      <w:r w:rsidR="000E72CD" w:rsidRPr="001C5646">
        <w:t xml:space="preserve"> Issues </w:t>
      </w:r>
      <w:r w:rsidR="000E72CD">
        <w:t xml:space="preserve">of </w:t>
      </w:r>
      <w:r w:rsidR="000E72CD" w:rsidRPr="001C5646">
        <w:t xml:space="preserve">Sound Mind </w:t>
      </w:r>
      <w:r w:rsidR="000E72CD">
        <w:t>and</w:t>
      </w:r>
      <w:r w:rsidR="000E72CD" w:rsidRPr="001C5646">
        <w:t xml:space="preserve"> Memory (Testamentary Capacity) </w:t>
      </w:r>
      <w:r w:rsidR="000E72CD">
        <w:t>and</w:t>
      </w:r>
      <w:r w:rsidR="000E72CD" w:rsidRPr="001C5646">
        <w:t xml:space="preserve"> Undue Influence</w:t>
      </w:r>
    </w:p>
    <w:p w:rsidR="001C5646" w:rsidRDefault="001325AD" w:rsidP="00914128">
      <w:pPr>
        <w:pStyle w:val="ToC"/>
      </w:pPr>
      <w:hyperlink w:anchor="a34_11" w:history="1">
        <w:r w:rsidR="000E72CD" w:rsidRPr="001C5646">
          <w:rPr>
            <w:rStyle w:val="Hyperlink"/>
          </w:rPr>
          <w:t>34:11</w:t>
        </w:r>
      </w:hyperlink>
      <w:r w:rsidR="000E72CD" w:rsidRPr="001C5646">
        <w:tab/>
        <w:t xml:space="preserve">Testamentary Capacity </w:t>
      </w:r>
      <w:r w:rsidR="000E72CD">
        <w:t>and</w:t>
      </w:r>
      <w:r w:rsidR="000E72CD" w:rsidRPr="001C5646">
        <w:t xml:space="preserve"> Sound Mind — Defined</w:t>
      </w:r>
    </w:p>
    <w:p w:rsidR="006153FA" w:rsidRDefault="001325AD" w:rsidP="00914128">
      <w:pPr>
        <w:pStyle w:val="ToC"/>
      </w:pPr>
      <w:hyperlink w:anchor="a34_12" w:history="1">
        <w:r w:rsidR="000E72CD" w:rsidRPr="006153FA">
          <w:rPr>
            <w:rStyle w:val="Hyperlink"/>
          </w:rPr>
          <w:t>34:12</w:t>
        </w:r>
      </w:hyperlink>
      <w:r w:rsidR="000E72CD" w:rsidRPr="006153FA">
        <w:t xml:space="preserve"> </w:t>
      </w:r>
      <w:r w:rsidR="000E72CD" w:rsidRPr="006153FA">
        <w:tab/>
        <w:t>Insane Delusion — Defined</w:t>
      </w:r>
    </w:p>
    <w:p w:rsidR="006153FA" w:rsidRDefault="001325AD" w:rsidP="00914128">
      <w:pPr>
        <w:pStyle w:val="ToC"/>
      </w:pPr>
      <w:hyperlink w:anchor="a34_13" w:history="1">
        <w:r w:rsidR="000E72CD" w:rsidRPr="006153FA">
          <w:rPr>
            <w:rStyle w:val="Hyperlink"/>
          </w:rPr>
          <w:t>34:13</w:t>
        </w:r>
      </w:hyperlink>
      <w:r w:rsidR="000E72CD" w:rsidRPr="006153FA">
        <w:tab/>
        <w:t xml:space="preserve">Effect </w:t>
      </w:r>
      <w:r w:rsidR="000E72CD">
        <w:t xml:space="preserve">of </w:t>
      </w:r>
      <w:r w:rsidR="000E72CD" w:rsidRPr="006153FA">
        <w:t xml:space="preserve">Attestation </w:t>
      </w:r>
      <w:r w:rsidR="000E72CD">
        <w:t xml:space="preserve">of </w:t>
      </w:r>
      <w:r w:rsidR="000E72CD" w:rsidRPr="006153FA">
        <w:t xml:space="preserve">Will </w:t>
      </w:r>
      <w:r w:rsidR="000E72CD">
        <w:t>by</w:t>
      </w:r>
      <w:r w:rsidR="000E72CD" w:rsidRPr="006153FA">
        <w:t xml:space="preserve"> Witnesses</w:t>
      </w:r>
    </w:p>
    <w:p w:rsidR="006153FA" w:rsidRDefault="001325AD" w:rsidP="00914128">
      <w:pPr>
        <w:pStyle w:val="ToC"/>
      </w:pPr>
      <w:hyperlink w:anchor="a34_14" w:history="1">
        <w:r w:rsidR="000E72CD" w:rsidRPr="006153FA">
          <w:rPr>
            <w:rStyle w:val="Hyperlink"/>
          </w:rPr>
          <w:t>34:14</w:t>
        </w:r>
      </w:hyperlink>
      <w:r w:rsidR="000E72CD" w:rsidRPr="006153FA">
        <w:t xml:space="preserve"> </w:t>
      </w:r>
      <w:r w:rsidR="000E72CD" w:rsidRPr="006153FA">
        <w:tab/>
        <w:t>Undue Influence — Defined</w:t>
      </w:r>
    </w:p>
    <w:p w:rsidR="006153FA" w:rsidRDefault="001325AD" w:rsidP="00914128">
      <w:pPr>
        <w:pStyle w:val="ToC"/>
      </w:pPr>
      <w:hyperlink w:anchor="a34_15" w:history="1">
        <w:r w:rsidR="000E72CD" w:rsidRPr="006153FA">
          <w:rPr>
            <w:rStyle w:val="Hyperlink"/>
          </w:rPr>
          <w:t>34:15</w:t>
        </w:r>
      </w:hyperlink>
      <w:r w:rsidR="000E72CD" w:rsidRPr="006153FA">
        <w:t xml:space="preserve"> </w:t>
      </w:r>
      <w:r w:rsidR="000E72CD" w:rsidRPr="006153FA">
        <w:tab/>
        <w:t xml:space="preserve">Factors </w:t>
      </w:r>
      <w:r w:rsidR="000E72CD">
        <w:t>to</w:t>
      </w:r>
      <w:r w:rsidR="000E72CD" w:rsidRPr="006153FA">
        <w:t xml:space="preserve"> Be Considered </w:t>
      </w:r>
      <w:r w:rsidR="000E72CD">
        <w:t>in</w:t>
      </w:r>
      <w:r w:rsidR="000E72CD" w:rsidRPr="006153FA">
        <w:t xml:space="preserve"> Determining Undue Influence</w:t>
      </w:r>
    </w:p>
    <w:p w:rsidR="00625453" w:rsidRDefault="001325AD" w:rsidP="00914128">
      <w:pPr>
        <w:pStyle w:val="ToC"/>
      </w:pPr>
      <w:hyperlink w:anchor="a34_16" w:history="1">
        <w:r w:rsidR="000E72CD" w:rsidRPr="00625453">
          <w:rPr>
            <w:rStyle w:val="Hyperlink"/>
          </w:rPr>
          <w:t>34:16</w:t>
        </w:r>
      </w:hyperlink>
      <w:r w:rsidR="000E72CD" w:rsidRPr="00625453">
        <w:t xml:space="preserve"> </w:t>
      </w:r>
      <w:r w:rsidR="000E72CD" w:rsidRPr="00625453">
        <w:tab/>
        <w:t xml:space="preserve">Undue Influence — Presumption When Beneficiary </w:t>
      </w:r>
      <w:r w:rsidR="000E72CD">
        <w:t xml:space="preserve">in a </w:t>
      </w:r>
      <w:r w:rsidR="000E72CD" w:rsidRPr="00625453">
        <w:t xml:space="preserve">Confidential </w:t>
      </w:r>
      <w:r w:rsidR="000E72CD">
        <w:t>or</w:t>
      </w:r>
      <w:r w:rsidR="000E72CD" w:rsidRPr="00625453">
        <w:t xml:space="preserve"> Fiduciary Relationship</w:t>
      </w:r>
    </w:p>
    <w:p w:rsidR="00625453" w:rsidRDefault="001325AD" w:rsidP="00914128">
      <w:pPr>
        <w:pStyle w:val="ToC"/>
      </w:pPr>
      <w:hyperlink w:anchor="a34_17" w:history="1">
        <w:r w:rsidR="000E72CD" w:rsidRPr="00625453">
          <w:rPr>
            <w:rStyle w:val="Hyperlink"/>
          </w:rPr>
          <w:t>34:17</w:t>
        </w:r>
      </w:hyperlink>
      <w:r w:rsidR="000E72CD" w:rsidRPr="00625453">
        <w:tab/>
        <w:t xml:space="preserve">Undue Influence ― Permissible Inference When Presumption </w:t>
      </w:r>
      <w:r w:rsidR="000E72CD">
        <w:t xml:space="preserve">of </w:t>
      </w:r>
      <w:r w:rsidR="000E72CD" w:rsidRPr="00625453">
        <w:t>Undue Influence Is Rebutted</w:t>
      </w:r>
    </w:p>
    <w:p w:rsidR="00625453" w:rsidRDefault="001325AD" w:rsidP="00914128">
      <w:pPr>
        <w:pStyle w:val="ToC"/>
      </w:pPr>
      <w:hyperlink w:anchor="a34_18" w:history="1">
        <w:r w:rsidR="000E72CD" w:rsidRPr="00625453">
          <w:rPr>
            <w:rStyle w:val="Hyperlink"/>
          </w:rPr>
          <w:t>34:18</w:t>
        </w:r>
      </w:hyperlink>
      <w:r w:rsidR="000E72CD" w:rsidRPr="00625453">
        <w:t xml:space="preserve"> </w:t>
      </w:r>
      <w:r w:rsidR="000E72CD" w:rsidRPr="00625453">
        <w:tab/>
        <w:t>Confidential Relationship — Defined</w:t>
      </w:r>
    </w:p>
    <w:p w:rsidR="00625453" w:rsidRDefault="001325AD" w:rsidP="00914128">
      <w:pPr>
        <w:pStyle w:val="ToC"/>
      </w:pPr>
      <w:hyperlink w:anchor="a34_19" w:history="1">
        <w:r w:rsidR="000E72CD" w:rsidRPr="00625453">
          <w:rPr>
            <w:rStyle w:val="Hyperlink"/>
          </w:rPr>
          <w:t>34:19</w:t>
        </w:r>
      </w:hyperlink>
      <w:r w:rsidR="000E72CD" w:rsidRPr="00625453">
        <w:tab/>
        <w:t>Fiduciary Relationship — Defined</w:t>
      </w:r>
    </w:p>
    <w:p w:rsidR="00625453" w:rsidRDefault="001325AD" w:rsidP="00914128">
      <w:pPr>
        <w:pStyle w:val="ToC"/>
      </w:pPr>
      <w:hyperlink w:anchor="a34_20" w:history="1">
        <w:r w:rsidR="000E72CD" w:rsidRPr="00625453">
          <w:rPr>
            <w:rStyle w:val="Hyperlink"/>
          </w:rPr>
          <w:t>34:20</w:t>
        </w:r>
      </w:hyperlink>
      <w:r w:rsidR="000E72CD" w:rsidRPr="00625453">
        <w:t xml:space="preserve"> </w:t>
      </w:r>
      <w:r w:rsidR="000E72CD" w:rsidRPr="00625453">
        <w:tab/>
        <w:t xml:space="preserve">Verdict Form </w:t>
      </w:r>
      <w:r w:rsidR="000E72CD">
        <w:t>f</w:t>
      </w:r>
      <w:r w:rsidR="000E72CD" w:rsidRPr="00625453">
        <w:t>or Proponent</w:t>
      </w:r>
    </w:p>
    <w:p w:rsidR="00625453" w:rsidRDefault="001325AD" w:rsidP="00914128">
      <w:pPr>
        <w:pStyle w:val="ToC"/>
      </w:pPr>
      <w:hyperlink w:anchor="a34_21" w:history="1">
        <w:r w:rsidR="000E72CD" w:rsidRPr="00625453">
          <w:rPr>
            <w:rStyle w:val="Hyperlink"/>
          </w:rPr>
          <w:t>34:21</w:t>
        </w:r>
      </w:hyperlink>
      <w:r w:rsidR="000E72CD">
        <w:t xml:space="preserve"> </w:t>
      </w:r>
      <w:r w:rsidR="000E72CD">
        <w:tab/>
        <w:t>Verdict Form f</w:t>
      </w:r>
      <w:r w:rsidR="000E72CD" w:rsidRPr="00625453">
        <w:t>or Contestant</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6F7B49" w:rsidP="00CC0502">
      <w:pPr>
        <w:spacing w:after="240"/>
        <w:ind w:left="720" w:hanging="720"/>
        <w:rPr>
          <w:rFonts w:eastAsia="Times New Roman"/>
          <w:b/>
          <w:sz w:val="24"/>
          <w:szCs w:val="24"/>
        </w:rPr>
      </w:pPr>
      <w:bookmarkStart w:id="1" w:name="a34_01"/>
      <w:bookmarkEnd w:id="1"/>
      <w:r w:rsidRPr="006F7B49">
        <w:rPr>
          <w:rFonts w:eastAsia="Times New Roman"/>
          <w:b/>
          <w:sz w:val="24"/>
          <w:szCs w:val="24"/>
        </w:rPr>
        <w:lastRenderedPageBreak/>
        <w:t xml:space="preserve">34:1 </w:t>
      </w:r>
      <w:r w:rsidRPr="006F7B49">
        <w:rPr>
          <w:rFonts w:eastAsia="Times New Roman"/>
          <w:b/>
          <w:sz w:val="24"/>
          <w:szCs w:val="24"/>
        </w:rPr>
        <w:tab/>
        <w:t>WILL CONTEST — STATEMENT OF THE CASE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 (The Court) will now instruct you as to the claims of each party to the case and the law governing the case. Please pay close attention to these instructions. You must all agree on your verdict. You must apply the law to the facts.</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parties to the case are: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w:t>
      </w:r>
      <w:r w:rsidRPr="006F7B49">
        <w:rPr>
          <w:rFonts w:eastAsia="Times New Roman"/>
          <w:i/>
          <w:sz w:val="24"/>
          <w:szCs w:val="24"/>
        </w:rPr>
        <w:t>(name)</w:t>
      </w:r>
      <w:r w:rsidRPr="006F7B49">
        <w:rPr>
          <w:rFonts w:eastAsia="Times New Roman"/>
          <w:b/>
          <w:sz w:val="24"/>
          <w:szCs w:val="24"/>
        </w:rPr>
        <w:t xml:space="preserve">, who is the party offering the will for probate, and the contestant, </w:t>
      </w:r>
      <w:r w:rsidRPr="006F7B49">
        <w:rPr>
          <w:rFonts w:eastAsia="Times New Roman"/>
          <w:i/>
          <w:sz w:val="24"/>
          <w:szCs w:val="24"/>
        </w:rPr>
        <w:t>(name)</w:t>
      </w:r>
      <w:r w:rsidRPr="006F7B49">
        <w:rPr>
          <w:rFonts w:eastAsia="Times New Roman"/>
          <w:b/>
          <w:sz w:val="24"/>
          <w:szCs w:val="24"/>
        </w:rPr>
        <w:t>, who is the party objecting to the admission of the will to probate.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claims the offered will was properly signed by </w:t>
      </w:r>
      <w:r w:rsidRPr="006F7B49">
        <w:rPr>
          <w:rFonts w:eastAsia="Times New Roman"/>
          <w:i/>
          <w:sz w:val="24"/>
          <w:szCs w:val="24"/>
        </w:rPr>
        <w:t>[name of alleged testator]</w:t>
      </w:r>
      <w:r w:rsidRPr="006F7B49">
        <w:rPr>
          <w:rFonts w:eastAsia="Times New Roman"/>
          <w:b/>
          <w:sz w:val="24"/>
          <w:szCs w:val="24"/>
        </w:rPr>
        <w:t xml:space="preserve"> as [his] [her] [signed and witnessed] [signed and acknowledged] [self-proved] [or] [holographic]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(Even though the court has determined that the offered will was not properly signed by </w:t>
      </w:r>
      <w:r w:rsidRPr="006F7B49">
        <w:rPr>
          <w:rFonts w:eastAsia="Times New Roman"/>
          <w:i/>
          <w:sz w:val="24"/>
          <w:szCs w:val="24"/>
        </w:rPr>
        <w:t>[name of alleged testator]</w:t>
      </w:r>
      <w:r w:rsidRPr="006F7B49">
        <w:rPr>
          <w:rFonts w:eastAsia="Times New Roman"/>
          <w:sz w:val="24"/>
          <w:szCs w:val="24"/>
        </w:rPr>
        <w:t>,</w:t>
      </w:r>
      <w:r w:rsidRPr="006F7B49">
        <w:rPr>
          <w:rFonts w:eastAsia="Times New Roman"/>
          <w:b/>
          <w:sz w:val="24"/>
          <w:szCs w:val="24"/>
        </w:rPr>
        <w:t xml:space="preserve"> the court has also determined that it should nonetheless be treated as if it had been properly signed as [his] [her] [signed and witnessed] [signed and acknowledged] [or] [holographic]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contestant claims that the will should not be admitted to probate because:</w:t>
      </w:r>
    </w:p>
    <w:p w:rsidR="006F7B49" w:rsidRPr="006F7B49" w:rsidRDefault="006F7B49" w:rsidP="006F7B49">
      <w:pPr>
        <w:spacing w:after="240"/>
        <w:ind w:left="720" w:firstLine="720"/>
        <w:rPr>
          <w:rFonts w:eastAsia="Times New Roman"/>
          <w:i/>
          <w:sz w:val="24"/>
          <w:szCs w:val="24"/>
        </w:rPr>
      </w:pPr>
      <w:r w:rsidRPr="006F7B49">
        <w:rPr>
          <w:rFonts w:eastAsia="Times New Roman"/>
          <w:i/>
          <w:sz w:val="24"/>
          <w:szCs w:val="24"/>
        </w:rPr>
        <w:t>(insert the basis of the objection).</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These are the issues you are to determine, but are not to be considered by you as evidence in the case.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Use the first unnumbered parenthesized paragraph unless the court has determined as a matter of law under section 15-11-503(1), C.R.S., that the offered document or writing “was not executed in compliance with section 15-11-502.” Use the second unnumbered parenthesized paragraph if a valid will exists under section 15-11-503, when the evidence is not sufficient for a reasonable jury to find by a preponderance of the evidence that the will was properly executed as a signed and witnessed will under section 15-11-502(1), C.R.S.,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 xml:space="preserve">In re </w:t>
      </w:r>
      <w:r w:rsidRPr="006F7B49">
        <w:rPr>
          <w:rFonts w:eastAsia="Times New Roman"/>
          <w:b/>
          <w:sz w:val="24"/>
          <w:szCs w:val="24"/>
        </w:rPr>
        <w:lastRenderedPageBreak/>
        <w:t>Estate of Sky Dancer</w:t>
      </w:r>
      <w:r w:rsidRPr="006F7B49">
        <w:rPr>
          <w:rFonts w:eastAsia="Times New Roman"/>
          <w:sz w:val="24"/>
          <w:szCs w:val="24"/>
        </w:rPr>
        <w:t>, 13 P.3d 1231 (Colo. App. 2000) (inadequate basis to find a will under this statute).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Use whichever other parenthesized or bracketed portions of the instruction are appropriate to the evidence in the case.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3. If the parties have stipulated pursuant to C.R.C.P. 48 to having the jury’s verdict based on some stated majority rather than requiring it to be unanimous, this instruction must be appropriately modified.</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4. If the contest relates only to a codicil or to a will with one or more codicils, appropriate modifications should be made in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If the will contains an </w:t>
      </w:r>
      <w:r w:rsidRPr="006F7B49">
        <w:rPr>
          <w:rFonts w:eastAsia="Times New Roman"/>
          <w:i/>
          <w:sz w:val="24"/>
          <w:szCs w:val="24"/>
        </w:rPr>
        <w:t>in terrorem</w:t>
      </w:r>
      <w:r w:rsidRPr="006F7B49">
        <w:rPr>
          <w:rFonts w:eastAsia="Times New Roman"/>
          <w:sz w:val="24"/>
          <w:szCs w:val="24"/>
        </w:rPr>
        <w:t xml:space="preserve"> (no contest) clause, courts generally will not enforce that clause when a beneficiary acts in good faith and has probable cause to challenge the will. </w:t>
      </w:r>
      <w:r w:rsidRPr="006F7B49">
        <w:rPr>
          <w:rFonts w:eastAsia="Times New Roman"/>
          <w:b/>
          <w:sz w:val="24"/>
          <w:szCs w:val="24"/>
        </w:rPr>
        <w:t>In re Estate of Peppler</w:t>
      </w:r>
      <w:r w:rsidRPr="006F7B49">
        <w:rPr>
          <w:rFonts w:eastAsia="Times New Roman"/>
          <w:sz w:val="24"/>
          <w:szCs w:val="24"/>
        </w:rPr>
        <w:t xml:space="preserve">, 971 P.2d 694 (Colo. App. 1998). “In the context of wills, probable cause is ‘the existence, at the time of the initiation of the proceeding, of evidence which would lead a reasonable person, properly informed and advised, to conclude that there is a substantial likelihood that the contest or attack will be successful.’” </w:t>
      </w:r>
      <w:r w:rsidR="00984936" w:rsidRPr="002F5B7D">
        <w:rPr>
          <w:rFonts w:eastAsia="Times New Roman"/>
          <w:i/>
          <w:sz w:val="24"/>
          <w:szCs w:val="24"/>
        </w:rPr>
        <w:t>Id.</w:t>
      </w:r>
      <w:r w:rsidR="00F23E0D" w:rsidRPr="00706A17">
        <w:rPr>
          <w:rFonts w:eastAsia="Times New Roman"/>
          <w:sz w:val="24"/>
          <w:szCs w:val="24"/>
        </w:rPr>
        <w:t xml:space="preserve"> </w:t>
      </w:r>
      <w:r w:rsidRPr="006F7B49">
        <w:rPr>
          <w:rFonts w:eastAsia="Times New Roman"/>
          <w:sz w:val="24"/>
          <w:szCs w:val="24"/>
        </w:rPr>
        <w:t xml:space="preserve">at 697; </w:t>
      </w:r>
      <w:r w:rsidRPr="006F7B49">
        <w:rPr>
          <w:rFonts w:eastAsia="Times New Roman"/>
          <w:i/>
          <w:sz w:val="24"/>
          <w:szCs w:val="24"/>
        </w:rPr>
        <w:t>accord</w:t>
      </w:r>
      <w:r w:rsidRPr="006F7B49">
        <w:rPr>
          <w:rFonts w:eastAsia="Times New Roman"/>
          <w:sz w:val="24"/>
          <w:szCs w:val="24"/>
        </w:rPr>
        <w:t xml:space="preserve"> </w:t>
      </w:r>
      <w:r w:rsidRPr="006F7B49">
        <w:rPr>
          <w:rFonts w:eastAsia="Times New Roman"/>
          <w:smallCaps/>
          <w:sz w:val="24"/>
          <w:szCs w:val="24"/>
        </w:rPr>
        <w:t>Restatement (Second) of Property</w:t>
      </w:r>
      <w:r w:rsidRPr="006F7B49">
        <w:rPr>
          <w:rFonts w:eastAsia="Times New Roman"/>
          <w:sz w:val="24"/>
          <w:szCs w:val="24"/>
        </w:rPr>
        <w:t xml:space="preserve"> § 9.1 cmt. j (1981). </w:t>
      </w:r>
      <w:r w:rsidR="00984936">
        <w:rPr>
          <w:rFonts w:eastAsia="Times New Roman"/>
          <w:sz w:val="24"/>
          <w:szCs w:val="24"/>
        </w:rPr>
        <w:t xml:space="preserve">Additionally, no-contest clauses in wills are to be strictly construed, and forfeiture is to be avoided if possible. </w:t>
      </w:r>
      <w:r w:rsidR="00984936" w:rsidRPr="00E50BFE">
        <w:rPr>
          <w:rFonts w:eastAsia="Times New Roman"/>
          <w:b/>
          <w:sz w:val="24"/>
          <w:szCs w:val="24"/>
        </w:rPr>
        <w:t>Sandstead-Corona v. Sandstead</w:t>
      </w:r>
      <w:r w:rsidR="00984936">
        <w:rPr>
          <w:rFonts w:eastAsia="Times New Roman"/>
          <w:sz w:val="24"/>
          <w:szCs w:val="24"/>
        </w:rPr>
        <w:t xml:space="preserve">, 2018 CO 26, ¶ 60, 415 P.3d 310. </w:t>
      </w:r>
      <w:r w:rsidRPr="006F7B49">
        <w:rPr>
          <w:rFonts w:eastAsia="Times New Roman"/>
          <w:sz w:val="24"/>
          <w:szCs w:val="24"/>
        </w:rPr>
        <w:t xml:space="preserve">The court must first determine as a matter of law if the </w:t>
      </w:r>
      <w:r w:rsidRPr="006F7B49">
        <w:rPr>
          <w:rFonts w:eastAsia="Times New Roman"/>
          <w:i/>
          <w:sz w:val="24"/>
          <w:szCs w:val="24"/>
        </w:rPr>
        <w:t>in terrorem</w:t>
      </w:r>
      <w:r w:rsidRPr="006F7B49">
        <w:rPr>
          <w:rFonts w:eastAsia="Times New Roman"/>
          <w:sz w:val="24"/>
          <w:szCs w:val="24"/>
        </w:rPr>
        <w:t xml:space="preserve"> (no contest) clause is enforceable; if it is not, then the case may be submitted to the jury. </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 This instruction is supported by sections 15-12-407 (contested cases), 15-10-306 (right to jury trial), and 15-11-502 to -504, C.R.S.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The requirements of a properly executed, signed, and witnessed or acknowledged will, that is, a will other than a self-proved or holographic will, are set out in Instruction 34:2. The requirements of a properly executed self-proved will are set out in Instruction 34:5, and the requirements for a properly executed holographic will are set out in Instruction 34:6.</w:t>
      </w:r>
    </w:p>
    <w:p w:rsidR="006F7B49" w:rsidRDefault="006F7B49">
      <w:pPr>
        <w:rPr>
          <w:rFonts w:eastAsia="Times New Roman"/>
          <w:sz w:val="24"/>
          <w:szCs w:val="24"/>
        </w:rPr>
      </w:pPr>
      <w:r>
        <w:rPr>
          <w:rFonts w:eastAsia="Times New Roman"/>
          <w:sz w:val="24"/>
          <w:szCs w:val="24"/>
        </w:rPr>
        <w:br w:type="page"/>
      </w:r>
    </w:p>
    <w:p w:rsidR="006F7B49" w:rsidRPr="009E3DA4" w:rsidRDefault="006F7B49" w:rsidP="006F7B49">
      <w:pPr>
        <w:spacing w:after="240"/>
        <w:ind w:left="720" w:hanging="720"/>
        <w:rPr>
          <w:rFonts w:eastAsia="Times New Roman"/>
          <w:b/>
          <w:sz w:val="24"/>
          <w:szCs w:val="24"/>
        </w:rPr>
      </w:pPr>
      <w:bookmarkStart w:id="2" w:name="a34_02"/>
      <w:bookmarkEnd w:id="2"/>
      <w:r w:rsidRPr="006F7B49">
        <w:rPr>
          <w:rFonts w:eastAsia="Times New Roman"/>
          <w:b/>
          <w:sz w:val="24"/>
          <w:szCs w:val="24"/>
        </w:rPr>
        <w:lastRenderedPageBreak/>
        <w:t xml:space="preserve">34:2 </w:t>
      </w:r>
      <w:r w:rsidRPr="006F7B49">
        <w:rPr>
          <w:rFonts w:eastAsia="Times New Roman"/>
          <w:b/>
          <w:sz w:val="24"/>
          <w:szCs w:val="24"/>
        </w:rPr>
        <w:tab/>
      </w:r>
      <w:r w:rsidRPr="00F94E0B">
        <w:rPr>
          <w:rFonts w:ascii="Times New Roman Bold" w:eastAsia="Times New Roman" w:hAnsi="Times New Roman Bold"/>
          <w:b/>
          <w:caps/>
          <w:sz w:val="24"/>
          <w:szCs w:val="24"/>
        </w:rPr>
        <w:t>Elements of Proof of Properly Executed, Signed, and Witnessed OR ACKNOWLEDGED WilL — All Wills Except Self-Proved and Holographic</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For the proponent, </w:t>
      </w:r>
      <w:r w:rsidRPr="006F7B49">
        <w:rPr>
          <w:rFonts w:eastAsia="Times New Roman"/>
          <w:i/>
          <w:sz w:val="24"/>
          <w:szCs w:val="24"/>
        </w:rPr>
        <w:t>(name)</w:t>
      </w:r>
      <w:r w:rsidRPr="006F7B49">
        <w:rPr>
          <w:rFonts w:eastAsia="Times New Roman"/>
          <w:b/>
          <w:sz w:val="24"/>
          <w:szCs w:val="24"/>
        </w:rPr>
        <w:t xml:space="preserve">, to have the writing that has been admitted into evidence and identified as </w:t>
      </w:r>
      <w:r w:rsidRPr="006F7B49">
        <w:rPr>
          <w:rFonts w:eastAsia="Times New Roman"/>
          <w:i/>
          <w:sz w:val="24"/>
          <w:szCs w:val="24"/>
        </w:rPr>
        <w:t>(insert appropriate description)</w:t>
      </w:r>
      <w:r w:rsidRPr="006F7B49">
        <w:rPr>
          <w:rFonts w:eastAsia="Times New Roman"/>
          <w:b/>
          <w:sz w:val="24"/>
          <w:szCs w:val="24"/>
        </w:rPr>
        <w:t xml:space="preserve"> admitted to probate as the will of the testator, </w:t>
      </w:r>
      <w:r w:rsidRPr="006F7B49">
        <w:rPr>
          <w:rFonts w:eastAsia="Times New Roman"/>
          <w:i/>
          <w:sz w:val="24"/>
          <w:szCs w:val="24"/>
        </w:rPr>
        <w:t>(insert name of alleged testator)</w:t>
      </w:r>
      <w:r w:rsidRPr="006F7B49">
        <w:rPr>
          <w:rFonts w:eastAsia="Times New Roman"/>
          <w:b/>
          <w:sz w:val="24"/>
          <w:szCs w:val="24"/>
        </w:rPr>
        <w:t>, you must find the following have been proved by a preponderance of the evidence: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1. The writing </w:t>
      </w:r>
      <w:r w:rsidRPr="006F7B49">
        <w:rPr>
          <w:rFonts w:eastAsia="Times New Roman"/>
          <w:i/>
          <w:sz w:val="24"/>
          <w:szCs w:val="24"/>
        </w:rPr>
        <w:t>(insert appropriate description)</w:t>
      </w:r>
      <w:r w:rsidRPr="006F7B49">
        <w:rPr>
          <w:rFonts w:eastAsia="Times New Roman"/>
          <w:b/>
          <w:sz w:val="24"/>
          <w:szCs w:val="24"/>
        </w:rPr>
        <w:t xml:space="preserve"> was signed by </w:t>
      </w:r>
      <w:r w:rsidRPr="006F7B49">
        <w:rPr>
          <w:rFonts w:eastAsia="Times New Roman"/>
          <w:i/>
          <w:sz w:val="24"/>
          <w:szCs w:val="24"/>
        </w:rPr>
        <w:t>(name of alleged testator)</w:t>
      </w:r>
      <w:r w:rsidRPr="006F7B49">
        <w:rPr>
          <w:rFonts w:eastAsia="Times New Roman"/>
          <w:b/>
          <w:sz w:val="24"/>
          <w:szCs w:val="24"/>
        </w:rPr>
        <w:t xml:space="preserve"> (or) (someone for </w:t>
      </w:r>
      <w:r w:rsidRPr="006F7B49">
        <w:rPr>
          <w:rFonts w:eastAsia="Times New Roman"/>
          <w:i/>
          <w:sz w:val="24"/>
          <w:szCs w:val="24"/>
        </w:rPr>
        <w:t>[name of alleged testator]</w:t>
      </w:r>
      <w:r w:rsidRPr="006F7B49">
        <w:rPr>
          <w:rFonts w:eastAsia="Times New Roman"/>
          <w:b/>
          <w:sz w:val="24"/>
          <w:szCs w:val="24"/>
        </w:rPr>
        <w:t>) in (his) (her) conscious presence and at (his) (her) direction; and</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(2. Either before or after the testator’s death, the writing was signed by at least two persons, each of whom signed it within a reasonable time after [either]: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[a. Seeing </w:t>
      </w:r>
      <w:r w:rsidRPr="006F7B49">
        <w:rPr>
          <w:rFonts w:eastAsia="Times New Roman"/>
          <w:i/>
          <w:sz w:val="24"/>
          <w:szCs w:val="24"/>
        </w:rPr>
        <w:t xml:space="preserve">[name of alleged testator] </w:t>
      </w:r>
      <w:r w:rsidRPr="006F7B49">
        <w:rPr>
          <w:rFonts w:eastAsia="Times New Roman"/>
          <w:b/>
          <w:sz w:val="24"/>
          <w:szCs w:val="24"/>
        </w:rPr>
        <w:t>sign the writing] [or]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[b. Seeing </w:t>
      </w:r>
      <w:r w:rsidRPr="006F7B49">
        <w:rPr>
          <w:rFonts w:eastAsia="Times New Roman"/>
          <w:i/>
          <w:sz w:val="24"/>
          <w:szCs w:val="24"/>
        </w:rPr>
        <w:t>[name of alleged testator]</w:t>
      </w:r>
      <w:r w:rsidRPr="006F7B49">
        <w:rPr>
          <w:rFonts w:eastAsia="Times New Roman"/>
          <w:b/>
          <w:sz w:val="24"/>
          <w:szCs w:val="24"/>
        </w:rPr>
        <w:t xml:space="preserve"> acknowledge the signature on the writing as being (his) (hers)] [or]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[c. Seeing </w:t>
      </w:r>
      <w:r w:rsidRPr="006F7B49">
        <w:rPr>
          <w:rFonts w:eastAsia="Times New Roman"/>
          <w:i/>
          <w:sz w:val="24"/>
          <w:szCs w:val="24"/>
        </w:rPr>
        <w:t>[name of alleged testator]</w:t>
      </w:r>
      <w:r w:rsidRPr="006F7B49">
        <w:rPr>
          <w:rFonts w:eastAsia="Times New Roman"/>
          <w:b/>
          <w:sz w:val="24"/>
          <w:szCs w:val="24"/>
        </w:rPr>
        <w:t xml:space="preserve"> acknowledge the writing as being (his) (her)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(3. The writing was acknowledged by the testator before [a notary public] [an individual authorized by law to take acknowledgements].) </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If you find that either one of these propositions has not been proved by a preponderance of the evidence, then your verdict must be for the contestant, </w:t>
      </w:r>
      <w:r w:rsidRPr="006F7B49">
        <w:rPr>
          <w:rFonts w:eastAsia="Times New Roman"/>
          <w:i/>
          <w:sz w:val="24"/>
          <w:szCs w:val="24"/>
        </w:rPr>
        <w:t>(name)</w:t>
      </w:r>
      <w:r w:rsidRPr="006F7B49">
        <w:rPr>
          <w:rFonts w:eastAsia="Times New Roman"/>
          <w:b/>
          <w:sz w:val="24"/>
          <w:szCs w:val="24"/>
        </w:rPr>
        <w: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On the other hand, if you find that both propositions have been proved, (then your verdict must be for the proponent) (then you must consider the contestant’s claim[s] that </w:t>
      </w:r>
      <w:r w:rsidRPr="006F7B4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6F7B49">
        <w:rPr>
          <w:rFonts w:eastAsia="Times New Roman"/>
          <w:b/>
          <w:sz w:val="24"/>
          <w:szCs w:val="24"/>
        </w:rPr>
        <w: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If you find that (this claim has) (any one or more of these claims have) been proved by a preponderance of the evidence, then your verdict must be for the contestant.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However, if you find that (this claim has not) (none of these claims have) been proved, then your verdict must be for the proponent.</w:t>
      </w:r>
    </w:p>
    <w:p w:rsidR="006F7B49" w:rsidRDefault="006F7B49" w:rsidP="006F7B49">
      <w:pPr>
        <w:jc w:val="center"/>
        <w:rPr>
          <w:rFonts w:eastAsia="Times New Roman"/>
          <w:sz w:val="24"/>
          <w:szCs w:val="24"/>
        </w:rPr>
      </w:pPr>
    </w:p>
    <w:p w:rsidR="006F7B49" w:rsidRPr="0054263B" w:rsidRDefault="006F7B49" w:rsidP="006F7B49">
      <w:pPr>
        <w:keepNext/>
        <w:spacing w:after="240"/>
        <w:jc w:val="center"/>
        <w:rPr>
          <w:rFonts w:eastAsia="Times New Roman"/>
          <w:b/>
          <w:sz w:val="24"/>
          <w:szCs w:val="24"/>
        </w:rPr>
      </w:pPr>
      <w:r w:rsidRPr="0054263B">
        <w:rPr>
          <w:rFonts w:eastAsia="Times New Roman"/>
          <w:b/>
          <w:sz w:val="24"/>
          <w:szCs w:val="24"/>
        </w:rPr>
        <w:t>Notes on Use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This instruction should be used in cases in which there is sufficient evidence for a reasonable jury to find by a preponderance of the evidence that the alleged will was properly executed as a signed and witnessed will under section 15-11-502(1), C.R.S.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lastRenderedPageBreak/>
        <w:t>2. Use either numbered paragraph 2 or numbered paragraph 3, as appropriate, with numbered paragraph 1.</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3. If the evidence is not sufficient for a reasonable jury to find by a preponderance of the evidence that the will was properly executed as a signed and witnessed will or a signed and acknowledged will under section 15-11-502(1), or as a holographic will under section 15-11-502(2), the provisions of section 15-11-503, C.R.S. may nonetheless be applicable. Under that statute,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In re Estate of Sky Dancer</w:t>
      </w:r>
      <w:r w:rsidRPr="006F7B49">
        <w:rPr>
          <w:rFonts w:eastAsia="Times New Roman"/>
          <w:sz w:val="24"/>
          <w:szCs w:val="24"/>
        </w:rPr>
        <w:t>, 13 P.3d 1231 (Colo. App. 2000) (inadequate basis to find a will under this statute).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4. For self-proved wills, see Instruction 34:5.</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w:t>
      </w:r>
      <w:bookmarkStart w:id="3" w:name="_DV_X15"/>
      <w:bookmarkStart w:id="4" w:name="_DV_C16"/>
      <w:r w:rsidRPr="006F7B49">
        <w:rPr>
          <w:rFonts w:eastAsia="Times New Roman"/>
          <w:sz w:val="24"/>
          <w:szCs w:val="24"/>
        </w:rPr>
        <w:t>If the writing is one that would, at the most, constitute a holographic will, then Instruction 34:6 should be used rather than this instruction.</w:t>
      </w:r>
      <w:bookmarkEnd w:id="3"/>
      <w:bookmarkEnd w:id="4"/>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6. Instruction 34:3, defining “conscious presence,” should be given with this instruction whenever that phrase is given in numbered paragraph 1 of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7. Use whichever parenthesized and bracketed words and phrases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(e.g., “lack of testamentary intent or capacity [insufficient age or unsound mind], undue influence, fraud, duress, mistake, or revocation,” section 15-12-407, C.R.S.) or there is insufficient evidence to support a jury finding as to any such matters.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8. If the death of the testator is in issue, and the proponent of the will in question has the burden of proving death under section 15-12-407, this instruction must be appropriately modified.</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9. This instruction must be appropriately modified if, because the testator’s original will, if any, has been lost, destroyed, or is otherwise unavailable, no writing has been admitted, or the writing referred to in this instruction is a copy. Under section 15-12-402(3), C.R.S., the burden is on the proponent to prove that a lost, destroyed, or otherwise unavailable will was not revoked. Consequently, where the will has been lost, destroyed, or for any other reason is unavailable, this instruction must be modified to add as an element of the proponent’s claim the requirement that </w:t>
      </w:r>
      <w:r w:rsidRPr="006F7B49">
        <w:rPr>
          <w:rFonts w:eastAsia="Times New Roman"/>
          <w:sz w:val="24"/>
          <w:szCs w:val="24"/>
        </w:rPr>
        <w:lastRenderedPageBreak/>
        <w:t xml:space="preserve">the proponent prove “the will had not been revoked by </w:t>
      </w:r>
      <w:r w:rsidRPr="006F7B49">
        <w:rPr>
          <w:rFonts w:eastAsia="Times New Roman"/>
          <w:i/>
          <w:sz w:val="24"/>
          <w:szCs w:val="24"/>
        </w:rPr>
        <w:t>[name of alleged testator]</w:t>
      </w:r>
      <w:r w:rsidRPr="006F7B49">
        <w:rPr>
          <w:rFonts w:eastAsia="Times New Roman"/>
          <w:sz w:val="24"/>
          <w:szCs w:val="24"/>
        </w:rPr>
        <w:t xml:space="preserve">.” </w:t>
      </w:r>
      <w:r w:rsidRPr="006F7B49">
        <w:rPr>
          <w:rFonts w:eastAsia="Times New Roman"/>
          <w:i/>
          <w:sz w:val="24"/>
          <w:szCs w:val="24"/>
        </w:rPr>
        <w:t>See</w:t>
      </w:r>
      <w:r w:rsidRPr="006F7B49">
        <w:rPr>
          <w:rFonts w:eastAsia="Times New Roman"/>
          <w:sz w:val="24"/>
          <w:szCs w:val="24"/>
        </w:rPr>
        <w:t xml:space="preserve"> Instruction 34:8 and the accompanying Notes on Use. Instructions 34:8 and 34:9 should also be given if appropriate to the case.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10. Section 15-12-402(3) refers to satisfying “the court” that an “unavailable” will has not been revoked. However, section 15-10-306(1), C.R.S., appears to permit the issue to be tried to a jury.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11.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6F7B49">
        <w:rPr>
          <w:rFonts w:eastAsia="Times New Roman"/>
          <w:i/>
          <w:sz w:val="24"/>
          <w:szCs w:val="24"/>
        </w:rPr>
        <w:t>see, e.g.</w:t>
      </w:r>
      <w:r w:rsidRPr="006F7B49">
        <w:rPr>
          <w:rFonts w:eastAsia="Times New Roman"/>
          <w:sz w:val="24"/>
          <w:szCs w:val="24"/>
        </w:rPr>
        <w:t xml:space="preserve">, </w:t>
      </w:r>
      <w:r w:rsidRPr="006F7B49">
        <w:rPr>
          <w:rFonts w:eastAsia="Times New Roman"/>
          <w:b/>
          <w:sz w:val="24"/>
          <w:szCs w:val="24"/>
        </w:rPr>
        <w:t>Hoff v. Armbruster</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6F7B49">
        <w:rPr>
          <w:rFonts w:eastAsia="Times New Roman"/>
          <w:i/>
          <w:sz w:val="24"/>
          <w:szCs w:val="24"/>
        </w:rPr>
        <w:t>See</w:t>
      </w:r>
      <w:r w:rsidRPr="006F7B49">
        <w:rPr>
          <w:rFonts w:eastAsia="Times New Roman"/>
          <w:sz w:val="24"/>
          <w:szCs w:val="24"/>
        </w:rPr>
        <w:t xml:space="preserve"> Instruction 34:9.</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12. This instruction should not be used when it is claimed only a part, as opposed to the entire will, is invalid because of fraud, etc.</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13. Omit any of the numbered paragraphs if the facts are not in dispute, and make such other changes as are necessary in such circumstances. </w:t>
      </w:r>
      <w:r w:rsidRPr="006F7B49">
        <w:rPr>
          <w:rFonts w:eastAsia="Times New Roman"/>
          <w:i/>
          <w:sz w:val="24"/>
          <w:szCs w:val="24"/>
        </w:rPr>
        <w:t>See</w:t>
      </w:r>
      <w:r w:rsidRPr="006F7B49">
        <w:rPr>
          <w:rFonts w:eastAsia="Times New Roman"/>
          <w:sz w:val="24"/>
          <w:szCs w:val="24"/>
        </w:rPr>
        <w:t xml:space="preserve"> </w:t>
      </w:r>
      <w:r w:rsidRPr="006F7B49">
        <w:rPr>
          <w:rFonts w:eastAsia="Times New Roman"/>
          <w:b/>
          <w:sz w:val="24"/>
          <w:szCs w:val="24"/>
        </w:rPr>
        <w:t>O’Brien v. Wallace</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145 Colo. 291, 359 P.2d 1029 (1961) (where proof of due execution has been made, only such issues on which there is contrary evidence should be submitted to the jury).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14. This instruction, appropriately modified as may be necessary, may also be used in cases involving a written foreign will which the proponent claims was executed in compliance “with section 15-11-502 or 15-11-503 or . . . with the law at the time of execution of the place where the will [was] executed, or of the law of the place where, at the time of execution or at the time of death, the testator [was] domiciled, [had] a place of abode, or [was] a national.” § 15-11-506, C.R.S.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15. For international wills, see the Uniform International Wills Act, §§ 15-11-1001 to -1011, C.R.S. When the valid execution of a will under that statute requires one or more facts to be determined by a jury, this instruction, appropriately modified, may be used. Other relevant instructions in this chapter, with such modifications as may be necessary, may also be used.</w:t>
      </w:r>
      <w:r w:rsidRPr="006F7B49" w:rsidDel="0098680B">
        <w:rPr>
          <w:rFonts w:eastAsia="Times New Roman"/>
          <w:sz w:val="24"/>
          <w:szCs w:val="24"/>
        </w:rPr>
        <w:t xml:space="preserve">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16. As to determining the sufficiency of the evidence relating to the requirements of due execution under this instruction, see section 15-12-406(1):</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 In a contested case in which the proper execution of a will is at issue, the following rules apply:</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 xml:space="preserve">(a) If the will is self-proved pursuant to section 15-11-504, the will satisfies the requirements for execution without the testimony of any attesting witness, upon filing the </w:t>
      </w:r>
      <w:r w:rsidRPr="006F7B49">
        <w:rPr>
          <w:rFonts w:eastAsia="Times New Roman"/>
          <w:sz w:val="24"/>
          <w:szCs w:val="24"/>
        </w:rPr>
        <w:lastRenderedPageBreak/>
        <w:t>will and the acknowledgement and affidavits annexed or attached to it, unless there is evidence of fraud or forgery affecting the acknowledgement or affidavit.</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(b) If the will is notarized pursuant to section 15-11-502(1)(c)(II), but not self-proved, there is a rebuttable presumption that the will satisfies the requirements for execution upon filing the will.</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(c) If the will is witnessed pursuant to section 15-11-502(1)(c)(I),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6F7B49" w:rsidRPr="006F7B49" w:rsidRDefault="006F7B49" w:rsidP="006F7B49">
      <w:pPr>
        <w:spacing w:after="240"/>
        <w:rPr>
          <w:rFonts w:eastAsia="Times New Roman"/>
          <w:sz w:val="24"/>
          <w:szCs w:val="24"/>
        </w:rPr>
      </w:pPr>
      <w:r w:rsidRPr="006F7B49">
        <w:rPr>
          <w:rFonts w:eastAsia="Times New Roman"/>
          <w:sz w:val="24"/>
          <w:szCs w:val="24"/>
        </w:rPr>
        <w:t>For submitting rebuttable presumptions to the jury, see Instruction 3:5.</w:t>
      </w:r>
      <w:r w:rsidRPr="006F7B49" w:rsidDel="003539F3">
        <w:rPr>
          <w:rFonts w:eastAsia="Times New Roman"/>
          <w:sz w:val="24"/>
          <w:szCs w:val="24"/>
        </w:rPr>
        <w:t xml:space="preserve">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17. When the case involves a “separate writing or memorandum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18. If the contest relates only to a codicil or to a will with one or more codicils, appropriate modifications must also be made in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19. When necessary and appropriate to the evidence in the case, Instruction 34:4 (witness having an interest under the will) should be given with this instruction as a cautionary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20. “Intent that [a] document constitute[s] the testator’s will can be established by extrinsic evidence. . . .” § 15-11-502(3).</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21. Where a holographic will was executed in accordance with the requirements of section 15-11-502(2), and the signature of the decedent was affixed to the will itself, an additional signature beside cross-outs intended to work a partial revocation was not necessary pursuant to sections 15-11-503 or 15-11-507, C.R.S. </w:t>
      </w:r>
      <w:r w:rsidRPr="006F7B49">
        <w:rPr>
          <w:rFonts w:eastAsia="Times New Roman"/>
          <w:b/>
          <w:sz w:val="24"/>
          <w:szCs w:val="24"/>
        </w:rPr>
        <w:t>In re Estate of Schumacher</w:t>
      </w:r>
      <w:r w:rsidRPr="006F7B49">
        <w:rPr>
          <w:rFonts w:eastAsia="Times New Roman"/>
          <w:sz w:val="24"/>
          <w:szCs w:val="24"/>
        </w:rPr>
        <w:t xml:space="preserve">, 253 P.3d 1280 (Colo. App. 2011). </w:t>
      </w:r>
    </w:p>
    <w:p w:rsidR="006F7B49" w:rsidRPr="0054263B" w:rsidRDefault="006F7B49" w:rsidP="006F7B49">
      <w:pPr>
        <w:keepNext/>
        <w:spacing w:after="240"/>
        <w:jc w:val="center"/>
        <w:rPr>
          <w:rFonts w:eastAsia="Times New Roman"/>
          <w:b/>
          <w:sz w:val="24"/>
          <w:szCs w:val="24"/>
        </w:rPr>
      </w:pPr>
      <w:r>
        <w:rPr>
          <w:rFonts w:eastAsia="Times New Roman"/>
          <w:b/>
          <w:sz w:val="24"/>
          <w:szCs w:val="24"/>
        </w:rPr>
        <w:t>Source and Authority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This instruction is supported by section 15-11-502(1).</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5" w:name="a34_03"/>
      <w:bookmarkEnd w:id="5"/>
      <w:r w:rsidRPr="00F94E0B">
        <w:rPr>
          <w:rFonts w:eastAsia="Times New Roman"/>
          <w:b/>
          <w:sz w:val="24"/>
          <w:szCs w:val="24"/>
        </w:rPr>
        <w:lastRenderedPageBreak/>
        <w:t xml:space="preserve">34:3 </w:t>
      </w:r>
      <w:r w:rsidRPr="00F94E0B">
        <w:rPr>
          <w:rFonts w:eastAsia="Times New Roman"/>
          <w:b/>
          <w:sz w:val="24"/>
          <w:szCs w:val="24"/>
        </w:rPr>
        <w:tab/>
      </w:r>
      <w:r w:rsidRPr="00F94E0B">
        <w:rPr>
          <w:rFonts w:ascii="Times New Roman Bold" w:eastAsia="Times New Roman" w:hAnsi="Times New Roman Bold"/>
          <w:b/>
          <w:caps/>
          <w:sz w:val="24"/>
          <w:szCs w:val="24"/>
        </w:rPr>
        <w:t>Conscious Presence — Defined</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“Conscious” means that the testator, </w:t>
      </w:r>
      <w:r w:rsidRPr="00F94E0B">
        <w:rPr>
          <w:rFonts w:eastAsia="Times New Roman"/>
          <w:i/>
          <w:sz w:val="24"/>
          <w:szCs w:val="24"/>
        </w:rPr>
        <w:t>(name)</w:t>
      </w:r>
      <w:r w:rsidRPr="00F94E0B">
        <w:rPr>
          <w:rFonts w:eastAsia="Times New Roman"/>
          <w:b/>
          <w:sz w:val="24"/>
          <w:szCs w:val="24"/>
        </w:rPr>
        <w:t>, was aware through one or more of (his) (her) senses of the presence of the person signing the will at (his) (her) direction. “Presence” requires that that person was physically near the testator, though not necessarily in (his) (her) line of sight.</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should be given in conjunction with Instruction 34:2 whenever the phrase “conscious presence” is used in numbered paragraph 1 of that Instruction.</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The first sentence of this instruction is supported by the common definition of conscious. The second sentence is supported by section 15-11-502(4), C.R.S.</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6" w:name="a34_04"/>
      <w:bookmarkEnd w:id="6"/>
      <w:r w:rsidRPr="00F94E0B">
        <w:rPr>
          <w:rFonts w:eastAsia="Times New Roman"/>
          <w:b/>
          <w:sz w:val="24"/>
          <w:szCs w:val="24"/>
        </w:rPr>
        <w:lastRenderedPageBreak/>
        <w:t xml:space="preserve">34:4 </w:t>
      </w:r>
      <w:r w:rsidRPr="00F94E0B">
        <w:rPr>
          <w:rFonts w:eastAsia="Times New Roman"/>
          <w:b/>
          <w:sz w:val="24"/>
          <w:szCs w:val="24"/>
        </w:rPr>
        <w:tab/>
      </w:r>
      <w:r w:rsidRPr="00F94E0B">
        <w:rPr>
          <w:rFonts w:ascii="Times New Roman Bold" w:eastAsia="Times New Roman" w:hAnsi="Times New Roman Bold"/>
          <w:b/>
          <w:caps/>
          <w:sz w:val="24"/>
          <w:szCs w:val="24"/>
        </w:rPr>
        <w:t>Witness Having an Interest Under the Will</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A will or any provision in it may be valid even if a person who signed the will as a witness is also a beneficiary under the will.</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When, in light of the evidence and arguments being made in the case, it would be appropriate to give this instruction as a cautionary instruction, it may be given with Instruction 34:2, 34:5, or 34:6.</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 15-11-505(1), C.R.S., which provides that anyone who is “generally competent to be a witness may act as a witness to a will.” Under subsection (2) of that statute, the “signing of a will by an interested witness does not invalidate the will or any provision of it.”</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7" w:name="a34_05"/>
      <w:bookmarkEnd w:id="7"/>
      <w:r w:rsidRPr="00F94E0B">
        <w:rPr>
          <w:rFonts w:eastAsia="Times New Roman"/>
          <w:b/>
          <w:sz w:val="24"/>
          <w:szCs w:val="24"/>
        </w:rPr>
        <w:lastRenderedPageBreak/>
        <w:t xml:space="preserve">34:5 </w:t>
      </w:r>
      <w:r w:rsidRPr="00F94E0B">
        <w:rPr>
          <w:rFonts w:eastAsia="Times New Roman"/>
          <w:b/>
          <w:sz w:val="24"/>
          <w:szCs w:val="24"/>
        </w:rPr>
        <w:tab/>
      </w:r>
      <w:r w:rsidRPr="00F94E0B">
        <w:rPr>
          <w:rFonts w:ascii="Times New Roman Bold" w:eastAsia="Times New Roman" w:hAnsi="Times New Roman Bold"/>
          <w:b/>
          <w:caps/>
          <w:sz w:val="24"/>
          <w:szCs w:val="24"/>
        </w:rPr>
        <w:t>Elements of Proof of Properly Executed Will — self-Proved Will</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Exhibit </w:t>
      </w:r>
      <w:r w:rsidRPr="00F94E0B">
        <w:rPr>
          <w:rFonts w:eastAsia="Times New Roman"/>
          <w:i/>
          <w:sz w:val="24"/>
          <w:szCs w:val="24"/>
        </w:rPr>
        <w:t>(insert appropriate identification)</w:t>
      </w:r>
      <w:r w:rsidRPr="00F94E0B">
        <w:rPr>
          <w:rFonts w:eastAsia="Times New Roman"/>
          <w:b/>
          <w:sz w:val="24"/>
          <w:szCs w:val="24"/>
        </w:rPr>
        <w:t xml:space="preserve"> is what is known as a “self-proved” will. It has been offered by the proponent, </w:t>
      </w:r>
      <w:r w:rsidRPr="00F94E0B">
        <w:rPr>
          <w:rFonts w:eastAsia="Times New Roman"/>
          <w:i/>
          <w:sz w:val="24"/>
          <w:szCs w:val="24"/>
        </w:rPr>
        <w:t>(name)</w:t>
      </w:r>
      <w:r w:rsidRPr="00F94E0B">
        <w:rPr>
          <w:rFonts w:eastAsia="Times New Roman"/>
          <w:b/>
          <w:sz w:val="24"/>
          <w:szCs w:val="24"/>
        </w:rPr>
        <w:t xml:space="preserve">, as the will of </w:t>
      </w:r>
      <w:r w:rsidRPr="00F94E0B">
        <w:rPr>
          <w:rFonts w:eastAsia="Times New Roman"/>
          <w:i/>
          <w:sz w:val="24"/>
          <w:szCs w:val="24"/>
        </w:rPr>
        <w:t>(name of alleged testator)</w:t>
      </w:r>
      <w:r w:rsidRPr="00F94E0B">
        <w:rPr>
          <w:rFonts w:eastAsia="Times New Roman"/>
          <w:b/>
          <w:sz w:val="24"/>
          <w:szCs w:val="24"/>
        </w:rPr>
        <w:t>.</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If you find that the contestant has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xml:space="preserve">, by a preponderance of the evidence, your verdict must be for the contestant, </w:t>
      </w:r>
      <w:r w:rsidRPr="00F94E0B">
        <w:rPr>
          <w:rFonts w:eastAsia="Times New Roman"/>
          <w:i/>
          <w:sz w:val="24"/>
          <w:szCs w:val="24"/>
        </w:rPr>
        <w:t>(name)</w:t>
      </w:r>
      <w:r w:rsidRPr="00F94E0B">
        <w:rPr>
          <w:rFonts w:eastAsia="Times New Roman"/>
          <w:b/>
          <w:sz w:val="24"/>
          <w:szCs w:val="24"/>
        </w:rPr>
        <w:t>.</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On the other hand, if you find that the contestant has not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your verdict must be for the proponent.</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 xml:space="preserve">1. If the court determines as a preliminary evidentiary matter that the offered will does not meet the requirements of a self-proved will under section 15-11-504, C.R.S., the will may nonetheless be entitled to probate as a regularly executed or foreign will, in which case Instruction 34:2 should be used rather than this instruction. Similarly, should it appear “the material provisions” or that “material portions” of the offered will were handwritten by the testator, the will may be entitled to probate as a holographic will. § 15-11-502(2), C.R.S.; </w:t>
      </w:r>
      <w:r w:rsidRPr="00F94E0B">
        <w:rPr>
          <w:rFonts w:eastAsia="Times New Roman"/>
          <w:i/>
          <w:sz w:val="24"/>
          <w:szCs w:val="24"/>
        </w:rPr>
        <w:t>see</w:t>
      </w:r>
      <w:r w:rsidRPr="00F94E0B">
        <w:rPr>
          <w:rFonts w:eastAsia="Times New Roman"/>
          <w:sz w:val="24"/>
          <w:szCs w:val="24"/>
        </w:rPr>
        <w:t xml:space="preserve"> Instruction 34:6.</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2. As with other wills, a self-proved will may be invalid because of “lack of testamentary intent or capacity, undue influence, fraud, duress, mistake, or revocation,” but the burden of proving such matters is on the contestant. § 15-12-407, C.R.S.</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3. Under section 15-11-504(3), relating to the making of a self-proved will, “[a] signature affixed to a self-proving affidavit attached to a will is considered a signature affixed to the will if necessary to prove the will’s due execution.”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4. In all cases involving a self-proved will, section 15-12-406(1)(a), C.R.S., provides:</w:t>
      </w:r>
    </w:p>
    <w:p w:rsidR="00F94E0B" w:rsidRPr="00F94E0B" w:rsidRDefault="00F94E0B" w:rsidP="00081B09">
      <w:pPr>
        <w:spacing w:after="240"/>
        <w:ind w:left="720"/>
        <w:rPr>
          <w:rFonts w:eastAsia="Times New Roman"/>
          <w:sz w:val="24"/>
          <w:szCs w:val="24"/>
        </w:rPr>
      </w:pPr>
      <w:r w:rsidRPr="00F94E0B">
        <w:rPr>
          <w:rFonts w:eastAsia="Times New Roman"/>
          <w:sz w:val="24"/>
          <w:szCs w:val="24"/>
        </w:rPr>
        <w:t>If the will is self-proved pursuant to section 15-11-504, the will satisfies the requirements for execution without the testimony of any attesting witness, upon filing the will and the acknowledgement and affidavits annexed or attached to it, unless there is evidence of fraud or forgery affecting the acknowledgement or affidavit.</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lastRenderedPageBreak/>
        <w:t>5. The conclusive presumption of due execution of a self-proved will created by the acknowledgment of the testator and affidavits of witnesses to “an attested will” does not apply if there “is evidence of fraud or forgery affecting the acknowledgment or affidavit.” Section 15-12-406(1)(a). Although section 15-12-406(1)(a) is not explicit, it is assumed the burden of proving such fraud or forgery is on the contestant. C.R.C.P. 8(c). If there is sufficient evidence of such fraud or forgery, this instruction must be appropriately modified.</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6. Also, while the acknowledgment of the testator or the affidavits of the witnesses may be invalid because of fraud or forgery, the “attested will” may itself have been validly executed, for example, at an earlier time. Likewise, it is possible that, at an earlier time, the will had been validly executed as a holographic will. If there is sufficient evidence supporting such conflicting claims, the basic provisions of this instruction should be combined in an appropriate manner with the basic provisions of either Instruction 34:2 or Instruction 34:6.</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7. For cases that do not involve evidence of fraud or forgery, the statutory presumption is conclusive. Consequently, neither CRE 301 nor Instruction 3:5 applies to this instruction. When there is sufficient rebutting evidence of a ground that would invalidate the execution of the will, that ground should be appropriately described in the second paragraph of the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8. This instruction should not be used when it is claimed only a part, as opposed to the entire will, is invalid because of fraud, etc.</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9. If the contest relates only to a codicil or to a will with one or more codicils, appropriate modifications should be made in this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10. Such other instructions in this chapter which are appropriate to the particular case should be given with this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11. This instruction may not be used for a lost will, even though the lost will would otherwise have qualified as a self-proved will. The presumption of valid execution requires filing of the will and the acknowledgment and affidavits annexed or affixed to it.</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sections 15-11-504, 15-12-406(1)(a), and 15-12-407.</w:t>
      </w:r>
    </w:p>
    <w:p w:rsidR="00081B09" w:rsidRDefault="00081B09">
      <w:pPr>
        <w:rPr>
          <w:rFonts w:eastAsia="Times New Roman"/>
          <w:sz w:val="24"/>
          <w:szCs w:val="24"/>
        </w:rPr>
      </w:pPr>
      <w:r>
        <w:rPr>
          <w:rFonts w:eastAsia="Times New Roman"/>
          <w:sz w:val="24"/>
          <w:szCs w:val="24"/>
        </w:rPr>
        <w:br w:type="page"/>
      </w:r>
    </w:p>
    <w:p w:rsidR="00081B09" w:rsidRPr="009E3DA4" w:rsidRDefault="00081B09" w:rsidP="00081B09">
      <w:pPr>
        <w:spacing w:after="240"/>
        <w:ind w:left="720" w:hanging="720"/>
        <w:rPr>
          <w:rFonts w:eastAsia="Times New Roman"/>
          <w:b/>
          <w:sz w:val="24"/>
          <w:szCs w:val="24"/>
        </w:rPr>
      </w:pPr>
      <w:bookmarkStart w:id="8" w:name="a34_06"/>
      <w:bookmarkEnd w:id="8"/>
      <w:r w:rsidRPr="00081B09">
        <w:rPr>
          <w:rFonts w:eastAsia="Times New Roman"/>
          <w:b/>
          <w:sz w:val="24"/>
          <w:szCs w:val="24"/>
        </w:rPr>
        <w:lastRenderedPageBreak/>
        <w:t xml:space="preserve">34:6 </w:t>
      </w:r>
      <w:r w:rsidRPr="00081B09">
        <w:rPr>
          <w:rFonts w:eastAsia="Times New Roman"/>
          <w:b/>
          <w:sz w:val="24"/>
          <w:szCs w:val="24"/>
        </w:rPr>
        <w:tab/>
      </w:r>
      <w:r w:rsidRPr="00081B09">
        <w:rPr>
          <w:rFonts w:ascii="Times New Roman Bold" w:eastAsia="Times New Roman" w:hAnsi="Times New Roman Bold"/>
          <w:b/>
          <w:caps/>
          <w:sz w:val="24"/>
          <w:szCs w:val="24"/>
        </w:rPr>
        <w:t>Elements of Proof of Properly Executed WilL — Holographic Will</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For the proponent, </w:t>
      </w:r>
      <w:r w:rsidRPr="00081B09">
        <w:rPr>
          <w:rFonts w:eastAsia="Times New Roman"/>
          <w:i/>
          <w:sz w:val="24"/>
          <w:szCs w:val="24"/>
        </w:rPr>
        <w:t>(name)</w:t>
      </w:r>
      <w:r w:rsidRPr="00081B09">
        <w:rPr>
          <w:rFonts w:eastAsia="Times New Roman"/>
          <w:b/>
          <w:sz w:val="24"/>
          <w:szCs w:val="24"/>
        </w:rPr>
        <w:t xml:space="preserve">, to have the writing that has been admitted into evidence and identified as </w:t>
      </w:r>
      <w:r w:rsidRPr="00081B09">
        <w:rPr>
          <w:rFonts w:eastAsia="Times New Roman"/>
          <w:i/>
          <w:sz w:val="24"/>
          <w:szCs w:val="24"/>
        </w:rPr>
        <w:t>(insert appropriate description)</w:t>
      </w:r>
      <w:r w:rsidRPr="00081B09">
        <w:rPr>
          <w:rFonts w:eastAsia="Times New Roman"/>
          <w:b/>
          <w:sz w:val="24"/>
          <w:szCs w:val="24"/>
        </w:rPr>
        <w:t xml:space="preserve"> admitted to probate as the holographic will of the testator, </w:t>
      </w:r>
      <w:r w:rsidRPr="00081B09">
        <w:rPr>
          <w:rFonts w:eastAsia="Times New Roman"/>
          <w:i/>
          <w:sz w:val="24"/>
          <w:szCs w:val="24"/>
        </w:rPr>
        <w:t>(insert name of alleged testator)</w:t>
      </w:r>
      <w:r w:rsidRPr="00081B09">
        <w:rPr>
          <w:rFonts w:eastAsia="Times New Roman"/>
          <w:b/>
          <w:sz w:val="24"/>
          <w:szCs w:val="24"/>
        </w:rPr>
        <w:t>, you must find the following have been proved by a preponderance of the evidence:</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1. The writing </w:t>
      </w:r>
      <w:r w:rsidRPr="00081B09">
        <w:rPr>
          <w:rFonts w:eastAsia="Times New Roman"/>
          <w:i/>
          <w:sz w:val="24"/>
          <w:szCs w:val="24"/>
        </w:rPr>
        <w:t>(insert appropriate description)</w:t>
      </w:r>
      <w:r w:rsidRPr="00081B09">
        <w:rPr>
          <w:rFonts w:eastAsia="Times New Roman"/>
          <w:b/>
          <w:sz w:val="24"/>
          <w:szCs w:val="24"/>
        </w:rPr>
        <w:t xml:space="preserve">, whether witnessed or not, was signed by the testator, </w:t>
      </w:r>
      <w:r w:rsidRPr="00081B09">
        <w:rPr>
          <w:rFonts w:eastAsia="Times New Roman"/>
          <w:i/>
          <w:sz w:val="24"/>
          <w:szCs w:val="24"/>
        </w:rPr>
        <w:t>(name)</w:t>
      </w:r>
      <w:r w:rsidRPr="00081B09">
        <w:rPr>
          <w:rFonts w:eastAsia="Times New Roman"/>
          <w:b/>
          <w:sz w:val="24"/>
          <w:szCs w:val="24"/>
        </w:rPr>
        <w:t>, in (his) (her) own handwriting; and</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2. Material portions of the writing were handwritten by the testator.</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If you find that either proposition 1 or 2 has not been proved by a preponderance of the evidence, then your verdict must be for the contestant, </w:t>
      </w:r>
      <w:r w:rsidRPr="00081B09">
        <w:rPr>
          <w:rFonts w:eastAsia="Times New Roman"/>
          <w:i/>
          <w:sz w:val="24"/>
          <w:szCs w:val="24"/>
        </w:rPr>
        <w:t>(name)</w:t>
      </w:r>
      <w:r w:rsidRPr="00081B09">
        <w:rPr>
          <w:rFonts w:eastAsia="Times New Roman"/>
          <w:b/>
          <w:sz w:val="24"/>
          <w:szCs w:val="24"/>
        </w:rPr>
        <w: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On the other hand, if you find that both propositions 1 and 2 have been proved, (then your verdict must be for the proponent) (then you must consider the contestant’s claim[s] that </w:t>
      </w:r>
      <w:r w:rsidRPr="00081B0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081B09">
        <w:rPr>
          <w:rFonts w:eastAsia="Times New Roman"/>
          <w:b/>
          <w:sz w:val="24"/>
          <w:szCs w:val="24"/>
        </w:rPr>
        <w: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If you find that (this claim has) (any one or more of these claims have) been proved by a preponderance of the evidence, then your verdict must be for the contestant.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However, if you find that (this claim has not) (none of these claims have) been proved, then your verdict must be for the proponent.</w:t>
      </w:r>
    </w:p>
    <w:p w:rsidR="00081B09" w:rsidRDefault="00081B09" w:rsidP="00081B09">
      <w:pPr>
        <w:jc w:val="center"/>
        <w:rPr>
          <w:rFonts w:eastAsia="Times New Roman"/>
          <w:sz w:val="24"/>
          <w:szCs w:val="24"/>
        </w:rPr>
      </w:pPr>
    </w:p>
    <w:p w:rsidR="00081B09" w:rsidRPr="0054263B" w:rsidRDefault="00081B09" w:rsidP="00081B09">
      <w:pPr>
        <w:keepNext/>
        <w:spacing w:after="240"/>
        <w:jc w:val="center"/>
        <w:rPr>
          <w:rFonts w:eastAsia="Times New Roman"/>
          <w:b/>
          <w:sz w:val="24"/>
          <w:szCs w:val="24"/>
        </w:rPr>
      </w:pPr>
      <w:r w:rsidRPr="0054263B">
        <w:rPr>
          <w:rFonts w:eastAsia="Times New Roman"/>
          <w:b/>
          <w:sz w:val="24"/>
          <w:szCs w:val="24"/>
        </w:rPr>
        <w:t>Notes on Use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 This instruction should be used in cases in which there is sufficient evidence for a reasonable jury to find by a preponderance of the evidence that the alleged will was properly executed as a holographic will under section 15-11-502(2), C.R.S.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 The provisions of section 15-11-503, C.R.S., may apply if the evidence is not sufficient for a reasonable jury to find by a preponderance of the evidence that the will was properly executed either as a signed and witnessed will under section 15-11-502(1)(c)(I),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w:t>
      </w:r>
      <w:r w:rsidRPr="00081B09">
        <w:rPr>
          <w:rFonts w:eastAsia="Times New Roman"/>
          <w:sz w:val="24"/>
          <w:szCs w:val="24"/>
        </w:rPr>
        <w:lastRenderedPageBreak/>
        <w:t xml:space="preserve">revoked portion of the will,” § 15-11-503(1). </w:t>
      </w:r>
      <w:r w:rsidRPr="00081B09">
        <w:rPr>
          <w:rFonts w:eastAsia="Times New Roman"/>
          <w:i/>
          <w:sz w:val="24"/>
          <w:szCs w:val="24"/>
        </w:rPr>
        <w:t>See also</w:t>
      </w:r>
      <w:r w:rsidRPr="00081B09">
        <w:rPr>
          <w:rFonts w:eastAsia="Times New Roman"/>
          <w:sz w:val="24"/>
          <w:szCs w:val="24"/>
        </w:rPr>
        <w:t xml:space="preserve"> </w:t>
      </w:r>
      <w:r w:rsidRPr="00081B09">
        <w:rPr>
          <w:rFonts w:eastAsia="Times New Roman"/>
          <w:b/>
          <w:sz w:val="24"/>
          <w:szCs w:val="24"/>
        </w:rPr>
        <w:t>In re Estate of Wiltfong</w:t>
      </w:r>
      <w:r w:rsidRPr="00081B09">
        <w:rPr>
          <w:rFonts w:eastAsia="Times New Roman"/>
          <w:sz w:val="24"/>
          <w:szCs w:val="24"/>
        </w:rPr>
        <w:t xml:space="preserve">, 148 P.3d 465 (Colo. App. 2006) (a document acknowledged but not signed may be recognized as a will under this statute); </w:t>
      </w:r>
      <w:r w:rsidRPr="00081B09">
        <w:rPr>
          <w:rFonts w:eastAsia="Times New Roman"/>
          <w:b/>
          <w:sz w:val="24"/>
          <w:szCs w:val="24"/>
        </w:rPr>
        <w:t>In re Estate of Sky Dancer</w:t>
      </w:r>
      <w:r w:rsidRPr="00081B09">
        <w:rPr>
          <w:rFonts w:eastAsia="Times New Roman"/>
          <w:sz w:val="24"/>
          <w:szCs w:val="24"/>
        </w:rPr>
        <w:t>, 13 P.3d 1231 (Colo. App. 2000) (inadequate basis to find a will under this statute).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3. Use whichever parenthesized words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(for example, “lack of testamentary intent or capacity [insufficient age or unsound mind], undue influence, fraud, duress, mistake, or revocation,” § 15-12-407, C.R.S.), or there is insufficient evidence to support a jury finding as to any such matters.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4. If the death of the testator is in issue, and the proponent of the will in question has the burden of proving death under section 15-12-407, this instruction must be appropriately modified.</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5. This instruction must be appropriately modified if, because the testator’s original will, if any, has been lost, destroyed, or is otherwise unavailable, no writing has been admitted, or the writing referred to in this instruction is a copy. For additional modifications that may also need to be made in this instruction when the will has been lost, destroyed, or is otherwise unavailable, see the discussion following in these Notes on Use.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6. This instruction should not be used when it is claimed only a part, as opposed to the entire will, is invalid because of fraud, etc.</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7. Omit either numbered paragraph 1 or 2 if the facts are not in dispute, and make such other changes as are necessary in such circumstances.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b/>
          <w:sz w:val="24"/>
          <w:szCs w:val="24"/>
        </w:rPr>
        <w:t>O’Brien v. Wallace</w:t>
      </w:r>
      <w:r w:rsidRPr="00081B09">
        <w:rPr>
          <w:rFonts w:eastAsia="Times New Roman"/>
          <w:sz w:val="24"/>
          <w:szCs w:val="24"/>
        </w:rPr>
        <w:t>, 145 Colo. 291, 359 P.2d 1029 (1961) (where proof of due execution has been made, only such issues on which there is contrary evidence should be submitted to the jury).</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8. This instruction may be used, when appropriately modified, in cases involving a written foreign holographic will which the proponent claims was executed in compliance “with section 15-11-502 or 15-11-503 or . . . the law at the time of execution of the place where the will [was] executed, or of the law of the place where, at the time of execution or at the time of death, the testator [was] domiciled, [had] a place of abode, or [was] a national.” § 15-11-506, C.R.S.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9. When the case involves a separate writing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10. If the contest relates only to a codicil or to a will with one or more codicils, appropriate modifications must also be made in this instruction.</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lastRenderedPageBreak/>
        <w:t>11. When necessary and appropriate to the evidence in the case, Instruction 34:4 (witness having an interest under the will) should be given with this instruction as a cautionary instruction.</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12. This instruction must be appropriately modified if, because the testator’s original will, if any, has been lost, destroyed, or is otherwise unavailable, no writing has been admitted, or the writing referred to in this instruction is a copy. Under section 15-12-402(3), C.R.S., the burden of proving that a lost, destroyed, or otherwise unavailable will was not revoked is on the proponent. Consequently, where the will has been lost, destroyed, or for any other reason is unavailable, this instruction must be modified to add as an element of the proponent’s claim the requirement that the proponent prove “the will had not been revoked by [name of alleged testator].” See Instruction 34:8 and the accompanying Notes on Use. Instructions 34:8 and 34:9 should also be given if appropriate to the case.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13. Section 15-12-402(3), refers to satisfying “the court” that an “unavailable” will has not been revoked. However, section 15-10-306(1), C.R.S., appears to permit the issue to be tried to a jury. </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14.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081B09">
        <w:rPr>
          <w:rFonts w:eastAsia="Times New Roman"/>
          <w:i/>
          <w:sz w:val="24"/>
          <w:szCs w:val="24"/>
        </w:rPr>
        <w:t>see, e.g.</w:t>
      </w:r>
      <w:r w:rsidRPr="00081B09">
        <w:rPr>
          <w:rFonts w:eastAsia="Times New Roman"/>
          <w:sz w:val="24"/>
          <w:szCs w:val="24"/>
        </w:rPr>
        <w:t xml:space="preserve">, </w:t>
      </w:r>
      <w:r w:rsidRPr="00081B09">
        <w:rPr>
          <w:rFonts w:eastAsia="Times New Roman"/>
          <w:b/>
          <w:sz w:val="24"/>
          <w:szCs w:val="24"/>
        </w:rPr>
        <w:t>Hoff v. Armbruster</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081B09">
        <w:rPr>
          <w:rFonts w:eastAsia="Times New Roman"/>
          <w:i/>
          <w:sz w:val="24"/>
          <w:szCs w:val="24"/>
        </w:rPr>
        <w:t>See</w:t>
      </w:r>
      <w:r w:rsidRPr="00081B09">
        <w:rPr>
          <w:rFonts w:eastAsia="Times New Roman"/>
          <w:sz w:val="24"/>
          <w:szCs w:val="24"/>
        </w:rPr>
        <w:t xml:space="preserve"> Instruction 34:9.</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15. There need be no witnesses to holographic wills. § 15-11-502(2).</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16. A holographic will may be valid even though immaterial parts such as date or introductory wording are printed or stamped. The fact that immaterial portions of a holographic will (for example, date of execution) may be illegible or difficult to read does not justify denying the admission of an otherwise admissible holographic will to probate. Moreover, as to material portions which may be difficult to read, “it is the court’s duty to ascertain and give effect to the testator’s intent.” </w:t>
      </w:r>
      <w:r w:rsidRPr="00081B09">
        <w:rPr>
          <w:rFonts w:eastAsia="Times New Roman"/>
          <w:b/>
          <w:sz w:val="24"/>
          <w:szCs w:val="24"/>
        </w:rPr>
        <w:t>Nunez v. Jersin</w:t>
      </w:r>
      <w:r w:rsidRPr="00081B09">
        <w:rPr>
          <w:rFonts w:eastAsia="Times New Roman"/>
          <w:sz w:val="24"/>
          <w:szCs w:val="24"/>
        </w:rPr>
        <w:t>, 635 P.2d 231, 233 (Colo. App. 1981).</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17. For a writing to constitute a holographic will, the “instrument must have been executed . . . with testamentary intent, [that is, t]he writing, together with such extrinsic evidence as may be admissible, must establish that the decedent intended the writing itself to make a testamentary disposition of decedent’s property.” </w:t>
      </w:r>
      <w:r w:rsidRPr="00081B09">
        <w:rPr>
          <w:rFonts w:eastAsia="Times New Roman"/>
          <w:b/>
          <w:sz w:val="24"/>
          <w:szCs w:val="24"/>
        </w:rPr>
        <w:t>In re Estate of Olschansky</w:t>
      </w:r>
      <w:r w:rsidRPr="00081B09">
        <w:rPr>
          <w:rFonts w:eastAsia="Times New Roman"/>
          <w:sz w:val="24"/>
          <w:szCs w:val="24"/>
        </w:rPr>
        <w:t>, 735 P.2d 927, 929 (Colo. App. 1987).</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18. “[T]he intent of the testator and not the location of his [signed] name is the crucial factor in determining whether a holographic will has been signed within the meaning of” the statute. </w:t>
      </w:r>
      <w:r w:rsidRPr="00081B09">
        <w:rPr>
          <w:rFonts w:eastAsia="Times New Roman"/>
          <w:b/>
          <w:sz w:val="24"/>
          <w:szCs w:val="24"/>
        </w:rPr>
        <w:t>In re Estate of Fegley</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42 Colo. App. 47, 48, 589 P.2d 80, 81 (1978).</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lastRenderedPageBreak/>
        <w:t>19. The “[i]ntent that [a] document constitute the testator’s will can be established by extrinsic evidence, including, for holographic wills, portions of the document that are not in the testator’s handwriting.” § 15-11-502(3).</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20. Under a previous version of the Probate Code, “the material provisions” of the offered will must have been in the handwriting of the testator. </w:t>
      </w:r>
      <w:r w:rsidRPr="00081B09">
        <w:rPr>
          <w:rFonts w:eastAsia="Times New Roman"/>
          <w:i/>
          <w:sz w:val="24"/>
          <w:szCs w:val="24"/>
        </w:rPr>
        <w:t>See</w:t>
      </w:r>
      <w:r w:rsidRPr="00081B09">
        <w:rPr>
          <w:rFonts w:eastAsia="Times New Roman"/>
          <w:sz w:val="24"/>
          <w:szCs w:val="24"/>
        </w:rPr>
        <w:t xml:space="preserve"> Ch. 451, sec. 1, § 153-2-503, 1973 Colo. Sess. Laws 1555-56. Under the present version, § 15-11-502(2), the word “provisions” was changed to “portions” and the “the” before “provisions” was deleted. </w:t>
      </w:r>
      <w:r w:rsidRPr="00081B09">
        <w:rPr>
          <w:rFonts w:eastAsia="Times New Roman"/>
          <w:i/>
          <w:sz w:val="24"/>
          <w:szCs w:val="24"/>
        </w:rPr>
        <w:t>See</w:t>
      </w:r>
      <w:r w:rsidRPr="00081B09">
        <w:rPr>
          <w:rFonts w:eastAsia="Times New Roman"/>
          <w:sz w:val="24"/>
          <w:szCs w:val="24"/>
        </w:rPr>
        <w:t xml:space="preserve"> Ch. 178, sec. 3, § 15-11-502(2), 1994 Colo. Sess. Laws 997. The relevant language now, therefore, is “and material portions of the document are in the testator’s handwriting.” § 15-11-502(2). The omission of the “the” before “portions” suggests that a holographic will is sufficient as long as some material portions are in the handwriting of the testator. The use of the word “the” before “provisions” in the original language suggested that all material “provisions” had to be in the testator’s handwriting. Also, the change in language from “provisions” to “portions” suggests that some change in meaning, however slight, was intended. However, none of the comments prepared by the Joint Editorial Board of the ABA and the National Conference of Commissioners on Uniform State Laws for the Uniform Probate Code indicate what changes in legal effect, if any, these changes in language were intended to make.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smallCaps/>
          <w:sz w:val="24"/>
          <w:szCs w:val="24"/>
        </w:rPr>
        <w:t>Unif. Probate Code</w:t>
      </w:r>
      <w:r w:rsidRPr="00081B09">
        <w:rPr>
          <w:rFonts w:eastAsia="Times New Roman"/>
          <w:sz w:val="24"/>
          <w:szCs w:val="24"/>
        </w:rPr>
        <w:t xml:space="preserve"> § 2-502(b) cmt. (amended 2010).</w:t>
      </w:r>
    </w:p>
    <w:p w:rsidR="00081B09" w:rsidRPr="0054263B" w:rsidRDefault="00081B09" w:rsidP="00081B09">
      <w:pPr>
        <w:keepNext/>
        <w:spacing w:after="240"/>
        <w:jc w:val="center"/>
        <w:rPr>
          <w:rFonts w:eastAsia="Times New Roman"/>
          <w:b/>
          <w:sz w:val="24"/>
          <w:szCs w:val="24"/>
        </w:rPr>
      </w:pPr>
      <w:r>
        <w:rPr>
          <w:rFonts w:eastAsia="Times New Roman"/>
          <w:b/>
          <w:sz w:val="24"/>
          <w:szCs w:val="24"/>
        </w:rPr>
        <w:t>Source and Authority</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 The two numbered paragraphs of this instruction are supported by section 15-11-502(2).</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2. This instruction is also based on section 15-12-407, which provides that “[p]roponents of a will have the burden of establishing prima facie proof of due execution in all cases. . . .” Under section 13-25-127(1), C.R.S., the weight of the proponent’s burden of proof as to the issues covered by numbered paragraphs 1 and 2 is by a preponderance of the evidence.</w:t>
      </w:r>
    </w:p>
    <w:p w:rsidR="00907A8A" w:rsidRDefault="00907A8A">
      <w:pPr>
        <w:rPr>
          <w:rFonts w:eastAsia="Times New Roman"/>
          <w:sz w:val="24"/>
          <w:szCs w:val="24"/>
        </w:rPr>
      </w:pPr>
      <w:r>
        <w:rPr>
          <w:rFonts w:eastAsia="Times New Roman"/>
          <w:sz w:val="24"/>
          <w:szCs w:val="24"/>
        </w:rPr>
        <w:br w:type="page"/>
      </w:r>
    </w:p>
    <w:p w:rsidR="00907A8A" w:rsidRPr="009E3DA4" w:rsidRDefault="00907A8A" w:rsidP="00907A8A">
      <w:pPr>
        <w:spacing w:after="240"/>
        <w:ind w:left="720" w:hanging="720"/>
        <w:rPr>
          <w:rFonts w:eastAsia="Times New Roman"/>
          <w:b/>
          <w:sz w:val="24"/>
          <w:szCs w:val="24"/>
        </w:rPr>
      </w:pPr>
      <w:bookmarkStart w:id="9" w:name="a34_07"/>
      <w:bookmarkEnd w:id="9"/>
      <w:r w:rsidRPr="00907A8A">
        <w:rPr>
          <w:rFonts w:eastAsia="Times New Roman"/>
          <w:b/>
          <w:sz w:val="24"/>
          <w:szCs w:val="24"/>
        </w:rPr>
        <w:lastRenderedPageBreak/>
        <w:t xml:space="preserve">34:7 </w:t>
      </w:r>
      <w:r w:rsidRPr="00907A8A">
        <w:rPr>
          <w:rFonts w:eastAsia="Times New Roman"/>
          <w:b/>
          <w:sz w:val="24"/>
          <w:szCs w:val="24"/>
        </w:rPr>
        <w:tab/>
      </w:r>
      <w:r w:rsidRPr="00907A8A">
        <w:rPr>
          <w:rFonts w:ascii="Times New Roman Bold" w:eastAsia="Times New Roman" w:hAnsi="Times New Roman Bold"/>
          <w:b/>
          <w:caps/>
          <w:sz w:val="24"/>
          <w:szCs w:val="24"/>
        </w:rPr>
        <w:t>Testamentary Intent — Defined</w:t>
      </w:r>
    </w:p>
    <w:p w:rsidR="00907A8A" w:rsidRPr="00907A8A" w:rsidRDefault="00907A8A" w:rsidP="00907A8A">
      <w:pPr>
        <w:spacing w:after="240"/>
        <w:ind w:firstLine="720"/>
        <w:rPr>
          <w:rFonts w:eastAsia="Times New Roman"/>
          <w:b/>
          <w:sz w:val="24"/>
          <w:szCs w:val="24"/>
        </w:rPr>
      </w:pPr>
      <w:r w:rsidRPr="00907A8A">
        <w:rPr>
          <w:rFonts w:eastAsia="Times New Roman"/>
          <w:b/>
          <w:sz w:val="24"/>
          <w:szCs w:val="24"/>
        </w:rPr>
        <w:t>Testamentary intent means the intent to direct how some or all of one’s property is to be disposed of after one’s death. A person need not express that intent by stating that a writing is his or her will. The intent may b</w:t>
      </w:r>
      <w:r>
        <w:rPr>
          <w:rFonts w:eastAsia="Times New Roman"/>
          <w:b/>
          <w:sz w:val="24"/>
          <w:szCs w:val="24"/>
        </w:rPr>
        <w:t>e shown by other words or acts.</w:t>
      </w:r>
    </w:p>
    <w:p w:rsidR="00907A8A" w:rsidRDefault="00907A8A" w:rsidP="00907A8A">
      <w:pPr>
        <w:jc w:val="center"/>
        <w:rPr>
          <w:rFonts w:eastAsia="Times New Roman"/>
          <w:sz w:val="24"/>
          <w:szCs w:val="24"/>
        </w:rPr>
      </w:pPr>
    </w:p>
    <w:p w:rsidR="00907A8A" w:rsidRPr="0054263B" w:rsidRDefault="00907A8A" w:rsidP="00907A8A">
      <w:pPr>
        <w:keepNext/>
        <w:spacing w:after="240"/>
        <w:jc w:val="center"/>
        <w:rPr>
          <w:rFonts w:eastAsia="Times New Roman"/>
          <w:b/>
          <w:sz w:val="24"/>
          <w:szCs w:val="24"/>
        </w:rPr>
      </w:pPr>
      <w:r w:rsidRPr="0054263B">
        <w:rPr>
          <w:rFonts w:eastAsia="Times New Roman"/>
          <w:b/>
          <w:sz w:val="24"/>
          <w:szCs w:val="24"/>
        </w:rPr>
        <w:t>Notes on Use</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1. Because the burden of proving lack of testamentary intent is on the contestant, section 15-12-407, C.R.S., this instruction should only be used in conjunction with Instruction 34:2, 34:5, or 34:6, when the contestant has raised lack of testamentary intent as an affirmative defense. </w:t>
      </w:r>
      <w:r w:rsidRPr="00907A8A">
        <w:rPr>
          <w:rFonts w:eastAsia="Times New Roman"/>
          <w:i/>
          <w:sz w:val="24"/>
          <w:szCs w:val="24"/>
        </w:rPr>
        <w:t xml:space="preserve">See </w:t>
      </w:r>
      <w:r w:rsidRPr="00907A8A">
        <w:rPr>
          <w:rFonts w:eastAsia="Times New Roman"/>
          <w:b/>
          <w:sz w:val="24"/>
          <w:szCs w:val="24"/>
        </w:rPr>
        <w:t>In re Estate of Grobman</w:t>
      </w:r>
      <w:r w:rsidRPr="00907A8A">
        <w:rPr>
          <w:rFonts w:eastAsia="Times New Roman"/>
          <w:sz w:val="24"/>
          <w:szCs w:val="24"/>
        </w:rPr>
        <w:t>, 635 P.2d 231 (Colo. App. 1981) (burden of proving lack of testamentary intent on the contestant of holographic will).</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Modification in the language of this instruction may be required or advisable in cases involving (1) powers of appointment and other similar interests (2) codicils (3) related testamentary documents or instruments, for example, a separate writing identifying a bequest of tangible property permitted under section 15-11-513, C.R.S. </w:t>
      </w:r>
      <w:r w:rsidRPr="00907A8A">
        <w:rPr>
          <w:rFonts w:eastAsia="Times New Roman"/>
          <w:i/>
          <w:sz w:val="24"/>
          <w:szCs w:val="24"/>
        </w:rPr>
        <w:t>See, e.g.</w:t>
      </w:r>
      <w:r w:rsidRPr="00907A8A">
        <w:rPr>
          <w:rFonts w:eastAsia="Times New Roman"/>
          <w:sz w:val="24"/>
          <w:szCs w:val="24"/>
        </w:rPr>
        <w:t xml:space="preserve">, </w:t>
      </w:r>
      <w:r w:rsidRPr="00907A8A">
        <w:rPr>
          <w:rFonts w:eastAsia="Times New Roman"/>
          <w:b/>
          <w:sz w:val="24"/>
          <w:szCs w:val="24"/>
        </w:rPr>
        <w:t>In re Estate of Harrington</w:t>
      </w:r>
      <w:r w:rsidRPr="00907A8A">
        <w:rPr>
          <w:rFonts w:eastAsia="Times New Roman"/>
          <w:sz w:val="24"/>
          <w:szCs w:val="24"/>
        </w:rPr>
        <w:t>,</w:t>
      </w:r>
      <w:r w:rsidRPr="00907A8A">
        <w:rPr>
          <w:rFonts w:eastAsia="Times New Roman"/>
          <w:b/>
          <w:sz w:val="24"/>
          <w:szCs w:val="24"/>
        </w:rPr>
        <w:t xml:space="preserve"> </w:t>
      </w:r>
      <w:r w:rsidRPr="00907A8A">
        <w:rPr>
          <w:rFonts w:eastAsia="Times New Roman"/>
          <w:sz w:val="24"/>
          <w:szCs w:val="24"/>
        </w:rPr>
        <w:t>850 P.2d 158 (Colo. App. 1993) (although decedent had necessary testamentary intent, she intended that her “writings” operate as tangible personal property memoranda under section 15-11-513, rather than as a codicil to her will).</w:t>
      </w:r>
    </w:p>
    <w:p w:rsidR="00907A8A" w:rsidRPr="0054263B" w:rsidRDefault="00907A8A" w:rsidP="00907A8A">
      <w:pPr>
        <w:keepNext/>
        <w:spacing w:after="240"/>
        <w:jc w:val="center"/>
        <w:rPr>
          <w:rFonts w:eastAsia="Times New Roman"/>
          <w:b/>
          <w:sz w:val="24"/>
          <w:szCs w:val="24"/>
        </w:rPr>
      </w:pPr>
      <w:r>
        <w:rPr>
          <w:rFonts w:eastAsia="Times New Roman"/>
          <w:b/>
          <w:sz w:val="24"/>
          <w:szCs w:val="24"/>
        </w:rPr>
        <w:t>Source and Authority</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1. This instruction is supported by sections 15-12-407, and 15-11-502(3), C.R.S.</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It is also based on the following cases, which, though they were decided prior to the statutory change shifting the burden of proving the lack of testamentary intent to the contestant, would appear to be applicable: </w:t>
      </w:r>
      <w:r w:rsidRPr="00907A8A">
        <w:rPr>
          <w:rFonts w:eastAsia="Times New Roman"/>
          <w:b/>
          <w:sz w:val="24"/>
          <w:szCs w:val="24"/>
        </w:rPr>
        <w:t>In re Estate of Maikka</w:t>
      </w:r>
      <w:r w:rsidRPr="00907A8A">
        <w:rPr>
          <w:rFonts w:eastAsia="Times New Roman"/>
          <w:sz w:val="24"/>
          <w:szCs w:val="24"/>
        </w:rPr>
        <w:t xml:space="preserve">, 110 Colo. 433, 134 P.2d 723 (1942) (testator’s clear indication that instrument is the testator’s last will and testament is sufficient, and testator may authorize or ratify another’s request that witnesses act as such); and </w:t>
      </w:r>
      <w:r w:rsidRPr="00907A8A">
        <w:rPr>
          <w:rFonts w:eastAsia="Times New Roman"/>
          <w:b/>
          <w:sz w:val="24"/>
          <w:szCs w:val="24"/>
        </w:rPr>
        <w:t>Aquilini v. Chamblin</w:t>
      </w:r>
      <w:r w:rsidRPr="00907A8A">
        <w:rPr>
          <w:rFonts w:eastAsia="Times New Roman"/>
          <w:sz w:val="24"/>
          <w:szCs w:val="24"/>
        </w:rPr>
        <w:t>, 94 Colo. 367, 30 P.2d 325 (1934) (A testator need not use exact words of statute in publishing a will; words, signs, motions, or conduct clearly indicating the instrument is his last will and testament are sufficient).</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3. “The term testamentary intent can only mean that the testator’s frame of mind or intent is that the instrument or disposition of property which he makes shall pass no interest in the property until his death and that the act or instrument shall take effect only upon his death.” 1 </w:t>
      </w:r>
      <w:r w:rsidRPr="00907A8A">
        <w:rPr>
          <w:rFonts w:eastAsia="Times New Roman"/>
          <w:smallCaps/>
          <w:sz w:val="24"/>
          <w:szCs w:val="24"/>
        </w:rPr>
        <w:t>W. Bowe &amp; D. Parker, Page on the Law of Wills</w:t>
      </w:r>
      <w:r w:rsidRPr="00907A8A">
        <w:rPr>
          <w:rFonts w:eastAsia="Times New Roman"/>
          <w:sz w:val="24"/>
          <w:szCs w:val="24"/>
        </w:rPr>
        <w:t xml:space="preserve"> § 5.6, at 178 (rev. ed. 2003).</w:t>
      </w:r>
      <w:r w:rsidRPr="00907A8A">
        <w:rPr>
          <w:rFonts w:eastAsia="Times New Roman"/>
          <w:sz w:val="24"/>
          <w:szCs w:val="24"/>
        </w:rPr>
        <w:tab/>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0" w:name="a34_08"/>
      <w:bookmarkEnd w:id="10"/>
      <w:r w:rsidRPr="00896032">
        <w:rPr>
          <w:rFonts w:eastAsia="Times New Roman"/>
          <w:b/>
          <w:sz w:val="24"/>
          <w:szCs w:val="24"/>
        </w:rPr>
        <w:lastRenderedPageBreak/>
        <w:t xml:space="preserve">34:8 </w:t>
      </w:r>
      <w:r w:rsidRPr="00896032">
        <w:rPr>
          <w:rFonts w:eastAsia="Times New Roman"/>
          <w:b/>
          <w:sz w:val="24"/>
          <w:szCs w:val="24"/>
        </w:rPr>
        <w:tab/>
      </w:r>
      <w:r w:rsidRPr="00896032">
        <w:rPr>
          <w:rFonts w:ascii="Times New Roman Bold" w:eastAsia="Times New Roman" w:hAnsi="Times New Roman Bold"/>
          <w:b/>
          <w:caps/>
          <w:sz w:val="24"/>
          <w:szCs w:val="24"/>
        </w:rPr>
        <w:t>Revocation by Burning, Tearing, Cancelling, Obliterating, or Destroying — Defined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who has made a will may revoke (that will) (or) (any part of that will) by performing an act of revocation on the will with the intent to revoke (it) (or) (part of it). A person may also revoke a will by directing another person to perform an act of revocation if that other person performs the act of revocation in the conscious presence of the one who made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An act of revocation on (a will) (or) (any part of a will) includes burning, tearing, canceling, obliterating, or destroying the (will) (or) (part of the will). For a burning, tearing, or canceling to be an act of revocation on the will, it is not necessary that the burn, tear, or cancellation have touched any of the words on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(“Conscious” means that the one who made the will was aware through one or more of [his] [her] senses that the act of revocation was being performed by the other person. “Presence” requires that the other person was physically near the one who made the will, though not necessarily within [his] [her] line of sight.)</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This instruction should be given when appropriate to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Omit any portions of this instruction, whether parenthesized or not, which are not relevant to, or supported by,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When appropriate to the evidence, Instruction 34:9 (presumption of revocation) should also be given with this instruction.</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4. There are two ways to revoke a will</w:t>
      </w:r>
      <w:r w:rsidR="00984936">
        <w:rPr>
          <w:rFonts w:eastAsia="Times New Roman"/>
          <w:sz w:val="24"/>
          <w:szCs w:val="24"/>
        </w:rPr>
        <w:t xml:space="preserve"> or any part thereof</w:t>
      </w:r>
      <w:r w:rsidRPr="00896032">
        <w:rPr>
          <w:rFonts w:eastAsia="Times New Roman"/>
          <w:sz w:val="24"/>
          <w:szCs w:val="24"/>
        </w:rPr>
        <w:t>: (1) executing a subsequent will</w:t>
      </w:r>
      <w:r w:rsidR="00984936" w:rsidRPr="00984936">
        <w:rPr>
          <w:rFonts w:eastAsia="Times New Roman"/>
          <w:sz w:val="24"/>
          <w:szCs w:val="24"/>
        </w:rPr>
        <w:t xml:space="preserve"> </w:t>
      </w:r>
      <w:r w:rsidR="00984936">
        <w:rPr>
          <w:rFonts w:eastAsia="Times New Roman"/>
          <w:sz w:val="24"/>
          <w:szCs w:val="24"/>
        </w:rPr>
        <w:t>that revokes the previous will or part expressly or by inconsistency</w:t>
      </w:r>
      <w:r w:rsidRPr="00896032">
        <w:rPr>
          <w:rFonts w:eastAsia="Times New Roman"/>
          <w:sz w:val="24"/>
          <w:szCs w:val="24"/>
        </w:rPr>
        <w:t xml:space="preserve">, or (2) </w:t>
      </w:r>
      <w:r w:rsidR="00984936">
        <w:rPr>
          <w:rFonts w:eastAsia="Times New Roman"/>
          <w:sz w:val="24"/>
          <w:szCs w:val="24"/>
        </w:rPr>
        <w:t>by performing a revocatory act on the will</w:t>
      </w:r>
      <w:r w:rsidRPr="00896032">
        <w:rPr>
          <w:rFonts w:eastAsia="Times New Roman"/>
          <w:sz w:val="24"/>
          <w:szCs w:val="24"/>
        </w:rPr>
        <w:t xml:space="preserve">. § 15-11-507(1), C.R.S.; </w:t>
      </w:r>
      <w:r w:rsidRPr="00896032">
        <w:rPr>
          <w:rFonts w:eastAsia="Times New Roman"/>
          <w:b/>
          <w:sz w:val="24"/>
          <w:szCs w:val="24"/>
        </w:rPr>
        <w:t>In re Estate of Schumacher</w:t>
      </w:r>
      <w:r w:rsidRPr="00896032">
        <w:rPr>
          <w:rFonts w:eastAsia="Times New Roman"/>
          <w:sz w:val="24"/>
          <w:szCs w:val="24"/>
        </w:rPr>
        <w:t xml:space="preserve">, 253 P.3d 1280, 1282 (Colo. App. 2011) (“A will can be revoked only in the manner provided by statute, and the statutory provisions for revocation of wills must be strictly construed.”). Under section 15-11-507(1)(b), </w:t>
      </w:r>
      <w:r w:rsidR="00F71286">
        <w:rPr>
          <w:rFonts w:eastAsia="Times New Roman"/>
          <w:sz w:val="24"/>
          <w:szCs w:val="24"/>
        </w:rPr>
        <w:t>a “revocatory act on the will” includes</w:t>
      </w:r>
      <w:r w:rsidR="00F71286" w:rsidRPr="00896032">
        <w:rPr>
          <w:rFonts w:eastAsia="Times New Roman"/>
          <w:sz w:val="24"/>
          <w:szCs w:val="24"/>
        </w:rPr>
        <w:t xml:space="preserve"> </w:t>
      </w:r>
      <w:r w:rsidRPr="00896032">
        <w:rPr>
          <w:rFonts w:eastAsia="Times New Roman"/>
          <w:sz w:val="24"/>
          <w:szCs w:val="24"/>
        </w:rPr>
        <w:t xml:space="preserve">“burning, tearing, canceling, obliterating, or destroying the will or any part of it.” Prior to the 1979 amendment to section 15-12-402(3), C.R.S., the burden of proving revocation was on the contestant in all cases. </w:t>
      </w:r>
      <w:r w:rsidRPr="00896032">
        <w:rPr>
          <w:rFonts w:eastAsia="Times New Roman"/>
          <w:i/>
          <w:sz w:val="24"/>
          <w:szCs w:val="24"/>
        </w:rPr>
        <w:t>See</w:t>
      </w:r>
      <w:r w:rsidRPr="00896032">
        <w:rPr>
          <w:rFonts w:eastAsia="Times New Roman"/>
          <w:sz w:val="24"/>
          <w:szCs w:val="24"/>
        </w:rPr>
        <w:t xml:space="preserve"> Ch. 152, sec. 8, § 15-12-402, 1979 Colo. Sess. Laws 649. However, under the 1979 amendment to section 15-12-402(3), the burden of proving that a lost, destroyed, or otherwise unavailable will was not revoked is on the proponent. Consequently, where the will has been lost, destroyed, or for any other reason is unavailable, Instruction 34:2 (for all but self-proved and holographic wills) or 34:6 (for holographic wills) must be modified to add as an element of the proponent’s claim the requirement that the proponent prove “the will had not been revoked by </w:t>
      </w:r>
      <w:r w:rsidRPr="00896032">
        <w:rPr>
          <w:rFonts w:eastAsia="Times New Roman"/>
          <w:i/>
          <w:sz w:val="24"/>
          <w:szCs w:val="24"/>
        </w:rPr>
        <w:t>[name of alleged testator]</w:t>
      </w:r>
      <w:r w:rsidRPr="00896032">
        <w:rPr>
          <w:rFonts w:eastAsia="Times New Roman"/>
          <w:sz w:val="24"/>
          <w:szCs w:val="24"/>
        </w:rPr>
        <w:t>.” The effect of this modification will be to place the burden of proving no revocation on the proponent, as required by the 1979 amendment.</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lastRenderedPageBreak/>
        <w:t xml:space="preserve">5. On the other hand, if the will has not been destroyed and is, therefore, still “available,” but is found burned, torn, canceled or obliterated, then the burden of proving revocation remains on the contestant, and that question of fact should be set out as a contestant’s claim in the third to the last unnumbered paragraph of Instruction 34:2 or 34:6, whichever is appropriate. Also, contrary to prior case law, </w:t>
      </w:r>
      <w:r w:rsidRPr="00896032">
        <w:rPr>
          <w:rFonts w:eastAsia="Times New Roman"/>
          <w:i/>
          <w:sz w:val="24"/>
          <w:szCs w:val="24"/>
        </w:rPr>
        <w:t>see, e.g.</w:t>
      </w:r>
      <w:r w:rsidRPr="00896032">
        <w:rPr>
          <w:rFonts w:eastAsia="Times New Roman"/>
          <w:sz w:val="24"/>
          <w:szCs w:val="24"/>
        </w:rPr>
        <w:t xml:space="preserve">, </w:t>
      </w:r>
      <w:r w:rsidRPr="00896032">
        <w:rPr>
          <w:rFonts w:eastAsia="Times New Roman"/>
          <w:b/>
          <w:sz w:val="24"/>
          <w:szCs w:val="24"/>
        </w:rPr>
        <w:t>Hoff v. Armbruster</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896032">
        <w:rPr>
          <w:rFonts w:eastAsia="Times New Roman"/>
          <w:i/>
          <w:sz w:val="24"/>
          <w:szCs w:val="24"/>
        </w:rPr>
        <w:t>See</w:t>
      </w:r>
      <w:r w:rsidRPr="00896032">
        <w:rPr>
          <w:rFonts w:eastAsia="Times New Roman"/>
          <w:sz w:val="24"/>
          <w:szCs w:val="24"/>
        </w:rPr>
        <w:t xml:space="preserve"> Instruction 34:9.</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If other rules relating to revocation would be relevant in light of the evidence in the case and would require the resolution of one or more disputed facts by the jury, an appropriate instruction must be given. </w:t>
      </w:r>
      <w:r w:rsidRPr="00896032">
        <w:rPr>
          <w:rFonts w:eastAsia="Times New Roman"/>
          <w:i/>
          <w:sz w:val="24"/>
          <w:szCs w:val="24"/>
        </w:rPr>
        <w:t>See, e.g.</w:t>
      </w:r>
      <w:r w:rsidRPr="00896032">
        <w:rPr>
          <w:rFonts w:eastAsia="Times New Roman"/>
          <w:sz w:val="24"/>
          <w:szCs w:val="24"/>
        </w:rPr>
        <w:t>, § 15-11-507(1)(a) (revocation by execution of subsequent will); § 15-11-508, C.R.S. (revocation by change of circumstances); § 15-11-509, C.R.S. (revival of revoked will).</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7. “Although a will does not become operable until the testator’s death . . . the effectiveness of [acts causing a] revocation is dependent on the law in force,” governing such acts at the time of the acts. </w:t>
      </w:r>
      <w:r w:rsidRPr="00896032">
        <w:rPr>
          <w:rFonts w:eastAsia="Times New Roman"/>
          <w:b/>
          <w:sz w:val="24"/>
          <w:szCs w:val="24"/>
        </w:rPr>
        <w:t>In re Estate of Ralston</w:t>
      </w:r>
      <w:r w:rsidRPr="00896032">
        <w:rPr>
          <w:rFonts w:eastAsia="Times New Roman"/>
          <w:sz w:val="24"/>
          <w:szCs w:val="24"/>
        </w:rPr>
        <w:t xml:space="preserve">, 674 P.2d 1001, 1003 (Colo. App. 1983). </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8. Direct evidence that the decedent himself made the cross-outs in a will is not always required. </w:t>
      </w:r>
      <w:r w:rsidRPr="00896032">
        <w:rPr>
          <w:rFonts w:eastAsia="Times New Roman"/>
          <w:b/>
          <w:sz w:val="24"/>
          <w:szCs w:val="24"/>
        </w:rPr>
        <w:t>In re Estate of Schumacher</w:t>
      </w:r>
      <w:r w:rsidRPr="00896032">
        <w:rPr>
          <w:rFonts w:eastAsia="Times New Roman"/>
          <w:sz w:val="24"/>
          <w:szCs w:val="24"/>
        </w:rPr>
        <w:t>, 253 P.3d at 1283-84 (lawyer’s testimony that decedent showed him a will with the cross-outs and explained the reason for the cross-outs adequate to support conclusion decedent himself made the cross-outs).</w:t>
      </w:r>
    </w:p>
    <w:p w:rsidR="00896032" w:rsidRPr="00896032" w:rsidRDefault="000E72CD" w:rsidP="00896032">
      <w:pPr>
        <w:spacing w:after="240"/>
        <w:ind w:firstLine="720"/>
        <w:rPr>
          <w:rFonts w:eastAsia="Times New Roman"/>
          <w:sz w:val="24"/>
          <w:szCs w:val="24"/>
        </w:rPr>
      </w:pPr>
      <w:r>
        <w:rPr>
          <w:rFonts w:eastAsia="Times New Roman"/>
          <w:sz w:val="24"/>
          <w:szCs w:val="24"/>
        </w:rPr>
        <w:t xml:space="preserve">9. </w:t>
      </w:r>
      <w:r w:rsidR="00896032" w:rsidRPr="00896032">
        <w:rPr>
          <w:rFonts w:eastAsia="Times New Roman"/>
          <w:sz w:val="24"/>
          <w:szCs w:val="24"/>
        </w:rPr>
        <w:t xml:space="preserve">Doctrines such as the presumptive revocation of a will when a trust is revoked, equity, and mistake do not supersede statutory authority regarding will revocation. </w:t>
      </w:r>
      <w:r w:rsidR="00896032" w:rsidRPr="00896032">
        <w:rPr>
          <w:rFonts w:eastAsia="Times New Roman"/>
          <w:b/>
          <w:sz w:val="24"/>
          <w:szCs w:val="24"/>
        </w:rPr>
        <w:t>In re Estate of Sandstead</w:t>
      </w:r>
      <w:r w:rsidR="00896032" w:rsidRPr="00896032">
        <w:rPr>
          <w:rFonts w:eastAsia="Times New Roman"/>
          <w:sz w:val="24"/>
          <w:szCs w:val="24"/>
        </w:rPr>
        <w:t>, 2016 COA 49, ¶ 71</w:t>
      </w:r>
      <w:r w:rsidR="00F71286" w:rsidRPr="00F71286">
        <w:rPr>
          <w:rFonts w:eastAsia="Times New Roman"/>
          <w:sz w:val="24"/>
          <w:szCs w:val="24"/>
        </w:rPr>
        <w:t xml:space="preserve">, </w:t>
      </w:r>
      <w:r w:rsidR="00C86F05">
        <w:rPr>
          <w:rFonts w:eastAsia="Times New Roman"/>
          <w:sz w:val="24"/>
          <w:szCs w:val="24"/>
        </w:rPr>
        <w:t xml:space="preserve">412 P.3d 799, </w:t>
      </w:r>
      <w:r w:rsidR="00F71286" w:rsidRPr="00F71286">
        <w:rPr>
          <w:rFonts w:eastAsia="Times New Roman"/>
          <w:i/>
          <w:sz w:val="24"/>
          <w:szCs w:val="24"/>
        </w:rPr>
        <w:t>rev’d on other grounds sub nom.</w:t>
      </w:r>
      <w:r w:rsidR="00F71286" w:rsidRPr="00F71286">
        <w:rPr>
          <w:rFonts w:eastAsia="Times New Roman"/>
          <w:sz w:val="24"/>
          <w:szCs w:val="24"/>
        </w:rPr>
        <w:t xml:space="preserve"> </w:t>
      </w:r>
      <w:r w:rsidR="00F71286" w:rsidRPr="00F71286">
        <w:rPr>
          <w:rFonts w:eastAsia="Times New Roman"/>
          <w:b/>
          <w:sz w:val="24"/>
          <w:szCs w:val="24"/>
        </w:rPr>
        <w:t>Sandstead-Corona v. Sandstead</w:t>
      </w:r>
      <w:r w:rsidR="00F71286" w:rsidRPr="00F71286">
        <w:rPr>
          <w:rFonts w:eastAsia="Times New Roman"/>
          <w:sz w:val="24"/>
          <w:szCs w:val="24"/>
        </w:rPr>
        <w:t>, 2018 CO 26</w:t>
      </w:r>
      <w:r w:rsidR="000E187F">
        <w:rPr>
          <w:rFonts w:eastAsia="Times New Roman"/>
          <w:sz w:val="24"/>
          <w:szCs w:val="24"/>
        </w:rPr>
        <w:t>, 415 P.3d 310</w:t>
      </w:r>
      <w:r w:rsidR="00F71286" w:rsidRPr="00F71286">
        <w:rPr>
          <w:rFonts w:eastAsia="Times New Roman"/>
          <w:sz w:val="24"/>
          <w:szCs w:val="24"/>
        </w:rPr>
        <w:t xml:space="preserve">; </w:t>
      </w:r>
      <w:r w:rsidR="00C86F05">
        <w:rPr>
          <w:rFonts w:eastAsia="Times New Roman"/>
          <w:sz w:val="24"/>
          <w:szCs w:val="24"/>
        </w:rPr>
        <w:t>s</w:t>
      </w:r>
      <w:r w:rsidR="00F71286" w:rsidRPr="00F71286">
        <w:rPr>
          <w:rFonts w:eastAsia="Times New Roman"/>
          <w:i/>
          <w:sz w:val="24"/>
          <w:szCs w:val="24"/>
        </w:rPr>
        <w:t xml:space="preserve">ee </w:t>
      </w:r>
      <w:r w:rsidR="00F71286" w:rsidRPr="00F71286">
        <w:rPr>
          <w:rFonts w:eastAsia="Times New Roman"/>
          <w:b/>
          <w:sz w:val="24"/>
          <w:szCs w:val="24"/>
        </w:rPr>
        <w:t>In re Estate of Schumacher</w:t>
      </w:r>
      <w:r w:rsidR="00F71286" w:rsidRPr="00F71286">
        <w:rPr>
          <w:rFonts w:eastAsia="Times New Roman"/>
          <w:sz w:val="24"/>
          <w:szCs w:val="24"/>
        </w:rPr>
        <w:t xml:space="preserve">, 253 P.3d </w:t>
      </w:r>
      <w:r w:rsidR="00F71286">
        <w:rPr>
          <w:rFonts w:eastAsia="Times New Roman"/>
          <w:sz w:val="24"/>
          <w:szCs w:val="24"/>
        </w:rPr>
        <w:t>at</w:t>
      </w:r>
      <w:r w:rsidR="00F71286" w:rsidRPr="00F71286">
        <w:rPr>
          <w:rFonts w:eastAsia="Times New Roman"/>
          <w:sz w:val="24"/>
          <w:szCs w:val="24"/>
        </w:rPr>
        <w:t xml:space="preserve"> 1282; </w:t>
      </w:r>
      <w:r w:rsidR="00C86F05">
        <w:rPr>
          <w:rFonts w:eastAsia="Times New Roman"/>
          <w:b/>
          <w:sz w:val="24"/>
          <w:szCs w:val="24"/>
        </w:rPr>
        <w:t>In re Estate of</w:t>
      </w:r>
      <w:r w:rsidR="00F71286" w:rsidRPr="00F71286">
        <w:rPr>
          <w:rFonts w:eastAsia="Times New Roman"/>
          <w:b/>
          <w:sz w:val="24"/>
          <w:szCs w:val="24"/>
        </w:rPr>
        <w:t xml:space="preserve"> Haurin</w:t>
      </w:r>
      <w:r w:rsidR="00F71286" w:rsidRPr="00F71286">
        <w:rPr>
          <w:rFonts w:eastAsia="Times New Roman"/>
          <w:sz w:val="24"/>
          <w:szCs w:val="24"/>
        </w:rPr>
        <w:t xml:space="preserve">, </w:t>
      </w:r>
      <w:r w:rsidR="00F71286" w:rsidRPr="00F71286">
        <w:rPr>
          <w:bCs/>
          <w:color w:val="252525"/>
          <w:sz w:val="24"/>
          <w:szCs w:val="24"/>
        </w:rPr>
        <w:t>43 Colo. App. 296, 605 P.2d 65 (1979)</w:t>
      </w:r>
      <w:r w:rsidR="00896032" w:rsidRPr="00896032">
        <w:rPr>
          <w:rFonts w:eastAsia="Times New Roman"/>
          <w:sz w:val="24"/>
          <w:szCs w:val="24"/>
        </w:rPr>
        <w:t>.</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The first and second paragraphs of this instruction are supported by the provisions of section 15-11-507(1)(b).</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For the third paragraph, see the Source and Authority to Instruction 34:3 (defining conscious presence).</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1" w:name="a34_09"/>
      <w:bookmarkEnd w:id="11"/>
      <w:r w:rsidRPr="00896032">
        <w:rPr>
          <w:rFonts w:eastAsia="Times New Roman"/>
          <w:b/>
          <w:sz w:val="24"/>
          <w:szCs w:val="24"/>
        </w:rPr>
        <w:lastRenderedPageBreak/>
        <w:t xml:space="preserve">34:9 </w:t>
      </w:r>
      <w:r w:rsidRPr="00896032">
        <w:rPr>
          <w:rFonts w:eastAsia="Times New Roman"/>
          <w:b/>
          <w:sz w:val="24"/>
          <w:szCs w:val="24"/>
        </w:rPr>
        <w:tab/>
      </w:r>
      <w:r w:rsidRPr="00896032">
        <w:rPr>
          <w:rFonts w:ascii="Times New Roman Bold" w:eastAsia="Times New Roman" w:hAnsi="Times New Roman Bold"/>
          <w:b/>
          <w:caps/>
          <w:sz w:val="24"/>
          <w:szCs w:val="24"/>
        </w:rPr>
        <w:t>Presumption of Revocation of Lost Will or of Will or Part(S) of Will Found Burned, Torn, Cancelled, Obliterated, or Destroyed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“Presumptions” are rules based upon experience or public policy and established in the law to help the jury decide the case.</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by a preponderance of the evidence that the will of </w:t>
      </w:r>
      <w:r w:rsidRPr="00896032">
        <w:rPr>
          <w:rFonts w:eastAsia="Times New Roman"/>
          <w:i/>
          <w:sz w:val="24"/>
          <w:szCs w:val="24"/>
        </w:rPr>
        <w:t>(name of alleged testator)</w:t>
      </w:r>
      <w:r w:rsidRPr="00896032">
        <w:rPr>
          <w:rFonts w:eastAsia="Times New Roman"/>
          <w:b/>
          <w:sz w:val="24"/>
          <w:szCs w:val="24"/>
        </w:rPr>
        <w:t xml:space="preserve"> was last in (his) (her) possession, and after (his) (her) death (the will could not be found) ([the will] [or] [any one or more parts of the will] was found burned, torn, canceled, obliterated, or destroyed), then the law presumes (, and you must find,) that </w:t>
      </w:r>
      <w:r w:rsidRPr="00896032">
        <w:rPr>
          <w:rFonts w:eastAsia="Times New Roman"/>
          <w:i/>
          <w:sz w:val="24"/>
          <w:szCs w:val="24"/>
        </w:rPr>
        <w:t>(name of alleged testator)</w:t>
      </w:r>
      <w:r w:rsidRPr="00896032">
        <w:rPr>
          <w:rFonts w:eastAsia="Times New Roman"/>
          <w:b/>
          <w:sz w:val="24"/>
          <w:szCs w:val="24"/>
        </w:rPr>
        <w:t xml:space="preserve"> revoked (the will) (one or more parts of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(You must consider this presumption together with all the other evidence in the case to determine whether </w:t>
      </w:r>
      <w:r w:rsidRPr="00896032">
        <w:rPr>
          <w:rFonts w:eastAsia="Times New Roman"/>
          <w:i/>
          <w:sz w:val="24"/>
          <w:szCs w:val="24"/>
        </w:rPr>
        <w:t>[name of alleged testator]</w:t>
      </w:r>
      <w:r w:rsidRPr="00896032">
        <w:rPr>
          <w:rFonts w:eastAsia="Times New Roman"/>
          <w:b/>
          <w:sz w:val="24"/>
          <w:szCs w:val="24"/>
        </w:rPr>
        <w:t xml:space="preserve"> revoked [the will] [or] [one or more parts of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this presumption applies, you must determine, from all the evidence, whether </w:t>
      </w:r>
      <w:r w:rsidRPr="00896032">
        <w:rPr>
          <w:rFonts w:eastAsia="Times New Roman"/>
          <w:i/>
          <w:sz w:val="24"/>
          <w:szCs w:val="24"/>
        </w:rPr>
        <w:t>[name of alleged testator]</w:t>
      </w:r>
      <w:r w:rsidRPr="00896032">
        <w:rPr>
          <w:rFonts w:eastAsia="Times New Roman"/>
          <w:b/>
          <w:sz w:val="24"/>
          <w:szCs w:val="24"/>
        </w:rPr>
        <w:t xml:space="preserve"> intended to revoke the entire will or only one or more parts of the will.)</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Use whichever parenthesized and bracketed words and phrases are appropriate to the evidence in the case. Also, omit the parenthesized last paragraph if, based on the evidence in the case, a reasonable jury could only find that the will had been lost, or could only find (a) that the entire will had been revoked by burning, etc. or (b) that a part or parts of it had been so revoked.</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This instruction should not be given unless there is sufficient evidence from which a reasonable jury could reasonably find the basic facts of the presumption, for example, possession by the testator, etc., to be proved.</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See the Notes on Use to Instruction 3:5 (permissible inference arising from rebuttable presumption). As explained there, if there is evidence to support the basic facts of the presumption, but there is no or insufficient evidence rebutting the presumed fact, then the parenthesized clause, “and you must find,” in the second paragraph must be given and the parenthesized third paragraph must be omitted. On the other hand, if there is sufficient rebutting evidence (and assuming the presumption covered by this instruction is one that stays in the case as “some evidence,” even when rebutted, see the Notes on Use to Instruction 3:5), the parenthesized clause, “and you must find,” should be omitted, and the parenthesized third paragraph must be given.</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4. Under both CRE 301, and section 15-12-407, C.R.S., the presumption set out in this instruction does not shift the burden of disproving the presumed fact to the opponent of the presumption. For a discussion of CRE 301, see Notes 1-7 of the Notes on Use to Instruction 3:5. </w:t>
      </w:r>
      <w:r w:rsidRPr="00896032">
        <w:rPr>
          <w:rFonts w:eastAsia="Times New Roman"/>
          <w:sz w:val="24"/>
          <w:szCs w:val="24"/>
        </w:rPr>
        <w:lastRenderedPageBreak/>
        <w:t>Under section 15-12-407, a party has “the ultimate burden of persuasion as to matters with respect to which [that party has] the initial burden of proof.”</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A decedent does not need to have had exclusive possession of the torn or canceled will for this presumption to apply. </w:t>
      </w:r>
      <w:r w:rsidRPr="00896032">
        <w:rPr>
          <w:rFonts w:eastAsia="Times New Roman"/>
          <w:b/>
          <w:sz w:val="24"/>
          <w:szCs w:val="24"/>
        </w:rPr>
        <w:t>In re Estate of Schumacher</w:t>
      </w:r>
      <w:r w:rsidRPr="00896032">
        <w:rPr>
          <w:rFonts w:eastAsia="Times New Roman"/>
          <w:sz w:val="24"/>
          <w:szCs w:val="24"/>
        </w:rPr>
        <w:t>, 253 P.3d 1280 (Colo. App. 2011) (will was in decedent’s possession when it was found in a box of personal records decedent sent to his secretary to store in her garage six months before his death).</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“[A] testator’s cancellation of a duplicate original or fully executed carbon copy of a will which is in the testator’s possession at his death raises a presumption that the testator intended to cancel the other duplicate original or the original will in the possession of another. . . . [Such] presumption, as other evidentiary presumptions, may be rebutted by evidence.” </w:t>
      </w:r>
      <w:r w:rsidRPr="00896032">
        <w:rPr>
          <w:rFonts w:eastAsia="Times New Roman"/>
          <w:b/>
          <w:sz w:val="24"/>
          <w:szCs w:val="24"/>
        </w:rPr>
        <w:t>In re Estate of Tong</w:t>
      </w:r>
      <w:r w:rsidRPr="00896032">
        <w:rPr>
          <w:rFonts w:eastAsia="Times New Roman"/>
          <w:sz w:val="24"/>
          <w:szCs w:val="24"/>
        </w:rPr>
        <w:t>, 619 P.2d 91, 92 (Colo. App. 1980). When the evidence is sufficient to support the application of this rule, this instruction must be appropriately modified.</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This instruction is supported by section 15-11-507(1)(b), C.R.S.; </w:t>
      </w:r>
      <w:r w:rsidRPr="00896032">
        <w:rPr>
          <w:rFonts w:eastAsia="Times New Roman"/>
          <w:b/>
          <w:sz w:val="24"/>
          <w:szCs w:val="24"/>
        </w:rPr>
        <w:t>Hoff v. Armbruster</w:t>
      </w:r>
      <w:r w:rsidRPr="00896032">
        <w:rPr>
          <w:rFonts w:eastAsia="Times New Roman"/>
          <w:sz w:val="24"/>
          <w:szCs w:val="24"/>
        </w:rPr>
        <w:t xml:space="preserve">, 122 Colo. 563, 568, 226 P.2d 312, 314 (1950) (“‘Where a will which cannot be found following the death of the testator is shown to have been in his possession when last seen, the presumption is, in the absence of other evidence, that he destroyed it </w:t>
      </w:r>
      <w:r w:rsidRPr="00896032">
        <w:rPr>
          <w:rFonts w:eastAsia="Times New Roman"/>
          <w:i/>
          <w:sz w:val="24"/>
          <w:szCs w:val="24"/>
        </w:rPr>
        <w:t>animo revocandi</w:t>
      </w:r>
      <w:r w:rsidRPr="00896032">
        <w:rPr>
          <w:rFonts w:eastAsia="Times New Roman"/>
          <w:sz w:val="24"/>
          <w:szCs w:val="24"/>
        </w:rPr>
        <w:t xml:space="preserve">.’” (quoting 57 Am. Jur. </w:t>
      </w:r>
      <w:r w:rsidRPr="00896032">
        <w:rPr>
          <w:rFonts w:eastAsia="Times New Roman"/>
          <w:i/>
          <w:sz w:val="24"/>
          <w:szCs w:val="24"/>
        </w:rPr>
        <w:t xml:space="preserve">Wills </w:t>
      </w:r>
      <w:r w:rsidRPr="00896032">
        <w:rPr>
          <w:rFonts w:eastAsia="Times New Roman"/>
          <w:sz w:val="24"/>
          <w:szCs w:val="24"/>
        </w:rPr>
        <w:t xml:space="preserve">§ 549)); and 3 </w:t>
      </w:r>
      <w:r w:rsidRPr="00896032">
        <w:rPr>
          <w:rFonts w:eastAsia="Times New Roman"/>
          <w:smallCaps/>
          <w:sz w:val="24"/>
          <w:szCs w:val="24"/>
        </w:rPr>
        <w:t>W. Bowe &amp; D. Parker, Page on the Law of Wills</w:t>
      </w:r>
      <w:r w:rsidRPr="00896032">
        <w:rPr>
          <w:rFonts w:eastAsia="Times New Roman"/>
          <w:sz w:val="24"/>
          <w:szCs w:val="24"/>
        </w:rPr>
        <w:t xml:space="preserve"> § 29.139 (presumption where will is missing) and § 29.140 (presumption where will is torn, canceled) (rev. ed. 2004).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Perry</w:t>
      </w:r>
      <w:r w:rsidRPr="00896032">
        <w:rPr>
          <w:rFonts w:eastAsia="Times New Roman"/>
          <w:sz w:val="24"/>
          <w:szCs w:val="24"/>
        </w:rPr>
        <w:t>, 33 P.3d 1235 (Colo. App. 2001).</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2" w:name="a34_10"/>
      <w:bookmarkEnd w:id="12"/>
      <w:r>
        <w:rPr>
          <w:rFonts w:eastAsia="Times New Roman"/>
          <w:b/>
          <w:sz w:val="24"/>
          <w:szCs w:val="24"/>
        </w:rPr>
        <w:lastRenderedPageBreak/>
        <w:t>34:10</w:t>
      </w:r>
      <w:r w:rsidRPr="00896032">
        <w:rPr>
          <w:rFonts w:eastAsia="Times New Roman"/>
          <w:b/>
          <w:sz w:val="24"/>
          <w:szCs w:val="24"/>
        </w:rPr>
        <w:tab/>
      </w:r>
      <w:r w:rsidRPr="00896032">
        <w:rPr>
          <w:rFonts w:ascii="Times New Roman Bold" w:eastAsia="Times New Roman" w:hAnsi="Times New Roman Bold"/>
          <w:b/>
          <w:caps/>
          <w:sz w:val="24"/>
          <w:szCs w:val="24"/>
        </w:rPr>
        <w:t>Burden of Proof On Issues of Sound Mind and Memory (Testamentary Capacity) and Undue Influence</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No separate instruction to be given.</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Instructions 34:11 and 34:14, when applicable, and the last paragraphs of Instructions 34:2, 34:5, and 34:6, when applicable, adequately inform the jury of the burden of proof with regard to the affirmative defenses of lack of testamentary capacity or the existence of undue influence.</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3" w:name="a34_11"/>
      <w:bookmarkEnd w:id="13"/>
      <w:r w:rsidRPr="00896032">
        <w:rPr>
          <w:rFonts w:eastAsia="Times New Roman"/>
          <w:b/>
          <w:sz w:val="24"/>
          <w:szCs w:val="24"/>
        </w:rPr>
        <w:lastRenderedPageBreak/>
        <w:t xml:space="preserve">34:11 </w:t>
      </w:r>
      <w:r w:rsidRPr="00896032">
        <w:rPr>
          <w:rFonts w:eastAsia="Times New Roman"/>
          <w:b/>
          <w:sz w:val="24"/>
          <w:szCs w:val="24"/>
        </w:rPr>
        <w:tab/>
      </w:r>
      <w:r w:rsidRPr="00896032">
        <w:rPr>
          <w:rFonts w:ascii="Times New Roman Bold" w:eastAsia="Times New Roman" w:hAnsi="Times New Roman Bold"/>
          <w:b/>
          <w:caps/>
          <w:sz w:val="24"/>
          <w:szCs w:val="24"/>
        </w:rPr>
        <w:t>Testamentary Capacity and Sound Mind — Defined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will that was signed when the person making the will did not have testamentary capacity is not valid and may not be admitted to probate. (</w:t>
      </w:r>
      <w:r w:rsidRPr="00896032">
        <w:rPr>
          <w:rFonts w:eastAsia="Times New Roman"/>
          <w:i/>
          <w:sz w:val="24"/>
          <w:szCs w:val="24"/>
        </w:rPr>
        <w:t>Name of alleged testator)</w:t>
      </w:r>
      <w:r w:rsidRPr="00896032">
        <w:rPr>
          <w:rFonts w:eastAsia="Times New Roman"/>
          <w:b/>
          <w:sz w:val="24"/>
          <w:szCs w:val="24"/>
        </w:rPr>
        <w:t xml:space="preserve"> did not have testamentary capacity if (he) (she) (was not eighteen years of age or older) (or) (was not of sound mind) when the will was signed.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is not of sound mind if, when signing a will, [(he) (she) was suffering from an insane delusion that affected or influenced (his) (her) decisions regarding property included in the will] [or] [the person does not understand all of the following:</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1. That (he) (she) is making a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2. The nature and extent of the property (he) (she) owns;</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3. How that property will be distributed under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4. That the will distributes the property as (he) (she) wishes; and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5. Those persons who would normally receive (his) (her) property.])</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When the issue of lack of testamentary capacity has been properly put in issue, this instruction should be given in conjunction with Instruction 34:2, 34:5, or 34:6.</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Use whichever parenthesized and bracketed portions of the instruction are appropriate in light of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3. For the definition of “insane delusion,” see Instruction 34:12.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89 P.3d 521 (Colo. App. 2004).</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4. An objector to a will may challenge a testator’s capacity based on either or both tests for “sound mind” set out in this instruction and in Instruction 34:12.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992 P.2d 1167 (Colo. 2000) (discussing both tests).</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For a discussion as to the specific knowledge a testator must have to be deemed to know the “nature and extent” of his or her property, see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126 P.3d 228 (Colo. App. 2005).</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1. This instruction is supported by section 15-11-501, C.R.S. (to have testamentary capacity the testator must have been of sound mind and eighteen years of age or more). </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2. The definition of “sound mind” is based on </w:t>
      </w:r>
      <w:r w:rsidRPr="00896032">
        <w:rPr>
          <w:rFonts w:eastAsia="Times New Roman"/>
          <w:b/>
          <w:sz w:val="24"/>
          <w:szCs w:val="24"/>
        </w:rPr>
        <w:t>Cunningham v. Stender</w:t>
      </w:r>
      <w:r w:rsidRPr="00896032">
        <w:rPr>
          <w:rFonts w:eastAsia="Times New Roman"/>
          <w:sz w:val="24"/>
          <w:szCs w:val="24"/>
        </w:rPr>
        <w:t xml:space="preserve">, 127 Colo. 293, 255 P.2d 977 (1953), and reaffirmed in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 xml:space="preserve">, 992 P.2d at 1170; </w:t>
      </w:r>
      <w:r w:rsidRPr="00896032">
        <w:rPr>
          <w:rFonts w:eastAsia="Times New Roman"/>
          <w:b/>
          <w:sz w:val="24"/>
          <w:szCs w:val="24"/>
        </w:rPr>
        <w:t xml:space="preserve">In re Estate </w:t>
      </w:r>
      <w:r w:rsidRPr="00896032">
        <w:rPr>
          <w:rFonts w:eastAsia="Times New Roman"/>
          <w:b/>
          <w:sz w:val="24"/>
          <w:szCs w:val="24"/>
        </w:rPr>
        <w:lastRenderedPageBreak/>
        <w:t>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126 P.3d at 230-31; and </w:t>
      </w:r>
      <w:r w:rsidRPr="00896032">
        <w:rPr>
          <w:rFonts w:eastAsia="Times New Roman"/>
          <w:b/>
          <w:sz w:val="24"/>
          <w:szCs w:val="24"/>
        </w:rPr>
        <w:t>In re Estate of Scott</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119 P.3d 511 (Colo. App. 2004), </w:t>
      </w:r>
      <w:r w:rsidRPr="00896032">
        <w:rPr>
          <w:rFonts w:eastAsia="Times New Roman"/>
          <w:i/>
          <w:sz w:val="24"/>
          <w:szCs w:val="24"/>
        </w:rPr>
        <w:t xml:space="preserve">aff’d on other grounds sub nom. </w:t>
      </w:r>
      <w:r w:rsidRPr="00896032">
        <w:rPr>
          <w:rFonts w:eastAsia="Times New Roman"/>
          <w:b/>
          <w:sz w:val="24"/>
          <w:szCs w:val="24"/>
        </w:rPr>
        <w:t>Scott v. Scott</w:t>
      </w:r>
      <w:r w:rsidRPr="00896032">
        <w:rPr>
          <w:rFonts w:eastAsia="Times New Roman"/>
          <w:sz w:val="24"/>
          <w:szCs w:val="24"/>
        </w:rPr>
        <w:t>, 136 P.3d 892</w:t>
      </w:r>
      <w:r w:rsidRPr="00896032">
        <w:rPr>
          <w:rFonts w:eastAsia="Times New Roman"/>
          <w:b/>
          <w:sz w:val="24"/>
          <w:szCs w:val="24"/>
        </w:rPr>
        <w:t xml:space="preserve"> </w:t>
      </w:r>
      <w:r w:rsidRPr="00896032">
        <w:rPr>
          <w:rFonts w:eastAsia="Times New Roman"/>
          <w:sz w:val="24"/>
          <w:szCs w:val="24"/>
        </w:rPr>
        <w:t xml:space="preserve">(Colo. 2006).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 89 P.3d 521 (Colo. App. 2004).</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The burden of proving lack of testamentary capacity is on the contestant. § 15-12-407, C.R.S.</w:t>
      </w:r>
    </w:p>
    <w:p w:rsidR="00896032" w:rsidRDefault="00896032">
      <w:pPr>
        <w:rPr>
          <w:rFonts w:eastAsia="Times New Roman"/>
          <w:sz w:val="24"/>
          <w:szCs w:val="24"/>
        </w:rPr>
      </w:pPr>
      <w:r>
        <w:rPr>
          <w:rFonts w:eastAsia="Times New Roman"/>
          <w:sz w:val="24"/>
          <w:szCs w:val="24"/>
        </w:rPr>
        <w:br w:type="page"/>
      </w:r>
    </w:p>
    <w:p w:rsidR="00896032" w:rsidRPr="009E3DA4" w:rsidRDefault="00D81D01" w:rsidP="00896032">
      <w:pPr>
        <w:spacing w:after="240"/>
        <w:ind w:left="720" w:hanging="720"/>
        <w:rPr>
          <w:rFonts w:eastAsia="Times New Roman"/>
          <w:b/>
          <w:sz w:val="24"/>
          <w:szCs w:val="24"/>
        </w:rPr>
      </w:pPr>
      <w:bookmarkStart w:id="14" w:name="a34_12"/>
      <w:bookmarkEnd w:id="14"/>
      <w:r w:rsidRPr="00D81D01">
        <w:rPr>
          <w:rFonts w:eastAsia="Times New Roman"/>
          <w:b/>
          <w:sz w:val="24"/>
          <w:szCs w:val="24"/>
        </w:rPr>
        <w:lastRenderedPageBreak/>
        <w:t xml:space="preserve">34:12 </w:t>
      </w:r>
      <w:r w:rsidRPr="00D81D01">
        <w:rPr>
          <w:rFonts w:eastAsia="Times New Roman"/>
          <w:b/>
          <w:sz w:val="24"/>
          <w:szCs w:val="24"/>
        </w:rPr>
        <w:tab/>
      </w:r>
      <w:r w:rsidRPr="00D81D01">
        <w:rPr>
          <w:rFonts w:ascii="Times New Roman Bold" w:eastAsia="Times New Roman" w:hAnsi="Times New Roman Bold"/>
          <w:b/>
          <w:caps/>
          <w:sz w:val="24"/>
          <w:szCs w:val="24"/>
        </w:rPr>
        <w:t>Insane Delusion — Defined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An insane delusion is a persistent belief, resulting from illness or disorder, in the existence or non-existence of something that is contrary to all evidence.</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When appropriate to the evidence, this instruction should be used in conjunction with Instruction 34:11.</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A will is not invalid even though the testator suffered from insane delusions at the time of executing the will if these insane delusions did not materially affect or influence the disposition of property set forth in the will. </w:t>
      </w:r>
      <w:r w:rsidRPr="00D81D01">
        <w:rPr>
          <w:rFonts w:eastAsia="Times New Roman"/>
          <w:b/>
          <w:sz w:val="24"/>
          <w:szCs w:val="24"/>
        </w:rPr>
        <w:t>In re Estate of Breeden</w:t>
      </w:r>
      <w:r w:rsidRPr="00D81D01">
        <w:rPr>
          <w:rFonts w:eastAsia="Times New Roman"/>
          <w:sz w:val="24"/>
          <w:szCs w:val="24"/>
        </w:rPr>
        <w:t>, 992 P.2d 1167 (Colo. 2000).</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In re Estate of Breeden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992 P.2d 1170-71;</w:t>
      </w:r>
      <w:r w:rsidRPr="00D81D01">
        <w:rPr>
          <w:rFonts w:eastAsia="Times New Roman"/>
          <w:i/>
          <w:sz w:val="24"/>
          <w:szCs w:val="24"/>
        </w:rPr>
        <w:t xml:space="preserve"> </w:t>
      </w:r>
      <w:r w:rsidRPr="00D81D01">
        <w:rPr>
          <w:rFonts w:eastAsia="Times New Roman"/>
          <w:sz w:val="24"/>
          <w:szCs w:val="24"/>
        </w:rPr>
        <w:t xml:space="preserve">and </w:t>
      </w:r>
      <w:r w:rsidRPr="00D81D01">
        <w:rPr>
          <w:rFonts w:eastAsia="Times New Roman"/>
          <w:b/>
          <w:sz w:val="24"/>
          <w:szCs w:val="24"/>
        </w:rPr>
        <w:t>In re Estate of Romero</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126 P.3d 228 (Colo. App. 2005).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In re Estate of McCrone</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106 Colo. 69, 101 P.2d 25 (1940) (an adjudication of mental incompetency is evidence of lack of a sound mind and memory but is not conclusive evidence of incapacity); </w:t>
      </w:r>
      <w:r w:rsidRPr="00D81D01">
        <w:rPr>
          <w:rFonts w:eastAsia="Times New Roman"/>
          <w:b/>
          <w:sz w:val="24"/>
          <w:szCs w:val="24"/>
        </w:rPr>
        <w:t>In re Estate of Cole</w:t>
      </w:r>
      <w:r w:rsidRPr="00D81D01">
        <w:rPr>
          <w:rFonts w:eastAsia="Times New Roman"/>
          <w:sz w:val="24"/>
          <w:szCs w:val="24"/>
        </w:rPr>
        <w:t>, 75 Colo. 264, 226 P. 143 (1924).</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5" w:name="a34_13"/>
      <w:bookmarkEnd w:id="15"/>
      <w:r w:rsidRPr="00D81D01">
        <w:rPr>
          <w:rFonts w:eastAsia="Times New Roman"/>
          <w:b/>
          <w:sz w:val="24"/>
          <w:szCs w:val="24"/>
        </w:rPr>
        <w:lastRenderedPageBreak/>
        <w:t xml:space="preserve">34:13 </w:t>
      </w:r>
      <w:r w:rsidRPr="00D81D01">
        <w:rPr>
          <w:rFonts w:eastAsia="Times New Roman"/>
          <w:b/>
          <w:sz w:val="24"/>
          <w:szCs w:val="24"/>
        </w:rPr>
        <w:tab/>
      </w:r>
      <w:r w:rsidRPr="00D81D01">
        <w:rPr>
          <w:rFonts w:ascii="Times New Roman Bold" w:eastAsia="Times New Roman" w:hAnsi="Times New Roman Bold"/>
          <w:b/>
          <w:caps/>
          <w:sz w:val="24"/>
          <w:szCs w:val="24"/>
        </w:rPr>
        <w:t>Effect of Attestation of Will by Witnesses</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No separate instruction to be given.</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In most if not all instances, an instruction on this subject would be an improper comment on the evidence.</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6" w:name="a34_14"/>
      <w:bookmarkEnd w:id="16"/>
      <w:r w:rsidRPr="00D81D01">
        <w:rPr>
          <w:rFonts w:eastAsia="Times New Roman"/>
          <w:b/>
          <w:sz w:val="24"/>
          <w:szCs w:val="24"/>
        </w:rPr>
        <w:lastRenderedPageBreak/>
        <w:t xml:space="preserve">34:14 </w:t>
      </w:r>
      <w:r w:rsidRPr="00D81D01">
        <w:rPr>
          <w:rFonts w:eastAsia="Times New Roman"/>
          <w:b/>
          <w:sz w:val="24"/>
          <w:szCs w:val="24"/>
        </w:rPr>
        <w:tab/>
      </w:r>
      <w:r w:rsidRPr="00D81D01">
        <w:rPr>
          <w:rFonts w:ascii="Times New Roman Bold" w:eastAsia="Times New Roman" w:hAnsi="Times New Roman Bold"/>
          <w:b/>
          <w:caps/>
          <w:sz w:val="24"/>
          <w:szCs w:val="24"/>
        </w:rPr>
        <w:t>Undue Influence — Defined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Undue influence means words or conduct, or both, which, at the time of the making of a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Deprived the person making the will of (his) (her) free choice; and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2. Caused the person making the will to make it or part of it differently than (he) (she) otherwise would have.</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Use whichever parenthesized words are most appropriate.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This instruction should be given in conjunction with Instruction 34:2, 34:5, or 34:6, whenever it is claimed (and there is sufficient supporting evidence) that the entire will or codicil is invalid because it was executed in its entirety while the testator was under undue influence. This instruction may also be used when only a part of the will is claimed to be invalid because of undue influence.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When this instruction is given, Instruction 34:15 (factors to be considered in determining undue influence) must also be given, and either Instruction 34:16 (presumption of undue influence when beneficiary in a confidential or fiduciary relationship) or Instruction 34:17 (inference of undue influence, when presumption of undue influence is rebutted) may be appropriate.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4. The burden of proof on the issue of undue influence is on the contestant. § 15-12-407, C.R.S.</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smallCaps/>
          <w:sz w:val="24"/>
          <w:szCs w:val="24"/>
        </w:rPr>
        <w:t>T. Atkinson, Wills</w:t>
      </w:r>
      <w:r w:rsidRPr="00D81D01">
        <w:rPr>
          <w:rFonts w:eastAsia="Times New Roman"/>
          <w:sz w:val="24"/>
          <w:szCs w:val="24"/>
        </w:rPr>
        <w:t xml:space="preserve"> § 55 (2d ed. 1953).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Scott v. Leonard</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117 Colo. 54, 184 P.2d 138 (1947) (no undue influence found); </w:t>
      </w:r>
      <w:r w:rsidRPr="00D81D01">
        <w:rPr>
          <w:rFonts w:eastAsia="Times New Roman"/>
          <w:b/>
          <w:sz w:val="24"/>
          <w:szCs w:val="24"/>
        </w:rPr>
        <w:t>Snodgrass v. Smith</w:t>
      </w:r>
      <w:r w:rsidRPr="00D81D01">
        <w:rPr>
          <w:rFonts w:eastAsia="Times New Roman"/>
          <w:sz w:val="24"/>
          <w:szCs w:val="24"/>
        </w:rPr>
        <w:t xml:space="preserve">, 42 Colo. 60, 94 P. 312 (1908) (possible to have partially valid will);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28 Colo. 167, 63 P. 413 (1900) (no undue influence found).</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7" w:name="a34_15"/>
      <w:bookmarkEnd w:id="17"/>
      <w:r w:rsidRPr="00D81D01">
        <w:rPr>
          <w:rFonts w:eastAsia="Times New Roman"/>
          <w:b/>
          <w:sz w:val="24"/>
          <w:szCs w:val="24"/>
        </w:rPr>
        <w:lastRenderedPageBreak/>
        <w:t xml:space="preserve">34:15 </w:t>
      </w:r>
      <w:r w:rsidRPr="00D81D01">
        <w:rPr>
          <w:rFonts w:eastAsia="Times New Roman"/>
          <w:b/>
          <w:sz w:val="24"/>
          <w:szCs w:val="24"/>
        </w:rPr>
        <w:tab/>
      </w:r>
      <w:r w:rsidRPr="00D81D01">
        <w:rPr>
          <w:rFonts w:ascii="Times New Roman Bold" w:eastAsia="Times New Roman" w:hAnsi="Times New Roman Bold"/>
          <w:b/>
          <w:caps/>
          <w:sz w:val="24"/>
          <w:szCs w:val="24"/>
        </w:rPr>
        <w:t>Factors to Be Considered in Determining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Undue influence cannot be inferred solely because one or more persons may have had a motive or an opportunity to influence </w:t>
      </w:r>
      <w:r w:rsidRPr="00D81D01">
        <w:rPr>
          <w:rFonts w:eastAsia="Times New Roman"/>
          <w:i/>
          <w:sz w:val="24"/>
          <w:szCs w:val="24"/>
        </w:rPr>
        <w:t>(name of alleged testator)</w:t>
      </w:r>
      <w:r w:rsidRPr="00D81D01">
        <w:rPr>
          <w:rFonts w:eastAsia="Times New Roman"/>
          <w:b/>
          <w:sz w:val="24"/>
          <w:szCs w:val="24"/>
        </w:rPr>
        <w:t xml:space="preserve"> in the making of (his) (her)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Influence gained by reason of love, affection or kindness, or by appeals to such feelings, is not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You may consider the provisions in the will in determining whether or not </w:t>
      </w:r>
      <w:r w:rsidRPr="00D81D01">
        <w:rPr>
          <w:rFonts w:eastAsia="Times New Roman"/>
          <w:i/>
          <w:sz w:val="24"/>
          <w:szCs w:val="24"/>
        </w:rPr>
        <w:t>(name of alleged testator)</w:t>
      </w:r>
      <w:r w:rsidRPr="00D81D01">
        <w:rPr>
          <w:rFonts w:eastAsia="Times New Roman"/>
          <w:b/>
          <w:sz w:val="24"/>
          <w:szCs w:val="24"/>
        </w:rPr>
        <w:t xml:space="preserve"> was acting under undue influence at the time (he) (she) made the (claimed) will. However, in considering any particular provisions in the (claimed) will, you must consider them along with all the other provisions in the will and along with all other evidence relating to the making of the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 person (18 years or older and) (of sound mind and) not acting under undue influence may will his or her property to whomever he or she desires. The fact that a will may contain provisions that differ from your idea of what would be proper is not enough to invalidate the will for undue influence.</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This cautionary instruction should be given with Instruction 34:14 when undue influence is in issue. Either Instruction 34:16 (presumption of undue influence when beneficiary in a confidential or fiduciary relationship) or Instruction 34:17 (inference of undue influence, when presumption of undue influence is rebutted) may also be appropriate.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The second paragraph should be omitted if there is no evidence in the case relating to the matters covered by it.</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3. Omit the parenthesized word “claimed” if the only dispute going to the validity of the will is undue influence.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4. Because the burden of proving lack of testamentary capacity is on the contestant, § 15-12-407, C.R.S., the parenthetical references to testamentary capacity (age and sound mind) in the last paragraph should not be given unless either or both these matters have, in addition to undue influence, been properly put in issue by the contestant. Their inclusion otherwise in this instruction might improperly confuse the jury by suggesting the proponent has the burden of proving those elements of testamentary capacity.</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Scott v. Leonard</w:t>
      </w:r>
      <w:r w:rsidRPr="00D81D01">
        <w:rPr>
          <w:rFonts w:eastAsia="Times New Roman"/>
          <w:sz w:val="24"/>
          <w:szCs w:val="24"/>
        </w:rPr>
        <w:t xml:space="preserve">, 117 Colo. 54, 184 P.2d 138 (1947) (states the rule set out in the first paragraph); </w:t>
      </w:r>
      <w:r w:rsidRPr="00D81D01">
        <w:rPr>
          <w:rFonts w:eastAsia="Times New Roman"/>
          <w:b/>
          <w:sz w:val="24"/>
          <w:szCs w:val="24"/>
        </w:rPr>
        <w:t>In re Estate of Rentfro</w:t>
      </w:r>
      <w:r w:rsidRPr="00D81D01">
        <w:rPr>
          <w:rFonts w:eastAsia="Times New Roman"/>
          <w:sz w:val="24"/>
          <w:szCs w:val="24"/>
        </w:rPr>
        <w:t xml:space="preserve">, 102 Colo. 400, 79 P.2d 1042 (1938) (mere kindness of treatment, or reasonable solicitation, entreaty or persuasion not sufficient to invalidate a will); </w:t>
      </w:r>
      <w:r w:rsidRPr="00D81D01">
        <w:rPr>
          <w:rFonts w:eastAsia="Times New Roman"/>
          <w:b/>
          <w:sz w:val="24"/>
          <w:szCs w:val="24"/>
        </w:rPr>
        <w:t>Lamborn v. Kirkpatrick</w:t>
      </w:r>
      <w:r w:rsidRPr="00D81D01">
        <w:rPr>
          <w:rFonts w:eastAsia="Times New Roman"/>
          <w:sz w:val="24"/>
          <w:szCs w:val="24"/>
        </w:rPr>
        <w:t xml:space="preserve">, 97 Colo. 421, 50 P.2d 542 (1935) (if proponent and testator were living in unlawful cohabitation, proponent must show such </w:t>
      </w:r>
      <w:r w:rsidRPr="00D81D01">
        <w:rPr>
          <w:rFonts w:eastAsia="Times New Roman"/>
          <w:sz w:val="24"/>
          <w:szCs w:val="24"/>
        </w:rPr>
        <w:lastRenderedPageBreak/>
        <w:t xml:space="preserve">relationship was not used to influence the will); </w:t>
      </w:r>
      <w:r w:rsidRPr="00D81D01">
        <w:rPr>
          <w:rFonts w:eastAsia="Times New Roman"/>
          <w:b/>
          <w:sz w:val="24"/>
          <w:szCs w:val="24"/>
        </w:rPr>
        <w:t>Aquilini v. Chamblin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94 Colo. 367, 30 P.2d 325 (1934) (supports the second and fourth paragraphs); </w:t>
      </w:r>
      <w:r w:rsidRPr="00D81D01">
        <w:rPr>
          <w:rFonts w:eastAsia="Times New Roman"/>
          <w:b/>
          <w:sz w:val="24"/>
          <w:szCs w:val="24"/>
        </w:rPr>
        <w:t>Piggott v. Schachet</w:t>
      </w:r>
      <w:r w:rsidRPr="00D81D01">
        <w:rPr>
          <w:rFonts w:eastAsia="Times New Roman"/>
          <w:sz w:val="24"/>
          <w:szCs w:val="24"/>
        </w:rPr>
        <w:t xml:space="preserve">, 76 Colo. 434, 232 P. 1112 (1925) (states the rule set out in the first paragraph); </w:t>
      </w:r>
      <w:r w:rsidRPr="00D81D01">
        <w:rPr>
          <w:rFonts w:eastAsia="Times New Roman"/>
          <w:b/>
          <w:sz w:val="24"/>
          <w:szCs w:val="24"/>
        </w:rPr>
        <w:t>Davis v. Davis</w:t>
      </w:r>
      <w:r w:rsidRPr="00D81D01">
        <w:rPr>
          <w:rFonts w:eastAsia="Times New Roman"/>
          <w:sz w:val="24"/>
          <w:szCs w:val="24"/>
        </w:rPr>
        <w:t xml:space="preserve">, 64 Colo. 62, 170 P. 208 (1917) (supports the fourth paragraph); </w:t>
      </w:r>
      <w:r w:rsidRPr="00D81D01">
        <w:rPr>
          <w:rFonts w:eastAsia="Times New Roman"/>
          <w:b/>
          <w:sz w:val="24"/>
          <w:szCs w:val="24"/>
        </w:rPr>
        <w:t>Lehman v. Lindenmeyer</w:t>
      </w:r>
      <w:r w:rsidRPr="00D81D01">
        <w:rPr>
          <w:rFonts w:eastAsia="Times New Roman"/>
          <w:sz w:val="24"/>
          <w:szCs w:val="24"/>
        </w:rPr>
        <w:t xml:space="preserve">, 48 Colo. 305, 109 P. 956 (1909) (same); </w:t>
      </w:r>
      <w:r w:rsidRPr="00D81D01">
        <w:rPr>
          <w:rFonts w:eastAsia="Times New Roman"/>
          <w:b/>
          <w:sz w:val="24"/>
          <w:szCs w:val="24"/>
        </w:rPr>
        <w:t>Snodgrass v. Smith</w:t>
      </w:r>
      <w:r w:rsidRPr="00D81D01">
        <w:rPr>
          <w:rFonts w:eastAsia="Times New Roman"/>
          <w:sz w:val="24"/>
          <w:szCs w:val="24"/>
        </w:rPr>
        <w:t xml:space="preserve">, 42 Colo. 60, 94 P. 312 (1908) (the burden of showing undue influence is on the one who asserts it, and an opportunity to exert undue influence in itself creates no presumption of undue influence);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28 Colo. 167, 63 P. 413 (1900) (states the rules set out in the first and fourth paragraphs); and </w:t>
      </w:r>
      <w:r w:rsidRPr="00D81D01">
        <w:rPr>
          <w:rFonts w:eastAsia="Times New Roman"/>
          <w:b/>
          <w:sz w:val="24"/>
          <w:szCs w:val="24"/>
        </w:rPr>
        <w:t>Blackman v. Edsall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17 Colo. App. 429, 68 P. 790 (1902) (supports the second paragraph and lists other matters for jury to consider).</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8" w:name="a34_16"/>
      <w:bookmarkEnd w:id="18"/>
      <w:r w:rsidRPr="00D81D01">
        <w:rPr>
          <w:rFonts w:eastAsia="Times New Roman"/>
          <w:b/>
          <w:sz w:val="24"/>
          <w:szCs w:val="24"/>
        </w:rPr>
        <w:lastRenderedPageBreak/>
        <w:t xml:space="preserve">34:16 </w:t>
      </w:r>
      <w:r w:rsidRPr="00D81D01">
        <w:rPr>
          <w:rFonts w:eastAsia="Times New Roman"/>
          <w:b/>
          <w:sz w:val="24"/>
          <w:szCs w:val="24"/>
        </w:rPr>
        <w:tab/>
        <w:t>UNDUE INFLUENCE — PRESUMPTION WHEN BENEFICIARY IN A CONFIDENTIAL OR FIDUCIARY RELATIONSHIP</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[Deleted.]</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former instruction is incorrect under </w:t>
      </w:r>
      <w:r w:rsidRPr="00D81D01">
        <w:rPr>
          <w:rFonts w:eastAsia="Times New Roman"/>
          <w:b/>
          <w:sz w:val="24"/>
          <w:szCs w:val="24"/>
        </w:rPr>
        <w:t>Krueger v. Ary</w:t>
      </w:r>
      <w:r w:rsidRPr="00D81D01">
        <w:rPr>
          <w:rFonts w:eastAsia="Times New Roman"/>
          <w:sz w:val="24"/>
          <w:szCs w:val="24"/>
        </w:rPr>
        <w:t xml:space="preserve">, 205 P.3d 1150 (Colo. 2009), and should not be given. In </w:t>
      </w:r>
      <w:r w:rsidRPr="00D81D01">
        <w:rPr>
          <w:rFonts w:eastAsia="Times New Roman"/>
          <w:b/>
          <w:sz w:val="24"/>
          <w:szCs w:val="24"/>
        </w:rPr>
        <w:t>Krueger</w:t>
      </w:r>
      <w:r w:rsidRPr="00D81D01">
        <w:rPr>
          <w:rFonts w:eastAsia="Times New Roman"/>
          <w:sz w:val="24"/>
          <w:szCs w:val="24"/>
        </w:rPr>
        <w:t xml:space="preserve">, the Supreme Court held that the rebuttable presumption of undue influence due to a confidential or fiduciary relationship “shifts only the burden of going forward with evidence, and does not shift the entire burden of proof.” </w:t>
      </w:r>
      <w:r w:rsidRPr="00D81D01">
        <w:rPr>
          <w:rFonts w:eastAsia="Times New Roman"/>
          <w:i/>
          <w:sz w:val="24"/>
          <w:szCs w:val="24"/>
        </w:rPr>
        <w:t>Id.</w:t>
      </w:r>
      <w:r w:rsidRPr="00D81D01">
        <w:rPr>
          <w:rFonts w:eastAsia="Times New Roman"/>
          <w:sz w:val="24"/>
          <w:szCs w:val="24"/>
        </w:rPr>
        <w:t xml:space="preserve"> at 1154. The former instruction’s notes on use stated that the instruction was to be “given only if there is no or insufficient evidence rebutting the presumed fact of undue influence.” </w:t>
      </w:r>
      <w:r w:rsidRPr="00D81D01">
        <w:rPr>
          <w:rFonts w:eastAsia="Times New Roman"/>
          <w:b/>
          <w:sz w:val="24"/>
          <w:szCs w:val="24"/>
        </w:rPr>
        <w:t xml:space="preserve">Krueger </w:t>
      </w:r>
      <w:r w:rsidRPr="00D81D01">
        <w:rPr>
          <w:rFonts w:eastAsia="Times New Roman"/>
          <w:sz w:val="24"/>
          <w:szCs w:val="24"/>
        </w:rPr>
        <w:t xml:space="preserve">states, however, that “[a]fter a rebuttable presumption is raised and the burden of going forward is shifted, if the opponent does not meet her burden, the presumption establishes the presumed facts as a matter of law.” </w:t>
      </w:r>
      <w:r w:rsidRPr="00D81D01">
        <w:rPr>
          <w:rFonts w:eastAsia="Times New Roman"/>
          <w:i/>
          <w:sz w:val="24"/>
          <w:szCs w:val="24"/>
        </w:rPr>
        <w:t>Id</w:t>
      </w:r>
      <w:r w:rsidRPr="00D81D01">
        <w:rPr>
          <w:rFonts w:eastAsia="Times New Roman"/>
          <w:sz w:val="24"/>
          <w:szCs w:val="24"/>
        </w:rPr>
        <w:t xml:space="preserve">. at 1156.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In that event, the proper procedure would be either to direct a verdict in whole or in part or to instruct the jury that the fact of undue influence has been established as a matter of law. </w:t>
      </w:r>
      <w:r w:rsidRPr="00D81D01">
        <w:rPr>
          <w:rFonts w:eastAsia="Times New Roman"/>
          <w:i/>
          <w:sz w:val="24"/>
          <w:szCs w:val="24"/>
        </w:rPr>
        <w:t>See</w:t>
      </w:r>
      <w:r w:rsidRPr="00D81D01">
        <w:rPr>
          <w:rFonts w:eastAsia="Times New Roman"/>
          <w:sz w:val="24"/>
          <w:szCs w:val="24"/>
        </w:rPr>
        <w:t xml:space="preserve"> Instruction 2:5 (directed verdict). No jury issue as to the presumed fact would remain. </w:t>
      </w:r>
      <w:r w:rsidRPr="00D81D01">
        <w:rPr>
          <w:rFonts w:eastAsia="Times New Roman"/>
          <w:i/>
          <w:sz w:val="24"/>
          <w:szCs w:val="24"/>
        </w:rPr>
        <w:t>See also</w:t>
      </w:r>
      <w:r w:rsidRPr="00D81D01">
        <w:rPr>
          <w:rFonts w:eastAsia="Times New Roman"/>
          <w:sz w:val="24"/>
          <w:szCs w:val="24"/>
        </w:rPr>
        <w:t xml:space="preserve"> Notes on Use to Instruction 3:5 (permissible inference arising from rebuttable presumption).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t>
      </w:r>
      <w:r w:rsidRPr="00D81D01">
        <w:rPr>
          <w:rFonts w:eastAsia="Times New Roman"/>
          <w:b/>
          <w:sz w:val="24"/>
          <w:szCs w:val="24"/>
        </w:rPr>
        <w:t>Krueger</w:t>
      </w:r>
      <w:r w:rsidRPr="00D81D01">
        <w:rPr>
          <w:rFonts w:eastAsia="Times New Roman"/>
          <w:sz w:val="24"/>
          <w:szCs w:val="24"/>
        </w:rPr>
        <w:t xml:space="preserve"> is consistent with CRE 301 (discussed in the Notes on Use to Instruction 3:5) and the provisions of the Probate Code, which now clearly establish that the presumption shifts to the proponent only the burden of coming forward with rebutting evidence. The presumption does not shift to the proponent the “ultimate” burden of disproving undue influence. § 15-12-407, C.R.S. “Contestants . . . have the burden of establishing . . . undue influence. . . . Parties have the ultimate burden of persuasion as to matters with respect to which they have the initial burden of proof.” </w:t>
      </w:r>
      <w:r w:rsidRPr="00D81D01">
        <w:rPr>
          <w:rFonts w:eastAsia="Times New Roman"/>
          <w:i/>
          <w:sz w:val="24"/>
          <w:szCs w:val="24"/>
        </w:rPr>
        <w:t>Id.</w:t>
      </w:r>
      <w:r w:rsidRPr="00D81D01">
        <w:rPr>
          <w:rFonts w:eastAsia="Times New Roman"/>
          <w:sz w:val="24"/>
          <w:szCs w:val="24"/>
        </w:rPr>
        <w:t>;</w:t>
      </w:r>
      <w:r w:rsidRPr="00D81D01">
        <w:rPr>
          <w:rFonts w:eastAsia="Times New Roman"/>
          <w:i/>
          <w:sz w:val="24"/>
          <w:szCs w:val="24"/>
        </w:rPr>
        <w:t xml:space="preserve"> see also</w:t>
      </w:r>
      <w:r w:rsidRPr="00D81D01">
        <w:rPr>
          <w:rFonts w:eastAsia="Times New Roman"/>
          <w:sz w:val="24"/>
          <w:szCs w:val="24"/>
        </w:rPr>
        <w:t xml:space="preserve"> §§ 15-17-101(1), (2)(b), C.R.S. (applicability of Probate Code to events occurring prior to its adoption);</w:t>
      </w:r>
      <w:r w:rsidRPr="00D81D01">
        <w:rPr>
          <w:rFonts w:eastAsia="Times New Roman"/>
          <w:i/>
          <w:sz w:val="24"/>
          <w:szCs w:val="24"/>
        </w:rPr>
        <w:t xml:space="preserve"> </w:t>
      </w:r>
      <w:r w:rsidRPr="00D81D01">
        <w:rPr>
          <w:rFonts w:eastAsia="Times New Roman"/>
          <w:b/>
          <w:sz w:val="24"/>
          <w:szCs w:val="24"/>
        </w:rPr>
        <w:t>In re Estate of Schlagel</w:t>
      </w:r>
      <w:r w:rsidRPr="00D81D01">
        <w:rPr>
          <w:rFonts w:eastAsia="Times New Roman"/>
          <w:sz w:val="24"/>
          <w:szCs w:val="24"/>
        </w:rPr>
        <w:t>, 89 P.3d 419 (Colo. App. 2003) (any presumption of undue influence arising out of confidential relationship did not shift burden of proof to proponent of will, but only burden of coming forward with evidence rebutting claim of undue influence, and ultimate burden of proof remained with contestants of will).</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4. The opponent of the presumption may meet the burden of rebutting the presumption by producing evidence of the circumstances of the relationship and the transaction, such as evidence of love and trust between the parties, evidence the transaction was not unreasonable, and evidence of opportunity for independent action by the testator.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In re Estate of Schlagel</w:t>
      </w:r>
      <w:r w:rsidRPr="00D81D01">
        <w:rPr>
          <w:rFonts w:eastAsia="Times New Roman"/>
          <w:sz w:val="24"/>
          <w:szCs w:val="24"/>
        </w:rPr>
        <w:t xml:space="preserve">, 89 P.3d at 422 (evidence of trust between parties to transaction and that beneficiary never made demands for property); </w:t>
      </w:r>
      <w:r w:rsidRPr="00D81D01">
        <w:rPr>
          <w:rFonts w:eastAsia="Times New Roman"/>
          <w:b/>
          <w:sz w:val="24"/>
          <w:szCs w:val="24"/>
        </w:rPr>
        <w:t>Arnold v. Abernathy</w:t>
      </w:r>
      <w:r w:rsidRPr="00D81D01">
        <w:rPr>
          <w:rFonts w:eastAsia="Times New Roman"/>
          <w:sz w:val="24"/>
          <w:szCs w:val="24"/>
        </w:rPr>
        <w:t xml:space="preserve">, 134 Colo. 573, 307 P.2d 1106 (1957) (evidence transaction was fair and reasonable), </w:t>
      </w:r>
      <w:r w:rsidRPr="00D81D01">
        <w:rPr>
          <w:rFonts w:eastAsia="Times New Roman"/>
          <w:i/>
          <w:sz w:val="24"/>
          <w:szCs w:val="24"/>
        </w:rPr>
        <w:t>overruled by</w:t>
      </w:r>
      <w:r w:rsidRPr="00D81D01">
        <w:rPr>
          <w:rFonts w:eastAsia="Times New Roman"/>
          <w:sz w:val="24"/>
          <w:szCs w:val="24"/>
        </w:rPr>
        <w:t xml:space="preserve"> </w:t>
      </w:r>
      <w:r w:rsidRPr="00D81D01">
        <w:rPr>
          <w:rFonts w:eastAsia="Times New Roman"/>
          <w:b/>
          <w:sz w:val="24"/>
          <w:szCs w:val="24"/>
        </w:rPr>
        <w:t>Krueger</w:t>
      </w:r>
      <w:r w:rsidRPr="00D81D01">
        <w:rPr>
          <w:rFonts w:eastAsia="Times New Roman"/>
          <w:sz w:val="24"/>
          <w:szCs w:val="24"/>
        </w:rPr>
        <w:t xml:space="preserve">, 205 P.3d at 1155; </w:t>
      </w:r>
      <w:r w:rsidRPr="00D81D01">
        <w:rPr>
          <w:rFonts w:eastAsia="Times New Roman"/>
          <w:b/>
          <w:sz w:val="24"/>
          <w:szCs w:val="24"/>
        </w:rPr>
        <w:t>In re Estate of Romero</w:t>
      </w:r>
      <w:r w:rsidRPr="00D81D01">
        <w:rPr>
          <w:rFonts w:eastAsia="Times New Roman"/>
          <w:sz w:val="24"/>
          <w:szCs w:val="24"/>
        </w:rPr>
        <w:t>, 126 P.3d 228 (Colo. App. 2005) (testator living independent of beneficiary and with access to others at time will executed).</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5. “[W]hether the opponent’s evidence meets the burden is a question of legal sufficiency for the trial court, not a question of fact for the jury.” </w:t>
      </w:r>
      <w:r w:rsidRPr="00D81D01">
        <w:rPr>
          <w:rFonts w:eastAsia="Times New Roman"/>
          <w:b/>
          <w:sz w:val="24"/>
          <w:szCs w:val="24"/>
        </w:rPr>
        <w:t>Krueger</w:t>
      </w:r>
      <w:r w:rsidRPr="00D81D01">
        <w:rPr>
          <w:rFonts w:eastAsia="Times New Roman"/>
          <w:sz w:val="24"/>
          <w:szCs w:val="24"/>
        </w:rPr>
        <w:t>, 205 P.3d at 1154.</w:t>
      </w:r>
      <w:r w:rsidRPr="00D81D01">
        <w:rPr>
          <w:rFonts w:eastAsia="Times New Roman"/>
          <w:b/>
          <w:sz w:val="24"/>
          <w:szCs w:val="24"/>
        </w:rPr>
        <w:t xml:space="preserve"> </w:t>
      </w:r>
      <w:r w:rsidRPr="00D81D01">
        <w:rPr>
          <w:rFonts w:eastAsia="Times New Roman"/>
          <w:sz w:val="24"/>
          <w:szCs w:val="24"/>
        </w:rPr>
        <w:t xml:space="preserve">If the opponent </w:t>
      </w:r>
      <w:r w:rsidRPr="00D81D01">
        <w:rPr>
          <w:rFonts w:eastAsia="Times New Roman"/>
          <w:sz w:val="24"/>
          <w:szCs w:val="24"/>
        </w:rPr>
        <w:lastRenderedPageBreak/>
        <w:t xml:space="preserve">of the presumption meets the burden, “the presumption does not continue in the case.” </w:t>
      </w:r>
      <w:r w:rsidRPr="00D81D01">
        <w:rPr>
          <w:rFonts w:eastAsia="Times New Roman"/>
          <w:i/>
          <w:sz w:val="24"/>
          <w:szCs w:val="24"/>
        </w:rPr>
        <w:t>Id</w:t>
      </w:r>
      <w:r w:rsidRPr="00D81D01">
        <w:rPr>
          <w:rFonts w:eastAsia="Times New Roman"/>
          <w:sz w:val="24"/>
          <w:szCs w:val="24"/>
        </w:rPr>
        <w:t xml:space="preserve">. at 1156. Nonetheless, a permissible inference of the presumed fact of undue influence remains. </w:t>
      </w:r>
      <w:r w:rsidRPr="00D81D01">
        <w:rPr>
          <w:rFonts w:eastAsia="Times New Roman"/>
          <w:i/>
          <w:sz w:val="24"/>
          <w:szCs w:val="24"/>
        </w:rPr>
        <w:t>Id</w:t>
      </w:r>
      <w:r w:rsidRPr="00D81D01">
        <w:rPr>
          <w:rFonts w:eastAsia="Times New Roman"/>
          <w:sz w:val="24"/>
          <w:szCs w:val="24"/>
        </w:rPr>
        <w:t xml:space="preserve">. “Whether the trial court instructs a jury on the permissible inference is within its discretion.” </w:t>
      </w:r>
      <w:r w:rsidRPr="00D81D01">
        <w:rPr>
          <w:rFonts w:eastAsia="Times New Roman"/>
          <w:i/>
          <w:sz w:val="24"/>
          <w:szCs w:val="24"/>
        </w:rPr>
        <w:t>Id</w:t>
      </w:r>
      <w:r w:rsidRPr="00D81D01">
        <w:rPr>
          <w:rFonts w:eastAsia="Times New Roman"/>
          <w:sz w:val="24"/>
          <w:szCs w:val="24"/>
        </w:rPr>
        <w:t xml:space="preserve">. at 1158. If the trial court decides to instruct on the permissible inference, use instruction 34:17. Note, however, that the Supreme Court “disfavor[s] instructions emphasizing specific evidence.” </w:t>
      </w:r>
      <w:r w:rsidRPr="00D81D01">
        <w:rPr>
          <w:rFonts w:eastAsia="Times New Roman"/>
          <w:i/>
          <w:sz w:val="24"/>
          <w:szCs w:val="24"/>
        </w:rPr>
        <w:t>Id</w:t>
      </w:r>
      <w:r w:rsidRPr="00D81D01">
        <w:rPr>
          <w:rFonts w:eastAsia="Times New Roman"/>
          <w:sz w:val="24"/>
          <w:szCs w:val="24"/>
        </w:rPr>
        <w:t xml:space="preserve">. at 1157. </w:t>
      </w:r>
      <w:r w:rsidRPr="00D81D01">
        <w:rPr>
          <w:rFonts w:eastAsia="Times New Roman"/>
          <w:b/>
          <w:sz w:val="24"/>
          <w:szCs w:val="24"/>
        </w:rPr>
        <w:t xml:space="preserve">Krueger </w:t>
      </w:r>
      <w:r w:rsidRPr="00D81D01">
        <w:rPr>
          <w:rFonts w:eastAsia="Times New Roman"/>
          <w:sz w:val="24"/>
          <w:szCs w:val="24"/>
        </w:rPr>
        <w:t xml:space="preserve">sets forth a detailed framework for a trial court to use in deciding whether to instruct on the permissible inference. </w:t>
      </w:r>
      <w:r w:rsidRPr="00D81D01">
        <w:rPr>
          <w:rFonts w:eastAsia="Times New Roman"/>
          <w:i/>
          <w:sz w:val="24"/>
          <w:szCs w:val="24"/>
        </w:rPr>
        <w:t>Id</w:t>
      </w:r>
      <w:r w:rsidRPr="00D81D01">
        <w:rPr>
          <w:rFonts w:eastAsia="Times New Roman"/>
          <w:sz w:val="24"/>
          <w:szCs w:val="24"/>
        </w:rPr>
        <w:t>. at 1157-58.</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9" w:name="a34_17"/>
      <w:bookmarkEnd w:id="19"/>
      <w:r w:rsidRPr="00D81D01">
        <w:rPr>
          <w:rFonts w:eastAsia="Times New Roman"/>
          <w:b/>
          <w:sz w:val="24"/>
          <w:szCs w:val="24"/>
        </w:rPr>
        <w:lastRenderedPageBreak/>
        <w:t>34:17</w:t>
      </w:r>
      <w:r w:rsidRPr="00D81D01">
        <w:rPr>
          <w:rFonts w:eastAsia="Times New Roman"/>
          <w:b/>
          <w:sz w:val="24"/>
          <w:szCs w:val="24"/>
        </w:rPr>
        <w:tab/>
        <w:t>UNDUE INFLUENCE ― PERMISSIBLE INFERENCE WHEN PRESUMPTION OF UNDUE INFLUENCE IS REBUTTED</w:t>
      </w:r>
    </w:p>
    <w:p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You may, but are not required to, draw an inference that the will was signed under undue influence if you find by a preponderance of the evidence that </w:t>
      </w:r>
      <w:r w:rsidRPr="00D81D01">
        <w:rPr>
          <w:rFonts w:eastAsia="Times New Roman"/>
          <w:i/>
          <w:sz w:val="24"/>
          <w:szCs w:val="24"/>
        </w:rPr>
        <w:t>(name of beneficiary claimed to have been in a confidential or fiduciary relationship)</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Was a beneficiary under the will, and</w:t>
      </w:r>
    </w:p>
    <w:p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2. Was in a (confidential) (and) (or) (fiduciary) relationship with </w:t>
      </w:r>
      <w:r w:rsidRPr="00D81D01">
        <w:rPr>
          <w:rFonts w:eastAsia="Times New Roman"/>
          <w:i/>
          <w:sz w:val="24"/>
          <w:szCs w:val="24"/>
        </w:rPr>
        <w:t xml:space="preserve">(name of testator) </w:t>
      </w:r>
      <w:r w:rsidRPr="00D81D01">
        <w:rPr>
          <w:rFonts w:eastAsia="Times New Roman"/>
          <w:b/>
          <w:sz w:val="24"/>
          <w:szCs w:val="24"/>
        </w:rPr>
        <w:t>at the time of the preparation or execution of the will,</w:t>
      </w:r>
      <w:r w:rsidRPr="00D81D01">
        <w:rPr>
          <w:rFonts w:eastAsia="Times New Roman"/>
          <w:i/>
          <w:sz w:val="24"/>
          <w:szCs w:val="24"/>
        </w:rPr>
        <w:t xml:space="preserve"> </w:t>
      </w:r>
      <w:r w:rsidRPr="00D81D01">
        <w:rPr>
          <w:rFonts w:eastAsia="Times New Roman"/>
          <w:b/>
          <w:sz w:val="24"/>
          <w:szCs w:val="24"/>
        </w:rPr>
        <w:t>and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3. Was in some way actively involved with the preparation or signing of the will. </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If you draw this inference, you may consider it together with all other evidence in the case in determining whether or not </w:t>
      </w:r>
      <w:r w:rsidRPr="00D81D01">
        <w:rPr>
          <w:rFonts w:eastAsia="Times New Roman"/>
          <w:i/>
          <w:sz w:val="24"/>
          <w:szCs w:val="24"/>
        </w:rPr>
        <w:t xml:space="preserve">[name of testator] </w:t>
      </w:r>
      <w:r w:rsidRPr="00D81D01">
        <w:rPr>
          <w:rFonts w:eastAsia="Times New Roman"/>
          <w:b/>
          <w:sz w:val="24"/>
          <w:szCs w:val="24"/>
        </w:rPr>
        <w:t>signed the will under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You should not draw an inference, however, that a person exercised undue influence over another person solely because they were in a (confidential) (and) (or) (fiduciary) relationship.</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instruction may be used only when the trial court rules that the opponent of the presumption of undue influence has produced legally sufficient evidence to rebut the presumption.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Krueger v. Ary</w:t>
      </w:r>
      <w:r w:rsidRPr="00D81D01">
        <w:rPr>
          <w:rFonts w:eastAsia="Times New Roman"/>
          <w:sz w:val="24"/>
          <w:szCs w:val="24"/>
        </w:rPr>
        <w:t>, 205 P.3d 1150 (Colo. 2009);</w:t>
      </w:r>
      <w:r w:rsidRPr="00D81D01">
        <w:rPr>
          <w:rFonts w:eastAsia="Times New Roman"/>
          <w:b/>
          <w:sz w:val="24"/>
          <w:szCs w:val="24"/>
        </w:rPr>
        <w:t xml:space="preserve"> </w:t>
      </w:r>
      <w:r w:rsidRPr="00D81D01">
        <w:rPr>
          <w:rFonts w:eastAsia="Times New Roman"/>
          <w:sz w:val="24"/>
          <w:szCs w:val="24"/>
        </w:rPr>
        <w:t xml:space="preserve">Notes on Use to Instruction 34:16. In that event, the presumption does not continue in the case. </w:t>
      </w:r>
      <w:r w:rsidRPr="00D81D01">
        <w:rPr>
          <w:rFonts w:eastAsia="Times New Roman"/>
          <w:b/>
          <w:sz w:val="24"/>
          <w:szCs w:val="24"/>
        </w:rPr>
        <w:t>Krueger</w:t>
      </w:r>
      <w:r w:rsidRPr="00D81D01">
        <w:rPr>
          <w:rFonts w:eastAsia="Times New Roman"/>
          <w:sz w:val="24"/>
          <w:szCs w:val="24"/>
        </w:rPr>
        <w:t xml:space="preserve">, 205 P.3d at 1156. If the jury finds all of the facts in paragraphs 1 through 3 of the instruction, however, the jury still may draw an inference of undue influence. </w:t>
      </w:r>
      <w:r w:rsidRPr="00D81D01">
        <w:rPr>
          <w:rFonts w:eastAsia="Times New Roman"/>
          <w:i/>
          <w:sz w:val="24"/>
          <w:szCs w:val="24"/>
        </w:rPr>
        <w:t>Id</w:t>
      </w:r>
      <w:r w:rsidRPr="00D81D01">
        <w:rPr>
          <w:rFonts w:eastAsia="Times New Roman"/>
          <w:sz w:val="24"/>
          <w:szCs w:val="24"/>
        </w:rPr>
        <w:t xml:space="preserve">. The trial court has discretion whether to instruct on this permissible inference. </w:t>
      </w:r>
      <w:r w:rsidRPr="00D81D01">
        <w:rPr>
          <w:rFonts w:eastAsia="Times New Roman"/>
          <w:i/>
          <w:sz w:val="24"/>
          <w:szCs w:val="24"/>
        </w:rPr>
        <w:t>Id</w:t>
      </w:r>
      <w:r w:rsidRPr="00D81D01">
        <w:rPr>
          <w:rFonts w:eastAsia="Times New Roman"/>
          <w:sz w:val="24"/>
          <w:szCs w:val="24"/>
        </w:rPr>
        <w:t>. at 1156-57.</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For a definition of “inference,” see Instruction 3:8.</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Though instructions emphasizing specific evidence are disfavored, policy considerations may permit the trial court in its discretion to instruct the jury on an inference of undue influence and unfairness in transactions between persons in fiduciary or confidential relationships.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 </w:t>
      </w:r>
      <w:r w:rsidRPr="00D81D01">
        <w:rPr>
          <w:rFonts w:eastAsia="Times New Roman"/>
          <w:i/>
          <w:sz w:val="24"/>
          <w:szCs w:val="24"/>
        </w:rPr>
        <w:t>see</w:t>
      </w:r>
      <w:r w:rsidRPr="00D81D01">
        <w:rPr>
          <w:rFonts w:eastAsia="Times New Roman"/>
          <w:sz w:val="24"/>
          <w:szCs w:val="24"/>
        </w:rPr>
        <w:t xml:space="preserve"> Notes on Use to Instructions 3:8 and 34:16. When the case involves an elderly person making a significant conveyance to a caretaker, there are strong reasons for using this instruction.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1157-58. Nonetheless, the Supreme Court in </w:t>
      </w:r>
      <w:r w:rsidRPr="00D81D01">
        <w:rPr>
          <w:rFonts w:eastAsia="Times New Roman"/>
          <w:b/>
          <w:sz w:val="24"/>
          <w:szCs w:val="24"/>
        </w:rPr>
        <w:t>Krueger</w:t>
      </w:r>
      <w:r w:rsidRPr="00D81D01">
        <w:rPr>
          <w:rFonts w:eastAsia="Times New Roman"/>
          <w:sz w:val="24"/>
          <w:szCs w:val="24"/>
        </w:rPr>
        <w:t xml:space="preserve"> upheld the trial court’s decision not to instruct. </w:t>
      </w:r>
      <w:r w:rsidRPr="00D81D01">
        <w:rPr>
          <w:rFonts w:eastAsia="Times New Roman"/>
          <w:i/>
          <w:sz w:val="24"/>
          <w:szCs w:val="24"/>
        </w:rPr>
        <w:t>Id</w:t>
      </w:r>
      <w:r w:rsidRPr="00D81D01">
        <w:rPr>
          <w:rFonts w:eastAsia="Times New Roman"/>
          <w:sz w:val="24"/>
          <w:szCs w:val="24"/>
        </w:rPr>
        <w:t xml:space="preserve">. at 1158. </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E2145F" w:rsidRDefault="00E2145F" w:rsidP="00E2145F">
      <w:pPr>
        <w:spacing w:after="240"/>
        <w:ind w:firstLine="720"/>
      </w:pPr>
      <w:r w:rsidRPr="00E2145F">
        <w:rPr>
          <w:rFonts w:eastAsia="Times New Roman"/>
          <w:sz w:val="24"/>
          <w:szCs w:val="24"/>
        </w:rPr>
        <w:t>This instruction is supported by</w:t>
      </w:r>
      <w:r w:rsidRPr="00E2145F">
        <w:rPr>
          <w:rFonts w:eastAsia="Times New Roman"/>
          <w:b/>
          <w:sz w:val="24"/>
          <w:szCs w:val="24"/>
        </w:rPr>
        <w:t xml:space="preserve"> Krueger</w:t>
      </w:r>
      <w:r w:rsidRPr="00E2145F">
        <w:rPr>
          <w:rFonts w:eastAsia="Times New Roman"/>
          <w:sz w:val="24"/>
          <w:szCs w:val="24"/>
        </w:rPr>
        <w:t xml:space="preserve">, 205 P.3d at 1156. </w:t>
      </w:r>
      <w:r w:rsidRPr="00E2145F">
        <w:rPr>
          <w:rFonts w:eastAsia="Times New Roman"/>
          <w:i/>
          <w:sz w:val="24"/>
          <w:szCs w:val="24"/>
        </w:rPr>
        <w:t>See also</w:t>
      </w:r>
      <w:r w:rsidRPr="00E2145F">
        <w:rPr>
          <w:rFonts w:eastAsia="Times New Roman"/>
          <w:sz w:val="24"/>
          <w:szCs w:val="24"/>
        </w:rPr>
        <w:t xml:space="preserve"> Notes on Use to Instructions 3:8 and 34:16.</w:t>
      </w:r>
      <w:r>
        <w:br w:type="page"/>
      </w:r>
    </w:p>
    <w:p w:rsidR="00E2145F" w:rsidRPr="009E3DA4" w:rsidRDefault="00E2145F" w:rsidP="00E2145F">
      <w:pPr>
        <w:spacing w:after="240"/>
        <w:ind w:left="720" w:hanging="720"/>
        <w:rPr>
          <w:rFonts w:eastAsia="Times New Roman"/>
          <w:b/>
          <w:sz w:val="24"/>
          <w:szCs w:val="24"/>
        </w:rPr>
      </w:pPr>
      <w:bookmarkStart w:id="20" w:name="a34_18"/>
      <w:bookmarkEnd w:id="20"/>
      <w:r w:rsidRPr="00E2145F">
        <w:rPr>
          <w:rFonts w:eastAsia="Times New Roman"/>
          <w:b/>
          <w:sz w:val="24"/>
          <w:szCs w:val="24"/>
        </w:rPr>
        <w:lastRenderedPageBreak/>
        <w:t xml:space="preserve">34:18 </w:t>
      </w:r>
      <w:r w:rsidRPr="00E2145F">
        <w:rPr>
          <w:rFonts w:eastAsia="Times New Roman"/>
          <w:b/>
          <w:sz w:val="24"/>
          <w:szCs w:val="24"/>
        </w:rPr>
        <w:tab/>
      </w:r>
      <w:r w:rsidRPr="00E2145F">
        <w:rPr>
          <w:rFonts w:ascii="Times New Roman Bold" w:eastAsia="Times New Roman" w:hAnsi="Times New Roman Bold"/>
          <w:b/>
          <w:caps/>
          <w:sz w:val="24"/>
          <w:szCs w:val="24"/>
        </w:rPr>
        <w:t>Confidential Relationship — Defined</w:t>
      </w:r>
    </w:p>
    <w:p w:rsidR="00E2145F" w:rsidRPr="00E2145F" w:rsidRDefault="00E2145F" w:rsidP="00E2145F">
      <w:pPr>
        <w:spacing w:after="240"/>
        <w:ind w:firstLine="720"/>
        <w:rPr>
          <w:rFonts w:eastAsia="Times New Roman"/>
          <w:b/>
          <w:sz w:val="24"/>
          <w:szCs w:val="24"/>
        </w:rPr>
      </w:pPr>
      <w:r w:rsidRPr="00E2145F">
        <w:rPr>
          <w:rFonts w:eastAsia="Times New Roman"/>
          <w:b/>
          <w:sz w:val="24"/>
          <w:szCs w:val="24"/>
        </w:rPr>
        <w:t>A confidential relationship exists whenever one person gains the trust and confidence of the other person by acting or pretending to act for the benefit of or in the interest of the other (and, as a result, is put in a position to exercise influence and control over the other).</w:t>
      </w:r>
    </w:p>
    <w:p w:rsidR="00E2145F" w:rsidRDefault="00E2145F" w:rsidP="00E2145F">
      <w:pPr>
        <w:jc w:val="center"/>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1. When appropriate, this instruction should be used with Instructions 34:16 and 34:17 and such other instructions, as for example, Instruction 19:5 (duty to disclose), when a definition of “confidential relationship” is required. When this instruction is used with Instructions 34:16 and 34:17, the parenthesized last clause should be included. When it is used with other instructions, such as Instruction 19:5, the parenthesized last clause should be omitted.</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2. When instructing a jury on a claim for breach of a fiduciary duty arising out of a confidential relationship, Instructions 26:3 and 26:4 should be used, rather than this instruction.</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1. This instruction is supported by </w:t>
      </w:r>
      <w:r w:rsidRPr="00E2145F">
        <w:rPr>
          <w:rFonts w:eastAsia="Times New Roman"/>
          <w:smallCaps/>
          <w:sz w:val="24"/>
          <w:szCs w:val="24"/>
        </w:rPr>
        <w:t>Restatement (Second) of Trusts</w:t>
      </w:r>
      <w:r w:rsidRPr="00E2145F">
        <w:rPr>
          <w:rFonts w:eastAsia="Times New Roman"/>
          <w:sz w:val="24"/>
          <w:szCs w:val="24"/>
        </w:rPr>
        <w:t xml:space="preserve"> § 2 cmt. b (1959). </w:t>
      </w:r>
      <w:r w:rsidRPr="00E2145F">
        <w:rPr>
          <w:rFonts w:eastAsia="Times New Roman"/>
          <w:i/>
          <w:sz w:val="24"/>
          <w:szCs w:val="24"/>
        </w:rPr>
        <w:t xml:space="preserve">See also </w:t>
      </w:r>
      <w:r w:rsidRPr="00E2145F">
        <w:rPr>
          <w:rFonts w:eastAsia="Times New Roman"/>
          <w:b/>
          <w:sz w:val="24"/>
          <w:szCs w:val="24"/>
        </w:rPr>
        <w:t>Page v. Clark</w:t>
      </w:r>
      <w:r w:rsidRPr="00E2145F">
        <w:rPr>
          <w:rFonts w:eastAsia="Times New Roman"/>
          <w:sz w:val="24"/>
          <w:szCs w:val="24"/>
        </w:rPr>
        <w:t xml:space="preserve">, 197 Colo. 306, 592 P.2d 792 (1979); </w:t>
      </w:r>
      <w:r w:rsidRPr="00E2145F">
        <w:rPr>
          <w:rFonts w:eastAsia="Times New Roman"/>
          <w:b/>
          <w:sz w:val="24"/>
          <w:szCs w:val="24"/>
        </w:rPr>
        <w:t>Arnold v. Abernethy</w:t>
      </w:r>
      <w:r w:rsidRPr="00E2145F">
        <w:rPr>
          <w:rFonts w:eastAsia="Times New Roman"/>
          <w:sz w:val="24"/>
          <w:szCs w:val="24"/>
        </w:rPr>
        <w:t xml:space="preserve">, 134 Colo. 573, 307 P.2d 1106 (1957),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 v. Ary</w:t>
      </w:r>
      <w:r w:rsidRPr="00E2145F">
        <w:rPr>
          <w:rFonts w:eastAsia="Times New Roman"/>
          <w:sz w:val="24"/>
          <w:szCs w:val="24"/>
        </w:rPr>
        <w:t xml:space="preserve">, 205 P.3d 1150 (Colo. 2009); </w:t>
      </w:r>
      <w:r w:rsidRPr="00E2145F">
        <w:rPr>
          <w:rFonts w:eastAsia="Times New Roman"/>
          <w:b/>
          <w:sz w:val="24"/>
          <w:szCs w:val="24"/>
        </w:rPr>
        <w:t>Hilliard v. Shellabarger</w:t>
      </w:r>
      <w:r w:rsidRPr="00E2145F">
        <w:rPr>
          <w:rFonts w:eastAsia="Times New Roman"/>
          <w:sz w:val="24"/>
          <w:szCs w:val="24"/>
        </w:rPr>
        <w:t xml:space="preserve">, 120 Colo. 441, 210 P.2d 441 (1949),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w:t>
      </w:r>
      <w:r w:rsidRPr="00E2145F">
        <w:rPr>
          <w:rFonts w:eastAsia="Times New Roman"/>
          <w:sz w:val="24"/>
          <w:szCs w:val="24"/>
        </w:rPr>
        <w:t xml:space="preserve">, 205 P.3d at 1155; </w:t>
      </w:r>
      <w:r w:rsidRPr="00E2145F">
        <w:rPr>
          <w:rFonts w:eastAsia="Times New Roman"/>
          <w:b/>
          <w:sz w:val="24"/>
          <w:szCs w:val="24"/>
        </w:rPr>
        <w:t>Dittbrenner v. Myerson</w:t>
      </w:r>
      <w:r w:rsidRPr="00E2145F">
        <w:rPr>
          <w:rFonts w:eastAsia="Times New Roman"/>
          <w:sz w:val="24"/>
          <w:szCs w:val="24"/>
        </w:rPr>
        <w:t xml:space="preserve">, 114 Colo. 448, 167 P.2d 15 (1946); </w:t>
      </w:r>
      <w:r w:rsidRPr="00E2145F">
        <w:rPr>
          <w:rFonts w:eastAsia="Times New Roman"/>
          <w:b/>
          <w:sz w:val="24"/>
          <w:szCs w:val="24"/>
        </w:rPr>
        <w:t>Nicholson v. Ash</w:t>
      </w:r>
      <w:r w:rsidRPr="00E2145F">
        <w:rPr>
          <w:rFonts w:eastAsia="Times New Roman"/>
          <w:sz w:val="24"/>
          <w:szCs w:val="24"/>
        </w:rPr>
        <w:t xml:space="preserve">, 800 P.2d 1352 (Colo. App. 1990); </w:t>
      </w:r>
      <w:r w:rsidRPr="00E2145F">
        <w:rPr>
          <w:rFonts w:eastAsia="Times New Roman"/>
          <w:b/>
          <w:sz w:val="24"/>
          <w:szCs w:val="24"/>
        </w:rPr>
        <w:t>First Nat’l Bank of Meeker v. Theos</w:t>
      </w:r>
      <w:r w:rsidRPr="00E2145F">
        <w:rPr>
          <w:rFonts w:eastAsia="Times New Roman"/>
          <w:sz w:val="24"/>
          <w:szCs w:val="24"/>
        </w:rPr>
        <w:t xml:space="preserve">, 794 P.2d 1055 (Colo. App. 1990); </w:t>
      </w:r>
      <w:r w:rsidRPr="00E2145F">
        <w:rPr>
          <w:rFonts w:eastAsia="Times New Roman"/>
          <w:b/>
          <w:sz w:val="24"/>
          <w:szCs w:val="24"/>
        </w:rPr>
        <w:t>Rubenstein v. South Denver Nat’l Bank</w:t>
      </w:r>
      <w:r w:rsidRPr="00E2145F">
        <w:rPr>
          <w:rFonts w:eastAsia="Times New Roman"/>
          <w:sz w:val="24"/>
          <w:szCs w:val="24"/>
        </w:rPr>
        <w:t xml:space="preserve">, 762 P.2d 755 (Colo. App. 1988); </w:t>
      </w:r>
      <w:r w:rsidRPr="00E2145F">
        <w:rPr>
          <w:rFonts w:eastAsia="Times New Roman"/>
          <w:b/>
          <w:sz w:val="24"/>
          <w:szCs w:val="24"/>
        </w:rPr>
        <w:t>Alexander Co. v. Packard</w:t>
      </w:r>
      <w:r w:rsidRPr="00E2145F">
        <w:rPr>
          <w:rFonts w:eastAsia="Times New Roman"/>
          <w:sz w:val="24"/>
          <w:szCs w:val="24"/>
        </w:rPr>
        <w:t xml:space="preserve">, 754 P.2d 780 (Colo. App. 1988); </w:t>
      </w:r>
      <w:r w:rsidRPr="00E2145F">
        <w:rPr>
          <w:rFonts w:eastAsia="Times New Roman"/>
          <w:b/>
          <w:sz w:val="24"/>
          <w:szCs w:val="24"/>
        </w:rPr>
        <w:t>Meyer v. Schwartz</w:t>
      </w:r>
      <w:r w:rsidRPr="00E2145F">
        <w:rPr>
          <w:rFonts w:eastAsia="Times New Roman"/>
          <w:sz w:val="24"/>
          <w:szCs w:val="24"/>
        </w:rPr>
        <w:t>, 638 P.2d 821 (Colo. App. 1981).</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A confidential relationship may arise when one person occupies a position of superiority over another with the opportunity to use that superiority to the other’s disadvantage. </w:t>
      </w:r>
      <w:r w:rsidRPr="00E2145F">
        <w:rPr>
          <w:rFonts w:eastAsia="Times New Roman"/>
          <w:b/>
          <w:sz w:val="24"/>
          <w:szCs w:val="24"/>
        </w:rPr>
        <w:t>United Fire &amp; Cas. Co. v. Nissan Motor Corp.</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 xml:space="preserve">164 Colo. 42, 433 P.2d 769 (1967). Further, a confidential relationship may arise if: (1) one party has taken steps to induce another to believe that he or she can safely rely on the first party’s judgment or advice; (2) one person has gained the confidence of the other and purports to act or advise with the other’s interest in mind; or (3) the parties’ relationship is such that one is induced to relax the care and vigilance that one would ordinarily exercise in dealing with a stranger.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 xml:space="preserve">accord </w:t>
      </w:r>
      <w:r w:rsidRPr="00E2145F">
        <w:rPr>
          <w:rFonts w:eastAsia="Times New Roman"/>
          <w:b/>
          <w:sz w:val="24"/>
          <w:szCs w:val="24"/>
        </w:rPr>
        <w:t>In re Marriage of Page</w:t>
      </w:r>
      <w:r w:rsidRPr="00E2145F">
        <w:rPr>
          <w:rFonts w:eastAsia="Times New Roman"/>
          <w:sz w:val="24"/>
          <w:szCs w:val="24"/>
        </w:rPr>
        <w:t xml:space="preserve">, 70 P.3d 579 (Colo. App. 2003). Generally, to establish the existence of a confidential relationship, plaintiff must show that he or she reposed a special trust or confidence in the defendant, that reposing such trust in the defendant was justified, and that the defendant either invited or ostensibly accepted the plaintiff’s trust. </w:t>
      </w:r>
      <w:r w:rsidRPr="00E2145F">
        <w:rPr>
          <w:rFonts w:eastAsia="Times New Roman"/>
          <w:b/>
          <w:sz w:val="24"/>
          <w:szCs w:val="24"/>
        </w:rPr>
        <w:t>Steiger v. Burroughs</w:t>
      </w:r>
      <w:r w:rsidRPr="00E2145F">
        <w:rPr>
          <w:rFonts w:eastAsia="Times New Roman"/>
          <w:sz w:val="24"/>
          <w:szCs w:val="24"/>
        </w:rPr>
        <w:t>, 878 P.2d 131 (Colo. App. 1994).</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lastRenderedPageBreak/>
        <w:t xml:space="preserve">3. If a confidential relationship is shown to exist, the person in whom the special trust is placed must act in good faith and with due regard for the interests of the one reposing the confidence. </w:t>
      </w:r>
      <w:r w:rsidRPr="00E2145F">
        <w:rPr>
          <w:rFonts w:eastAsia="Times New Roman"/>
          <w:b/>
          <w:sz w:val="24"/>
          <w:szCs w:val="24"/>
        </w:rPr>
        <w:t>Nicholson</w:t>
      </w:r>
      <w:r w:rsidRPr="00E2145F">
        <w:rPr>
          <w:rFonts w:eastAsia="Times New Roman"/>
          <w:sz w:val="24"/>
          <w:szCs w:val="24"/>
        </w:rPr>
        <w:t>, 800 P.2d at 1355.</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4. There is no separate and distinct cause of action for a breach of a confidential relationship per se. </w:t>
      </w:r>
      <w:r w:rsidRPr="00E2145F">
        <w:rPr>
          <w:rFonts w:eastAsia="Times New Roman"/>
          <w:b/>
          <w:sz w:val="24"/>
          <w:szCs w:val="24"/>
        </w:rPr>
        <w:t>Bock v. Brody</w:t>
      </w:r>
      <w:r w:rsidRPr="00E2145F">
        <w:rPr>
          <w:rFonts w:eastAsia="Times New Roman"/>
          <w:sz w:val="24"/>
          <w:szCs w:val="24"/>
        </w:rPr>
        <w:t xml:space="preserve">, 870 P.2d 530 (Colo. App. 1993), </w:t>
      </w:r>
      <w:r w:rsidRPr="00E2145F">
        <w:rPr>
          <w:rFonts w:eastAsia="Times New Roman"/>
          <w:i/>
          <w:sz w:val="24"/>
          <w:szCs w:val="24"/>
        </w:rPr>
        <w:t>aff’d in part, rev’d in part on other grounds</w:t>
      </w:r>
      <w:r w:rsidRPr="00E2145F">
        <w:rPr>
          <w:rFonts w:eastAsia="Times New Roman"/>
          <w:sz w:val="24"/>
          <w:szCs w:val="24"/>
        </w:rPr>
        <w:t>,</w:t>
      </w:r>
      <w:r w:rsidRPr="00E2145F">
        <w:rPr>
          <w:rFonts w:eastAsia="Times New Roman"/>
          <w:i/>
          <w:sz w:val="24"/>
          <w:szCs w:val="24"/>
        </w:rPr>
        <w:t xml:space="preserve"> </w:t>
      </w:r>
      <w:r w:rsidRPr="00E2145F">
        <w:rPr>
          <w:rFonts w:eastAsia="Times New Roman"/>
          <w:sz w:val="24"/>
          <w:szCs w:val="24"/>
        </w:rPr>
        <w:t xml:space="preserve">897 P.2d 769 (Colo. 1995); </w:t>
      </w:r>
      <w:r w:rsidRPr="00E2145F">
        <w:rPr>
          <w:rFonts w:eastAsia="Times New Roman"/>
          <w:b/>
          <w:sz w:val="24"/>
          <w:szCs w:val="24"/>
        </w:rPr>
        <w:t>Todd Holding Co. v. Super Valu Stores, Inc.</w:t>
      </w:r>
      <w:r w:rsidRPr="00E2145F">
        <w:rPr>
          <w:rFonts w:eastAsia="Times New Roman"/>
          <w:sz w:val="24"/>
          <w:szCs w:val="24"/>
        </w:rPr>
        <w:t xml:space="preserve">, 874 P.2d 402 (Colo. App. 1993). Rather, the existence of a confidential relationship is simply one of the elements to be considered in determining whether there is fraud, undue influence, overreaching, or other improper conduct.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Jarnagin v. Busby, Inc.</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867 P.2d 63 (Colo. App. 1993).</w:t>
      </w:r>
    </w:p>
    <w:p w:rsidR="00E2145F" w:rsidRDefault="00E2145F">
      <w:pPr>
        <w:rPr>
          <w:rFonts w:eastAsia="Times New Roman"/>
          <w:b/>
          <w:sz w:val="24"/>
          <w:szCs w:val="24"/>
        </w:rPr>
      </w:pPr>
      <w:r>
        <w:rPr>
          <w:rFonts w:eastAsia="Times New Roman"/>
          <w:b/>
          <w:sz w:val="24"/>
          <w:szCs w:val="24"/>
        </w:rPr>
        <w:br w:type="page"/>
      </w:r>
    </w:p>
    <w:p w:rsidR="00E2145F" w:rsidRPr="009E3DA4" w:rsidRDefault="00E2145F" w:rsidP="00E2145F">
      <w:pPr>
        <w:spacing w:after="240"/>
        <w:ind w:left="720" w:hanging="720"/>
        <w:rPr>
          <w:rFonts w:eastAsia="Times New Roman"/>
          <w:b/>
          <w:sz w:val="24"/>
          <w:szCs w:val="24"/>
        </w:rPr>
      </w:pPr>
      <w:bookmarkStart w:id="21" w:name="a34_19"/>
      <w:bookmarkEnd w:id="21"/>
      <w:r w:rsidRPr="00E2145F">
        <w:rPr>
          <w:rFonts w:eastAsia="Times New Roman"/>
          <w:b/>
          <w:sz w:val="24"/>
          <w:szCs w:val="24"/>
        </w:rPr>
        <w:lastRenderedPageBreak/>
        <w:t>34:19</w:t>
      </w:r>
      <w:r w:rsidRPr="00E2145F">
        <w:rPr>
          <w:rFonts w:eastAsia="Times New Roman"/>
          <w:b/>
          <w:sz w:val="24"/>
          <w:szCs w:val="24"/>
        </w:rPr>
        <w:tab/>
      </w:r>
      <w:r w:rsidRPr="00E2145F">
        <w:rPr>
          <w:rFonts w:ascii="Times New Roman Bold" w:eastAsia="Times New Roman" w:hAnsi="Times New Roman Bold"/>
          <w:b/>
          <w:caps/>
          <w:sz w:val="24"/>
          <w:szCs w:val="24"/>
        </w:rPr>
        <w:t>Fiduciary Relationship — Defined</w:t>
      </w:r>
    </w:p>
    <w:p w:rsidR="00E2145F" w:rsidRDefault="00E2145F" w:rsidP="00E2145F">
      <w:pPr>
        <w:spacing w:after="240"/>
        <w:ind w:firstLine="720"/>
        <w:rPr>
          <w:rFonts w:eastAsia="Times New Roman"/>
          <w:b/>
          <w:sz w:val="24"/>
          <w:szCs w:val="24"/>
        </w:rPr>
      </w:pPr>
      <w:r w:rsidRPr="00E2145F">
        <w:rPr>
          <w:rFonts w:eastAsia="Times New Roman"/>
          <w:b/>
          <w:sz w:val="24"/>
          <w:szCs w:val="24"/>
        </w:rPr>
        <w:t>S</w:t>
      </w:r>
      <w:smartTag w:uri="urn:schemas-microsoft-com:office:smarttags" w:element="PersonName">
        <w:r w:rsidRPr="00E2145F">
          <w:rPr>
            <w:rFonts w:eastAsia="Times New Roman"/>
            <w:b/>
            <w:sz w:val="24"/>
            <w:szCs w:val="24"/>
          </w:rPr>
          <w:t>e</w:t>
        </w:r>
      </w:smartTag>
      <w:smartTag w:uri="urn:schemas-microsoft-com:office:smarttags" w:element="PersonName">
        <w:r w:rsidRPr="00E2145F">
          <w:rPr>
            <w:rFonts w:eastAsia="Times New Roman"/>
            <w:b/>
            <w:sz w:val="24"/>
            <w:szCs w:val="24"/>
          </w:rPr>
          <w:t>e</w:t>
        </w:r>
      </w:smartTag>
      <w:r w:rsidRPr="00E2145F">
        <w:rPr>
          <w:rFonts w:eastAsia="Times New Roman"/>
          <w:b/>
          <w:sz w:val="24"/>
          <w:szCs w:val="24"/>
        </w:rPr>
        <w:t xml:space="preserve"> Instructions 26:2 and 26:3.</w:t>
      </w:r>
    </w:p>
    <w:p w:rsidR="00E2145F" w:rsidRDefault="00E2145F">
      <w:pPr>
        <w:rPr>
          <w:rFonts w:eastAsia="Times New Roman"/>
          <w:sz w:val="24"/>
          <w:szCs w:val="24"/>
        </w:rPr>
      </w:pPr>
      <w:r>
        <w:rPr>
          <w:rFonts w:eastAsia="Times New Roman"/>
          <w:sz w:val="24"/>
          <w:szCs w:val="24"/>
        </w:rPr>
        <w:br w:type="page"/>
      </w:r>
    </w:p>
    <w:p w:rsidR="00E2145F" w:rsidRPr="009E3DA4" w:rsidRDefault="00E2145F" w:rsidP="00E2145F">
      <w:pPr>
        <w:spacing w:after="240"/>
        <w:ind w:left="720" w:hanging="720"/>
        <w:rPr>
          <w:rFonts w:eastAsia="Times New Roman"/>
          <w:b/>
          <w:sz w:val="24"/>
          <w:szCs w:val="24"/>
        </w:rPr>
      </w:pPr>
      <w:bookmarkStart w:id="22" w:name="a34_20"/>
      <w:bookmarkEnd w:id="22"/>
      <w:r w:rsidRPr="00E2145F">
        <w:rPr>
          <w:rFonts w:eastAsia="Times New Roman"/>
          <w:b/>
          <w:sz w:val="24"/>
          <w:szCs w:val="24"/>
        </w:rPr>
        <w:lastRenderedPageBreak/>
        <w:t xml:space="preserve">34:20 </w:t>
      </w:r>
      <w:r w:rsidRPr="00E2145F">
        <w:rPr>
          <w:rFonts w:eastAsia="Times New Roman"/>
          <w:b/>
          <w:sz w:val="24"/>
          <w:szCs w:val="24"/>
        </w:rPr>
        <w:tab/>
      </w:r>
      <w:r w:rsidRPr="00E2145F">
        <w:rPr>
          <w:rFonts w:ascii="Times New Roman Bold" w:eastAsia="Times New Roman" w:hAnsi="Times New Roman Bold"/>
          <w:b/>
          <w:caps/>
          <w:sz w:val="24"/>
          <w:szCs w:val="24"/>
        </w:rPr>
        <w:t>Verdict Form for Proponent</w:t>
      </w:r>
    </w:p>
    <w:p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rsidR="00E2145F" w:rsidRPr="00E2145F" w:rsidRDefault="00E2145F" w:rsidP="00E2145F">
      <w:pPr>
        <w:jc w:val="center"/>
        <w:rPr>
          <w:rFonts w:eastAsia="Times New Roman"/>
          <w:b/>
          <w:sz w:val="24"/>
          <w:szCs w:val="24"/>
        </w:rPr>
      </w:pPr>
    </w:p>
    <w:p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rsidR="00E2145F" w:rsidRPr="00E2145F" w:rsidRDefault="00E2145F" w:rsidP="00E2145F">
      <w:pPr>
        <w:rPr>
          <w:rFonts w:eastAsia="Times New Roman"/>
          <w:b/>
          <w:sz w:val="24"/>
          <w:szCs w:val="24"/>
        </w:rPr>
      </w:pPr>
      <w:r w:rsidRPr="00E2145F">
        <w:rPr>
          <w:rFonts w:eastAsia="Times New Roman"/>
          <w:b/>
          <w:sz w:val="24"/>
          <w:szCs w:val="24"/>
        </w:rPr>
        <w:t xml:space="preserve">__________________________________,  </w:t>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proponent, </w:t>
      </w:r>
      <w:r w:rsidRPr="00E2145F">
        <w:rPr>
          <w:rFonts w:eastAsia="Times New Roman"/>
          <w:i/>
          <w:sz w:val="24"/>
          <w:szCs w:val="24"/>
        </w:rPr>
        <w:t>(name)</w:t>
      </w:r>
      <w:r w:rsidRPr="00E2145F">
        <w:rPr>
          <w:rFonts w:eastAsia="Times New Roman"/>
          <w:b/>
          <w:sz w:val="24"/>
          <w:szCs w:val="24"/>
        </w:rPr>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spacing w:after="240"/>
        <w:ind w:firstLine="720"/>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1. See Notes 4 and 5 of the Notes on Use to Instruction 4:4.</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This instruction uses the statutory language of the Probate Code. </w:t>
      </w:r>
      <w:r w:rsidRPr="00E2145F">
        <w:rPr>
          <w:rFonts w:eastAsia="Times New Roman"/>
          <w:i/>
          <w:sz w:val="24"/>
          <w:szCs w:val="24"/>
        </w:rPr>
        <w:t>See, e.g.</w:t>
      </w:r>
      <w:r w:rsidRPr="00E2145F">
        <w:rPr>
          <w:rFonts w:eastAsia="Times New Roman"/>
          <w:sz w:val="24"/>
          <w:szCs w:val="24"/>
        </w:rPr>
        <w:t>, § 15-12-407, C.R.S. In appropriate cases, for example, when more than one instrument is in controversy, a special verdict form may be used or special interrogatories may be submitted to the jury with this instruction pursuant to C.R.C.P. 49.</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Default="00E2145F" w:rsidP="00E2145F">
      <w:pPr>
        <w:spacing w:after="240"/>
        <w:ind w:firstLine="720"/>
        <w:rPr>
          <w:rFonts w:eastAsia="Times New Roman"/>
          <w:sz w:val="24"/>
          <w:szCs w:val="24"/>
        </w:rPr>
      </w:pPr>
      <w:r w:rsidRPr="00E2145F">
        <w:rPr>
          <w:rFonts w:eastAsia="Times New Roman"/>
          <w:sz w:val="24"/>
          <w:szCs w:val="24"/>
        </w:rPr>
        <w:t xml:space="preserve">This instruction is supported by section 15-12-407.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Irwin v. Robinson</w:t>
      </w:r>
      <w:r w:rsidRPr="00E2145F">
        <w:rPr>
          <w:rFonts w:eastAsia="Times New Roman"/>
          <w:sz w:val="24"/>
          <w:szCs w:val="24"/>
        </w:rPr>
        <w:t>, 143 Colo. 336, 355 P.2d 108 (1960), noting that the caption on this form is the proper caption to be used in a case involving a contest over the probate of a will.</w:t>
      </w:r>
    </w:p>
    <w:p w:rsidR="00E2145F" w:rsidRDefault="00E2145F">
      <w:pPr>
        <w:rPr>
          <w:rFonts w:eastAsia="Times New Roman"/>
          <w:sz w:val="24"/>
          <w:szCs w:val="24"/>
        </w:rPr>
      </w:pPr>
      <w:r>
        <w:rPr>
          <w:rFonts w:eastAsia="Times New Roman"/>
          <w:sz w:val="24"/>
          <w:szCs w:val="24"/>
        </w:rPr>
        <w:br w:type="page"/>
      </w:r>
    </w:p>
    <w:p w:rsidR="00E2145F" w:rsidRPr="009E3DA4" w:rsidRDefault="00E2145F" w:rsidP="00E2145F">
      <w:pPr>
        <w:spacing w:after="240"/>
        <w:ind w:left="720" w:hanging="720"/>
        <w:rPr>
          <w:rFonts w:eastAsia="Times New Roman"/>
          <w:b/>
          <w:sz w:val="24"/>
          <w:szCs w:val="24"/>
        </w:rPr>
      </w:pPr>
      <w:bookmarkStart w:id="23" w:name="a34_21"/>
      <w:bookmarkEnd w:id="23"/>
      <w:r w:rsidRPr="00E2145F">
        <w:rPr>
          <w:rFonts w:eastAsia="Times New Roman"/>
          <w:b/>
          <w:sz w:val="24"/>
          <w:szCs w:val="24"/>
        </w:rPr>
        <w:lastRenderedPageBreak/>
        <w:t xml:space="preserve">34:21 </w:t>
      </w:r>
      <w:r w:rsidRPr="00E2145F">
        <w:rPr>
          <w:rFonts w:eastAsia="Times New Roman"/>
          <w:b/>
          <w:sz w:val="24"/>
          <w:szCs w:val="24"/>
        </w:rPr>
        <w:tab/>
      </w:r>
      <w:r w:rsidRPr="00E2145F">
        <w:rPr>
          <w:rFonts w:ascii="Times New Roman Bold" w:eastAsia="Times New Roman" w:hAnsi="Times New Roman Bold"/>
          <w:b/>
          <w:caps/>
          <w:sz w:val="24"/>
          <w:szCs w:val="24"/>
        </w:rPr>
        <w:t>Verdict Form for Contestant</w:t>
      </w:r>
    </w:p>
    <w:p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rsidR="00E2145F" w:rsidRPr="00E2145F" w:rsidRDefault="00E2145F" w:rsidP="00E2145F">
      <w:pPr>
        <w:jc w:val="center"/>
        <w:rPr>
          <w:rFonts w:eastAsia="Times New Roman"/>
          <w:b/>
          <w:sz w:val="24"/>
          <w:szCs w:val="24"/>
        </w:rPr>
      </w:pPr>
    </w:p>
    <w:p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rsidR="00E2145F" w:rsidRPr="00E2145F" w:rsidRDefault="00E2145F" w:rsidP="00E2145F">
      <w:pPr>
        <w:rPr>
          <w:rFonts w:eastAsia="Times New Roman"/>
          <w:b/>
          <w:sz w:val="24"/>
          <w:szCs w:val="24"/>
        </w:rPr>
      </w:pPr>
      <w:r w:rsidRPr="00E2145F">
        <w:rPr>
          <w:rFonts w:eastAsia="Times New Roman"/>
          <w:b/>
          <w:sz w:val="24"/>
          <w:szCs w:val="24"/>
        </w:rPr>
        <w:t>__________________________________,   )</w:t>
      </w:r>
    </w:p>
    <w:p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contestant, </w:t>
      </w:r>
      <w:r w:rsidRPr="00E2145F">
        <w:rPr>
          <w:rFonts w:eastAsia="Times New Roman"/>
          <w:i/>
          <w:sz w:val="24"/>
          <w:szCs w:val="24"/>
        </w:rPr>
        <w:t>(name)</w:t>
      </w:r>
      <w:r w:rsidRPr="00E2145F">
        <w:rPr>
          <w:rFonts w:eastAsia="Times New Roman"/>
          <w:b/>
          <w:sz w:val="24"/>
          <w:szCs w:val="24"/>
        </w:rPr>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spacing w:after="240"/>
        <w:ind w:firstLine="720"/>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Notes on Use to Instruction 34:20.</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Source and Authority to Instruction 34:20.</w:t>
      </w:r>
    </w:p>
    <w:sectPr w:rsidR="00E2145F" w:rsidRPr="00E2145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D9F" w:rsidRDefault="009A1D9F" w:rsidP="0054263B">
      <w:r>
        <w:separator/>
      </w:r>
    </w:p>
    <w:p w:rsidR="009A1D9F" w:rsidRDefault="009A1D9F"/>
  </w:endnote>
  <w:endnote w:type="continuationSeparator" w:id="0">
    <w:p w:rsidR="009A1D9F" w:rsidRDefault="009A1D9F" w:rsidP="0054263B">
      <w:r>
        <w:continuationSeparator/>
      </w:r>
    </w:p>
    <w:p w:rsidR="009A1D9F" w:rsidRDefault="009A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rsidR="00D81D01" w:rsidRDefault="00D81D01">
        <w:pPr>
          <w:pStyle w:val="Footer"/>
          <w:jc w:val="center"/>
        </w:pPr>
        <w:r>
          <w:fldChar w:fldCharType="begin"/>
        </w:r>
        <w:r>
          <w:instrText xml:space="preserve"> PAGE   \* MERGEFORMAT </w:instrText>
        </w:r>
        <w:r>
          <w:fldChar w:fldCharType="separate"/>
        </w:r>
        <w:r w:rsidR="00811BE4">
          <w:rPr>
            <w:noProof/>
          </w:rPr>
          <w:t>3</w:t>
        </w:r>
        <w:r>
          <w:rPr>
            <w:noProof/>
          </w:rPr>
          <w:fldChar w:fldCharType="end"/>
        </w:r>
      </w:p>
    </w:sdtContent>
  </w:sdt>
  <w:p w:rsidR="00D81D01" w:rsidRDefault="00D81D01">
    <w:pPr>
      <w:pStyle w:val="Footer"/>
    </w:pPr>
  </w:p>
  <w:p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D9F" w:rsidRDefault="009A1D9F" w:rsidP="0054263B">
      <w:r>
        <w:separator/>
      </w:r>
    </w:p>
    <w:p w:rsidR="009A1D9F" w:rsidRDefault="009A1D9F"/>
  </w:footnote>
  <w:footnote w:type="continuationSeparator" w:id="0">
    <w:p w:rsidR="009A1D9F" w:rsidRDefault="009A1D9F" w:rsidP="0054263B">
      <w:r>
        <w:continuationSeparator/>
      </w:r>
    </w:p>
    <w:p w:rsidR="009A1D9F" w:rsidRDefault="009A1D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B1B7A"/>
    <w:rsid w:val="000C204E"/>
    <w:rsid w:val="000C503A"/>
    <w:rsid w:val="000C6F97"/>
    <w:rsid w:val="000D4856"/>
    <w:rsid w:val="000E187F"/>
    <w:rsid w:val="000E72CD"/>
    <w:rsid w:val="000F205C"/>
    <w:rsid w:val="001117D9"/>
    <w:rsid w:val="00112C8E"/>
    <w:rsid w:val="00112FF9"/>
    <w:rsid w:val="00125209"/>
    <w:rsid w:val="00126B7A"/>
    <w:rsid w:val="001325AD"/>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597C"/>
    <w:rsid w:val="002547C3"/>
    <w:rsid w:val="002654B4"/>
    <w:rsid w:val="002655FC"/>
    <w:rsid w:val="0026610A"/>
    <w:rsid w:val="00267805"/>
    <w:rsid w:val="00273777"/>
    <w:rsid w:val="00290935"/>
    <w:rsid w:val="00293E0D"/>
    <w:rsid w:val="00293F7E"/>
    <w:rsid w:val="002A23B0"/>
    <w:rsid w:val="002A6EC7"/>
    <w:rsid w:val="002B5FCF"/>
    <w:rsid w:val="002D0987"/>
    <w:rsid w:val="002D163D"/>
    <w:rsid w:val="002E0970"/>
    <w:rsid w:val="002E1D1B"/>
    <w:rsid w:val="002E562A"/>
    <w:rsid w:val="002F0E75"/>
    <w:rsid w:val="002F48D6"/>
    <w:rsid w:val="002F5B7D"/>
    <w:rsid w:val="00304398"/>
    <w:rsid w:val="00316D33"/>
    <w:rsid w:val="00317364"/>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4263B"/>
    <w:rsid w:val="00547D97"/>
    <w:rsid w:val="00550AFD"/>
    <w:rsid w:val="00555B52"/>
    <w:rsid w:val="00557FCC"/>
    <w:rsid w:val="005648EF"/>
    <w:rsid w:val="0057771F"/>
    <w:rsid w:val="005A22A6"/>
    <w:rsid w:val="005B12DB"/>
    <w:rsid w:val="005B27FE"/>
    <w:rsid w:val="005B3A78"/>
    <w:rsid w:val="005C56C9"/>
    <w:rsid w:val="005C5CCB"/>
    <w:rsid w:val="005D1AD3"/>
    <w:rsid w:val="005D1F16"/>
    <w:rsid w:val="005D3156"/>
    <w:rsid w:val="005E712D"/>
    <w:rsid w:val="005F1017"/>
    <w:rsid w:val="005F19FD"/>
    <w:rsid w:val="005F5A94"/>
    <w:rsid w:val="00604F03"/>
    <w:rsid w:val="006053F6"/>
    <w:rsid w:val="00605C11"/>
    <w:rsid w:val="006153FA"/>
    <w:rsid w:val="00625453"/>
    <w:rsid w:val="00625AF7"/>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D1D57"/>
    <w:rsid w:val="006D2E09"/>
    <w:rsid w:val="006E0D06"/>
    <w:rsid w:val="006E3575"/>
    <w:rsid w:val="006E62F0"/>
    <w:rsid w:val="006F590D"/>
    <w:rsid w:val="006F7581"/>
    <w:rsid w:val="006F7B49"/>
    <w:rsid w:val="006F7DC0"/>
    <w:rsid w:val="00702B5A"/>
    <w:rsid w:val="00706A17"/>
    <w:rsid w:val="0070752A"/>
    <w:rsid w:val="007119D8"/>
    <w:rsid w:val="0071225B"/>
    <w:rsid w:val="00713866"/>
    <w:rsid w:val="007216DA"/>
    <w:rsid w:val="00724230"/>
    <w:rsid w:val="00726E21"/>
    <w:rsid w:val="007340B5"/>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1BE4"/>
    <w:rsid w:val="00813A6B"/>
    <w:rsid w:val="0082168C"/>
    <w:rsid w:val="00821D22"/>
    <w:rsid w:val="0083254A"/>
    <w:rsid w:val="0083264A"/>
    <w:rsid w:val="00832DB4"/>
    <w:rsid w:val="0083763B"/>
    <w:rsid w:val="00837F81"/>
    <w:rsid w:val="00845F81"/>
    <w:rsid w:val="00850A48"/>
    <w:rsid w:val="00853ECF"/>
    <w:rsid w:val="008557E1"/>
    <w:rsid w:val="0086735A"/>
    <w:rsid w:val="008703EF"/>
    <w:rsid w:val="00875064"/>
    <w:rsid w:val="008750D4"/>
    <w:rsid w:val="008812A8"/>
    <w:rsid w:val="00881431"/>
    <w:rsid w:val="008857D3"/>
    <w:rsid w:val="008859AF"/>
    <w:rsid w:val="00895065"/>
    <w:rsid w:val="00896032"/>
    <w:rsid w:val="008A1099"/>
    <w:rsid w:val="008A475A"/>
    <w:rsid w:val="008A6339"/>
    <w:rsid w:val="008A637B"/>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55C5"/>
    <w:rsid w:val="00935DA8"/>
    <w:rsid w:val="00936D0A"/>
    <w:rsid w:val="00950692"/>
    <w:rsid w:val="00952BBB"/>
    <w:rsid w:val="0095709A"/>
    <w:rsid w:val="009725D8"/>
    <w:rsid w:val="00973884"/>
    <w:rsid w:val="00984936"/>
    <w:rsid w:val="009902F2"/>
    <w:rsid w:val="009931B9"/>
    <w:rsid w:val="009A10F1"/>
    <w:rsid w:val="009A1D9F"/>
    <w:rsid w:val="009A5AA6"/>
    <w:rsid w:val="009B6746"/>
    <w:rsid w:val="009C0C3F"/>
    <w:rsid w:val="009E20C7"/>
    <w:rsid w:val="009E3DA4"/>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0EAB"/>
    <w:rsid w:val="00AF40E1"/>
    <w:rsid w:val="00AF7D47"/>
    <w:rsid w:val="00B0264D"/>
    <w:rsid w:val="00B2325C"/>
    <w:rsid w:val="00B338E2"/>
    <w:rsid w:val="00B34ABB"/>
    <w:rsid w:val="00B35185"/>
    <w:rsid w:val="00B37722"/>
    <w:rsid w:val="00B473E5"/>
    <w:rsid w:val="00B538B9"/>
    <w:rsid w:val="00B567C1"/>
    <w:rsid w:val="00B579DF"/>
    <w:rsid w:val="00B60EBD"/>
    <w:rsid w:val="00B6275E"/>
    <w:rsid w:val="00B70D68"/>
    <w:rsid w:val="00B719C2"/>
    <w:rsid w:val="00B72D6B"/>
    <w:rsid w:val="00B73121"/>
    <w:rsid w:val="00B80FD1"/>
    <w:rsid w:val="00B937E4"/>
    <w:rsid w:val="00B96786"/>
    <w:rsid w:val="00B97801"/>
    <w:rsid w:val="00BA2389"/>
    <w:rsid w:val="00BA27A8"/>
    <w:rsid w:val="00BA510E"/>
    <w:rsid w:val="00BB054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73A2"/>
    <w:rsid w:val="00C60E95"/>
    <w:rsid w:val="00C610EC"/>
    <w:rsid w:val="00C63547"/>
    <w:rsid w:val="00C641B0"/>
    <w:rsid w:val="00C70560"/>
    <w:rsid w:val="00C724B6"/>
    <w:rsid w:val="00C737F3"/>
    <w:rsid w:val="00C84E71"/>
    <w:rsid w:val="00C86F05"/>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8125F"/>
    <w:rsid w:val="00D81D01"/>
    <w:rsid w:val="00D852A7"/>
    <w:rsid w:val="00D90E67"/>
    <w:rsid w:val="00D93394"/>
    <w:rsid w:val="00D93487"/>
    <w:rsid w:val="00DA1796"/>
    <w:rsid w:val="00DA2814"/>
    <w:rsid w:val="00DB2C90"/>
    <w:rsid w:val="00DC0393"/>
    <w:rsid w:val="00DC63A9"/>
    <w:rsid w:val="00DC66A6"/>
    <w:rsid w:val="00DC7533"/>
    <w:rsid w:val="00DD5492"/>
    <w:rsid w:val="00DE2930"/>
    <w:rsid w:val="00DE5BAF"/>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2644"/>
    <w:rsid w:val="00E43BF9"/>
    <w:rsid w:val="00E50187"/>
    <w:rsid w:val="00E55147"/>
    <w:rsid w:val="00E551EB"/>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3E7B"/>
    <w:rsid w:val="00EC7C98"/>
    <w:rsid w:val="00ED5E52"/>
    <w:rsid w:val="00ED7176"/>
    <w:rsid w:val="00ED75EA"/>
    <w:rsid w:val="00EE11EE"/>
    <w:rsid w:val="00EE3CDC"/>
    <w:rsid w:val="00EF4043"/>
    <w:rsid w:val="00EF5096"/>
    <w:rsid w:val="00F022D4"/>
    <w:rsid w:val="00F062A4"/>
    <w:rsid w:val="00F23E0D"/>
    <w:rsid w:val="00F32AA4"/>
    <w:rsid w:val="00F573CF"/>
    <w:rsid w:val="00F57A28"/>
    <w:rsid w:val="00F57A2B"/>
    <w:rsid w:val="00F658E5"/>
    <w:rsid w:val="00F71286"/>
    <w:rsid w:val="00F755B7"/>
    <w:rsid w:val="00F764F4"/>
    <w:rsid w:val="00F86F49"/>
    <w:rsid w:val="00F94E0B"/>
    <w:rsid w:val="00FA333E"/>
    <w:rsid w:val="00FA7B76"/>
    <w:rsid w:val="00FC544C"/>
    <w:rsid w:val="00FD2DF4"/>
    <w:rsid w:val="00FD7D4E"/>
    <w:rsid w:val="00FE00D7"/>
    <w:rsid w:val="00FE0A94"/>
    <w:rsid w:val="00FE156B"/>
    <w:rsid w:val="00FE1F3D"/>
    <w:rsid w:val="00FE48F2"/>
    <w:rsid w:val="00FE56B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3AF366"/>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E331-B301-496C-806A-E663664E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10383</Words>
  <Characters>59186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2019-12-12T17:49:00Z</dcterms:created>
  <dcterms:modified xsi:type="dcterms:W3CDTF">2019-12-12T17:49:00Z</dcterms:modified>
</cp:coreProperties>
</file>