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F141" w14:textId="59106D73" w:rsidR="00CA41CC" w:rsidRDefault="00CA41CC" w:rsidP="00EC7C98">
      <w:pPr>
        <w:ind w:left="720" w:hanging="720"/>
        <w:jc w:val="center"/>
        <w:rPr>
          <w:rFonts w:eastAsia="Times New Roman"/>
          <w:b/>
          <w:sz w:val="24"/>
          <w:szCs w:val="24"/>
        </w:rPr>
      </w:pPr>
      <w:bookmarkStart w:id="0" w:name="_GoBack"/>
      <w:bookmarkEnd w:id="0"/>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1" w:history="1">
        <w:r w:rsidR="00EC7C98" w:rsidRPr="007119D8">
          <w:rPr>
            <w:rStyle w:val="Hyperlink"/>
            <w:rFonts w:eastAsia="Times New Roman"/>
            <w:sz w:val="24"/>
            <w:szCs w:val="20"/>
          </w:rPr>
          <w:t>35:1</w:t>
        </w:r>
      </w:hyperlink>
      <w:r w:rsidR="00EC7C98" w:rsidRPr="00EC7C98">
        <w:rPr>
          <w:rFonts w:eastAsia="Times New Roman"/>
          <w:sz w:val="24"/>
          <w:szCs w:val="20"/>
        </w:rPr>
        <w:tab/>
        <w:t>Statement of the Case and Mechanics for Submitting Special Verdict — Short-Term Treatment</w:t>
      </w:r>
    </w:p>
    <w:p w14:paraId="3B67E0AA"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2" w:history="1">
        <w:r w:rsidR="00EC7C98" w:rsidRPr="007119D8">
          <w:rPr>
            <w:rStyle w:val="Hyperlink"/>
            <w:rFonts w:eastAsia="Times New Roman"/>
            <w:sz w:val="24"/>
            <w:szCs w:val="20"/>
          </w:rPr>
          <w:t>35:2</w:t>
        </w:r>
      </w:hyperlink>
      <w:r w:rsidR="00EC7C98"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3" w:history="1">
        <w:r w:rsidR="00EC7C98" w:rsidRPr="007119D8">
          <w:rPr>
            <w:rStyle w:val="Hyperlink"/>
            <w:rFonts w:eastAsia="Times New Roman"/>
            <w:sz w:val="24"/>
            <w:szCs w:val="20"/>
          </w:rPr>
          <w:t>35:3</w:t>
        </w:r>
      </w:hyperlink>
      <w:r w:rsidR="00EC7C98"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00EC7C98" w:rsidRPr="00EC7C98">
        <w:rPr>
          <w:rFonts w:eastAsia="Times New Roman"/>
          <w:sz w:val="24"/>
          <w:szCs w:val="20"/>
        </w:rPr>
        <w:t>— Defined</w:t>
      </w:r>
    </w:p>
    <w:p w14:paraId="1E08BDFB"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4" w:history="1">
        <w:r w:rsidR="00EC7C98" w:rsidRPr="007119D8">
          <w:rPr>
            <w:rStyle w:val="Hyperlink"/>
            <w:rFonts w:eastAsia="Times New Roman"/>
            <w:sz w:val="24"/>
            <w:szCs w:val="20"/>
          </w:rPr>
          <w:t>35:4</w:t>
        </w:r>
      </w:hyperlink>
      <w:r w:rsidR="00EC7C98" w:rsidRPr="00EC7C98">
        <w:rPr>
          <w:rFonts w:eastAsia="Times New Roman"/>
          <w:sz w:val="24"/>
          <w:szCs w:val="20"/>
        </w:rPr>
        <w:tab/>
        <w:t>Gravely Disabled — Defined</w:t>
      </w:r>
    </w:p>
    <w:p w14:paraId="506CFE01"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5" w:history="1">
        <w:r w:rsidR="00EC7C98" w:rsidRPr="007119D8">
          <w:rPr>
            <w:rStyle w:val="Hyperlink"/>
            <w:rFonts w:eastAsia="Times New Roman"/>
            <w:sz w:val="24"/>
            <w:szCs w:val="20"/>
          </w:rPr>
          <w:t>35</w:t>
        </w:r>
        <w:r w:rsidR="00DC63A9" w:rsidRPr="007119D8">
          <w:rPr>
            <w:rStyle w:val="Hyperlink"/>
            <w:rFonts w:eastAsia="Times New Roman"/>
            <w:sz w:val="24"/>
            <w:szCs w:val="20"/>
          </w:rPr>
          <w:t>:</w:t>
        </w:r>
        <w:r w:rsidR="00EC7C98" w:rsidRPr="007119D8">
          <w:rPr>
            <w:rStyle w:val="Hyperlink"/>
            <w:rFonts w:eastAsia="Times New Roman"/>
            <w:sz w:val="24"/>
            <w:szCs w:val="20"/>
          </w:rPr>
          <w:t>5</w:t>
        </w:r>
      </w:hyperlink>
      <w:r w:rsidR="00EC7C98" w:rsidRPr="00EC7C98">
        <w:rPr>
          <w:rFonts w:eastAsia="Times New Roman"/>
          <w:sz w:val="24"/>
          <w:szCs w:val="20"/>
        </w:rPr>
        <w:tab/>
        <w:t>Danger to Self or Others — Defined</w:t>
      </w:r>
    </w:p>
    <w:p w14:paraId="00595292"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6" w:history="1">
        <w:r w:rsidR="00EC7C98" w:rsidRPr="007119D8">
          <w:rPr>
            <w:rStyle w:val="Hyperlink"/>
            <w:rFonts w:eastAsia="Times New Roman"/>
            <w:sz w:val="24"/>
            <w:szCs w:val="20"/>
          </w:rPr>
          <w:t>35:6</w:t>
        </w:r>
      </w:hyperlink>
      <w:r w:rsidR="00EC7C98" w:rsidRPr="00EC7C98">
        <w:rPr>
          <w:rFonts w:eastAsia="Times New Roman"/>
          <w:sz w:val="24"/>
          <w:szCs w:val="20"/>
        </w:rPr>
        <w:tab/>
        <w:t>Expert Witness — Court-Appointed Professional Person</w:t>
      </w:r>
    </w:p>
    <w:p w14:paraId="7DC15538"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7" w:history="1">
        <w:r w:rsidR="00EC7C98" w:rsidRPr="007119D8">
          <w:rPr>
            <w:rStyle w:val="Hyperlink"/>
            <w:rFonts w:eastAsia="Times New Roman"/>
            <w:sz w:val="24"/>
            <w:szCs w:val="20"/>
          </w:rPr>
          <w:t>35:7</w:t>
        </w:r>
      </w:hyperlink>
      <w:r w:rsidR="00EC7C98" w:rsidRPr="00EC7C98">
        <w:rPr>
          <w:rFonts w:eastAsia="Times New Roman"/>
          <w:sz w:val="24"/>
          <w:szCs w:val="20"/>
        </w:rPr>
        <w:tab/>
        <w:t>Special Verdict Form — Short-Term Treatment</w:t>
      </w:r>
    </w:p>
    <w:p w14:paraId="7CEF4FA9" w14:textId="77777777" w:rsidR="00EC7C98" w:rsidRPr="00EC7C98" w:rsidRDefault="003304EC" w:rsidP="00EC7C98">
      <w:pPr>
        <w:tabs>
          <w:tab w:val="left" w:pos="360"/>
          <w:tab w:val="left" w:pos="1080"/>
        </w:tabs>
        <w:spacing w:after="80"/>
        <w:ind w:left="1080" w:hanging="720"/>
        <w:rPr>
          <w:rFonts w:eastAsia="Times New Roman"/>
          <w:sz w:val="24"/>
          <w:szCs w:val="20"/>
        </w:rPr>
      </w:pPr>
      <w:hyperlink w:anchor="a35_8" w:history="1">
        <w:r w:rsidR="00EC7C98" w:rsidRPr="007119D8">
          <w:rPr>
            <w:rStyle w:val="Hyperlink"/>
            <w:rFonts w:eastAsia="Times New Roman"/>
            <w:sz w:val="24"/>
            <w:szCs w:val="20"/>
          </w:rPr>
          <w:t>35:8</w:t>
        </w:r>
      </w:hyperlink>
      <w:r w:rsidR="00EC7C98"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1" w:name="a35_1"/>
      <w:bookmarkEnd w:id="1"/>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The petitioner contends that the respondent is a person with a mental illness or mental health disorder and, as a result, (is a danger [to himself] [to herself] [or] [to others]) (or) (is gravely disabled).</w:t>
      </w:r>
    </w:p>
    <w:p w14:paraId="38F54709"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(he) (she)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or mental health disorder,” or “a danger to himself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reversible error. </w:t>
      </w:r>
      <w:r w:rsidRPr="0054263B">
        <w:rPr>
          <w:rFonts w:eastAsia="Times New Roman"/>
          <w:b/>
          <w:sz w:val="24"/>
          <w:szCs w:val="24"/>
        </w:rPr>
        <w:t>People v. Ofengand</w:t>
      </w:r>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2" w:name="a35_2"/>
      <w:bookmarkEnd w:id="2"/>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himself] [to herself]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(he) (she)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(1. Is the respondent a person with a mental illness or mental health disorder and, as a result of such mental illness or mental health disorder, is the respondent a danger [to himself] [to herself]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r w:rsidRPr="004E7EF1">
        <w:rPr>
          <w:rFonts w:eastAsia="Times New Roman"/>
          <w:sz w:val="24"/>
          <w:szCs w:val="24"/>
        </w:rPr>
        <w:lastRenderedPageBreak/>
        <w:t xml:space="preserve">paragraph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3" w:name="a35_3"/>
      <w:bookmarkEnd w:id="3"/>
      <w:r w:rsidRPr="00D06D8D">
        <w:rPr>
          <w:rFonts w:eastAsia="Times New Roman"/>
          <w:b/>
          <w:sz w:val="24"/>
          <w:szCs w:val="24"/>
        </w:rPr>
        <w:lastRenderedPageBreak/>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4" w:name="a35_4"/>
      <w:bookmarkEnd w:id="4"/>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5" w:name="a35_5"/>
      <w:bookmarkEnd w:id="5"/>
      <w:r w:rsidRPr="00B37722">
        <w:rPr>
          <w:rFonts w:eastAsia="Times New Roman"/>
          <w:b/>
          <w:sz w:val="24"/>
          <w:szCs w:val="24"/>
        </w:rPr>
        <w:lastRenderedPageBreak/>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(a) That the person poses a substantial risk of physical harm to (himself) (herself) as shown by evidence of recent threats of or attempts at suicide or serious bodily harm to (himself) (herself);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6" w:name="a35_6"/>
      <w:bookmarkEnd w:id="6"/>
      <w:r w:rsidRPr="00FA7B76">
        <w:rPr>
          <w:rFonts w:eastAsia="Times New Roman"/>
          <w:b/>
          <w:sz w:val="24"/>
          <w:szCs w:val="24"/>
        </w:rPr>
        <w:lastRenderedPageBreak/>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7" w:name="a35_7"/>
      <w:bookmarkEnd w:id="7"/>
      <w:r w:rsidRPr="00BE654D">
        <w:rPr>
          <w:rFonts w:eastAsia="Times New Roman"/>
          <w:b/>
          <w:sz w:val="24"/>
          <w:szCs w:val="24"/>
        </w:rPr>
        <w:lastRenderedPageBreak/>
        <w:t xml:space="preserve">35:7 </w:t>
      </w:r>
      <w:r w:rsidRPr="00BE654D">
        <w:rPr>
          <w:rFonts w:eastAsia="Times New Roman"/>
          <w:b/>
          <w:sz w:val="24"/>
          <w:szCs w:val="24"/>
        </w:rPr>
        <w:tab/>
      </w:r>
      <w:r w:rsidRPr="002065D8">
        <w:rPr>
          <w:rFonts w:eastAsia="Times New Roman"/>
          <w:b/>
          <w:caps/>
          <w:sz w:val="24"/>
          <w:szCs w:val="24"/>
        </w:rPr>
        <w:t>Special Verdict Form — Short-Term Treatment</w:t>
      </w:r>
    </w:p>
    <w:p w14:paraId="70E09A5B" w14:textId="77777777" w:rsidR="00BE654D" w:rsidRPr="00BE654D" w:rsidRDefault="00BE654D" w:rsidP="00BE654D">
      <w:pPr>
        <w:jc w:val="center"/>
        <w:rPr>
          <w:rFonts w:eastAsia="Times New Roman"/>
          <w:b/>
          <w:sz w:val="24"/>
          <w:szCs w:val="24"/>
        </w:rPr>
      </w:pPr>
      <w:r w:rsidRPr="00BE654D">
        <w:rPr>
          <w:rFonts w:eastAsia="Times New Roman"/>
          <w:b/>
          <w:sz w:val="24"/>
          <w:szCs w:val="24"/>
        </w:rPr>
        <w:t>IN THE _______ COURT IN AND FOR THE</w:t>
      </w:r>
    </w:p>
    <w:p w14:paraId="738E896B" w14:textId="77777777" w:rsidR="00BE654D" w:rsidRPr="00BE654D" w:rsidRDefault="00BE654D" w:rsidP="00BE654D">
      <w:pPr>
        <w:jc w:val="center"/>
        <w:rPr>
          <w:rFonts w:eastAsia="Times New Roman"/>
          <w:b/>
          <w:sz w:val="24"/>
          <w:szCs w:val="24"/>
        </w:rPr>
      </w:pPr>
      <w:r w:rsidRPr="00BE654D">
        <w:rPr>
          <w:rFonts w:eastAsia="Times New Roman"/>
          <w:b/>
          <w:sz w:val="24"/>
          <w:szCs w:val="24"/>
        </w:rPr>
        <w:t>COUNTY OF _______, STATE OF COLORADO</w:t>
      </w:r>
    </w:p>
    <w:p w14:paraId="3E3AD185" w14:textId="77777777" w:rsidR="00BE654D" w:rsidRPr="00BE654D" w:rsidRDefault="00BE654D" w:rsidP="00BE654D">
      <w:pPr>
        <w:jc w:val="center"/>
        <w:rPr>
          <w:rFonts w:eastAsia="Times New Roman"/>
          <w:b/>
          <w:sz w:val="24"/>
          <w:szCs w:val="24"/>
        </w:rPr>
      </w:pPr>
    </w:p>
    <w:p w14:paraId="7184BAB3" w14:textId="77777777" w:rsidR="00BE654D" w:rsidRPr="00BE654D" w:rsidRDefault="00BE654D" w:rsidP="00BE654D">
      <w:pPr>
        <w:jc w:val="center"/>
        <w:rPr>
          <w:rFonts w:eastAsia="Times New Roman"/>
          <w:b/>
          <w:sz w:val="24"/>
          <w:szCs w:val="24"/>
        </w:rPr>
      </w:pPr>
      <w:r w:rsidRPr="00BE654D">
        <w:rPr>
          <w:rFonts w:eastAsia="Times New Roman"/>
          <w:b/>
          <w:sz w:val="24"/>
          <w:szCs w:val="24"/>
        </w:rPr>
        <w:t>Action No. _______</w:t>
      </w:r>
    </w:p>
    <w:p w14:paraId="0BFB47A3" w14:textId="77777777" w:rsidR="00BE654D" w:rsidRPr="00BE654D" w:rsidRDefault="00BE654D" w:rsidP="00BE654D">
      <w:pPr>
        <w:rPr>
          <w:rFonts w:eastAsia="Times New Roman"/>
          <w:b/>
          <w:sz w:val="24"/>
          <w:szCs w:val="24"/>
        </w:rPr>
      </w:pPr>
    </w:p>
    <w:p w14:paraId="41F7ED30" w14:textId="77777777" w:rsidR="00BE654D" w:rsidRPr="00BE654D" w:rsidRDefault="00BE654D" w:rsidP="00BE654D">
      <w:pPr>
        <w:rPr>
          <w:rFonts w:eastAsia="Times New Roman"/>
          <w:b/>
          <w:sz w:val="24"/>
          <w:szCs w:val="24"/>
        </w:rPr>
      </w:pPr>
    </w:p>
    <w:p w14:paraId="5F533462" w14:textId="77777777" w:rsidR="00BE654D" w:rsidRPr="00BE654D" w:rsidRDefault="00BE654D" w:rsidP="00BE654D">
      <w:pPr>
        <w:rPr>
          <w:rFonts w:eastAsia="Times New Roman"/>
          <w:b/>
          <w:sz w:val="24"/>
          <w:szCs w:val="24"/>
        </w:rPr>
      </w:pPr>
    </w:p>
    <w:p w14:paraId="160D8DAA" w14:textId="77777777" w:rsidR="00BE654D" w:rsidRPr="00BE654D" w:rsidRDefault="00BE654D" w:rsidP="00BE654D">
      <w:pPr>
        <w:rPr>
          <w:rFonts w:eastAsia="Times New Roman"/>
          <w:b/>
          <w:sz w:val="24"/>
          <w:szCs w:val="24"/>
        </w:rPr>
      </w:pPr>
      <w:r w:rsidRPr="00BE654D">
        <w:rPr>
          <w:rFonts w:eastAsia="Times New Roman"/>
          <w:b/>
          <w:sz w:val="24"/>
          <w:szCs w:val="24"/>
        </w:rPr>
        <w:tab/>
        <w:t>In the interest of</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100621D" w14:textId="77777777" w:rsidR="00BE654D" w:rsidRPr="00BE654D" w:rsidRDefault="00BE654D" w:rsidP="00BE654D">
      <w:pPr>
        <w:ind w:left="1440" w:firstLine="720"/>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6C0C495" w14:textId="77777777" w:rsidR="00BE654D" w:rsidRPr="00BE654D" w:rsidRDefault="00BE654D" w:rsidP="00BE654D">
      <w:pPr>
        <w:rPr>
          <w:rFonts w:eastAsia="Times New Roman"/>
          <w:b/>
          <w:sz w:val="24"/>
          <w:szCs w:val="24"/>
        </w:rPr>
      </w:pPr>
      <w:r w:rsidRPr="00BE654D">
        <w:rPr>
          <w:rFonts w:eastAsia="Times New Roman"/>
          <w:b/>
          <w:sz w:val="24"/>
          <w:szCs w:val="24"/>
        </w:rPr>
        <w:t>__________________________________,</w:t>
      </w:r>
      <w:r w:rsidRPr="00BE654D">
        <w:rPr>
          <w:rFonts w:eastAsia="Times New Roman"/>
          <w:b/>
          <w:sz w:val="24"/>
          <w:szCs w:val="24"/>
        </w:rPr>
        <w:tab/>
        <w:t>)            SPECIAL VERDICT</w:t>
      </w:r>
    </w:p>
    <w:p w14:paraId="4C425DFF" w14:textId="77777777" w:rsidR="00BE654D" w:rsidRPr="00BE654D" w:rsidRDefault="00BE654D" w:rsidP="00BE654D">
      <w:pPr>
        <w:rPr>
          <w:rFonts w:eastAsia="Times New Roman"/>
          <w:b/>
          <w:sz w:val="24"/>
          <w:szCs w:val="24"/>
        </w:rPr>
      </w:pPr>
      <w:r w:rsidRPr="00BE654D">
        <w:rPr>
          <w:rFonts w:eastAsia="Times New Roman"/>
          <w:b/>
          <w:sz w:val="24"/>
          <w:szCs w:val="24"/>
        </w:rPr>
        <w:tab/>
        <w:t xml:space="preserve">Respondent.  </w:t>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w:t>
      </w:r>
    </w:p>
    <w:p w14:paraId="291CDF9F" w14:textId="77777777" w:rsidR="00BE654D" w:rsidRPr="00BE654D" w:rsidRDefault="00BE654D" w:rsidP="00BE654D">
      <w:pPr>
        <w:rPr>
          <w:rFonts w:eastAsia="Times New Roman"/>
          <w:b/>
          <w:sz w:val="24"/>
          <w:szCs w:val="24"/>
        </w:rPr>
      </w:pPr>
    </w:p>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3.</w:t>
      </w:r>
    </w:p>
    <w:p w14:paraId="760C941F" w14:textId="77777777" w:rsidR="00BE654D" w:rsidRPr="00BE654D" w:rsidRDefault="00BE654D" w:rsidP="00BE654D">
      <w:pPr>
        <w:ind w:firstLine="720"/>
        <w:rPr>
          <w:rFonts w:eastAsia="Times New Roman"/>
          <w:b/>
          <w:sz w:val="24"/>
          <w:szCs w:val="24"/>
        </w:rPr>
      </w:pPr>
    </w:p>
    <w:p w14:paraId="5B9B677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analyze the respondent’s condition, and did they find that the respondent is a person with a mental illness or mental health disorder and, as a result of such illness or mental health disorder, [is a danger (to himself) (to herself)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lastRenderedPageBreak/>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8" w:name="a35_8"/>
      <w:bookmarkEnd w:id="8"/>
      <w:r w:rsidRPr="002065D8">
        <w:rPr>
          <w:rFonts w:eastAsia="Times New Roman"/>
          <w:b/>
          <w:sz w:val="24"/>
          <w:szCs w:val="24"/>
        </w:rPr>
        <w:lastRenderedPageBreak/>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p w14:paraId="76A61D40" w14:textId="77777777" w:rsidR="002065D8" w:rsidRPr="002065D8" w:rsidRDefault="002065D8" w:rsidP="002065D8">
      <w:pPr>
        <w:jc w:val="center"/>
        <w:rPr>
          <w:rFonts w:eastAsia="Times New Roman"/>
          <w:b/>
          <w:sz w:val="24"/>
          <w:szCs w:val="24"/>
        </w:rPr>
      </w:pPr>
      <w:r w:rsidRPr="002065D8">
        <w:rPr>
          <w:rFonts w:eastAsia="Times New Roman"/>
          <w:b/>
          <w:sz w:val="24"/>
          <w:szCs w:val="24"/>
        </w:rPr>
        <w:t>IN THE _______ COURT IN AND FOR THE</w:t>
      </w:r>
    </w:p>
    <w:p w14:paraId="5DBD2758" w14:textId="77777777" w:rsidR="002065D8" w:rsidRPr="002065D8" w:rsidRDefault="002065D8" w:rsidP="002065D8">
      <w:pPr>
        <w:jc w:val="center"/>
        <w:rPr>
          <w:rFonts w:eastAsia="Times New Roman"/>
          <w:b/>
          <w:sz w:val="24"/>
          <w:szCs w:val="24"/>
        </w:rPr>
      </w:pPr>
      <w:r w:rsidRPr="002065D8">
        <w:rPr>
          <w:rFonts w:eastAsia="Times New Roman"/>
          <w:b/>
          <w:sz w:val="24"/>
          <w:szCs w:val="24"/>
        </w:rPr>
        <w:t>COUNTY OF _______, STATE OF COLORADO</w:t>
      </w:r>
    </w:p>
    <w:p w14:paraId="3C9B47FD" w14:textId="77777777" w:rsidR="002065D8" w:rsidRPr="002065D8" w:rsidRDefault="002065D8" w:rsidP="002065D8">
      <w:pPr>
        <w:jc w:val="center"/>
        <w:rPr>
          <w:rFonts w:eastAsia="Times New Roman"/>
          <w:b/>
          <w:sz w:val="24"/>
          <w:szCs w:val="24"/>
        </w:rPr>
      </w:pPr>
    </w:p>
    <w:p w14:paraId="2C2599C4" w14:textId="77777777" w:rsidR="002065D8" w:rsidRPr="002065D8" w:rsidRDefault="002065D8" w:rsidP="002065D8">
      <w:pPr>
        <w:jc w:val="center"/>
        <w:rPr>
          <w:rFonts w:eastAsia="Times New Roman"/>
          <w:b/>
          <w:sz w:val="24"/>
          <w:szCs w:val="24"/>
        </w:rPr>
      </w:pPr>
      <w:r w:rsidRPr="002065D8">
        <w:rPr>
          <w:rFonts w:eastAsia="Times New Roman"/>
          <w:b/>
          <w:sz w:val="24"/>
          <w:szCs w:val="24"/>
        </w:rPr>
        <w:t>Action No. _______</w:t>
      </w:r>
    </w:p>
    <w:p w14:paraId="3988BA69" w14:textId="77777777" w:rsidR="002065D8" w:rsidRPr="002065D8" w:rsidRDefault="002065D8" w:rsidP="002065D8">
      <w:pPr>
        <w:jc w:val="center"/>
        <w:rPr>
          <w:rFonts w:eastAsia="Times New Roman"/>
          <w:b/>
          <w:sz w:val="24"/>
          <w:szCs w:val="24"/>
        </w:rPr>
      </w:pPr>
    </w:p>
    <w:p w14:paraId="4D642F8D" w14:textId="77777777" w:rsidR="002065D8" w:rsidRPr="002065D8" w:rsidRDefault="002065D8" w:rsidP="002065D8">
      <w:pPr>
        <w:rPr>
          <w:rFonts w:eastAsia="Times New Roman"/>
          <w:b/>
          <w:sz w:val="24"/>
          <w:szCs w:val="24"/>
        </w:rPr>
      </w:pPr>
    </w:p>
    <w:p w14:paraId="17811329" w14:textId="77777777" w:rsidR="002065D8" w:rsidRPr="002065D8" w:rsidRDefault="002065D8" w:rsidP="002065D8">
      <w:pPr>
        <w:rPr>
          <w:rFonts w:eastAsia="Times New Roman"/>
          <w:b/>
          <w:sz w:val="24"/>
          <w:szCs w:val="24"/>
        </w:rPr>
      </w:pPr>
    </w:p>
    <w:p w14:paraId="4DC8C4B1" w14:textId="77777777" w:rsidR="002065D8" w:rsidRPr="002065D8" w:rsidRDefault="002065D8" w:rsidP="002065D8">
      <w:pPr>
        <w:rPr>
          <w:rFonts w:eastAsia="Times New Roman"/>
          <w:b/>
          <w:sz w:val="24"/>
          <w:szCs w:val="24"/>
        </w:rPr>
      </w:pPr>
      <w:r w:rsidRPr="002065D8">
        <w:rPr>
          <w:rFonts w:eastAsia="Times New Roman"/>
          <w:b/>
          <w:sz w:val="24"/>
          <w:szCs w:val="24"/>
        </w:rPr>
        <w:t xml:space="preserve">       In the interest of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2A2E8801"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56244FB3" w14:textId="77777777" w:rsidR="002065D8" w:rsidRPr="002065D8" w:rsidRDefault="002065D8" w:rsidP="002065D8">
      <w:pPr>
        <w:rPr>
          <w:rFonts w:eastAsia="Times New Roman"/>
          <w:b/>
          <w:sz w:val="24"/>
          <w:szCs w:val="24"/>
        </w:rPr>
      </w:pPr>
      <w:r w:rsidRPr="002065D8">
        <w:rPr>
          <w:rFonts w:eastAsia="Times New Roman"/>
          <w:b/>
          <w:sz w:val="24"/>
          <w:szCs w:val="24"/>
        </w:rPr>
        <w:t xml:space="preserve">__________________________________, </w:t>
      </w:r>
      <w:r w:rsidRPr="002065D8">
        <w:rPr>
          <w:rFonts w:eastAsia="Times New Roman"/>
          <w:b/>
          <w:sz w:val="24"/>
          <w:szCs w:val="24"/>
        </w:rPr>
        <w:tab/>
        <w:t>)            SPECIAL VERDICT</w:t>
      </w:r>
    </w:p>
    <w:p w14:paraId="4A126EDA" w14:textId="77777777" w:rsidR="002065D8" w:rsidRPr="002065D8" w:rsidRDefault="002065D8" w:rsidP="002065D8">
      <w:pPr>
        <w:rPr>
          <w:rFonts w:eastAsia="Times New Roman"/>
          <w:b/>
          <w:sz w:val="24"/>
          <w:szCs w:val="24"/>
        </w:rPr>
      </w:pPr>
      <w:r w:rsidRPr="002065D8">
        <w:rPr>
          <w:rFonts w:eastAsia="Times New Roman"/>
          <w:b/>
          <w:sz w:val="24"/>
          <w:szCs w:val="24"/>
        </w:rPr>
        <w:t xml:space="preserve">      Respondent.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w:t>
      </w:r>
    </w:p>
    <w:p w14:paraId="40337F75" w14:textId="77777777" w:rsidR="002065D8" w:rsidRPr="002065D8" w:rsidRDefault="002065D8" w:rsidP="002065D8">
      <w:pPr>
        <w:rPr>
          <w:rFonts w:eastAsia="Times New Roman"/>
          <w:b/>
          <w:sz w:val="24"/>
          <w:szCs w:val="24"/>
        </w:rPr>
      </w:pPr>
    </w:p>
    <w:p w14:paraId="12AD7250"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 himself] [to herself]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lastRenderedPageBreak/>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himself) (to herself)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1550B" w14:textId="77777777" w:rsidR="006915B6" w:rsidRDefault="006915B6" w:rsidP="0054263B">
      <w:r>
        <w:separator/>
      </w:r>
    </w:p>
  </w:endnote>
  <w:endnote w:type="continuationSeparator" w:id="0">
    <w:p w14:paraId="3D113AAD" w14:textId="77777777" w:rsidR="006915B6" w:rsidRDefault="006915B6"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86487D">
          <w:rPr>
            <w:noProof/>
          </w:rPr>
          <w:t>10</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2B40" w14:textId="77777777" w:rsidR="006915B6" w:rsidRDefault="006915B6" w:rsidP="0054263B">
      <w:r>
        <w:separator/>
      </w:r>
    </w:p>
  </w:footnote>
  <w:footnote w:type="continuationSeparator" w:id="0">
    <w:p w14:paraId="6D1C0676" w14:textId="77777777" w:rsidR="006915B6" w:rsidRDefault="006915B6" w:rsidP="0054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14672F"/>
    <w:rsid w:val="00192125"/>
    <w:rsid w:val="002065D8"/>
    <w:rsid w:val="002E0970"/>
    <w:rsid w:val="003304EC"/>
    <w:rsid w:val="00333202"/>
    <w:rsid w:val="00350E9F"/>
    <w:rsid w:val="00352111"/>
    <w:rsid w:val="0035626B"/>
    <w:rsid w:val="003937B8"/>
    <w:rsid w:val="0046281C"/>
    <w:rsid w:val="00480E83"/>
    <w:rsid w:val="004C62F9"/>
    <w:rsid w:val="004E7EF1"/>
    <w:rsid w:val="0054263B"/>
    <w:rsid w:val="006272FE"/>
    <w:rsid w:val="00667A01"/>
    <w:rsid w:val="00675252"/>
    <w:rsid w:val="006915B6"/>
    <w:rsid w:val="006C6EED"/>
    <w:rsid w:val="007119D8"/>
    <w:rsid w:val="007D6024"/>
    <w:rsid w:val="00832DB4"/>
    <w:rsid w:val="0086487D"/>
    <w:rsid w:val="00875064"/>
    <w:rsid w:val="008E41F1"/>
    <w:rsid w:val="008F4C42"/>
    <w:rsid w:val="0094426B"/>
    <w:rsid w:val="00991938"/>
    <w:rsid w:val="00B37722"/>
    <w:rsid w:val="00B64E15"/>
    <w:rsid w:val="00BE654D"/>
    <w:rsid w:val="00C60E95"/>
    <w:rsid w:val="00C9558D"/>
    <w:rsid w:val="00CA41CC"/>
    <w:rsid w:val="00D06D8D"/>
    <w:rsid w:val="00D31D0C"/>
    <w:rsid w:val="00D62AC4"/>
    <w:rsid w:val="00DB2C90"/>
    <w:rsid w:val="00DC63A9"/>
    <w:rsid w:val="00DC66A6"/>
    <w:rsid w:val="00E058BA"/>
    <w:rsid w:val="00E97E7D"/>
    <w:rsid w:val="00EC7C98"/>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2019-12-12T17:50:00Z</dcterms:created>
  <dcterms:modified xsi:type="dcterms:W3CDTF">2020-01-31T17:35:00Z</dcterms:modified>
</cp:coreProperties>
</file>