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B41AE" w14:textId="77777777" w:rsidR="00CA41CC" w:rsidRPr="00914128" w:rsidRDefault="0068336D" w:rsidP="00914128">
      <w:pPr>
        <w:pStyle w:val="Heading1"/>
      </w:pPr>
      <w:bookmarkStart w:id="0" w:name="_GoBack"/>
      <w:bookmarkEnd w:id="0"/>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7563B8"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7563B8"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7563B8"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Amount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7563B8"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7563B8"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7563B8"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7563B8"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Between Parents’ </w:t>
      </w:r>
      <w:r w:rsidR="000962C8">
        <w:t>a</w:t>
      </w:r>
      <w:r w:rsidR="00320613" w:rsidRPr="0083763B">
        <w:t>nd Child’s Claims</w:t>
      </w:r>
    </w:p>
    <w:p w14:paraId="215EE422" w14:textId="77777777" w:rsidR="0083763B" w:rsidRDefault="007563B8"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7563B8"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7563B8"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7563B8"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7563B8"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7563B8"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Of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7563B8"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7563B8"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7563B8"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7563B8"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But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1" w:name="Intro"/>
      <w:bookmarkEnd w:id="1"/>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apply to cases where the statutory limitations on noneconomic losses or injuries apply. For these other damage instructions,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4. In negligence cases in which either the comparative negligence statute, § 13-21-111, C.R.S., or the pro rata liability statute, § 13-21-111.5, C.R.S., or both, apply, the Instructions and special verdict forms in Part C of Chapter 9 should be used in conjunction with Instruction 6:1, but not with the special verdict forms in Instructions 6:1A and 6:1B in Part A of this Chapter. In negligence cases in which neither the comparative negligence statute, § 13-21-111, nor the pro rata liability statute, § 13-21-111.5, applies, the Instructions in Chapter 9 should be used in conjunction with Instructions 6:1, 6:1A, and 6:1B.</w:t>
      </w:r>
    </w:p>
    <w:p w14:paraId="1EFD2CF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in conjunction with Instruction 6:1, 6:1A, and 6:1B instead of the special verdict forms in Part C of Chapter 9. Instructions 6:1, 6:1A, and 6:1B should also be used in conjunction with product liability claims in which neither the comparative negligence statute, § 13-21-111, C.R.S., nor the pro rata liability statute, § 13-21-111.5, C.R.S.,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C.R.S., or both, apply, the instructions and special verdict forms in Part E of Chapter 14 should be used in conjunction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in conjunction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Tort Actions Against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2" w:name="a6_1"/>
      <w:bookmarkEnd w:id="2"/>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5E712D">
        <w:rPr>
          <w:rFonts w:eastAsia="Times New Roman"/>
          <w:i/>
          <w:sz w:val="24"/>
          <w:szCs w:val="24"/>
        </w:rPr>
        <w:t>(insert any other recoverable nonecomonic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which plaintiff will probably have in the future, including: loss of earnings or damage to (his) (her)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1. See 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r w:rsidRPr="005E712D">
        <w:rPr>
          <w:rFonts w:eastAsia="Times New Roman"/>
          <w:b/>
          <w:sz w:val="24"/>
          <w:szCs w:val="24"/>
        </w:rPr>
        <w:t>Rodrigue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Note 2 of 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7. For civil actions other than medical malpractice actions, the maximum amount of noneconomic and derivative noneconomic damages that may be awarded is set by section 13-21-102.5(3)(a) and (b), C.R.S., as adjusted periodically for inflation by the Colorado secretary of state. § 13-21-102.5(3)(c). As of the most recent certification of January 13, 2015,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and after January 1, 2008, $468,010, which may be increased by the court upon clear and convincing evidence of justification to a maximum of $936,030.</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13-21-102.5(2)(b). “Derivative noneconomic loss or injury” is defined as “harm or emotional stress to persons other than the person suffering the direct or primary loss or injury.” § 13-21-102.5(2)(a). 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(Colo. 2007) (“‘If someone tortiously inflicts a permanent injury on another he or she has taken away something valuable which is independent and different from other recognized elements of damages such as pain and suffering and loss of earning capacity.’” (quoting 2 Marilyn Minzer et </w:t>
      </w:r>
      <w:r w:rsidRPr="005E712D">
        <w:rPr>
          <w:rFonts w:eastAsia="Times New Roman"/>
          <w:sz w:val="24"/>
          <w:szCs w:val="24"/>
        </w:rPr>
        <w:lastRenderedPageBreak/>
        <w:t xml:space="preserve">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Cooley v. Paraho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Niemet</w:t>
      </w:r>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57E234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Alhilo v. Kliem</w:t>
      </w:r>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r w:rsidRPr="005E712D">
        <w:rPr>
          <w:rFonts w:eastAsia="Times New Roman"/>
          <w:b/>
          <w:sz w:val="24"/>
          <w:szCs w:val="24"/>
        </w:rPr>
        <w:t>Palmer v. Diaz</w:t>
      </w:r>
      <w:r w:rsidRPr="005E712D">
        <w:rPr>
          <w:rFonts w:eastAsia="Times New Roman"/>
          <w:sz w:val="24"/>
          <w:szCs w:val="24"/>
        </w:rPr>
        <w:t xml:space="preserve">, 214 P.3d 546 (Colo. App. 2009).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nonsettling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Smith v. Zufelt</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p>
    <w:p w14:paraId="7B8014E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14. Other damages limitations include section 13-64-302, for tort actions against health care professionals or institutions, </w:t>
      </w:r>
      <w:r w:rsidRPr="005E712D">
        <w:rPr>
          <w:rFonts w:eastAsia="Times New Roman"/>
          <w:i/>
          <w:sz w:val="24"/>
          <w:szCs w:val="24"/>
        </w:rPr>
        <w:t>see</w:t>
      </w:r>
      <w:r w:rsidRPr="005E712D">
        <w:rPr>
          <w:rFonts w:eastAsia="Times New Roman"/>
          <w:sz w:val="24"/>
          <w:szCs w:val="24"/>
        </w:rPr>
        <w:t xml:space="preserve"> Instruction 15:14 and the related instructions in Part I, subpart D of Chapter 15, and sections 13-21-203 and 203.5, C.R.S., for wrongful death actions, </w:t>
      </w:r>
      <w:r w:rsidRPr="005E712D">
        <w:rPr>
          <w:rFonts w:eastAsia="Times New Roman"/>
          <w:i/>
          <w:sz w:val="24"/>
          <w:szCs w:val="24"/>
        </w:rPr>
        <w:t>see</w:t>
      </w:r>
      <w:r w:rsidRPr="005E712D">
        <w:rPr>
          <w:rFonts w:eastAsia="Times New Roman"/>
          <w:sz w:val="24"/>
          <w:szCs w:val="24"/>
        </w:rPr>
        <w:t xml:space="preserve"> Instruction 10:3.</w:t>
      </w:r>
    </w:p>
    <w:p w14:paraId="7BADC6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15.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w:t>
      </w:r>
      <w:r w:rsidRPr="005E712D">
        <w:rPr>
          <w:rFonts w:eastAsia="Times New Roman"/>
          <w:sz w:val="24"/>
          <w:szCs w:val="24"/>
        </w:rPr>
        <w:lastRenderedPageBreak/>
        <w:t xml:space="preserve">C.R.S. (liability of ski area operators to various users);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Pyles-Knutzen v. Bd. of Cty. Comm’rs</w:t>
      </w:r>
      <w:r w:rsidRPr="005E712D">
        <w:rPr>
          <w:rFonts w:eastAsia="Times New Roman"/>
          <w:sz w:val="24"/>
          <w:szCs w:val="24"/>
        </w:rPr>
        <w:t xml:space="preserve">, 781 P.2d 164 (Colo. App. 1989) (claim under Colorado Governmental Immunity Act is limited by section 24-10-114(1), but not by amount “requested” by plaintiff in notice of claim submitted under section 24-10-109(2)(e), C.R.S.). </w:t>
      </w:r>
    </w:p>
    <w:p w14:paraId="549A1B19"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16. The potentially competing claims of an injured party and a subrogated insurance carrier are subject to the provisions of section 10-1-135, C.R.S.</w:t>
      </w:r>
    </w:p>
    <w:p w14:paraId="370E764F"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17. Omit any element of damage for which there is insufficient evidence. </w:t>
      </w:r>
      <w:r w:rsidRPr="005E712D">
        <w:rPr>
          <w:rFonts w:eastAsia="Times New Roman"/>
          <w:b/>
          <w:sz w:val="24"/>
          <w:szCs w:val="24"/>
        </w:rPr>
        <w:t>Barter Mach. &amp; Supply Co. v. Muchow</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117 Colo. 468, 190 P.2d 891 (1948).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r w:rsidRPr="005E712D">
        <w:rPr>
          <w:rFonts w:eastAsia="Times New Roman"/>
          <w:b/>
          <w:sz w:val="24"/>
          <w:szCs w:val="24"/>
        </w:rPr>
        <w:t>Phillips v. Monarch Recreation Corp.</w:t>
      </w:r>
      <w:r w:rsidRPr="005E712D">
        <w:rPr>
          <w:rFonts w:eastAsia="Times New Roman"/>
          <w:sz w:val="24"/>
          <w:szCs w:val="24"/>
        </w:rPr>
        <w:t xml:space="preserve">, 668 P.2d 982, 987 (Colo. App. 1983). And the jury must compensate an injured party for proven damages. </w:t>
      </w:r>
      <w:r w:rsidRPr="005E712D">
        <w:rPr>
          <w:rFonts w:eastAsia="Times New Roman"/>
          <w:b/>
          <w:sz w:val="24"/>
          <w:szCs w:val="24"/>
        </w:rPr>
        <w:t>Villandry v. Gregerson</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Peterson v. Tadolini</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r w:rsidRPr="005E712D">
        <w:rPr>
          <w:rFonts w:eastAsia="Times New Roman"/>
          <w:b/>
          <w:sz w:val="24"/>
          <w:szCs w:val="24"/>
        </w:rPr>
        <w:t>Scharrel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Thompson v. Tartler</w:t>
      </w:r>
      <w:r w:rsidRPr="005E712D">
        <w:rPr>
          <w:rFonts w:eastAsia="Times New Roman"/>
          <w:sz w:val="24"/>
          <w:szCs w:val="24"/>
        </w:rPr>
        <w:t xml:space="preserve">, 166 Colo. 247, 443 P.2d 365 (1968) (loss of future earnings); </w:t>
      </w:r>
      <w:r w:rsidRPr="005E712D">
        <w:rPr>
          <w:rFonts w:eastAsia="Times New Roman"/>
          <w:b/>
          <w:sz w:val="24"/>
          <w:szCs w:val="24"/>
        </w:rPr>
        <w:t>Van Schaack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Colo. Utils. Corp. v. Casady</w:t>
      </w:r>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Russo v. Birrenkott</w:t>
      </w:r>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r w:rsidRPr="005E712D">
        <w:rPr>
          <w:rFonts w:eastAsia="Times New Roman"/>
          <w:b/>
          <w:sz w:val="24"/>
          <w:szCs w:val="24"/>
        </w:rPr>
        <w:t>Brncic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28 Colo. App. 204, 471 P.2d 618 (1970).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lastRenderedPageBreak/>
        <w:t xml:space="preserve">4. Damages for “loss of future earning capacity” are compensable even though they may be “uncertain in respect to the amount.” </w:t>
      </w:r>
      <w:r w:rsidRPr="005E712D">
        <w:rPr>
          <w:rFonts w:eastAsia="Times New Roman"/>
          <w:b/>
          <w:sz w:val="24"/>
          <w:szCs w:val="24"/>
        </w:rPr>
        <w:t>Brittis v. Freemon</w:t>
      </w:r>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Martinez v. Shapland</w:t>
      </w:r>
      <w:r w:rsidRPr="005E712D">
        <w:rPr>
          <w:rFonts w:eastAsia="Times New Roman"/>
          <w:sz w:val="24"/>
          <w:szCs w:val="24"/>
        </w:rPr>
        <w:t xml:space="preserve">, 833 P.2d 837 (Colo. App. 1992); </w:t>
      </w:r>
      <w:r w:rsidRPr="005E712D">
        <w:rPr>
          <w:rFonts w:eastAsia="Times New Roman"/>
          <w:b/>
          <w:sz w:val="24"/>
          <w:szCs w:val="24"/>
        </w:rPr>
        <w:t>Kitto v. Gilbert</w:t>
      </w:r>
      <w:r w:rsidRPr="005E712D">
        <w:rPr>
          <w:rFonts w:eastAsia="Times New Roman"/>
          <w:sz w:val="24"/>
          <w:szCs w:val="24"/>
        </w:rPr>
        <w:t xml:space="preserve">, 39 Colo. App. 374, 570 P.2d 544 (1977). A plaintiff’s immigration status may be relevant to a determination of future wage loss in some circumstances. </w:t>
      </w:r>
      <w:r w:rsidRPr="005E712D">
        <w:rPr>
          <w:rFonts w:eastAsia="Times New Roman"/>
          <w:b/>
          <w:sz w:val="24"/>
          <w:szCs w:val="24"/>
        </w:rPr>
        <w:t>Silva v. Wilcox</w:t>
      </w:r>
      <w:r w:rsidRPr="005E712D">
        <w:rPr>
          <w:rFonts w:eastAsia="Times New Roman"/>
          <w:sz w:val="24"/>
          <w:szCs w:val="24"/>
        </w:rPr>
        <w:t xml:space="preserve">, 223 P.3d 127 (Colo. App. 2009).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xml:space="preserve">, 50 Colo. 328, 116 P. 125 (1911). </w:t>
      </w:r>
      <w:r w:rsidRPr="005E712D">
        <w:rPr>
          <w:rFonts w:eastAsia="Times New Roman"/>
          <w:i/>
          <w:sz w:val="24"/>
          <w:szCs w:val="24"/>
        </w:rPr>
        <w:t xml:space="preserve">But see </w:t>
      </w:r>
      <w:r w:rsidRPr="005E712D">
        <w:rPr>
          <w:rFonts w:eastAsia="Times New Roman"/>
          <w:b/>
          <w:sz w:val="24"/>
          <w:szCs w:val="24"/>
        </w:rPr>
        <w:t>Wal-Mart Stores, Inc. v. Crossgrove</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2012 CO 31, ¶ 18, 276 P.3d 562 (common law portion of the collateral source rule, which applies pre-verdict,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Smith v. Kinningham</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r w:rsidRPr="005E712D">
        <w:rPr>
          <w:rFonts w:eastAsia="Times New Roman"/>
          <w:b/>
          <w:sz w:val="24"/>
          <w:szCs w:val="24"/>
        </w:rPr>
        <w:t>Ford Motor Co. v. Conrardy</w:t>
      </w:r>
      <w:r w:rsidRPr="005E712D">
        <w:rPr>
          <w:rFonts w:eastAsia="Times New Roman"/>
          <w:sz w:val="24"/>
          <w:szCs w:val="24"/>
        </w:rPr>
        <w:t>, 29 Colo. App. 577, 488 P.2d 219 (1971).</w:t>
      </w:r>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r w:rsidRPr="005E712D">
        <w:rPr>
          <w:rFonts w:eastAsia="Times New Roman"/>
          <w:b/>
          <w:sz w:val="24"/>
          <w:szCs w:val="24"/>
        </w:rPr>
        <w:t>Boryla v. Pash</w:t>
      </w:r>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For the damages one may recover against a defendant who made illegal drugs available to an illegal user and the use of such drugs caused damages to others, see Drug Dealer Liability Act, §§ 13-21-801 to -813, C.R.S. Such damages may include punitive damages, reasonable </w:t>
      </w:r>
      <w:r w:rsidRPr="005E712D">
        <w:rPr>
          <w:rFonts w:eastAsia="Times New Roman"/>
          <w:sz w:val="24"/>
          <w:szCs w:val="24"/>
        </w:rPr>
        <w:lastRenderedPageBreak/>
        <w:t>attorney fees, and costs of suit. As to the persons who may recover such damages, see section 13-21-804(1), and as to the persons who may be held liable for such damages, see section 13-21-804(2)(a)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r w:rsidRPr="005E712D">
        <w:rPr>
          <w:rFonts w:eastAsia="Times New Roman"/>
          <w:b/>
          <w:sz w:val="24"/>
          <w:szCs w:val="24"/>
        </w:rPr>
        <w:t>Scharrel</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r w:rsidRPr="005E712D">
        <w:rPr>
          <w:rFonts w:eastAsia="Times New Roman"/>
          <w:b/>
          <w:sz w:val="24"/>
          <w:szCs w:val="24"/>
        </w:rPr>
        <w:t>Briggs v. Cornwell</w:t>
      </w:r>
      <w:r w:rsidRPr="005E712D">
        <w:rPr>
          <w:rFonts w:eastAsia="Times New Roman"/>
          <w:sz w:val="24"/>
          <w:szCs w:val="24"/>
        </w:rPr>
        <w:t xml:space="preserve">, 676 P.2d 1252 (Colo. App. 1983). In a property damage case where damages are measured by repair and/or replacement costs, prejudgment interest accrues from the date the costs were incurred, not the date of the original damage. </w:t>
      </w:r>
      <w:r w:rsidRPr="005E712D">
        <w:rPr>
          <w:rFonts w:eastAsia="Times New Roman"/>
          <w:b/>
          <w:sz w:val="24"/>
          <w:szCs w:val="24"/>
        </w:rPr>
        <w:t>Goodyear Tire &amp; Rubber Co. v. Holmes</w:t>
      </w:r>
      <w:r w:rsidRPr="005E712D">
        <w:rPr>
          <w:rFonts w:eastAsia="Times New Roman"/>
          <w:sz w:val="24"/>
          <w:szCs w:val="24"/>
        </w:rPr>
        <w:t xml:space="preserve">, 193 P.3d 821 (Colo. 2008). Prejudgment interest, as an element of damage, is to be determined by the court. § 13-21-101(1). The trial court is to calculate interest on the amount of the reduced award, after application of any statutory damages caps, regardless of the amount awarded by the jury. </w:t>
      </w:r>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28F43FD5" w14:textId="77777777" w:rsidR="005E712D" w:rsidRPr="005E712D" w:rsidRDefault="005E712D" w:rsidP="00E91DC9">
      <w:pPr>
        <w:spacing w:after="240"/>
        <w:ind w:firstLine="720"/>
        <w:rPr>
          <w:rFonts w:eastAsia="Times New Roman"/>
          <w:sz w:val="24"/>
          <w:szCs w:val="24"/>
        </w:rPr>
      </w:pPr>
      <w:r w:rsidRPr="005E712D">
        <w:rPr>
          <w:rFonts w:eastAsia="Times New Roman"/>
          <w:sz w:val="24"/>
          <w:szCs w:val="24"/>
        </w:rPr>
        <w:t xml:space="preserve">13. Section 13-21-111.6, C.R.S.,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Keelan v. Van Waters &amp; Rogers,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City of Denver), </w:t>
      </w:r>
      <w:r w:rsidRPr="005E712D">
        <w:rPr>
          <w:rFonts w:eastAsia="Times New Roman"/>
          <w:i/>
          <w:sz w:val="24"/>
          <w:szCs w:val="24"/>
        </w:rPr>
        <w:t>aff’d</w:t>
      </w:r>
      <w:r w:rsidRPr="005E712D">
        <w:rPr>
          <w:rFonts w:eastAsia="Times New Roman"/>
          <w:sz w:val="24"/>
          <w:szCs w:val="24"/>
        </w:rPr>
        <w:t xml:space="preserve">, 840 P.2d 1070 (Colo. 1992);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Crossgrove</w:t>
      </w:r>
      <w:r w:rsidRPr="005E712D">
        <w:rPr>
          <w:rFonts w:eastAsia="Times New Roman"/>
          <w:sz w:val="24"/>
          <w:szCs w:val="24"/>
        </w:rPr>
        <w:t xml:space="preserve">, 2012 CO 31, ¶ 18 (common law portion of the collateral source rule, which applies pre-verdict, required exclusion of evidence of amount paid by medical insurer for plaintiff’s medical expenses, even where offered solely to prove reasonable value of medical services, and collateral source statute applies only post-verdict); </w:t>
      </w:r>
      <w:r w:rsidRPr="005E712D">
        <w:rPr>
          <w:rFonts w:eastAsia="Times New Roman"/>
          <w:b/>
          <w:sz w:val="24"/>
          <w:szCs w:val="24"/>
        </w:rPr>
        <w:t>Smith v. Jeppsen</w:t>
      </w:r>
      <w:r w:rsidRPr="005E712D">
        <w:rPr>
          <w:rFonts w:eastAsia="Times New Roman"/>
          <w:sz w:val="24"/>
          <w:szCs w:val="24"/>
        </w:rPr>
        <w:t xml:space="preserve">, 2012 CO 32, ¶¶ 20-22, 277 P.3d 224 (companion case to </w:t>
      </w:r>
      <w:r w:rsidRPr="005E712D">
        <w:rPr>
          <w:rFonts w:eastAsia="Times New Roman"/>
          <w:b/>
          <w:sz w:val="24"/>
          <w:szCs w:val="24"/>
        </w:rPr>
        <w:t>Crossgrove</w:t>
      </w:r>
      <w:r w:rsidRPr="005E712D">
        <w:rPr>
          <w:rFonts w:eastAsia="Times New Roman"/>
          <w:sz w:val="24"/>
          <w:szCs w:val="24"/>
        </w:rPr>
        <w:t xml:space="preserve">); </w:t>
      </w:r>
      <w:r w:rsidRPr="005E712D">
        <w:rPr>
          <w:rFonts w:eastAsia="Times New Roman"/>
          <w:b/>
          <w:sz w:val="24"/>
          <w:szCs w:val="24"/>
        </w:rPr>
        <w:t>Sunahara v. State Farm Mut. Auto. Ins. Co.</w:t>
      </w:r>
      <w:r w:rsidRPr="005E712D">
        <w:rPr>
          <w:rFonts w:eastAsia="Times New Roman"/>
          <w:sz w:val="24"/>
          <w:szCs w:val="24"/>
        </w:rPr>
        <w:t xml:space="preserve">, 2012 CO 30M, ¶¶ 13-19, 280 P.3d 649 (companion case to </w:t>
      </w:r>
      <w:r w:rsidRPr="005E712D">
        <w:rPr>
          <w:rFonts w:eastAsia="Times New Roman"/>
          <w:b/>
          <w:sz w:val="24"/>
          <w:szCs w:val="24"/>
        </w:rPr>
        <w:t>Crossgrove</w:t>
      </w:r>
      <w:r w:rsidRPr="005E712D">
        <w:rPr>
          <w:rFonts w:eastAsia="Times New Roman"/>
          <w:sz w:val="24"/>
          <w:szCs w:val="24"/>
        </w:rPr>
        <w:t>);</w:t>
      </w:r>
      <w:r w:rsidRPr="005E712D">
        <w:rPr>
          <w:rFonts w:eastAsia="Times New Roman"/>
          <w:b/>
          <w:sz w:val="24"/>
          <w:szCs w:val="24"/>
        </w:rPr>
        <w:t xml:space="preserve"> Volunteers of Am. Colo. Branch v. Gardenswartz</w:t>
      </w:r>
      <w:r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Pr="005E712D">
        <w:rPr>
          <w:rFonts w:eastAsia="Times New Roman"/>
          <w:b/>
          <w:sz w:val="24"/>
          <w:szCs w:val="24"/>
        </w:rPr>
        <w:t>Colo. Permanente Med. Grp.</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926 P.2d at 1230;</w:t>
      </w:r>
      <w:r w:rsidR="00E91DC9">
        <w:rPr>
          <w:rFonts w:eastAsia="Times New Roman"/>
          <w:sz w:val="24"/>
          <w:szCs w:val="24"/>
        </w:rPr>
        <w:t xml:space="preserve"> </w:t>
      </w:r>
      <w:r w:rsidR="00E91DC9">
        <w:rPr>
          <w:rFonts w:eastAsia="Times New Roman"/>
          <w:b/>
          <w:sz w:val="24"/>
          <w:szCs w:val="24"/>
        </w:rPr>
        <w:t xml:space="preserve">Forfar v. Wal-Mart Stores, Inc., </w:t>
      </w:r>
      <w:r w:rsidR="00E91DC9" w:rsidRPr="00BA4966">
        <w:rPr>
          <w:rFonts w:eastAsia="Times New Roman"/>
          <w:sz w:val="24"/>
          <w:szCs w:val="24"/>
        </w:rPr>
        <w:t>2018 COA 125, ¶ 31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Pr="005E712D">
        <w:rPr>
          <w:rFonts w:eastAsia="Times New Roman"/>
          <w:sz w:val="24"/>
          <w:szCs w:val="24"/>
        </w:rPr>
        <w:t xml:space="preserve"> </w:t>
      </w:r>
      <w:r w:rsidRPr="005E712D">
        <w:rPr>
          <w:rFonts w:eastAsia="Times New Roman"/>
          <w:b/>
          <w:sz w:val="24"/>
          <w:szCs w:val="24"/>
        </w:rPr>
        <w:t>Pressey v. Children’s Hosp. Colo.</w:t>
      </w:r>
      <w:r w:rsidRPr="005E712D">
        <w:rPr>
          <w:rFonts w:eastAsia="Times New Roman"/>
          <w:sz w:val="24"/>
          <w:szCs w:val="24"/>
        </w:rPr>
        <w:t>, 2017 COA 28, ¶ 14 (</w:t>
      </w:r>
      <w:r w:rsidR="00E91DC9">
        <w:rPr>
          <w:rFonts w:eastAsia="Times New Roman"/>
          <w:sz w:val="24"/>
          <w:szCs w:val="24"/>
        </w:rPr>
        <w:t xml:space="preserve">plaintiff’s </w:t>
      </w:r>
      <w:r w:rsidR="00E91DC9">
        <w:rPr>
          <w:rFonts w:eastAsia="Times New Roman"/>
          <w:sz w:val="24"/>
          <w:szCs w:val="24"/>
        </w:rPr>
        <w:lastRenderedPageBreak/>
        <w:t xml:space="preserve">damages are not reduced in post-verdict proceedings by the amount of </w:t>
      </w:r>
      <w:r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Pr="005E712D">
        <w:rPr>
          <w:rFonts w:eastAsia="Times New Roman"/>
          <w:sz w:val="24"/>
          <w:szCs w:val="24"/>
        </w:rPr>
        <w:t xml:space="preserve">; </w:t>
      </w:r>
      <w:r w:rsidRPr="005E712D">
        <w:rPr>
          <w:rFonts w:eastAsia="Times New Roman"/>
          <w:b/>
          <w:sz w:val="24"/>
          <w:szCs w:val="24"/>
        </w:rPr>
        <w:t>Dep’t of Human Servs. v. State Personnel Bd.</w:t>
      </w:r>
      <w:r w:rsidRPr="005E712D">
        <w:rPr>
          <w:rFonts w:eastAsia="Times New Roman"/>
          <w:sz w:val="24"/>
          <w:szCs w:val="24"/>
        </w:rPr>
        <w:t xml:space="preserve">, 2016 COA 37, ¶¶ 31-42, 371 P.3d 748 (PERA disability benefits constitute a collateral source and are not to be offset against a damage award.); </w:t>
      </w:r>
      <w:r w:rsidRPr="005E712D">
        <w:rPr>
          <w:rFonts w:eastAsia="Times New Roman"/>
          <w:b/>
          <w:sz w:val="24"/>
          <w:szCs w:val="24"/>
        </w:rPr>
        <w:t>Calderon v. Am. Family Mut. Ins. Co.</w:t>
      </w:r>
      <w:r w:rsidRPr="005E712D">
        <w:rPr>
          <w:rFonts w:eastAsia="Times New Roman"/>
          <w:sz w:val="24"/>
          <w:szCs w:val="24"/>
        </w:rPr>
        <w:t>, 2014 COA 70, ¶¶ 28-32</w:t>
      </w:r>
      <w:r w:rsidR="009A5ACD">
        <w:rPr>
          <w:rFonts w:eastAsia="Times New Roman"/>
          <w:sz w:val="24"/>
          <w:szCs w:val="24"/>
        </w:rPr>
        <w:t>, 409 P.3d 393</w:t>
      </w:r>
      <w:r w:rsidRPr="005E712D">
        <w:rPr>
          <w:rFonts w:eastAsia="Times New Roman"/>
          <w:sz w:val="24"/>
          <w:szCs w:val="24"/>
        </w:rPr>
        <w:t xml:space="preserve"> (post-verdict setoff rule codified in section 13-21-111.6</w:t>
      </w:r>
      <w:r w:rsidRPr="005E712D">
        <w:rPr>
          <w:rFonts w:eastAsia="Times New Roman"/>
          <w:b/>
          <w:sz w:val="24"/>
          <w:szCs w:val="24"/>
        </w:rPr>
        <w:t xml:space="preserve"> </w:t>
      </w:r>
      <w:r w:rsidRPr="005E712D">
        <w:rPr>
          <w:rFonts w:eastAsia="Times New Roman"/>
          <w:sz w:val="24"/>
          <w:szCs w:val="24"/>
        </w:rPr>
        <w:t>does not bar insurer from setting off Medpay benefit against judgment against insurer for UM/UIM benefits because the defendant is the collateral source),</w:t>
      </w:r>
      <w:r w:rsidRPr="005E712D">
        <w:rPr>
          <w:rFonts w:eastAsia="Times New Roman"/>
          <w:i/>
          <w:sz w:val="24"/>
          <w:szCs w:val="24"/>
        </w:rPr>
        <w:t xml:space="preserve"> rev’d on other grounds</w:t>
      </w:r>
      <w:r w:rsidRPr="005E712D">
        <w:rPr>
          <w:rFonts w:eastAsia="Times New Roman"/>
          <w:sz w:val="24"/>
          <w:szCs w:val="24"/>
        </w:rPr>
        <w:t xml:space="preserve">, 2016 CO 72, 383 P.3d 676; </w:t>
      </w:r>
      <w:r w:rsidRPr="005E712D">
        <w:rPr>
          <w:rFonts w:eastAsia="Times New Roman"/>
          <w:b/>
          <w:sz w:val="24"/>
          <w:szCs w:val="24"/>
        </w:rPr>
        <w:t>Stresscon Corp. v.</w:t>
      </w:r>
      <w:r w:rsidRPr="005E712D">
        <w:rPr>
          <w:rFonts w:eastAsia="Times New Roman"/>
          <w:sz w:val="24"/>
          <w:szCs w:val="24"/>
        </w:rPr>
        <w:t xml:space="preserve"> </w:t>
      </w:r>
      <w:r w:rsidRPr="005E712D">
        <w:rPr>
          <w:rFonts w:eastAsia="Times New Roman"/>
          <w:b/>
          <w:sz w:val="24"/>
          <w:szCs w:val="24"/>
        </w:rPr>
        <w:t>Travelers Prop. Cas. Co. of Am.</w:t>
      </w:r>
      <w:r w:rsidRPr="005E712D">
        <w:rPr>
          <w:rFonts w:eastAsia="Times New Roman"/>
          <w:sz w:val="24"/>
          <w:szCs w:val="24"/>
        </w:rPr>
        <w:t>, 2013 COA 131, ¶¶ 80-86</w:t>
      </w:r>
      <w:r w:rsidR="009A5ACD">
        <w:rPr>
          <w:rFonts w:eastAsia="Times New Roman"/>
          <w:sz w:val="24"/>
          <w:szCs w:val="24"/>
        </w:rPr>
        <w:t>, 373 P.3d 615</w:t>
      </w:r>
      <w:r w:rsidRPr="005E712D">
        <w:rPr>
          <w:rFonts w:eastAsia="Times New Roman"/>
          <w:sz w:val="24"/>
          <w:szCs w:val="24"/>
        </w:rPr>
        <w:t xml:space="preserve"> (contract clause of statutory collateral source rule normally would apply</w:t>
      </w:r>
      <w:r w:rsidRPr="005E712D">
        <w:rPr>
          <w:rFonts w:eastAsia="Times New Roman"/>
          <w:b/>
          <w:sz w:val="24"/>
          <w:szCs w:val="24"/>
        </w:rPr>
        <w:t xml:space="preserve"> </w:t>
      </w:r>
      <w:r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r w:rsidRPr="005E712D">
        <w:rPr>
          <w:rFonts w:eastAsia="Times New Roman"/>
          <w:i/>
          <w:sz w:val="24"/>
          <w:szCs w:val="24"/>
        </w:rPr>
        <w:t>rev’d on other grounds</w:t>
      </w:r>
      <w:r w:rsidRPr="005E712D">
        <w:rPr>
          <w:rFonts w:eastAsia="Times New Roman"/>
          <w:sz w:val="24"/>
          <w:szCs w:val="24"/>
        </w:rPr>
        <w:t xml:space="preserve">, 2016 CO 22M, 370 P.3d 140; </w:t>
      </w:r>
      <w:r w:rsidRPr="005E712D">
        <w:rPr>
          <w:rFonts w:eastAsia="Times New Roman"/>
          <w:b/>
          <w:sz w:val="24"/>
          <w:szCs w:val="24"/>
        </w:rPr>
        <w:t>Miller v. Brannon</w:t>
      </w:r>
      <w:r w:rsidRPr="005E712D">
        <w:rPr>
          <w:rFonts w:eastAsia="Times New Roman"/>
          <w:sz w:val="24"/>
          <w:szCs w:val="24"/>
        </w:rPr>
        <w:t xml:space="preserve">, 207 P.3d 923 (Colo. App. 2009) (PIP benefits received by plaintiff within contract exception to collateral source rule); </w:t>
      </w:r>
      <w:r w:rsidRPr="005E712D">
        <w:rPr>
          <w:rFonts w:eastAsia="Times New Roman"/>
          <w:b/>
          <w:sz w:val="24"/>
          <w:szCs w:val="24"/>
        </w:rPr>
        <w:t>Combined Commc’ns Corp. v. Pub. Serv. Co. of Colo.</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865 P.2d 893 (Colo. App. 1993). 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Pr="005E712D">
        <w:rPr>
          <w:rFonts w:eastAsia="Times New Roman"/>
          <w:b/>
          <w:sz w:val="24"/>
          <w:szCs w:val="24"/>
        </w:rPr>
        <w:t>Levy v. Am. Family Mut. Ins. Co.</w:t>
      </w:r>
      <w:r w:rsidRPr="005E712D">
        <w:rPr>
          <w:rFonts w:eastAsia="Times New Roman"/>
          <w:sz w:val="24"/>
          <w:szCs w:val="24"/>
        </w:rPr>
        <w:t xml:space="preserve">, 293 P.3d 40 (Colo. App. 2011). Under section 10-1-135(10)(a), the fact or amount of any collateral source payments is expressly inadmissible in actions against third-party tortfeasors or to recover uninsured motorist benefits under section 10-4-609, C.R.S. </w:t>
      </w:r>
      <w:r w:rsidRPr="005E712D">
        <w:rPr>
          <w:rFonts w:eastAsia="Times New Roman"/>
          <w:b/>
          <w:sz w:val="24"/>
          <w:szCs w:val="24"/>
        </w:rPr>
        <w:t>Smith</w:t>
      </w:r>
      <w:r w:rsidRPr="005E712D">
        <w:rPr>
          <w:rFonts w:eastAsia="Times New Roman"/>
          <w:sz w:val="24"/>
          <w:szCs w:val="24"/>
        </w:rPr>
        <w:t xml:space="preserve">, 2013 COA 103, ¶ 19 (Medicaid payments are inadmissible collateral source benefits and the “gratuitous government benefits” exception set forth in </w:t>
      </w:r>
      <w:r w:rsidRPr="005E712D">
        <w:rPr>
          <w:rFonts w:eastAsia="Times New Roman"/>
          <w:b/>
          <w:sz w:val="24"/>
          <w:szCs w:val="24"/>
        </w:rPr>
        <w:t>City of Englewood</w:t>
      </w:r>
      <w:r w:rsidRPr="005E712D">
        <w:rPr>
          <w:rFonts w:eastAsia="Times New Roman"/>
          <w:sz w:val="24"/>
          <w:szCs w:val="24"/>
        </w:rPr>
        <w:t xml:space="preserve">, 100 Colo. at 554, 68 P.2d at 915, and </w:t>
      </w:r>
      <w:r w:rsidRPr="005E712D">
        <w:rPr>
          <w:rFonts w:eastAsia="Times New Roman"/>
          <w:b/>
          <w:sz w:val="24"/>
          <w:szCs w:val="24"/>
        </w:rPr>
        <w:t>Gomez</w:t>
      </w:r>
      <w:r w:rsidRPr="005E712D">
        <w:rPr>
          <w:rFonts w:eastAsia="Times New Roman"/>
          <w:sz w:val="24"/>
          <w:szCs w:val="24"/>
        </w:rPr>
        <w:t>, 32 Colo. App. at 336, 511 P.2d at 533, was overruled by section 10-1-135(10)(a)).</w:t>
      </w:r>
    </w:p>
    <w:p w14:paraId="3D419BC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14.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15.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77777777" w:rsidR="0068336D" w:rsidRDefault="005E712D" w:rsidP="007A3A0E">
      <w:pPr>
        <w:spacing w:after="240"/>
        <w:ind w:firstLine="720"/>
        <w:rPr>
          <w:rFonts w:eastAsia="Times New Roman"/>
          <w:sz w:val="24"/>
          <w:szCs w:val="24"/>
        </w:rPr>
      </w:pPr>
      <w:r w:rsidRPr="005E712D">
        <w:rPr>
          <w:rFonts w:eastAsia="Times New Roman"/>
          <w:sz w:val="24"/>
          <w:szCs w:val="24"/>
        </w:rPr>
        <w:t>16. Other limitations on the recovery of damages may apply when recovery is sought against a volunteer of a nonprofit organization or governmental entity “for harm caused by an act or omission of the volunteer on behalf of the organization or entity.” 42 U.S.C. § 14503(a) (2012). For the applicable limitations, see Volunteer Protection Act of 1997, 42 U.S.C. §§ 14503 and 14504. When applicable, this and related instructions on damages must be modified as appropriate. 11 U.S.C. §§ 14501-05.</w:t>
      </w:r>
    </w:p>
    <w:p w14:paraId="24518551" w14:textId="77777777" w:rsidR="00434371" w:rsidRDefault="00434371">
      <w:pPr>
        <w:rPr>
          <w:rFonts w:eastAsia="Times New Roman"/>
          <w:sz w:val="24"/>
          <w:szCs w:val="24"/>
        </w:rPr>
      </w:pPr>
      <w:r>
        <w:rPr>
          <w:rFonts w:eastAsia="Times New Roman"/>
          <w:sz w:val="24"/>
          <w:szCs w:val="24"/>
        </w:rPr>
        <w:lastRenderedPageBreak/>
        <w:br w:type="page"/>
      </w:r>
    </w:p>
    <w:p w14:paraId="66742E32" w14:textId="77777777" w:rsidR="00434371" w:rsidRPr="009E3DA4" w:rsidRDefault="00434371" w:rsidP="00434371">
      <w:pPr>
        <w:spacing w:after="240"/>
        <w:ind w:left="720" w:hanging="720"/>
        <w:rPr>
          <w:rFonts w:eastAsia="Times New Roman"/>
          <w:b/>
          <w:sz w:val="24"/>
          <w:szCs w:val="24"/>
        </w:rPr>
      </w:pPr>
      <w:bookmarkStart w:id="3" w:name="a6_1A"/>
      <w:bookmarkEnd w:id="3"/>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1. This instruction should be used in actions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Pr="009E3DA4" w:rsidRDefault="008557E1" w:rsidP="008557E1">
      <w:pPr>
        <w:spacing w:after="240"/>
        <w:ind w:left="720" w:hanging="720"/>
        <w:rPr>
          <w:rFonts w:eastAsia="Times New Roman"/>
          <w:b/>
          <w:sz w:val="24"/>
          <w:szCs w:val="24"/>
        </w:rPr>
      </w:pPr>
      <w:bookmarkStart w:id="4" w:name="a6_1B"/>
      <w:bookmarkEnd w:id="4"/>
      <w:r w:rsidRPr="008557E1">
        <w:rPr>
          <w:rFonts w:eastAsia="Times New Roman"/>
          <w:b/>
          <w:sz w:val="24"/>
          <w:szCs w:val="24"/>
        </w:rPr>
        <w:t xml:space="preserve">6:1B </w:t>
      </w:r>
      <w:r w:rsidRPr="008557E1">
        <w:rPr>
          <w:rFonts w:eastAsia="Times New Roman"/>
          <w:b/>
          <w:sz w:val="24"/>
          <w:szCs w:val="24"/>
        </w:rPr>
        <w:tab/>
        <w:t>ANSWERS TO SPECIAL INTERROGATORIES TO THE JURY SET FORTH IN INSTRUCTION 6:1A</w:t>
      </w:r>
    </w:p>
    <w:p w14:paraId="745A08ED" w14:textId="77777777" w:rsidR="008557E1" w:rsidRPr="008557E1" w:rsidRDefault="008557E1" w:rsidP="008557E1">
      <w:pPr>
        <w:jc w:val="center"/>
        <w:rPr>
          <w:rFonts w:eastAsia="Times New Roman"/>
          <w:b/>
          <w:sz w:val="24"/>
          <w:szCs w:val="24"/>
        </w:rPr>
      </w:pPr>
      <w:r w:rsidRPr="008557E1">
        <w:rPr>
          <w:rFonts w:eastAsia="Times New Roman"/>
          <w:b/>
          <w:sz w:val="24"/>
          <w:szCs w:val="24"/>
        </w:rPr>
        <w:t xml:space="preserve">IN THE _______ COURT IN AND FOR THE </w:t>
      </w:r>
    </w:p>
    <w:p w14:paraId="3D155F6A" w14:textId="77777777" w:rsidR="008557E1" w:rsidRPr="008557E1" w:rsidRDefault="008557E1" w:rsidP="008557E1">
      <w:pPr>
        <w:jc w:val="center"/>
        <w:rPr>
          <w:rFonts w:eastAsia="Times New Roman"/>
          <w:b/>
          <w:sz w:val="24"/>
          <w:szCs w:val="24"/>
        </w:rPr>
      </w:pPr>
      <w:r w:rsidRPr="008557E1">
        <w:rPr>
          <w:rFonts w:eastAsia="Times New Roman"/>
          <w:b/>
          <w:sz w:val="24"/>
          <w:szCs w:val="24"/>
        </w:rPr>
        <w:t>COUNTY OF _______, STATE OF COLORADO</w:t>
      </w:r>
    </w:p>
    <w:p w14:paraId="77FA2DF6" w14:textId="77777777" w:rsidR="008557E1" w:rsidRPr="008557E1" w:rsidRDefault="008557E1" w:rsidP="008557E1">
      <w:pPr>
        <w:jc w:val="center"/>
        <w:rPr>
          <w:rFonts w:eastAsia="Times New Roman"/>
          <w:b/>
          <w:sz w:val="24"/>
          <w:szCs w:val="24"/>
        </w:rPr>
      </w:pPr>
    </w:p>
    <w:p w14:paraId="53C22902" w14:textId="77777777" w:rsidR="008557E1" w:rsidRPr="008557E1" w:rsidRDefault="008557E1" w:rsidP="008557E1">
      <w:pPr>
        <w:jc w:val="center"/>
        <w:rPr>
          <w:rFonts w:eastAsia="Times New Roman"/>
          <w:b/>
          <w:sz w:val="24"/>
          <w:szCs w:val="24"/>
        </w:rPr>
      </w:pPr>
      <w:r w:rsidRPr="008557E1">
        <w:rPr>
          <w:rFonts w:eastAsia="Times New Roman"/>
          <w:b/>
          <w:sz w:val="24"/>
          <w:szCs w:val="24"/>
        </w:rPr>
        <w:t>Civil Action No. _______</w:t>
      </w:r>
    </w:p>
    <w:p w14:paraId="5AAC0844" w14:textId="77777777" w:rsidR="008557E1" w:rsidRPr="008557E1" w:rsidRDefault="008557E1" w:rsidP="008557E1">
      <w:pPr>
        <w:rPr>
          <w:rFonts w:eastAsia="Times New Roman"/>
          <w:b/>
          <w:sz w:val="24"/>
          <w:szCs w:val="24"/>
        </w:rPr>
      </w:pPr>
    </w:p>
    <w:p w14:paraId="14C6110A" w14:textId="77777777" w:rsidR="008557E1" w:rsidRPr="008557E1" w:rsidRDefault="008557E1" w:rsidP="008557E1">
      <w:pPr>
        <w:rPr>
          <w:rFonts w:eastAsia="Times New Roman"/>
          <w:b/>
          <w:sz w:val="24"/>
          <w:szCs w:val="24"/>
        </w:rPr>
      </w:pPr>
    </w:p>
    <w:p w14:paraId="0D887B89" w14:textId="77777777" w:rsidR="008557E1" w:rsidRPr="008557E1" w:rsidRDefault="008557E1" w:rsidP="008557E1">
      <w:pPr>
        <w:rPr>
          <w:rFonts w:eastAsia="Times New Roman"/>
          <w:b/>
          <w:sz w:val="24"/>
          <w:szCs w:val="24"/>
        </w:rPr>
      </w:pPr>
    </w:p>
    <w:p w14:paraId="47F7F483"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0E6C12D8" w14:textId="77777777" w:rsidR="008557E1" w:rsidRPr="008557E1" w:rsidRDefault="008557E1" w:rsidP="008557E1">
      <w:pPr>
        <w:rPr>
          <w:rFonts w:eastAsia="Times New Roman"/>
          <w:b/>
          <w:sz w:val="24"/>
          <w:szCs w:val="24"/>
        </w:rPr>
      </w:pPr>
      <w:r w:rsidRPr="008557E1">
        <w:rPr>
          <w:rFonts w:eastAsia="Times New Roman"/>
          <w:b/>
          <w:sz w:val="24"/>
          <w:szCs w:val="24"/>
        </w:rPr>
        <w:tab/>
      </w:r>
      <w:r w:rsidRPr="008557E1">
        <w:rPr>
          <w:rFonts w:eastAsia="Times New Roman"/>
          <w:b/>
          <w:sz w:val="24"/>
          <w:szCs w:val="24"/>
        </w:rPr>
        <w:tab/>
        <w:t xml:space="preserve">      Plaintiff,      </w:t>
      </w:r>
      <w:r w:rsidRPr="008557E1">
        <w:rPr>
          <w:rFonts w:eastAsia="Times New Roman"/>
          <w:b/>
          <w:sz w:val="24"/>
          <w:szCs w:val="24"/>
        </w:rPr>
        <w:tab/>
      </w:r>
      <w:r w:rsidRPr="008557E1">
        <w:rPr>
          <w:rFonts w:eastAsia="Times New Roman"/>
          <w:b/>
          <w:sz w:val="24"/>
          <w:szCs w:val="24"/>
        </w:rPr>
        <w:tab/>
        <w:t xml:space="preserve">     )   ANSWERS TO QUESTIONS</w:t>
      </w:r>
    </w:p>
    <w:p w14:paraId="631BA65C"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t xml:space="preserve">v.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   REGARDING DAMAGES</w:t>
      </w:r>
    </w:p>
    <w:p w14:paraId="36C9F29C"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7C6D26AE" w14:textId="77777777" w:rsidR="008557E1" w:rsidRPr="008557E1" w:rsidRDefault="008557E1" w:rsidP="008557E1">
      <w:pPr>
        <w:rPr>
          <w:rFonts w:eastAsia="Times New Roman"/>
          <w:b/>
          <w:sz w:val="24"/>
          <w:szCs w:val="24"/>
        </w:rPr>
      </w:pPr>
      <w:r w:rsidRPr="008557E1">
        <w:rPr>
          <w:rFonts w:eastAsia="Times New Roman"/>
          <w:b/>
          <w:sz w:val="24"/>
          <w:szCs w:val="24"/>
        </w:rPr>
        <w:t xml:space="preserve">                              Defendant.  </w:t>
      </w:r>
      <w:r w:rsidRPr="008557E1">
        <w:rPr>
          <w:rFonts w:eastAsia="Times New Roman"/>
          <w:b/>
          <w:sz w:val="24"/>
          <w:szCs w:val="24"/>
        </w:rPr>
        <w:tab/>
      </w:r>
      <w:r w:rsidRPr="008557E1">
        <w:rPr>
          <w:rFonts w:eastAsia="Times New Roman"/>
          <w:b/>
          <w:sz w:val="24"/>
          <w:szCs w:val="24"/>
        </w:rPr>
        <w:tab/>
        <w:t xml:space="preserve">     )</w:t>
      </w: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 xml:space="preserve">What is the total amount of plaintiff’s damages for [physical </w:t>
      </w:r>
    </w:p>
    <w:p w14:paraId="02B3FD84" w14:textId="77777777" w:rsidR="008557E1" w:rsidRPr="008557E1" w:rsidRDefault="008557E1" w:rsidP="008557E1">
      <w:pPr>
        <w:ind w:left="1080"/>
        <w:rPr>
          <w:rFonts w:eastAsia="Times New Roman"/>
          <w:b/>
          <w:sz w:val="24"/>
          <w:szCs w:val="24"/>
        </w:rPr>
      </w:pPr>
      <w:r w:rsidRPr="008557E1">
        <w:rPr>
          <w:rFonts w:eastAsia="Times New Roman"/>
          <w:b/>
          <w:sz w:val="24"/>
          <w:szCs w:val="24"/>
        </w:rPr>
        <w:t>impairment]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r w:rsidRPr="008557E1">
        <w:rPr>
          <w:rFonts w:eastAsia="Times New Roman"/>
          <w:sz w:val="24"/>
          <w:szCs w:val="24"/>
        </w:rPr>
        <w:t>See Source and Authority to Instruction 6:1.</w:t>
      </w:r>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5" w:name="a6_2"/>
      <w:bookmarkEnd w:id="5"/>
      <w:r w:rsidRPr="008A637B">
        <w:rPr>
          <w:rFonts w:eastAsia="Times New Roman"/>
          <w:b/>
          <w:sz w:val="24"/>
          <w:szCs w:val="24"/>
        </w:rPr>
        <w:t xml:space="preserve">6:2 </w:t>
      </w:r>
      <w:r w:rsidRPr="008A637B">
        <w:rPr>
          <w:rFonts w:eastAsia="Times New Roman"/>
          <w:b/>
          <w:sz w:val="24"/>
          <w:szCs w:val="24"/>
        </w:rPr>
        <w:tab/>
        <w:t>PERSONAL INJURIES — MINOR CHILD</w:t>
      </w:r>
    </w:p>
    <w:p w14:paraId="53C33D6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which plaintiff will probably 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4CB0F0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economic losses or injuries which plaintiff will probably have in the future after (he) (she) reaches the age of 18 (or is otherwise emancipated), including: loss or damage to (his) (her) ability to earn money in the future, any (reasonable and necessary) medical, hospital, and other expenses the plaintiff, as a minor child, has paid for (or for which [he] [she] is personally responsible), and </w:t>
      </w:r>
      <w:r w:rsidRPr="00683FA1">
        <w:rPr>
          <w:rFonts w:eastAsia="Times New Roman"/>
          <w:i/>
          <w:sz w:val="24"/>
          <w:szCs w:val="24"/>
        </w:rPr>
        <w:t>(insert any other recoverable economic losses of which there is sufficient evidence)</w:t>
      </w:r>
      <w:r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(3. Any [physical impairment] [or] [disfigurement]. In considering damages in this category, you shall not include damages again for losses or injuries already determined under either numbered paragraph 1 or 2 above.)</w:t>
      </w:r>
    </w:p>
    <w:p w14:paraId="5BBA5D9E"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(he) (she) reaches the age of 18 [or is emancipated] because these damages, if any, are recoverable by the plaintiff’s parents.) (For the same reason, you should not include in plaintiff’s,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2. Omit any parenthesized or bracketed words or phrases which are inappropriate to the particular case. The last paragraph in particular should be omitted if there is no claim for damages relating to earnings or to 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315499EC"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8A637B">
        <w:rPr>
          <w:rFonts w:eastAsia="Times New Roman"/>
          <w:b/>
          <w:sz w:val="24"/>
          <w:szCs w:val="24"/>
        </w:rPr>
        <w:t>Pressey v. Children’s Hosp. Colo.</w:t>
      </w:r>
      <w:r w:rsidRPr="008A637B">
        <w:rPr>
          <w:rFonts w:eastAsia="Times New Roman"/>
          <w:sz w:val="24"/>
          <w:szCs w:val="24"/>
        </w:rPr>
        <w:t xml:space="preserve">, 2017 COA 28, ¶ 26;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Nat’l Fuel Co. v. Green</w:t>
      </w:r>
      <w:r w:rsidRPr="008A637B">
        <w:rPr>
          <w:rFonts w:eastAsia="Times New Roman"/>
          <w:sz w:val="24"/>
          <w:szCs w:val="24"/>
        </w:rPr>
        <w:t>, 50 Colo. 307, 115 P. 709 (1911).</w:t>
      </w:r>
    </w:p>
    <w:p w14:paraId="15A1CB4D"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4. As to the minor’s right to recover for pain and suffering, see </w:t>
      </w:r>
      <w:r w:rsidRPr="008A637B">
        <w:rPr>
          <w:rFonts w:eastAsia="Times New Roman"/>
          <w:b/>
          <w:sz w:val="24"/>
          <w:szCs w:val="24"/>
        </w:rPr>
        <w:t>Colorado Utilities Corp. v. Casady</w:t>
      </w:r>
      <w:r w:rsidRPr="008A637B">
        <w:rPr>
          <w:rFonts w:eastAsia="Times New Roman"/>
          <w:sz w:val="24"/>
          <w:szCs w:val="24"/>
        </w:rPr>
        <w:t>, 89 Colo. 156, 300 P. 601 (1931).</w:t>
      </w:r>
    </w:p>
    <w:p w14:paraId="7B0117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The parent is entitled to recover for loss of the minor’s earnings during the child’s minority unless the child has been emancipated, </w:t>
      </w:r>
      <w:r w:rsidRPr="008A637B">
        <w:rPr>
          <w:rFonts w:eastAsia="Times New Roman"/>
          <w:b/>
          <w:sz w:val="24"/>
          <w:szCs w:val="24"/>
        </w:rPr>
        <w:t>Pawnee Farmers’ Elevator Co. v. Powell</w:t>
      </w:r>
      <w:r w:rsidRPr="008A637B">
        <w:rPr>
          <w:rFonts w:eastAsia="Times New Roman"/>
          <w:sz w:val="24"/>
          <w:szCs w:val="24"/>
        </w:rPr>
        <w:t xml:space="preserve">, 76 Colo. 1, 227 P. 836 (1924), or, unless the parent has allowed the child to retain the child’s own earnings. </w:t>
      </w:r>
      <w:r w:rsidRPr="008A637B">
        <w:rPr>
          <w:rFonts w:eastAsia="Times New Roman"/>
          <w:i/>
          <w:sz w:val="24"/>
          <w:szCs w:val="24"/>
        </w:rPr>
        <w:t>See</w:t>
      </w:r>
      <w:r w:rsidRPr="008A637B">
        <w:rPr>
          <w:rFonts w:eastAsia="Times New Roman"/>
          <w:sz w:val="24"/>
          <w:szCs w:val="24"/>
        </w:rPr>
        <w:t xml:space="preserve"> </w:t>
      </w:r>
      <w:r w:rsidRPr="008A637B">
        <w:rPr>
          <w:rFonts w:eastAsia="Times New Roman"/>
          <w:b/>
          <w:sz w:val="24"/>
          <w:szCs w:val="24"/>
        </w:rPr>
        <w:t>Harman v. Chase</w:t>
      </w:r>
      <w:r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Pr="008A637B">
        <w:rPr>
          <w:rFonts w:eastAsia="Times New Roman"/>
          <w:b/>
          <w:sz w:val="24"/>
          <w:szCs w:val="24"/>
        </w:rPr>
        <w:t>Pawnee Farmers Elevator Co.</w:t>
      </w:r>
      <w:r w:rsidRPr="008A637B">
        <w:rPr>
          <w:rFonts w:eastAsia="Times New Roman"/>
          <w:sz w:val="24"/>
          <w:szCs w:val="24"/>
        </w:rPr>
        <w:t xml:space="preserve">, 76 Colo. at 7, 227 P. at 839; </w:t>
      </w:r>
      <w:r w:rsidRPr="008A637B">
        <w:rPr>
          <w:rFonts w:eastAsia="Times New Roman"/>
          <w:i/>
          <w:sz w:val="24"/>
          <w:szCs w:val="24"/>
        </w:rPr>
        <w:t>see also</w:t>
      </w:r>
      <w:r w:rsidRPr="008A637B">
        <w:rPr>
          <w:rFonts w:eastAsia="Times New Roman"/>
          <w:sz w:val="24"/>
          <w:szCs w:val="24"/>
        </w:rPr>
        <w:t xml:space="preserve"> </w:t>
      </w:r>
      <w:r w:rsidRPr="008A637B">
        <w:rPr>
          <w:rFonts w:eastAsia="Times New Roman"/>
          <w:b/>
          <w:sz w:val="24"/>
          <w:szCs w:val="24"/>
        </w:rPr>
        <w:t>Thompson v. Tartler</w:t>
      </w:r>
      <w:r w:rsidRPr="008A637B">
        <w:rPr>
          <w:rFonts w:eastAsia="Times New Roman"/>
          <w:sz w:val="24"/>
          <w:szCs w:val="24"/>
        </w:rPr>
        <w:t xml:space="preserve">, 166 Colo. 247, 443 P.2d 365 (1968); </w:t>
      </w:r>
      <w:r w:rsidRPr="008A637B">
        <w:rPr>
          <w:rFonts w:eastAsia="Times New Roman"/>
          <w:b/>
          <w:sz w:val="24"/>
          <w:szCs w:val="24"/>
        </w:rPr>
        <w:t>Odell v. Pub. Serv. Co</w:t>
      </w:r>
      <w:r w:rsidRPr="008A637B">
        <w:rPr>
          <w:rFonts w:eastAsia="Times New Roman"/>
          <w:sz w:val="24"/>
          <w:szCs w:val="24"/>
        </w:rPr>
        <w:t>., 158 Colo. 404, 407 P.2d 330 (1965).</w:t>
      </w:r>
    </w:p>
    <w:p w14:paraId="73E6AB26"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6. A parent may relinquish the right to pre-majority expenses. </w:t>
      </w:r>
      <w:r w:rsidRPr="008A637B">
        <w:rPr>
          <w:rFonts w:eastAsia="Times New Roman"/>
          <w:b/>
          <w:sz w:val="24"/>
          <w:szCs w:val="24"/>
        </w:rPr>
        <w:t>Pressey</w:t>
      </w:r>
      <w:r w:rsidRPr="008A637B">
        <w:rPr>
          <w:rFonts w:eastAsia="Times New Roman"/>
          <w:sz w:val="24"/>
          <w:szCs w:val="24"/>
        </w:rPr>
        <w:t>, 2017 COA 28, ¶ 27.</w:t>
      </w:r>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6" w:name="a6_3"/>
      <w:bookmarkEnd w:id="6"/>
      <w:r w:rsidRPr="00683FA1">
        <w:rPr>
          <w:rFonts w:eastAsia="Times New Roman"/>
          <w:b/>
          <w:sz w:val="24"/>
          <w:szCs w:val="24"/>
        </w:rPr>
        <w:t xml:space="preserve">6:3 </w:t>
      </w:r>
      <w:r w:rsidRPr="00683FA1">
        <w:rPr>
          <w:rFonts w:eastAsia="Times New Roman"/>
          <w:b/>
          <w:sz w:val="24"/>
          <w:szCs w:val="24"/>
        </w:rPr>
        <w:tab/>
        <w:t>PERSONAL INJURIES — MINOR CHILD — MEASURE OF PARENTS’ DAMAGES</w:t>
      </w:r>
    </w:p>
    <w:p w14:paraId="4684BBA1"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xml:space="preserve">, (has) (have) the burden of proving, by a preponderance of the evidence, the nature and extent of (his) (her) (their) damages. If you find in favor of the plaintiff(s), </w:t>
      </w:r>
      <w:r w:rsidRPr="00683FA1">
        <w:rPr>
          <w:rFonts w:eastAsia="Times New Roman"/>
          <w:i/>
          <w:sz w:val="24"/>
          <w:szCs w:val="24"/>
        </w:rPr>
        <w:t>(name of parent[s])</w:t>
      </w:r>
      <w:r w:rsidRPr="00683FA1">
        <w:rPr>
          <w:rFonts w:eastAsia="Times New Roman"/>
          <w:b/>
          <w:sz w:val="24"/>
          <w:szCs w:val="24"/>
        </w:rPr>
        <w:t xml:space="preserve">, on (his) (her) (their) claim of damages for injuries caused to (his) (her) (their)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(name[s] 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 e.g., “medical, hospital, and other similar services,” etc.)</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money in the future) will probably 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(Insert any other appropriate elements of damages, e.g., any unusual services the plaintiff may be required to render the child because of [his] [her]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7755A5F8"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2. When the parent only is suing on his or her own claim, Instruction 6:4 should be given with this instruction.</w:t>
      </w:r>
    </w:p>
    <w:p w14:paraId="2BCD0D23"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3.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r w:rsidRPr="00683FA1">
        <w:rPr>
          <w:rFonts w:eastAsia="Times New Roman"/>
          <w:b/>
          <w:sz w:val="24"/>
          <w:szCs w:val="24"/>
        </w:rPr>
        <w:t>Elgin v. Bartlett</w:t>
      </w:r>
      <w:r w:rsidRPr="00683FA1">
        <w:rPr>
          <w:rFonts w:eastAsia="Times New Roman"/>
          <w:sz w:val="24"/>
          <w:szCs w:val="24"/>
        </w:rPr>
        <w:t>, 994 P.2d 411 (Colo. 1999).</w:t>
      </w:r>
    </w:p>
    <w:p w14:paraId="3A228B27"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r w:rsidRPr="00683FA1">
        <w:rPr>
          <w:rFonts w:eastAsia="Times New Roman"/>
          <w:b/>
          <w:sz w:val="24"/>
          <w:szCs w:val="24"/>
        </w:rPr>
        <w:t>Pressey v. Children’s Hosp. Colo.</w:t>
      </w:r>
      <w:r w:rsidRPr="00683FA1">
        <w:rPr>
          <w:rFonts w:eastAsia="Times New Roman"/>
          <w:sz w:val="24"/>
          <w:szCs w:val="24"/>
        </w:rPr>
        <w:t>, 2017 COA 28, ¶ 26.</w:t>
      </w:r>
    </w:p>
    <w:p w14:paraId="5A4127B7"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Odell v. Pub. Serv. Co. of Colo.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Colo. Utils. Corp. v. Casady</w:t>
      </w:r>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When Instruction 6:2 is given, this instruction normally will not be necessary. When, however, a parent is suing only on his or her own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t xml:space="preserve">6:5 </w:t>
      </w:r>
      <w:r w:rsidRPr="00EF4043">
        <w:rPr>
          <w:rFonts w:eastAsia="Times New Roman"/>
          <w:b/>
          <w:sz w:val="24"/>
          <w:szCs w:val="24"/>
        </w:rPr>
        <w:tab/>
        <w:t>LOSS OF CONSORTIUM — ELEMENTS OF LIABILITY</w:t>
      </w:r>
    </w:p>
    <w:p w14:paraId="6D68F820"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(his) (her) 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the plaintiff also had a loss of (his) (her)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claim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41BE68A5"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 (none of these affirmative defenses) (has not) (have)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Draper v. DeFrenchi-Gordineer</w:t>
      </w:r>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19 P.3d 675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r w:rsidRPr="00EF4043">
        <w:rPr>
          <w:rFonts w:eastAsia="Times New Roman"/>
          <w:b/>
          <w:sz w:val="24"/>
          <w:szCs w:val="24"/>
        </w:rPr>
        <w:t>Nemer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9" w:name="a6_6"/>
      <w:bookmarkEnd w:id="9"/>
      <w:r w:rsidRPr="00EC3919">
        <w:rPr>
          <w:rFonts w:eastAsia="Times New Roman"/>
          <w:b/>
          <w:sz w:val="24"/>
          <w:szCs w:val="24"/>
        </w:rPr>
        <w:t xml:space="preserve">6:6 </w:t>
      </w:r>
      <w:r w:rsidRPr="00EC3919">
        <w:rPr>
          <w:rFonts w:eastAsia="Times New Roman"/>
          <w:b/>
          <w:sz w:val="24"/>
          <w:szCs w:val="24"/>
        </w:rPr>
        <w:tab/>
        <w:t>LOSS OF CONSORTIUM — DEFINED — DAMAGES</w:t>
      </w:r>
    </w:p>
    <w:p w14:paraId="1464F19A"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(his) (her)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(his) (her)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(his) (her)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definitions of consortium, “companionship” includes sexual relations, </w:t>
      </w:r>
      <w:r w:rsidRPr="00EC3919">
        <w:rPr>
          <w:rFonts w:eastAsia="Times New Roman"/>
          <w:smallCaps/>
          <w:sz w:val="24"/>
          <w:szCs w:val="24"/>
        </w:rPr>
        <w:t>W. Page Keeton et al., 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0" w:name="a6_7"/>
      <w:bookmarkEnd w:id="10"/>
      <w:r w:rsidRPr="00EC3919">
        <w:rPr>
          <w:rFonts w:eastAsia="Times New Roman"/>
          <w:b/>
          <w:sz w:val="24"/>
          <w:szCs w:val="24"/>
        </w:rPr>
        <w:t xml:space="preserve">6:7 </w:t>
      </w:r>
      <w:r w:rsidRPr="00EC3919">
        <w:rPr>
          <w:rFonts w:eastAsia="Times New Roman"/>
          <w:b/>
          <w:sz w:val="24"/>
          <w:szCs w:val="24"/>
        </w:rPr>
        <w:tab/>
        <w:t>PERSONAL INJURIES — NON-REDUCTION OF DAMAGES — “THIN SKULL” DOCTRINE</w:t>
      </w:r>
    </w:p>
    <w:p w14:paraId="5F45541E"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(him) (her)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State Farm Mut. Auto. Ins. Co. v. Peiffer</w:t>
      </w:r>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r w:rsidRPr="00EC3919">
        <w:rPr>
          <w:rFonts w:eastAsia="Times New Roman"/>
          <w:b/>
          <w:sz w:val="24"/>
          <w:szCs w:val="24"/>
        </w:rPr>
        <w:t>Giampapa v. Am. Family Mut.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r w:rsidRPr="00EC3919">
        <w:rPr>
          <w:rFonts w:eastAsia="Times New Roman"/>
          <w:b/>
          <w:sz w:val="24"/>
          <w:szCs w:val="24"/>
        </w:rPr>
        <w:t>Loza v. State Farm Mut. Auto. Ins. Co.</w:t>
      </w:r>
      <w:r w:rsidRPr="00EC3919">
        <w:rPr>
          <w:rFonts w:eastAsia="Times New Roman"/>
          <w:sz w:val="24"/>
          <w:szCs w:val="24"/>
        </w:rPr>
        <w:t xml:space="preserve">, 970 P.2d 478 (Colo. App. 1998); </w:t>
      </w:r>
      <w:r w:rsidRPr="00EC3919">
        <w:rPr>
          <w:rFonts w:eastAsia="Times New Roman"/>
          <w:b/>
          <w:sz w:val="24"/>
          <w:szCs w:val="24"/>
        </w:rPr>
        <w:t>Kildahl v. Tagge</w:t>
      </w:r>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 xml:space="preserve">942 P.2d 1283 (Colo. App. 1996).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831 P.2d at 901. Under the “thin skull” doctrine, foreseeability is not an issue in determining the extent of a plaintiff’s injuries. </w:t>
      </w:r>
      <w:r w:rsidRPr="00EC3919">
        <w:rPr>
          <w:rFonts w:eastAsia="Times New Roman"/>
          <w:i/>
          <w:sz w:val="24"/>
          <w:szCs w:val="24"/>
        </w:rPr>
        <w:t>Id</w:t>
      </w:r>
      <w:r w:rsidRPr="00EC3919">
        <w:rPr>
          <w:rFonts w:eastAsia="Times New Roman"/>
          <w:sz w:val="24"/>
          <w:szCs w:val="24"/>
        </w:rPr>
        <w:t>. at 902.</w:t>
      </w:r>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In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1" w:name="a6_8"/>
      <w:bookmarkEnd w:id="11"/>
      <w:r w:rsidRPr="00AF7D47">
        <w:rPr>
          <w:rFonts w:eastAsia="Times New Roman"/>
          <w:b/>
          <w:sz w:val="24"/>
          <w:szCs w:val="24"/>
        </w:rPr>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r w:rsidRPr="00AF7D47">
        <w:rPr>
          <w:rFonts w:eastAsia="Times New Roman"/>
          <w:b/>
          <w:sz w:val="24"/>
          <w:szCs w:val="24"/>
        </w:rPr>
        <w:t>Hylton v. Wade</w:t>
      </w:r>
      <w:r w:rsidRPr="00AF7D47">
        <w:rPr>
          <w:rFonts w:eastAsia="Times New Roman"/>
          <w:sz w:val="24"/>
          <w:szCs w:val="24"/>
        </w:rPr>
        <w:t>, 29 Colo. App. 98, 478 P.2d 690 (1970).</w:t>
      </w:r>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r w:rsidRPr="00AF7D47">
        <w:rPr>
          <w:rFonts w:eastAsia="Times New Roman"/>
          <w:b/>
          <w:sz w:val="24"/>
          <w:szCs w:val="24"/>
        </w:rPr>
        <w:t>Bruckman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r w:rsidRPr="00AF7D47">
        <w:rPr>
          <w:rFonts w:eastAsia="Times New Roman"/>
          <w:b/>
          <w:sz w:val="24"/>
          <w:szCs w:val="24"/>
        </w:rPr>
        <w:t>Brittis v. Freemon</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34 Colo. App. 348, 353, 527 P.2d 1175, 1178 (1974);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Intermill v. Heumesser</w:t>
      </w:r>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2012 COA 92, ¶ 44.</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r w:rsidRPr="00AF7D47">
        <w:rPr>
          <w:rFonts w:eastAsia="Times New Roman"/>
          <w:b/>
          <w:sz w:val="24"/>
          <w:szCs w:val="24"/>
        </w:rPr>
        <w:t>Stephens v. Koch</w:t>
      </w:r>
      <w:r w:rsidRPr="00AF7D47">
        <w:rPr>
          <w:rFonts w:eastAsia="Times New Roman"/>
          <w:sz w:val="24"/>
          <w:szCs w:val="24"/>
        </w:rPr>
        <w:t>, 192 Colo. 531, 561 P.2d 333 (1977).</w:t>
      </w:r>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r w:rsidRPr="00AF7D47">
        <w:rPr>
          <w:rFonts w:eastAsia="Times New Roman"/>
          <w:b/>
          <w:sz w:val="24"/>
          <w:szCs w:val="24"/>
        </w:rPr>
        <w:t>Fried v. Leong</w:t>
      </w:r>
      <w:r w:rsidRPr="00AF7D47">
        <w:rPr>
          <w:rFonts w:eastAsia="Times New Roman"/>
          <w:sz w:val="24"/>
          <w:szCs w:val="24"/>
        </w:rPr>
        <w:t>, 946 P.2d 487 (Colo. App. 1997).</w:t>
      </w:r>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2" w:name="a6_9"/>
      <w:bookmarkEnd w:id="12"/>
      <w:r w:rsidRPr="00AF7D47">
        <w:rPr>
          <w:rFonts w:eastAsia="Times New Roman"/>
          <w:b/>
          <w:sz w:val="24"/>
          <w:szCs w:val="24"/>
        </w:rPr>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r w:rsidRPr="00AF7D47">
        <w:rPr>
          <w:rFonts w:eastAsia="Times New Roman"/>
          <w:b/>
          <w:sz w:val="24"/>
          <w:szCs w:val="24"/>
        </w:rPr>
        <w:t>Garhart v. Columbia/HealthONE,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r w:rsidRPr="00AF7D47">
        <w:rPr>
          <w:rFonts w:eastAsia="Times New Roman"/>
          <w:b/>
          <w:sz w:val="24"/>
          <w:szCs w:val="24"/>
        </w:rPr>
        <w:t>Lascano v. Vowell</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¶29, 365 P.3d 371 (when term in jury instructions is not defined, jury is presumed to have applied the common meaning of the word (citing </w:t>
      </w:r>
      <w:r w:rsidRPr="00AF7D47">
        <w:rPr>
          <w:rFonts w:eastAsia="Times New Roman"/>
          <w:b/>
          <w:sz w:val="24"/>
          <w:szCs w:val="24"/>
        </w:rPr>
        <w:t>Lascano</w:t>
      </w:r>
      <w:r w:rsidRPr="00AF7D47">
        <w:rPr>
          <w:rFonts w:eastAsia="Times New Roman"/>
          <w:sz w:val="24"/>
          <w:szCs w:val="24"/>
        </w:rPr>
        <w:t>, 940 P.2d at 982)).</w:t>
      </w:r>
    </w:p>
    <w:p w14:paraId="7FD2370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r w:rsidRPr="00AF7D47">
        <w:rPr>
          <w:rFonts w:eastAsia="Times New Roman"/>
          <w:b/>
          <w:sz w:val="24"/>
          <w:szCs w:val="24"/>
        </w:rPr>
        <w:t>Francis ex rel. Goodridge v. Dahl</w:t>
      </w:r>
      <w:r w:rsidRPr="00AF7D47">
        <w:rPr>
          <w:rFonts w:eastAsia="Times New Roman"/>
          <w:sz w:val="24"/>
          <w:szCs w:val="24"/>
        </w:rPr>
        <w:t>, 107 P.3d 1171 (Colo. App. 2005).</w:t>
      </w:r>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Brown v. Kreuser</w:t>
      </w:r>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r w:rsidRPr="00AF7D47">
        <w:rPr>
          <w:rFonts w:eastAsia="Times New Roman"/>
          <w:b/>
          <w:sz w:val="24"/>
          <w:szCs w:val="24"/>
        </w:rPr>
        <w:t>Lascano</w:t>
      </w:r>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r w:rsidRPr="00AF7D47">
        <w:rPr>
          <w:rFonts w:eastAsia="Times New Roman"/>
          <w:b/>
          <w:sz w:val="24"/>
          <w:szCs w:val="24"/>
        </w:rPr>
        <w:t>Guerrero v. Bailey</w:t>
      </w:r>
      <w:r w:rsidRPr="00AF7D47">
        <w:rPr>
          <w:rFonts w:eastAsia="Times New Roman"/>
          <w:sz w:val="24"/>
          <w:szCs w:val="24"/>
        </w:rPr>
        <w:t xml:space="preserve">, 658 P.2d 278 (Colo. App. 1982).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3" w:name="a6_10"/>
      <w:bookmarkEnd w:id="13"/>
      <w:r w:rsidRPr="004C723A">
        <w:rPr>
          <w:rFonts w:eastAsia="Times New Roman"/>
          <w:b/>
          <w:sz w:val="24"/>
          <w:szCs w:val="24"/>
        </w:rPr>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5504489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As to income taxes, it has been held proper for a trial court to refuse to instruct the jury that any damage award for personal injuries would not be subject to income tax. </w:t>
      </w:r>
      <w:r w:rsidRPr="004C723A">
        <w:rPr>
          <w:rFonts w:eastAsia="Times New Roman"/>
          <w:i/>
          <w:sz w:val="24"/>
          <w:szCs w:val="24"/>
        </w:rPr>
        <w:t>See</w:t>
      </w:r>
      <w:r w:rsidRPr="004C723A">
        <w:rPr>
          <w:rFonts w:eastAsia="Times New Roman"/>
          <w:sz w:val="24"/>
          <w:szCs w:val="24"/>
        </w:rPr>
        <w:t xml:space="preserve"> </w:t>
      </w:r>
      <w:r w:rsidRPr="004C723A">
        <w:rPr>
          <w:rFonts w:eastAsia="Times New Roman"/>
          <w:b/>
          <w:sz w:val="24"/>
          <w:szCs w:val="24"/>
        </w:rPr>
        <w:t>Ford v. Bd. of Cty. Comm’rs</w:t>
      </w:r>
      <w:r w:rsidRPr="004C723A">
        <w:rPr>
          <w:rFonts w:eastAsia="Times New Roman"/>
          <w:sz w:val="24"/>
          <w:szCs w:val="24"/>
        </w:rPr>
        <w:t xml:space="preserve">, 677 P.2d 358 (Colo. App. 1983) (wrongful death action); </w:t>
      </w:r>
      <w:r w:rsidRPr="004C723A">
        <w:rPr>
          <w:rFonts w:eastAsia="Times New Roman"/>
          <w:b/>
          <w:sz w:val="24"/>
          <w:szCs w:val="24"/>
        </w:rPr>
        <w:t>Hildyard v. W. Fasteners, Inc.</w:t>
      </w:r>
      <w:r w:rsidRPr="004C723A">
        <w:rPr>
          <w:rFonts w:eastAsia="Times New Roman"/>
          <w:sz w:val="24"/>
          <w:szCs w:val="24"/>
        </w:rPr>
        <w:t xml:space="preserve">, 33 Colo. App. 396, 522 P.2d 596 (1974); </w:t>
      </w:r>
      <w:r w:rsidRPr="004C723A">
        <w:rPr>
          <w:rFonts w:eastAsia="Times New Roman"/>
          <w:b/>
          <w:sz w:val="24"/>
          <w:szCs w:val="24"/>
        </w:rPr>
        <w:t>Polster v. Griff’s of Am., Inc.</w:t>
      </w:r>
      <w:r w:rsidRPr="004C723A">
        <w:rPr>
          <w:rFonts w:eastAsia="Times New Roman"/>
          <w:sz w:val="24"/>
          <w:szCs w:val="24"/>
        </w:rPr>
        <w:t xml:space="preserve">, 32 Colo. App. 264, 514 P.2d 80 (1973), </w:t>
      </w:r>
      <w:r w:rsidRPr="004C723A">
        <w:rPr>
          <w:rFonts w:eastAsia="Times New Roman"/>
          <w:i/>
          <w:sz w:val="24"/>
          <w:szCs w:val="24"/>
        </w:rPr>
        <w:t>rev’d on other grounds</w:t>
      </w:r>
      <w:r w:rsidRPr="004C723A">
        <w:rPr>
          <w:rFonts w:eastAsia="Times New Roman"/>
          <w:sz w:val="24"/>
          <w:szCs w:val="24"/>
        </w:rPr>
        <w:t>,</w:t>
      </w:r>
      <w:r w:rsidRPr="004C723A">
        <w:rPr>
          <w:rFonts w:eastAsia="Times New Roman"/>
          <w:i/>
          <w:sz w:val="24"/>
          <w:szCs w:val="24"/>
        </w:rPr>
        <w:t xml:space="preserve"> </w:t>
      </w:r>
      <w:r w:rsidRPr="004C723A">
        <w:rPr>
          <w:rFonts w:eastAsia="Times New Roman"/>
          <w:sz w:val="24"/>
          <w:szCs w:val="24"/>
        </w:rPr>
        <w:t xml:space="preserve">184 Colo. 418, 520 P.2d 745 (1974); </w:t>
      </w:r>
      <w:r w:rsidRPr="004C723A">
        <w:rPr>
          <w:rFonts w:eastAsia="Times New Roman"/>
          <w:b/>
          <w:sz w:val="24"/>
          <w:szCs w:val="24"/>
        </w:rPr>
        <w:t>Davis v. Fortino &amp; Jackson Chevrolet Co.</w:t>
      </w:r>
      <w:r w:rsidRPr="004C723A">
        <w:rPr>
          <w:rFonts w:eastAsia="Times New Roman"/>
          <w:sz w:val="24"/>
          <w:szCs w:val="24"/>
        </w:rPr>
        <w:t xml:space="preserve">, 32 Colo. App. 222, 510 P.2d 1376 (1973);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Landsberg v. Hutsell</w:t>
      </w:r>
      <w:r w:rsidRPr="004C723A">
        <w:rPr>
          <w:rFonts w:eastAsia="Times New Roman"/>
          <w:sz w:val="24"/>
          <w:szCs w:val="24"/>
        </w:rPr>
        <w:t>, 837 P.2d 205 (Colo. App. 1992).</w:t>
      </w:r>
    </w:p>
    <w:p w14:paraId="2061681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In </w:t>
      </w:r>
      <w:r w:rsidRPr="004C723A">
        <w:rPr>
          <w:rFonts w:eastAsia="Times New Roman"/>
          <w:b/>
          <w:sz w:val="24"/>
          <w:szCs w:val="24"/>
        </w:rPr>
        <w:t>In re Estate of Beren</w:t>
      </w:r>
      <w:r w:rsidRPr="004C723A">
        <w:rPr>
          <w:rFonts w:eastAsia="Times New Roman"/>
          <w:sz w:val="24"/>
          <w:szCs w:val="24"/>
        </w:rPr>
        <w:t xml:space="preserve">, 2012 COA 203M, ¶¶ 144-45, </w:t>
      </w:r>
      <w:r w:rsidR="00BA4966">
        <w:rPr>
          <w:rFonts w:eastAsia="Times New Roman"/>
          <w:sz w:val="24"/>
          <w:szCs w:val="24"/>
        </w:rPr>
        <w:t xml:space="preserve">412 P.3d 487, </w:t>
      </w:r>
      <w:r w:rsidRPr="004C723A">
        <w:rPr>
          <w:rFonts w:eastAsia="Times New Roman"/>
          <w:i/>
          <w:sz w:val="24"/>
          <w:szCs w:val="24"/>
        </w:rPr>
        <w:t>aff’d in part, rev’d in part on other grounds sub nom.</w:t>
      </w:r>
      <w:r w:rsidRPr="004C723A">
        <w:rPr>
          <w:rFonts w:eastAsia="Times New Roman"/>
          <w:sz w:val="24"/>
          <w:szCs w:val="24"/>
        </w:rPr>
        <w:t xml:space="preserve"> </w:t>
      </w:r>
      <w:r w:rsidRPr="004C723A">
        <w:rPr>
          <w:rFonts w:eastAsia="Times New Roman"/>
          <w:b/>
          <w:sz w:val="24"/>
          <w:szCs w:val="24"/>
        </w:rPr>
        <w:t>Beren v. Beren</w:t>
      </w:r>
      <w:r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w:t>
      </w:r>
      <w:r w:rsidRPr="004C723A">
        <w:rPr>
          <w:rFonts w:eastAsia="Times New Roman"/>
          <w:b/>
          <w:sz w:val="24"/>
          <w:szCs w:val="24"/>
        </w:rPr>
        <w:t>Hoyal v. Pioneer Sand Co., Inc.</w:t>
      </w:r>
      <w:r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Pr="004C723A">
        <w:rPr>
          <w:rFonts w:eastAsia="Times New Roman"/>
          <w:i/>
          <w:sz w:val="24"/>
          <w:szCs w:val="24"/>
        </w:rPr>
        <w:t>But see</w:t>
      </w:r>
      <w:r w:rsidRPr="004C723A">
        <w:rPr>
          <w:rFonts w:eastAsia="Times New Roman"/>
          <w:sz w:val="24"/>
          <w:szCs w:val="24"/>
        </w:rPr>
        <w:t xml:space="preserve"> </w:t>
      </w:r>
      <w:r w:rsidRPr="004C723A">
        <w:rPr>
          <w:rFonts w:eastAsia="Times New Roman"/>
          <w:b/>
          <w:sz w:val="24"/>
          <w:szCs w:val="24"/>
        </w:rPr>
        <w:t>Lewis v. Great W. Distrib. Co. of Borger</w:t>
      </w:r>
      <w:r w:rsidRPr="004C723A">
        <w:rPr>
          <w:rFonts w:eastAsia="Times New Roman"/>
          <w:sz w:val="24"/>
          <w:szCs w:val="24"/>
        </w:rPr>
        <w:t>, 168 Colo. 424, 451 P.2d 754 (1969) (noting that the determination of net pecuniary loss in a wrongful death case contemplates deduction of income taxes).</w:t>
      </w:r>
    </w:p>
    <w:p w14:paraId="59513E22"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4. In </w:t>
      </w:r>
      <w:r w:rsidRPr="004C723A">
        <w:rPr>
          <w:rFonts w:eastAsia="Times New Roman"/>
          <w:b/>
          <w:sz w:val="24"/>
          <w:szCs w:val="24"/>
        </w:rPr>
        <w:t>Norfolk &amp; W. Ry. v. Liepelt</w:t>
      </w:r>
      <w:r w:rsidRPr="004C723A">
        <w:rPr>
          <w:rFonts w:eastAsia="Times New Roman"/>
          <w:sz w:val="24"/>
          <w:szCs w:val="24"/>
        </w:rPr>
        <w:t xml:space="preserve">,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Gulf Offshore Co. v. Mobil Oil Corp.</w:t>
      </w:r>
      <w:r w:rsidRPr="004C723A">
        <w:rPr>
          <w:rFonts w:eastAsia="Times New Roman"/>
          <w:sz w:val="24"/>
          <w:szCs w:val="24"/>
        </w:rPr>
        <w:t>,</w:t>
      </w:r>
      <w:r w:rsidRPr="004C723A">
        <w:rPr>
          <w:rFonts w:eastAsia="Times New Roman"/>
          <w:b/>
          <w:sz w:val="24"/>
          <w:szCs w:val="24"/>
        </w:rPr>
        <w:t xml:space="preserve"> </w:t>
      </w:r>
      <w:r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death] is harmless error unless there is a showing that the verdict is excessive.” </w:t>
      </w:r>
      <w:r w:rsidRPr="004C723A">
        <w:rPr>
          <w:rFonts w:eastAsia="Times New Roman"/>
          <w:b/>
          <w:sz w:val="24"/>
          <w:szCs w:val="24"/>
        </w:rPr>
        <w:t>Marlow v. Atchison, Topeka &amp; Santa Fe Ry.</w:t>
      </w:r>
      <w:r w:rsidRPr="004C723A">
        <w:rPr>
          <w:rFonts w:eastAsia="Times New Roman"/>
          <w:sz w:val="24"/>
          <w:szCs w:val="24"/>
        </w:rPr>
        <w:t>, 671 P.2d 438, 442 (Colo. App. 1983).</w:t>
      </w:r>
    </w:p>
    <w:p w14:paraId="1CC97A84"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5. For a discussion of both income taxes and inflation, see </w:t>
      </w:r>
      <w:r w:rsidRPr="004C723A">
        <w:rPr>
          <w:rFonts w:eastAsia="Times New Roman"/>
          <w:b/>
          <w:sz w:val="24"/>
          <w:szCs w:val="24"/>
        </w:rPr>
        <w:t>Good v. A.B. Chance Co.</w:t>
      </w:r>
      <w:r w:rsidRPr="004C723A">
        <w:rPr>
          <w:rFonts w:eastAsia="Times New Roman"/>
          <w:sz w:val="24"/>
          <w:szCs w:val="24"/>
        </w:rPr>
        <w:t>,</w:t>
      </w:r>
      <w:r w:rsidRPr="004C723A">
        <w:rPr>
          <w:rFonts w:eastAsia="Times New Roman"/>
          <w:b/>
          <w:sz w:val="24"/>
          <w:szCs w:val="24"/>
        </w:rPr>
        <w:t xml:space="preserve"> </w:t>
      </w:r>
      <w:r w:rsidRPr="004C723A">
        <w:rPr>
          <w:rFonts w:eastAsia="Times New Roman"/>
          <w:sz w:val="24"/>
          <w:szCs w:val="24"/>
        </w:rPr>
        <w:t>39 Colo. App. 70, 565 P.2d 217 (1977).</w:t>
      </w:r>
    </w:p>
    <w:p w14:paraId="786DDD76"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6. In personal injury actions, an instruction on the nontaxability of damage awards as income should not be given. </w:t>
      </w:r>
      <w:r w:rsidRPr="004C723A">
        <w:rPr>
          <w:rFonts w:eastAsia="Times New Roman"/>
          <w:b/>
          <w:sz w:val="24"/>
          <w:szCs w:val="24"/>
        </w:rPr>
        <w:t>Rego Co. v. McKown-Katy</w:t>
      </w:r>
      <w:r w:rsidRPr="004C723A">
        <w:rPr>
          <w:rFonts w:eastAsia="Times New Roman"/>
          <w:sz w:val="24"/>
          <w:szCs w:val="24"/>
        </w:rPr>
        <w:t>, 801 P.2d 536 (Colo. 1990).</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r w:rsidRPr="004C723A">
        <w:rPr>
          <w:rFonts w:eastAsia="Times New Roman"/>
          <w:b/>
          <w:sz w:val="24"/>
          <w:szCs w:val="24"/>
        </w:rPr>
        <w:t>Boettcher &amp; Co. v. Munson</w:t>
      </w:r>
      <w:r w:rsidRPr="004C723A">
        <w:rPr>
          <w:rFonts w:eastAsia="Times New Roman"/>
          <w:sz w:val="24"/>
          <w:szCs w:val="24"/>
        </w:rPr>
        <w:t>, 854 P.2d 199 (Colo. 1993).</w:t>
      </w:r>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4" w:name="a6_11"/>
      <w:bookmarkEnd w:id="14"/>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77777777"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you shall award as (his) (her)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2. Under sections 5-12-102(1)(a) and (b), C.R.S., prejudgment interest, calculated by the court rather than the jury, is recoverable on damages for injury to personal property. </w:t>
      </w:r>
      <w:r w:rsidRPr="004C723A">
        <w:rPr>
          <w:rFonts w:eastAsia="Times New Roman"/>
          <w:b/>
          <w:sz w:val="24"/>
          <w:szCs w:val="24"/>
        </w:rPr>
        <w:t>Isbill Assocs., Inc. v. City &amp; Cty. of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r w:rsidRPr="004C723A">
        <w:rPr>
          <w:rFonts w:eastAsia="Times New Roman"/>
          <w:b/>
          <w:sz w:val="24"/>
          <w:szCs w:val="24"/>
        </w:rPr>
        <w:t>Webster v. Boone</w:t>
      </w:r>
      <w:r w:rsidRPr="004C723A">
        <w:rPr>
          <w:rFonts w:eastAsia="Times New Roman"/>
          <w:sz w:val="24"/>
          <w:szCs w:val="24"/>
        </w:rPr>
        <w:t xml:space="preserve">, 992 P.2d 1183 (Colo. App. 1999).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r w:rsidRPr="004C723A">
        <w:rPr>
          <w:rFonts w:eastAsia="Times New Roman"/>
          <w:b/>
          <w:sz w:val="24"/>
          <w:szCs w:val="24"/>
        </w:rPr>
        <w:t>Chryar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5" w:name="a6_12"/>
      <w:bookmarkEnd w:id="15"/>
      <w:r w:rsidRPr="00E551EB">
        <w:rPr>
          <w:rFonts w:eastAsia="Times New Roman"/>
          <w:b/>
          <w:sz w:val="24"/>
          <w:szCs w:val="24"/>
        </w:rPr>
        <w:t xml:space="preserve">6:12 </w:t>
      </w:r>
      <w:r w:rsidRPr="00E551EB">
        <w:rPr>
          <w:rFonts w:eastAsia="Times New Roman"/>
          <w:b/>
          <w:sz w:val="24"/>
          <w:szCs w:val="24"/>
        </w:rPr>
        <w:tab/>
        <w:t>PERSONAL PROPERTY — COST OF REPAIRS</w:t>
      </w:r>
    </w:p>
    <w:p w14:paraId="6B46BC3C"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you shall award as (his) (her)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Bd. of Cty. Comm’rs of Weld Cty. v. Slovek</w:t>
      </w:r>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Selection of which measure of damages to use is within the discretion of the trial court.  </w:t>
      </w:r>
      <w:r w:rsidRPr="00E551EB">
        <w:rPr>
          <w:rFonts w:eastAsia="Times New Roman"/>
          <w:b/>
          <w:sz w:val="24"/>
          <w:szCs w:val="24"/>
        </w:rPr>
        <w:t>Slovek</w:t>
      </w:r>
      <w:r w:rsidRPr="00E551EB">
        <w:rPr>
          <w:rFonts w:eastAsia="Times New Roman"/>
          <w:sz w:val="24"/>
          <w:szCs w:val="24"/>
        </w:rPr>
        <w:t xml:space="preserve">, 723 P.2d at 1316.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r w:rsidRPr="00E551EB">
        <w:rPr>
          <w:rFonts w:eastAsia="Times New Roman"/>
          <w:b/>
          <w:sz w:val="24"/>
          <w:szCs w:val="24"/>
        </w:rPr>
        <w:t>McAlonan v. U.S. Home Corp.</w:t>
      </w:r>
      <w:r w:rsidRPr="00E551EB">
        <w:rPr>
          <w:rFonts w:eastAsia="Times New Roman"/>
          <w:sz w:val="24"/>
          <w:szCs w:val="24"/>
        </w:rPr>
        <w:t>, 724 P.2d 78 (Colo. App. 1986).</w:t>
      </w:r>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4. Under section 5-12-101(1)(b), C.R.S., in a strict liability case where repair costs are appropriate damages, prejudgment interest accrues from the date plaintiff pays the repair or replacement expenditure. </w:t>
      </w:r>
      <w:r w:rsidRPr="00E551EB">
        <w:rPr>
          <w:rFonts w:eastAsia="Times New Roman"/>
          <w:b/>
          <w:sz w:val="24"/>
          <w:szCs w:val="24"/>
        </w:rPr>
        <w:t>Goodyear Tire &amp; Rubber Co. v. Holmes</w:t>
      </w:r>
      <w:r w:rsidRPr="00E551EB">
        <w:rPr>
          <w:rFonts w:eastAsia="Times New Roman"/>
          <w:sz w:val="24"/>
          <w:szCs w:val="24"/>
        </w:rPr>
        <w:t>, 193 P.3d 821 (Colo. 2008).</w:t>
      </w:r>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r w:rsidRPr="00E551EB">
        <w:rPr>
          <w:rFonts w:eastAsia="Times New Roman"/>
          <w:b/>
          <w:sz w:val="24"/>
          <w:szCs w:val="24"/>
        </w:rPr>
        <w:t>Callaham v. Slavsky</w:t>
      </w:r>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McAlonan</w:t>
      </w:r>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6" w:name="a6_13"/>
      <w:bookmarkEnd w:id="16"/>
      <w:r w:rsidRPr="00E551EB">
        <w:rPr>
          <w:rFonts w:eastAsia="Times New Roman"/>
          <w:b/>
          <w:sz w:val="24"/>
          <w:szCs w:val="24"/>
        </w:rPr>
        <w:t xml:space="preserve">6:13 </w:t>
      </w:r>
      <w:r w:rsidRPr="00E551EB">
        <w:rPr>
          <w:rFonts w:eastAsia="Times New Roman"/>
          <w:b/>
          <w:sz w:val="24"/>
          <w:szCs w:val="24"/>
        </w:rPr>
        <w:tab/>
        <w:t>PERSONAL PROPERTY — LOSS OF USE</w:t>
      </w:r>
    </w:p>
    <w:p w14:paraId="4C4ADF84"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(his) (her)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This instruction, appropriately modified, also may be used in cases involving the destruction, in contrast to injury or damage, of property with the measure of lost profit damages being the period of time required for locating a suitable replacement.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Duggan v. Bd. of Cty. 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Koenig v. PurCo Fleet Servs., Inc.</w:t>
      </w:r>
      <w:r w:rsidRPr="00E551EB">
        <w:rPr>
          <w:rFonts w:eastAsia="Times New Roman"/>
          <w:sz w:val="24"/>
          <w:szCs w:val="24"/>
        </w:rPr>
        <w:t>, 2012 CO 56, ¶ 3, 285 P.3d 979.</w:t>
      </w:r>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Hunter v. Quaintance</w:t>
      </w:r>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Wagner v. Dan Unfug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r w:rsidRPr="00E551EB">
        <w:rPr>
          <w:rFonts w:eastAsia="Times New Roman"/>
          <w:b/>
          <w:sz w:val="24"/>
          <w:szCs w:val="24"/>
        </w:rPr>
        <w:t>Koenig</w:t>
      </w:r>
      <w:r w:rsidRPr="00E551EB">
        <w:rPr>
          <w:rFonts w:eastAsia="Times New Roman"/>
          <w:sz w:val="24"/>
          <w:szCs w:val="24"/>
        </w:rPr>
        <w:t xml:space="preserve">, 2012 CO 56, ¶ 14.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121 Colo. at 24-25, 212 P.2d at 502.</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t>C. MULTIPLE RECOVERY</w:t>
      </w:r>
    </w:p>
    <w:p w14:paraId="7CBAE0A8" w14:textId="77777777" w:rsidR="00E551EB" w:rsidRPr="009E3DA4" w:rsidRDefault="00E551EB" w:rsidP="00E551EB">
      <w:pPr>
        <w:spacing w:after="240"/>
        <w:ind w:left="720" w:hanging="720"/>
        <w:rPr>
          <w:rFonts w:eastAsia="Times New Roman"/>
          <w:b/>
          <w:sz w:val="24"/>
          <w:szCs w:val="24"/>
        </w:rPr>
      </w:pPr>
      <w:bookmarkStart w:id="17" w:name="a6_14"/>
      <w:bookmarkEnd w:id="17"/>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you find for the plaintiff on more than one claim for relief, you may award (him) (her)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2A206B8B"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applies only to multiple claims that are duplicative in terms of their recoverable damages. The court should instruct the jury on each claim for relief, provided there is sufficient evidence on each such theory in the case. In such circumstances, however, this instruction must be given. </w:t>
      </w:r>
      <w:r w:rsidRPr="00E551EB">
        <w:rPr>
          <w:rFonts w:eastAsia="Times New Roman"/>
          <w:b/>
          <w:sz w:val="24"/>
          <w:szCs w:val="24"/>
        </w:rPr>
        <w:t>Schuessler v. Wolter</w:t>
      </w:r>
      <w:r w:rsidRPr="00E551EB">
        <w:rPr>
          <w:rFonts w:eastAsia="Times New Roman"/>
          <w:sz w:val="24"/>
          <w:szCs w:val="24"/>
        </w:rPr>
        <w:t>, 2012 COA 86,</w:t>
      </w:r>
      <w:r w:rsidRPr="00E551EB">
        <w:rPr>
          <w:rFonts w:eastAsia="Times New Roman"/>
          <w:b/>
          <w:sz w:val="24"/>
          <w:szCs w:val="24"/>
        </w:rPr>
        <w:t xml:space="preserve"> </w:t>
      </w:r>
      <w:r w:rsidRPr="00E551EB">
        <w:rPr>
          <w:rFonts w:eastAsia="Times New Roman"/>
          <w:sz w:val="24"/>
          <w:szCs w:val="24"/>
        </w:rPr>
        <w:t xml:space="preserve">¶ 64, 310 P.3d 151; </w:t>
      </w:r>
      <w:r w:rsidRPr="00E551EB">
        <w:rPr>
          <w:rFonts w:eastAsia="Times New Roman"/>
          <w:b/>
          <w:sz w:val="24"/>
          <w:szCs w:val="24"/>
        </w:rPr>
        <w:t>Rusch v. Lincoln-Devore Testing Lab., Inc.</w:t>
      </w:r>
      <w:r w:rsidRPr="00E551EB">
        <w:rPr>
          <w:rFonts w:eastAsia="Times New Roman"/>
          <w:sz w:val="24"/>
          <w:szCs w:val="24"/>
        </w:rPr>
        <w:t xml:space="preserve">, 698 P.2d 832 (Colo. App. 1984). Also, the verdict forms submitted to the jury should be so phrased that the jury is not misled.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Am. Furniture Co. v. Veazie</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131 Colo. 340, 281 P.2d 803 (1955);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Andrews v. Picard</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199 P.3d 6 (Colo. App. 2007); </w:t>
      </w:r>
      <w:r w:rsidRPr="00E551EB">
        <w:rPr>
          <w:rFonts w:eastAsia="Times New Roman"/>
          <w:b/>
          <w:sz w:val="24"/>
          <w:szCs w:val="24"/>
        </w:rPr>
        <w:t>Colo. Homes, Ltd. v. Loerch-Wilson</w:t>
      </w:r>
      <w:r w:rsidRPr="00E551EB">
        <w:rPr>
          <w:rFonts w:eastAsia="Times New Roman"/>
          <w:sz w:val="24"/>
          <w:szCs w:val="24"/>
        </w:rPr>
        <w:t xml:space="preserve">, 43 P.3d 718 (Colo. App. 2001); </w:t>
      </w:r>
      <w:r w:rsidRPr="00E551EB">
        <w:rPr>
          <w:rFonts w:eastAsia="Times New Roman"/>
          <w:b/>
          <w:sz w:val="24"/>
          <w:szCs w:val="24"/>
        </w:rPr>
        <w:t>DeBose v. Bear Valley Church of Christ</w:t>
      </w:r>
      <w:r w:rsidRPr="00E551EB">
        <w:rPr>
          <w:rFonts w:eastAsia="Times New Roman"/>
          <w:sz w:val="24"/>
          <w:szCs w:val="24"/>
        </w:rPr>
        <w:t xml:space="preserve">, 890 P.2d 214 (Colo. App. 1994), </w:t>
      </w:r>
      <w:r w:rsidRPr="00E551EB">
        <w:rPr>
          <w:rFonts w:eastAsia="Times New Roman"/>
          <w:i/>
          <w:sz w:val="24"/>
          <w:szCs w:val="24"/>
        </w:rPr>
        <w:t>rev’d on other grounds</w:t>
      </w:r>
      <w:r w:rsidRPr="00E551EB">
        <w:rPr>
          <w:rFonts w:eastAsia="Times New Roman"/>
          <w:sz w:val="24"/>
          <w:szCs w:val="24"/>
        </w:rPr>
        <w:t>, 928 P.2d 1315 (Colo. 1996).</w:t>
      </w:r>
    </w:p>
    <w:p w14:paraId="38CA7FA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When the plaintiff is suing for the same physical injuries to person or property and basing his or her claims on alternative theories of relief (for example, breach of implied warranty of merchantability and strict liability in tort), but is also suing for other or additional damages based on one of these or yet a different theory (for example, commercial damages caused by breach of express warranty), this instruction must be appropriately modified.</w:t>
      </w:r>
    </w:p>
    <w:p w14:paraId="4B8EE595"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Where damages are the same for each of multiple claims for relief, clarifying instructions and a special verdict form should be used so that the jury will award the same damages only once for all successful claims. </w:t>
      </w:r>
      <w:r w:rsidRPr="00E551EB">
        <w:rPr>
          <w:rFonts w:eastAsia="Times New Roman"/>
          <w:b/>
          <w:sz w:val="24"/>
          <w:szCs w:val="24"/>
        </w:rPr>
        <w:t>Steward Software Co. v. Kopcho</w:t>
      </w:r>
      <w:r w:rsidRPr="00E551EB">
        <w:rPr>
          <w:rFonts w:eastAsia="Times New Roman"/>
          <w:sz w:val="24"/>
          <w:szCs w:val="24"/>
        </w:rPr>
        <w:t xml:space="preserve">, 275 P.3d 702 (Colo. App. 2010), </w:t>
      </w:r>
      <w:r w:rsidRPr="00E551EB">
        <w:rPr>
          <w:rFonts w:eastAsia="Times New Roman"/>
          <w:i/>
          <w:sz w:val="24"/>
          <w:szCs w:val="24"/>
        </w:rPr>
        <w:t>rev’d on other grounds</w:t>
      </w:r>
      <w:r w:rsidRPr="00E551EB">
        <w:rPr>
          <w:rFonts w:eastAsia="Times New Roman"/>
          <w:sz w:val="24"/>
          <w:szCs w:val="24"/>
        </w:rPr>
        <w:t>, 266 P.3d 1085 (Colo. 2011).</w:t>
      </w:r>
    </w:p>
    <w:p w14:paraId="440A5168"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4. For a verdict form addressing multiple claims and parties, see Instruction 4:20, the model unified verdict form.</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281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Stewart v. Blanning</w:t>
      </w:r>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r w:rsidRPr="00E551EB">
        <w:rPr>
          <w:rFonts w:eastAsia="Times New Roman"/>
          <w:b/>
          <w:sz w:val="24"/>
          <w:szCs w:val="24"/>
        </w:rPr>
        <w:t>Quist v. Specialties Supply Co.</w:t>
      </w:r>
      <w:r w:rsidRPr="00E551EB">
        <w:rPr>
          <w:rFonts w:eastAsia="Times New Roman"/>
          <w:sz w:val="24"/>
          <w:szCs w:val="24"/>
        </w:rPr>
        <w:t>, 12 P.3d 863 (Colo. App. 2000).</w:t>
      </w:r>
    </w:p>
    <w:sectPr w:rsidR="00E551EB"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2BF282" w15:done="0"/>
  <w15:commentEx w15:paraId="44033C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BF282" w16cid:durableId="1F72F6F0"/>
  <w16cid:commentId w16cid:paraId="44033CAB" w16cid:durableId="1F72F9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8FDA" w14:textId="77777777" w:rsidR="007563B8" w:rsidRDefault="007563B8" w:rsidP="0054263B">
      <w:r>
        <w:separator/>
      </w:r>
    </w:p>
    <w:p w14:paraId="379C4C80" w14:textId="77777777" w:rsidR="007563B8" w:rsidRDefault="007563B8"/>
  </w:endnote>
  <w:endnote w:type="continuationSeparator" w:id="0">
    <w:p w14:paraId="7A361E76" w14:textId="77777777" w:rsidR="007563B8" w:rsidRDefault="007563B8" w:rsidP="0054263B">
      <w:r>
        <w:continuationSeparator/>
      </w:r>
    </w:p>
    <w:p w14:paraId="093B95FA" w14:textId="77777777" w:rsidR="007563B8" w:rsidRDefault="00756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3063A27" w14:textId="77777777" w:rsidR="00AA606D" w:rsidRDefault="00E97FB8">
        <w:pPr>
          <w:pStyle w:val="Footer"/>
          <w:jc w:val="center"/>
        </w:pPr>
        <w:r>
          <w:fldChar w:fldCharType="begin"/>
        </w:r>
        <w:r>
          <w:instrText xml:space="preserve"> PAGE   \* MERGEFORMAT </w:instrText>
        </w:r>
        <w:r>
          <w:fldChar w:fldCharType="separate"/>
        </w:r>
        <w:r w:rsidR="00361BB0">
          <w:rPr>
            <w:noProof/>
          </w:rPr>
          <w:t>12</w:t>
        </w:r>
        <w:r>
          <w:rPr>
            <w:noProof/>
          </w:rPr>
          <w:fldChar w:fldCharType="end"/>
        </w:r>
      </w:p>
    </w:sdtContent>
  </w:sdt>
  <w:p w14:paraId="70F197F2" w14:textId="77777777" w:rsidR="00AA606D" w:rsidRDefault="00AA606D">
    <w:pPr>
      <w:pStyle w:val="Footer"/>
    </w:pPr>
  </w:p>
  <w:p w14:paraId="7F5F1E70" w14:textId="77777777" w:rsidR="00AA606D" w:rsidRDefault="00AA60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75436" w14:textId="77777777" w:rsidR="007563B8" w:rsidRDefault="007563B8" w:rsidP="0054263B">
      <w:r>
        <w:separator/>
      </w:r>
    </w:p>
    <w:p w14:paraId="5226736F" w14:textId="77777777" w:rsidR="007563B8" w:rsidRDefault="007563B8"/>
  </w:footnote>
  <w:footnote w:type="continuationSeparator" w:id="0">
    <w:p w14:paraId="049BFBB1" w14:textId="77777777" w:rsidR="007563B8" w:rsidRDefault="007563B8" w:rsidP="0054263B">
      <w:r>
        <w:continuationSeparator/>
      </w:r>
    </w:p>
    <w:p w14:paraId="6F137968" w14:textId="77777777" w:rsidR="007563B8" w:rsidRDefault="007563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16142"/>
    <w:rsid w:val="00037111"/>
    <w:rsid w:val="00067F64"/>
    <w:rsid w:val="00085495"/>
    <w:rsid w:val="000921F1"/>
    <w:rsid w:val="000962C8"/>
    <w:rsid w:val="000C6F97"/>
    <w:rsid w:val="000C7496"/>
    <w:rsid w:val="001024A2"/>
    <w:rsid w:val="001117D9"/>
    <w:rsid w:val="001246C3"/>
    <w:rsid w:val="00172674"/>
    <w:rsid w:val="001903CB"/>
    <w:rsid w:val="001913B1"/>
    <w:rsid w:val="00191498"/>
    <w:rsid w:val="001A2648"/>
    <w:rsid w:val="001A3389"/>
    <w:rsid w:val="00200BA5"/>
    <w:rsid w:val="002065D8"/>
    <w:rsid w:val="0021368F"/>
    <w:rsid w:val="0022134E"/>
    <w:rsid w:val="00223286"/>
    <w:rsid w:val="00291B13"/>
    <w:rsid w:val="002A23B0"/>
    <w:rsid w:val="002B6D2C"/>
    <w:rsid w:val="002E0970"/>
    <w:rsid w:val="002F48D6"/>
    <w:rsid w:val="00320613"/>
    <w:rsid w:val="003247EA"/>
    <w:rsid w:val="00334049"/>
    <w:rsid w:val="00336CE4"/>
    <w:rsid w:val="00352111"/>
    <w:rsid w:val="003613FE"/>
    <w:rsid w:val="00361BB0"/>
    <w:rsid w:val="003937B8"/>
    <w:rsid w:val="003F108C"/>
    <w:rsid w:val="00412186"/>
    <w:rsid w:val="00421670"/>
    <w:rsid w:val="00434371"/>
    <w:rsid w:val="004425AA"/>
    <w:rsid w:val="00456038"/>
    <w:rsid w:val="00467B80"/>
    <w:rsid w:val="00471618"/>
    <w:rsid w:val="004C62F9"/>
    <w:rsid w:val="004C723A"/>
    <w:rsid w:val="004E7EF1"/>
    <w:rsid w:val="00505377"/>
    <w:rsid w:val="00531F87"/>
    <w:rsid w:val="0054263B"/>
    <w:rsid w:val="00557FCC"/>
    <w:rsid w:val="0056459F"/>
    <w:rsid w:val="005B3A78"/>
    <w:rsid w:val="005D3156"/>
    <w:rsid w:val="005E712D"/>
    <w:rsid w:val="005F6FC8"/>
    <w:rsid w:val="00602F87"/>
    <w:rsid w:val="006272FE"/>
    <w:rsid w:val="006312C6"/>
    <w:rsid w:val="00661D05"/>
    <w:rsid w:val="00675252"/>
    <w:rsid w:val="00682B93"/>
    <w:rsid w:val="0068336D"/>
    <w:rsid w:val="00683FA1"/>
    <w:rsid w:val="006A0F62"/>
    <w:rsid w:val="006A74B6"/>
    <w:rsid w:val="006B0DB1"/>
    <w:rsid w:val="006E0D06"/>
    <w:rsid w:val="006E3575"/>
    <w:rsid w:val="006E62F0"/>
    <w:rsid w:val="0070333F"/>
    <w:rsid w:val="0070752A"/>
    <w:rsid w:val="007119D8"/>
    <w:rsid w:val="007303EC"/>
    <w:rsid w:val="007532AB"/>
    <w:rsid w:val="007563B8"/>
    <w:rsid w:val="007A3A0E"/>
    <w:rsid w:val="007A612E"/>
    <w:rsid w:val="007C3712"/>
    <w:rsid w:val="007D2BCE"/>
    <w:rsid w:val="007E1675"/>
    <w:rsid w:val="007F7129"/>
    <w:rsid w:val="00801691"/>
    <w:rsid w:val="00810A39"/>
    <w:rsid w:val="0082168C"/>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25459"/>
    <w:rsid w:val="00935DA8"/>
    <w:rsid w:val="0095709A"/>
    <w:rsid w:val="00960E95"/>
    <w:rsid w:val="0096521C"/>
    <w:rsid w:val="00973884"/>
    <w:rsid w:val="009902F2"/>
    <w:rsid w:val="009A5ACD"/>
    <w:rsid w:val="009B6746"/>
    <w:rsid w:val="009B70E6"/>
    <w:rsid w:val="009E20C7"/>
    <w:rsid w:val="009E3DA4"/>
    <w:rsid w:val="00A36457"/>
    <w:rsid w:val="00A73AE6"/>
    <w:rsid w:val="00A80C10"/>
    <w:rsid w:val="00A85AAA"/>
    <w:rsid w:val="00AA606D"/>
    <w:rsid w:val="00AC78F7"/>
    <w:rsid w:val="00AD39B2"/>
    <w:rsid w:val="00AF7D47"/>
    <w:rsid w:val="00B0264D"/>
    <w:rsid w:val="00B37722"/>
    <w:rsid w:val="00B567C1"/>
    <w:rsid w:val="00B579DF"/>
    <w:rsid w:val="00B6275E"/>
    <w:rsid w:val="00B70D68"/>
    <w:rsid w:val="00B72D6B"/>
    <w:rsid w:val="00B937E4"/>
    <w:rsid w:val="00B972E4"/>
    <w:rsid w:val="00BA4966"/>
    <w:rsid w:val="00BC49BF"/>
    <w:rsid w:val="00BE2B09"/>
    <w:rsid w:val="00BE654D"/>
    <w:rsid w:val="00C40968"/>
    <w:rsid w:val="00C473A2"/>
    <w:rsid w:val="00C60E95"/>
    <w:rsid w:val="00C84E71"/>
    <w:rsid w:val="00C8797B"/>
    <w:rsid w:val="00CA41CC"/>
    <w:rsid w:val="00CA4F46"/>
    <w:rsid w:val="00CC0502"/>
    <w:rsid w:val="00CC1AC8"/>
    <w:rsid w:val="00CC6A95"/>
    <w:rsid w:val="00CC7E17"/>
    <w:rsid w:val="00CD4A7D"/>
    <w:rsid w:val="00CE593D"/>
    <w:rsid w:val="00D05926"/>
    <w:rsid w:val="00D06D8D"/>
    <w:rsid w:val="00D333AA"/>
    <w:rsid w:val="00D57BA1"/>
    <w:rsid w:val="00DB2C90"/>
    <w:rsid w:val="00DC63A9"/>
    <w:rsid w:val="00DC66A6"/>
    <w:rsid w:val="00DE2930"/>
    <w:rsid w:val="00DF2CB7"/>
    <w:rsid w:val="00DF3BF1"/>
    <w:rsid w:val="00E058BA"/>
    <w:rsid w:val="00E172C8"/>
    <w:rsid w:val="00E551EB"/>
    <w:rsid w:val="00E8031C"/>
    <w:rsid w:val="00E87C31"/>
    <w:rsid w:val="00E91DC9"/>
    <w:rsid w:val="00E92A63"/>
    <w:rsid w:val="00E970B9"/>
    <w:rsid w:val="00E97FB8"/>
    <w:rsid w:val="00EA6F5A"/>
    <w:rsid w:val="00EC17E3"/>
    <w:rsid w:val="00EC3919"/>
    <w:rsid w:val="00EC7C98"/>
    <w:rsid w:val="00ED5E52"/>
    <w:rsid w:val="00ED7176"/>
    <w:rsid w:val="00EE72B5"/>
    <w:rsid w:val="00EF37D7"/>
    <w:rsid w:val="00EF4043"/>
    <w:rsid w:val="00EF7890"/>
    <w:rsid w:val="00F32AA4"/>
    <w:rsid w:val="00F764F4"/>
    <w:rsid w:val="00FA7B76"/>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12113</Words>
  <Characters>69050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2018-12-15T20:12:00Z</dcterms:created>
  <dcterms:modified xsi:type="dcterms:W3CDTF">2018-12-15T20:12:00Z</dcterms:modified>
</cp:coreProperties>
</file>