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B24C" w14:textId="0C4950B9" w:rsidR="00CA41CC" w:rsidRPr="00914128" w:rsidRDefault="0068336D" w:rsidP="00914128">
      <w:pPr>
        <w:pStyle w:val="Heading1"/>
      </w:pPr>
      <w:r>
        <w:t xml:space="preserve">CHAPTER </w:t>
      </w:r>
      <w:r w:rsidR="00A109BC">
        <w:t>18</w:t>
      </w:r>
    </w:p>
    <w:p w14:paraId="1A3004BF" w14:textId="73B30E34" w:rsidR="00EC7C98" w:rsidRPr="00914128" w:rsidRDefault="00167A38" w:rsidP="00914128">
      <w:pPr>
        <w:pStyle w:val="Heading1"/>
      </w:pPr>
      <w:r w:rsidRPr="00167A38">
        <w:t>TRESPASS TO LAND</w:t>
      </w:r>
      <w:r w:rsidR="000D3EDF">
        <w:t xml:space="preserve"> AND PRIVATE NUISANCE</w:t>
      </w:r>
    </w:p>
    <w:p w14:paraId="3F32E608" w14:textId="77777777" w:rsidR="00EC7C98" w:rsidRDefault="003F78F0" w:rsidP="00914128">
      <w:pPr>
        <w:pStyle w:val="ToC"/>
      </w:pPr>
      <w:hyperlink w:anchor="a18_01" w:history="1">
        <w:r w:rsidRPr="00A109BC">
          <w:rPr>
            <w:rStyle w:val="Hyperlink"/>
          </w:rPr>
          <w:t>18:1</w:t>
        </w:r>
      </w:hyperlink>
      <w:r w:rsidRPr="00A109BC">
        <w:tab/>
        <w:t xml:space="preserve">Trespass — Elements </w:t>
      </w:r>
      <w:r>
        <w:t>o</w:t>
      </w:r>
      <w:r w:rsidRPr="00A109BC">
        <w:t>f Liability</w:t>
      </w:r>
    </w:p>
    <w:p w14:paraId="1EAFA829" w14:textId="77777777" w:rsidR="00A109BC" w:rsidRDefault="003F78F0" w:rsidP="00914128">
      <w:pPr>
        <w:pStyle w:val="ToC"/>
      </w:pPr>
      <w:hyperlink w:anchor="a18_02" w:history="1">
        <w:r w:rsidRPr="00A109BC">
          <w:rPr>
            <w:rStyle w:val="Hyperlink"/>
          </w:rPr>
          <w:t>18:2</w:t>
        </w:r>
      </w:hyperlink>
      <w:r>
        <w:tab/>
      </w:r>
      <w:r w:rsidRPr="00A109BC">
        <w:t>Intentionally — Defined</w:t>
      </w:r>
    </w:p>
    <w:p w14:paraId="53D2EBE9" w14:textId="77777777" w:rsidR="00A109BC" w:rsidRDefault="003F78F0" w:rsidP="00914128">
      <w:pPr>
        <w:pStyle w:val="ToC"/>
      </w:pPr>
      <w:hyperlink w:anchor="a18_03" w:history="1">
        <w:r w:rsidRPr="00A109BC">
          <w:rPr>
            <w:rStyle w:val="Hyperlink"/>
          </w:rPr>
          <w:t>18:3</w:t>
        </w:r>
      </w:hyperlink>
      <w:r w:rsidRPr="00A109BC">
        <w:t xml:space="preserve"> </w:t>
      </w:r>
      <w:r w:rsidRPr="00A109BC">
        <w:tab/>
        <w:t>Consent</w:t>
      </w:r>
    </w:p>
    <w:p w14:paraId="5DB11A44" w14:textId="77777777" w:rsidR="00A109BC" w:rsidRDefault="003F78F0" w:rsidP="00914128">
      <w:pPr>
        <w:pStyle w:val="ToC"/>
      </w:pPr>
      <w:hyperlink w:anchor="a18_04" w:history="1">
        <w:r w:rsidRPr="00A109BC">
          <w:rPr>
            <w:rStyle w:val="Hyperlink"/>
          </w:rPr>
          <w:t>18:4</w:t>
        </w:r>
      </w:hyperlink>
      <w:r w:rsidRPr="00A109BC">
        <w:tab/>
        <w:t xml:space="preserve">Actual </w:t>
      </w:r>
      <w:r>
        <w:t>o</w:t>
      </w:r>
      <w:r w:rsidRPr="00A109BC">
        <w:t>r Nominal Damages</w:t>
      </w:r>
    </w:p>
    <w:p w14:paraId="18CD08DD" w14:textId="0B921E55" w:rsidR="00C23BF5" w:rsidRDefault="00C23BF5" w:rsidP="00914128">
      <w:pPr>
        <w:pStyle w:val="ToC"/>
      </w:pPr>
      <w:hyperlink w:anchor="a18_05" w:history="1">
        <w:r w:rsidRPr="00D76E57">
          <w:rPr>
            <w:rStyle w:val="Hyperlink"/>
          </w:rPr>
          <w:t>18:5</w:t>
        </w:r>
      </w:hyperlink>
      <w:r w:rsidRPr="00C23BF5">
        <w:t xml:space="preserve"> </w:t>
      </w:r>
      <w:r w:rsidRPr="00C23BF5">
        <w:tab/>
      </w:r>
      <w:r>
        <w:t>Private Nuisance</w:t>
      </w:r>
      <w:r w:rsidRPr="00C23BF5">
        <w:t xml:space="preserve"> — </w:t>
      </w:r>
      <w:r>
        <w:t>Elements of Liability</w:t>
      </w:r>
    </w:p>
    <w:p w14:paraId="6B2AADAE" w14:textId="1F2E4182" w:rsidR="00CB0CC1" w:rsidRDefault="00CB0CC1" w:rsidP="00CB0CC1">
      <w:pPr>
        <w:pStyle w:val="ToC"/>
      </w:pPr>
      <w:hyperlink w:anchor="a18_06" w:history="1">
        <w:r w:rsidRPr="00D76E57">
          <w:rPr>
            <w:rStyle w:val="Hyperlink"/>
          </w:rPr>
          <w:t>18:6</w:t>
        </w:r>
      </w:hyperlink>
      <w:r w:rsidRPr="00CB0CC1">
        <w:tab/>
      </w:r>
      <w:r>
        <w:t>Intentionally or Negligently</w:t>
      </w:r>
      <w:r w:rsidRPr="00CB0CC1">
        <w:t xml:space="preserve"> — </w:t>
      </w:r>
      <w:r>
        <w:t>Defined</w:t>
      </w:r>
    </w:p>
    <w:p w14:paraId="5C6104F8" w14:textId="2343ACC6" w:rsidR="00CB0CC1" w:rsidRDefault="00CB0CC1" w:rsidP="00CB0CC1">
      <w:pPr>
        <w:pStyle w:val="ToC"/>
      </w:pPr>
      <w:hyperlink w:anchor="a18_07" w:history="1">
        <w:r w:rsidRPr="00D76E57">
          <w:rPr>
            <w:rStyle w:val="Hyperlink"/>
          </w:rPr>
          <w:t>18:7</w:t>
        </w:r>
      </w:hyperlink>
      <w:r w:rsidRPr="00CB0CC1">
        <w:tab/>
      </w:r>
      <w:r>
        <w:t>Actual or Nominal Damages</w:t>
      </w:r>
    </w:p>
    <w:p w14:paraId="3F24D33A" w14:textId="30D80AFF" w:rsidR="00CB0CC1" w:rsidRDefault="00CB0CC1" w:rsidP="00914128">
      <w:pPr>
        <w:pStyle w:val="ToC"/>
      </w:pPr>
    </w:p>
    <w:p w14:paraId="6E498DA0" w14:textId="77777777" w:rsidR="00352111" w:rsidRPr="00352111" w:rsidRDefault="00352111">
      <w:pPr>
        <w:rPr>
          <w:rFonts w:eastAsia="Times New Roman"/>
          <w:sz w:val="24"/>
          <w:szCs w:val="24"/>
        </w:rPr>
      </w:pPr>
      <w:r w:rsidRPr="00352111">
        <w:rPr>
          <w:rFonts w:eastAsia="Times New Roman"/>
          <w:sz w:val="24"/>
          <w:szCs w:val="24"/>
        </w:rPr>
        <w:br w:type="page"/>
      </w:r>
    </w:p>
    <w:p w14:paraId="16CB14AF" w14:textId="77777777" w:rsidR="009E3DA4" w:rsidRPr="009E3DA4" w:rsidRDefault="00167A38" w:rsidP="00CC0502">
      <w:pPr>
        <w:spacing w:after="240"/>
        <w:ind w:left="720" w:hanging="720"/>
        <w:rPr>
          <w:rFonts w:eastAsia="Times New Roman"/>
          <w:b/>
          <w:sz w:val="24"/>
          <w:szCs w:val="24"/>
        </w:rPr>
      </w:pPr>
      <w:bookmarkStart w:id="0" w:name="a18_01"/>
      <w:bookmarkEnd w:id="0"/>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14:paraId="07E5443C" w14:textId="0E3DC5BD"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xml:space="preserve">, on </w:t>
      </w:r>
      <w:r w:rsidR="00146121" w:rsidRPr="00146121">
        <w:rPr>
          <w:rFonts w:eastAsia="Times New Roman"/>
          <w:bCs/>
          <w:i/>
          <w:iCs/>
          <w:sz w:val="24"/>
          <w:szCs w:val="24"/>
        </w:rPr>
        <w:t>(insert applicable pronoun)</w:t>
      </w:r>
      <w:r w:rsidRPr="00167A38">
        <w:rPr>
          <w:rFonts w:eastAsia="Times New Roman"/>
          <w:b/>
          <w:sz w:val="24"/>
          <w:szCs w:val="24"/>
        </w:rPr>
        <w:t xml:space="preserve"> claim of trespass, you must find that (both) (all) of the following have been proved by a preponderance of the evidence:</w:t>
      </w:r>
    </w:p>
    <w:p w14:paraId="0177704B"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14:paraId="5E1B8D17"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14:paraId="62008CC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14:paraId="4A24FF3D"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14:paraId="08609E4E" w14:textId="77777777"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14:paraId="7DA5D35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DA911CF"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w:t>
      </w:r>
      <w:r w:rsidR="00B6178E">
        <w:rPr>
          <w:rFonts w:eastAsia="Times New Roman"/>
          <w:b/>
          <w:sz w:val="24"/>
          <w:szCs w:val="24"/>
        </w:rPr>
        <w:t xml:space="preserve"> not</w:t>
      </w:r>
      <w:r w:rsidRPr="00167A38">
        <w:rPr>
          <w:rFonts w:eastAsia="Times New Roman"/>
          <w:b/>
          <w:sz w:val="24"/>
          <w:szCs w:val="24"/>
        </w:rPr>
        <w:t>) (</w:t>
      </w:r>
      <w:r w:rsidR="00B6178E">
        <w:rPr>
          <w:rFonts w:eastAsia="Times New Roman"/>
          <w:b/>
          <w:sz w:val="24"/>
          <w:szCs w:val="24"/>
        </w:rPr>
        <w:t xml:space="preserve">none </w:t>
      </w:r>
      <w:r w:rsidRPr="00167A38">
        <w:rPr>
          <w:rFonts w:eastAsia="Times New Roman"/>
          <w:b/>
          <w:sz w:val="24"/>
          <w:szCs w:val="24"/>
        </w:rPr>
        <w:t>of these affirmative defenses have) been proved, then your verdict must be for the plaintiff.</w:t>
      </w:r>
    </w:p>
    <w:p w14:paraId="3A1D1960" w14:textId="77777777" w:rsidR="00832DB4" w:rsidRDefault="00832DB4" w:rsidP="0054263B">
      <w:pPr>
        <w:jc w:val="center"/>
        <w:rPr>
          <w:rFonts w:eastAsia="Times New Roman"/>
          <w:sz w:val="24"/>
          <w:szCs w:val="24"/>
        </w:rPr>
      </w:pPr>
    </w:p>
    <w:p w14:paraId="0963564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2F2034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14:paraId="59740BE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Pub. Serv. Co. v. Van Wyk</w:t>
      </w:r>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14:paraId="53F8E8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Sanderson v. Heath Mesa Homeowners Ass’n</w:t>
      </w:r>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14:paraId="0EFDF79D"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14:paraId="4010F0B7"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r w:rsidRPr="00167A38">
        <w:rPr>
          <w:rFonts w:eastAsia="Times New Roman"/>
          <w:b/>
          <w:sz w:val="24"/>
          <w:szCs w:val="24"/>
        </w:rPr>
        <w:t>Cobai v. Young</w:t>
      </w:r>
      <w:r w:rsidRPr="00167A38">
        <w:rPr>
          <w:rFonts w:eastAsia="Times New Roman"/>
          <w:sz w:val="24"/>
          <w:szCs w:val="24"/>
        </w:rPr>
        <w:t xml:space="preserve">, 679 P.2d 121 (Colo. App. 1984) (defendants constructed their house so as to cause snow to slide off the roof and hit the plaintiff’s house). </w:t>
      </w:r>
    </w:p>
    <w:p w14:paraId="64EF7C8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898EBA"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r w:rsidRPr="00167A38">
        <w:rPr>
          <w:rFonts w:eastAsia="Times New Roman"/>
          <w:b/>
          <w:sz w:val="24"/>
          <w:szCs w:val="24"/>
        </w:rPr>
        <w:t>Hugunin v. McCunniff</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Hoery v. United States</w:t>
      </w:r>
      <w:r w:rsidRPr="00167A38">
        <w:rPr>
          <w:rFonts w:eastAsia="Times New Roman"/>
          <w:sz w:val="24"/>
          <w:szCs w:val="24"/>
        </w:rPr>
        <w:t xml:space="preserve">, 64 P.3d 214 (Colo. 2003); </w:t>
      </w:r>
      <w:r w:rsidRPr="00167A38">
        <w:rPr>
          <w:rFonts w:eastAsia="Times New Roman"/>
          <w:b/>
          <w:sz w:val="24"/>
          <w:szCs w:val="24"/>
        </w:rPr>
        <w:t>Antolovich v. Brown Grp. Retail, Inc.</w:t>
      </w:r>
      <w:r w:rsidRPr="00167A38">
        <w:rPr>
          <w:rFonts w:eastAsia="Times New Roman"/>
          <w:sz w:val="24"/>
          <w:szCs w:val="24"/>
        </w:rPr>
        <w:t xml:space="preserve">, 183 P.3d 582 (Colo. App. 2007); </w:t>
      </w:r>
      <w:r w:rsidRPr="00167A38">
        <w:rPr>
          <w:rFonts w:eastAsia="Times New Roman"/>
          <w:b/>
          <w:sz w:val="24"/>
          <w:szCs w:val="24"/>
        </w:rPr>
        <w:t>Trask v. Nozisko</w:t>
      </w:r>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r w:rsidRPr="00167A38">
        <w:rPr>
          <w:rFonts w:eastAsia="Times New Roman"/>
          <w:b/>
          <w:sz w:val="24"/>
          <w:szCs w:val="24"/>
        </w:rPr>
        <w:t>Magliocco v. Olson</w:t>
      </w:r>
      <w:r w:rsidRPr="00167A38">
        <w:rPr>
          <w:rFonts w:eastAsia="Times New Roman"/>
          <w:sz w:val="24"/>
          <w:szCs w:val="24"/>
        </w:rPr>
        <w:t xml:space="preserve">, 762 P.2d 681 (Colo. App. 1987); </w:t>
      </w:r>
      <w:r w:rsidRPr="00167A38">
        <w:rPr>
          <w:rFonts w:eastAsia="Times New Roman"/>
          <w:b/>
          <w:sz w:val="24"/>
          <w:szCs w:val="24"/>
        </w:rPr>
        <w:t>Docheff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14:paraId="02355230"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xml:space="preserve">, 183 P.3d at 682). Only the person lawfully in actual or constructive possession of the land at the time of the trespass may maintain an action for trespass. </w:t>
      </w:r>
      <w:r w:rsidRPr="00167A38">
        <w:rPr>
          <w:rFonts w:eastAsia="Times New Roman"/>
          <w:b/>
          <w:sz w:val="24"/>
          <w:szCs w:val="24"/>
        </w:rPr>
        <w:t>Hugunin</w:t>
      </w:r>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Betterview Invs., LLC v. Pub. Serv. Co.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r w:rsidRPr="00167A38">
        <w:rPr>
          <w:rFonts w:eastAsia="Times New Roman"/>
          <w:b/>
          <w:sz w:val="24"/>
          <w:szCs w:val="24"/>
        </w:rPr>
        <w:t>Plotkin v. Club Valencia Condo.</w:t>
      </w:r>
      <w:r w:rsidRPr="00167A38">
        <w:rPr>
          <w:rFonts w:eastAsia="Times New Roman"/>
          <w:sz w:val="24"/>
          <w:szCs w:val="24"/>
        </w:rPr>
        <w:t xml:space="preserve"> </w:t>
      </w:r>
      <w:r w:rsidRPr="00167A38">
        <w:rPr>
          <w:rFonts w:eastAsia="Times New Roman"/>
          <w:b/>
          <w:sz w:val="24"/>
          <w:szCs w:val="24"/>
        </w:rPr>
        <w:t>Ass’n</w:t>
      </w:r>
      <w:r w:rsidRPr="00167A38">
        <w:rPr>
          <w:rFonts w:eastAsia="Times New Roman"/>
          <w:sz w:val="24"/>
          <w:szCs w:val="24"/>
        </w:rPr>
        <w:t xml:space="preserve">, 717 P.2d 1027 (Colo. App. 1986) (citing and paraphrasing this instruction for the definition of trespass). Similarly, the owner or lessee of a mineral estate may maintain a trespass action for an unauthorized geophysical exploration for that mineral notwithstanding such exploration was made with the consent of the surface owner. </w:t>
      </w:r>
      <w:r w:rsidRPr="00167A38">
        <w:rPr>
          <w:rFonts w:eastAsia="Times New Roman"/>
          <w:b/>
          <w:sz w:val="24"/>
          <w:szCs w:val="24"/>
        </w:rPr>
        <w:t>Grynberg v. City of Northglenn</w:t>
      </w:r>
      <w:r w:rsidRPr="00167A38">
        <w:rPr>
          <w:rFonts w:eastAsia="Times New Roman"/>
          <w:sz w:val="24"/>
          <w:szCs w:val="24"/>
        </w:rPr>
        <w:t xml:space="preserve">, 739 P.2d 230 (Colo. 1987).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815 P.2d at 1012.</w:t>
      </w:r>
    </w:p>
    <w:p w14:paraId="529E9C0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terminated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Hugunin</w:t>
      </w:r>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r w:rsidRPr="00167A38">
        <w:rPr>
          <w:rFonts w:eastAsia="Times New Roman"/>
          <w:b/>
          <w:sz w:val="24"/>
          <w:szCs w:val="24"/>
        </w:rPr>
        <w:t>Walker v. City of Denver</w:t>
      </w:r>
      <w:r w:rsidRPr="00167A38">
        <w:rPr>
          <w:rFonts w:eastAsia="Times New Roman"/>
          <w:sz w:val="24"/>
          <w:szCs w:val="24"/>
        </w:rPr>
        <w:t xml:space="preserve">, 720 P.2d 619 (Colo. App. 1986).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Gerrity Oil &amp; Gas Corp. v. Magness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r w:rsidRPr="00167A38">
        <w:rPr>
          <w:rFonts w:eastAsia="Times New Roman"/>
          <w:b/>
          <w:sz w:val="24"/>
          <w:szCs w:val="24"/>
        </w:rPr>
        <w:t>Steiger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14:paraId="29D4B94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4. Plaintiff need not establish defendant’s “willfulness” to prevail on a trespass claim. </w:t>
      </w:r>
      <w:r w:rsidRPr="00167A38">
        <w:rPr>
          <w:rFonts w:eastAsia="Times New Roman"/>
          <w:b/>
          <w:sz w:val="24"/>
          <w:szCs w:val="24"/>
        </w:rPr>
        <w:t>Bittersweet Farms, Inc. v. Zimbelman</w:t>
      </w:r>
      <w:r w:rsidRPr="00167A38">
        <w:rPr>
          <w:rFonts w:eastAsia="Times New Roman"/>
          <w:sz w:val="24"/>
          <w:szCs w:val="24"/>
        </w:rPr>
        <w:t xml:space="preserve">, 976 P.2d 326 (Colo. App. 1998); </w:t>
      </w:r>
      <w:r w:rsidRPr="00167A38">
        <w:rPr>
          <w:rFonts w:eastAsia="Times New Roman"/>
          <w:b/>
          <w:sz w:val="24"/>
          <w:szCs w:val="24"/>
        </w:rPr>
        <w:t>Engler v. Hatch</w:t>
      </w:r>
      <w:r w:rsidRPr="00167A38">
        <w:rPr>
          <w:rFonts w:eastAsia="Times New Roman"/>
          <w:sz w:val="24"/>
          <w:szCs w:val="24"/>
        </w:rPr>
        <w:t xml:space="preserve">, 472 P.2d 680 (Colo. App. 1970) (not published pursuant to C.A.R. 35(f)). However, liability for trespass requires a showing that the defendant “intended” to perform conduct that either constituted or caused an intrusion onto the property of another. </w:t>
      </w:r>
      <w:r w:rsidRPr="00167A38">
        <w:rPr>
          <w:rFonts w:eastAsia="Times New Roman"/>
          <w:b/>
          <w:sz w:val="24"/>
          <w:szCs w:val="24"/>
        </w:rPr>
        <w:t>Antolovich</w:t>
      </w:r>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14:paraId="60D47F28" w14:textId="7B266164" w:rsidR="00167A38" w:rsidRPr="00167A38" w:rsidRDefault="00167A38" w:rsidP="00167A38">
      <w:pPr>
        <w:spacing w:after="240"/>
        <w:ind w:firstLine="720"/>
        <w:rPr>
          <w:rFonts w:eastAsia="Times New Roman"/>
          <w:sz w:val="24"/>
          <w:szCs w:val="24"/>
        </w:rPr>
      </w:pPr>
      <w:r w:rsidRPr="00167A38">
        <w:rPr>
          <w:rFonts w:eastAsia="Times New Roman"/>
          <w:sz w:val="24"/>
          <w:szCs w:val="24"/>
        </w:rPr>
        <w:t>5. Trespass may occur without direct entry: “</w:t>
      </w:r>
      <w:r w:rsidR="00FF68B4" w:rsidRPr="00FF68B4">
        <w:rPr>
          <w:rFonts w:eastAsia="Times New Roman"/>
          <w:sz w:val="24"/>
          <w:szCs w:val="24"/>
        </w:rPr>
        <w:t>A landowner who sets in motion a force which, in the usual course of events, will damage property of another is guilty of a trespass on such property</w:t>
      </w:r>
      <w:r w:rsidRPr="00167A38">
        <w:rPr>
          <w:rFonts w:eastAsia="Times New Roman"/>
          <w:sz w:val="24"/>
          <w:szCs w:val="24"/>
        </w:rPr>
        <w:t>.</w:t>
      </w:r>
      <w:r w:rsidR="00FF68B4">
        <w:rPr>
          <w:rFonts w:eastAsia="Times New Roman"/>
          <w:sz w:val="24"/>
          <w:szCs w:val="24"/>
        </w:rPr>
        <w:t>”</w:t>
      </w:r>
      <w:r w:rsidRPr="00167A38">
        <w:rPr>
          <w:rFonts w:eastAsia="Times New Roman"/>
          <w:sz w:val="24"/>
          <w:szCs w:val="24"/>
        </w:rPr>
        <w:t xml:space="preserve"> </w:t>
      </w:r>
      <w:r w:rsidRPr="00167A38">
        <w:rPr>
          <w:rFonts w:eastAsia="Times New Roman"/>
          <w:b/>
          <w:sz w:val="24"/>
          <w:szCs w:val="24"/>
        </w:rPr>
        <w:t>Hoery</w:t>
      </w:r>
      <w:r w:rsidRPr="00167A38">
        <w:rPr>
          <w:rFonts w:eastAsia="Times New Roman"/>
          <w:sz w:val="24"/>
          <w:szCs w:val="24"/>
        </w:rPr>
        <w:t>, 64 P.3d at 217</w:t>
      </w:r>
      <w:r w:rsidR="0030228D">
        <w:rPr>
          <w:rFonts w:eastAsia="Times New Roman"/>
          <w:sz w:val="24"/>
          <w:szCs w:val="24"/>
        </w:rPr>
        <w:t xml:space="preserve">; </w:t>
      </w:r>
      <w:r w:rsidR="0030228D" w:rsidRPr="00937FEA">
        <w:rPr>
          <w:rFonts w:eastAsia="Times New Roman"/>
          <w:b/>
          <w:bCs/>
          <w:sz w:val="24"/>
          <w:szCs w:val="24"/>
        </w:rPr>
        <w:t>Blakeland Drive Inv</w:t>
      </w:r>
      <w:r w:rsidR="00937FEA">
        <w:rPr>
          <w:rFonts w:eastAsia="Times New Roman"/>
          <w:b/>
          <w:bCs/>
          <w:sz w:val="24"/>
          <w:szCs w:val="24"/>
        </w:rPr>
        <w:t>’</w:t>
      </w:r>
      <w:r w:rsidR="0030228D" w:rsidRPr="00937FEA">
        <w:rPr>
          <w:rFonts w:eastAsia="Times New Roman"/>
          <w:b/>
          <w:bCs/>
          <w:sz w:val="24"/>
          <w:szCs w:val="24"/>
        </w:rPr>
        <w:t>rs, LLP v. Taghavi</w:t>
      </w:r>
      <w:r w:rsidR="0030228D" w:rsidRPr="00937FEA">
        <w:rPr>
          <w:rFonts w:eastAsia="Times New Roman"/>
          <w:sz w:val="24"/>
          <w:szCs w:val="24"/>
        </w:rPr>
        <w:t>, 2023 COA 30M</w:t>
      </w:r>
      <w:r w:rsidR="0030228D">
        <w:rPr>
          <w:rFonts w:eastAsia="Times New Roman"/>
          <w:sz w:val="24"/>
          <w:szCs w:val="24"/>
        </w:rPr>
        <w:t>, ¶</w:t>
      </w:r>
      <w:r w:rsidR="00937FEA">
        <w:rPr>
          <w:rFonts w:eastAsia="Times New Roman"/>
          <w:sz w:val="24"/>
          <w:szCs w:val="24"/>
        </w:rPr>
        <w:t xml:space="preserve">¶ </w:t>
      </w:r>
      <w:r w:rsidR="0030228D">
        <w:rPr>
          <w:rFonts w:eastAsia="Times New Roman"/>
          <w:sz w:val="24"/>
          <w:szCs w:val="24"/>
        </w:rPr>
        <w:t>15</w:t>
      </w:r>
      <w:r w:rsidR="00937FEA">
        <w:rPr>
          <w:rFonts w:eastAsia="Times New Roman"/>
          <w:sz w:val="24"/>
          <w:szCs w:val="24"/>
        </w:rPr>
        <w:t xml:space="preserve">, 36, 532 P.3d 369 </w:t>
      </w:r>
      <w:r w:rsidR="0030228D">
        <w:rPr>
          <w:rFonts w:eastAsia="Times New Roman"/>
          <w:sz w:val="24"/>
          <w:szCs w:val="24"/>
        </w:rPr>
        <w:t>(</w:t>
      </w:r>
      <w:r w:rsidR="00D90972">
        <w:rPr>
          <w:rFonts w:eastAsia="Times New Roman"/>
          <w:sz w:val="24"/>
          <w:szCs w:val="24"/>
        </w:rPr>
        <w:t xml:space="preserve">a continuing </w:t>
      </w:r>
      <w:r w:rsidR="0030228D">
        <w:rPr>
          <w:rFonts w:eastAsia="Times New Roman"/>
          <w:sz w:val="24"/>
          <w:szCs w:val="24"/>
        </w:rPr>
        <w:t>trespass occurred with “the migrating contamination” of BTEX and MTBE on and under plaintiff’s property “through groundwater and soil vapors”).</w:t>
      </w:r>
    </w:p>
    <w:p w14:paraId="531EFB5F"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r w:rsidRPr="00167A38">
        <w:rPr>
          <w:rFonts w:eastAsia="Times New Roman"/>
          <w:b/>
          <w:sz w:val="24"/>
          <w:szCs w:val="24"/>
        </w:rPr>
        <w:t>Burt</w:t>
      </w:r>
      <w:r w:rsidRPr="00167A38">
        <w:rPr>
          <w:rFonts w:eastAsia="Times New Roman"/>
          <w:sz w:val="24"/>
          <w:szCs w:val="24"/>
        </w:rPr>
        <w:t>, 809 P.2d at 1067 (comparative negligence only a defense to negligence claims).</w:t>
      </w:r>
    </w:p>
    <w:p w14:paraId="669E3D2E"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14:paraId="5F9E0D7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14:paraId="4D775C75"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r w:rsidRPr="00167A38">
        <w:rPr>
          <w:rFonts w:eastAsia="Times New Roman"/>
          <w:b/>
          <w:sz w:val="24"/>
          <w:szCs w:val="24"/>
        </w:rPr>
        <w:t>Hoery</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183 P.3d at 682.</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r w:rsidR="002E12FC" w:rsidRPr="00273CCA">
        <w:rPr>
          <w:rFonts w:eastAsia="Times New Roman"/>
          <w:b/>
          <w:sz w:val="24"/>
          <w:szCs w:val="24"/>
        </w:rPr>
        <w:t>Smokebrush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410 P.3d 1236</w:t>
      </w:r>
      <w:r w:rsidR="002E12FC">
        <w:rPr>
          <w:rFonts w:eastAsia="Times New Roman"/>
          <w:sz w:val="24"/>
          <w:szCs w:val="24"/>
        </w:rPr>
        <w:t>.</w:t>
      </w:r>
    </w:p>
    <w:p w14:paraId="7722C041"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14:paraId="0B366FF5" w14:textId="77777777" w:rsidR="00167A38" w:rsidRDefault="00167A38">
      <w:pPr>
        <w:rPr>
          <w:rFonts w:eastAsia="Times New Roman"/>
          <w:sz w:val="24"/>
          <w:szCs w:val="24"/>
        </w:rPr>
      </w:pPr>
      <w:r>
        <w:rPr>
          <w:rFonts w:eastAsia="Times New Roman"/>
          <w:sz w:val="24"/>
          <w:szCs w:val="24"/>
        </w:rPr>
        <w:br w:type="page"/>
      </w:r>
    </w:p>
    <w:p w14:paraId="4271C4AC" w14:textId="77777777" w:rsidR="00167A38" w:rsidRPr="009E3DA4" w:rsidRDefault="00167A38" w:rsidP="00167A38">
      <w:pPr>
        <w:spacing w:after="240"/>
        <w:ind w:left="720" w:hanging="720"/>
        <w:rPr>
          <w:rFonts w:eastAsia="Times New Roman"/>
          <w:b/>
          <w:sz w:val="24"/>
          <w:szCs w:val="24"/>
        </w:rPr>
      </w:pPr>
      <w:bookmarkStart w:id="1" w:name="a18_02"/>
      <w:bookmarkEnd w:id="1"/>
      <w:r w:rsidRPr="00167A38">
        <w:rPr>
          <w:rFonts w:eastAsia="Times New Roman"/>
          <w:b/>
          <w:sz w:val="24"/>
          <w:szCs w:val="24"/>
        </w:rPr>
        <w:lastRenderedPageBreak/>
        <w:t>18:2</w:t>
      </w:r>
      <w:r w:rsidR="00A109BC">
        <w:rPr>
          <w:rFonts w:eastAsia="Times New Roman"/>
          <w:b/>
          <w:sz w:val="24"/>
          <w:szCs w:val="24"/>
        </w:rPr>
        <w:tab/>
      </w:r>
      <w:r w:rsidRPr="00167A38">
        <w:rPr>
          <w:rFonts w:eastAsia="Times New Roman"/>
          <w:b/>
          <w:sz w:val="24"/>
          <w:szCs w:val="24"/>
        </w:rPr>
        <w:t>INTENTIONALLY — DEFINED</w:t>
      </w:r>
    </w:p>
    <w:p w14:paraId="2192DCF1" w14:textId="08333F24"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w:t>
      </w:r>
      <w:r w:rsidR="00146121" w:rsidRPr="004F0EE5">
        <w:rPr>
          <w:rFonts w:eastAsia="Times New Roman"/>
          <w:bCs/>
          <w:i/>
          <w:iCs/>
          <w:sz w:val="24"/>
          <w:szCs w:val="24"/>
        </w:rPr>
        <w:t>(insert applicable pronoun)</w:t>
      </w:r>
      <w:r w:rsidRPr="00167A38">
        <w:rPr>
          <w:rFonts w:eastAsia="Times New Roman"/>
          <w:b/>
          <w:sz w:val="24"/>
          <w:szCs w:val="24"/>
        </w:rPr>
        <w:t xml:space="preserve">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w:t>
      </w:r>
      <w:r w:rsidR="00146121" w:rsidRPr="004F0EE5">
        <w:rPr>
          <w:rFonts w:eastAsia="Times New Roman"/>
          <w:bCs/>
          <w:i/>
          <w:iCs/>
          <w:sz w:val="24"/>
          <w:szCs w:val="24"/>
        </w:rPr>
        <w:t>(insert applicable pronoun)</w:t>
      </w:r>
      <w:r w:rsidRPr="00167A38">
        <w:rPr>
          <w:rFonts w:eastAsia="Times New Roman"/>
          <w:b/>
          <w:sz w:val="24"/>
          <w:szCs w:val="24"/>
        </w:rPr>
        <w:t xml:space="preserve"> purpose to do the act that in the natural course of events results in the intrusion.</w:t>
      </w:r>
      <w:r w:rsidRPr="00167A38">
        <w:rPr>
          <w:rFonts w:eastAsia="Times New Roman"/>
          <w:sz w:val="24"/>
          <w:szCs w:val="24"/>
        </w:rPr>
        <w:t xml:space="preserve"> </w:t>
      </w:r>
    </w:p>
    <w:p w14:paraId="1A32D6F4" w14:textId="77777777" w:rsidR="00167A38" w:rsidRDefault="00167A38" w:rsidP="00167A38">
      <w:pPr>
        <w:jc w:val="center"/>
        <w:rPr>
          <w:rFonts w:eastAsia="Times New Roman"/>
          <w:sz w:val="24"/>
          <w:szCs w:val="24"/>
        </w:rPr>
      </w:pPr>
    </w:p>
    <w:p w14:paraId="2B6D1A78" w14:textId="77777777"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14:paraId="139D40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14:paraId="12C1CAE6" w14:textId="77777777"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14:paraId="2F918816" w14:textId="10316F6F"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r w:rsidRPr="00B15A7A">
        <w:rPr>
          <w:rFonts w:eastAsia="Times New Roman"/>
          <w:b/>
          <w:sz w:val="24"/>
          <w:szCs w:val="24"/>
        </w:rPr>
        <w:t>Hoery v. United States</w:t>
      </w:r>
      <w:r w:rsidR="004B50BD">
        <w:rPr>
          <w:rFonts w:eastAsia="Times New Roman"/>
          <w:sz w:val="24"/>
          <w:szCs w:val="24"/>
        </w:rPr>
        <w:t xml:space="preserve">, 64 P.3d 214 (Colo. 2003); </w:t>
      </w:r>
      <w:r w:rsidRPr="00B15A7A">
        <w:rPr>
          <w:rFonts w:eastAsia="Times New Roman"/>
          <w:b/>
          <w:sz w:val="24"/>
          <w:szCs w:val="24"/>
        </w:rPr>
        <w:t>Antolovich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r w:rsidRPr="00B15A7A">
        <w:rPr>
          <w:rFonts w:eastAsia="Times New Roman"/>
          <w:b/>
          <w:sz w:val="24"/>
          <w:szCs w:val="24"/>
        </w:rPr>
        <w:t>Hoery</w:t>
      </w:r>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w:t>
      </w:r>
      <w:r w:rsidR="000F3F07">
        <w:rPr>
          <w:rFonts w:eastAsia="Times New Roman"/>
          <w:sz w:val="24"/>
          <w:szCs w:val="24"/>
        </w:rPr>
        <w:t>(a)</w:t>
      </w:r>
      <w:r w:rsidRPr="00B15A7A">
        <w:rPr>
          <w:rFonts w:eastAsia="Times New Roman"/>
          <w:sz w:val="24"/>
          <w:szCs w:val="24"/>
        </w:rPr>
        <w:t xml:space="preserve"> cmt. i (1965): “</w:t>
      </w:r>
      <w:r w:rsidR="000F3F07" w:rsidRPr="000F3F07">
        <w:rPr>
          <w:rFonts w:eastAsia="Times New Roman"/>
          <w:sz w:val="24"/>
          <w:szCs w:val="24"/>
        </w:rPr>
        <w:t>It is enough that an act is done with knowledge that it will to a substantial certainty result in the entry of the foreign matter</w:t>
      </w:r>
      <w:r w:rsidRPr="00B15A7A">
        <w:rPr>
          <w:rFonts w:eastAsia="Times New Roman"/>
          <w:sz w:val="24"/>
          <w:szCs w:val="24"/>
        </w:rPr>
        <w:t xml:space="preserve">.” As a result, there is a question about whether knowledge is an element of trespass. </w:t>
      </w:r>
    </w:p>
    <w:p w14:paraId="7D1E861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r w:rsidRPr="00B15A7A">
        <w:rPr>
          <w:rFonts w:eastAsia="Times New Roman"/>
          <w:b/>
          <w:sz w:val="24"/>
          <w:szCs w:val="24"/>
        </w:rPr>
        <w:t>Burt v. Beautiful Savior Lutheran Church</w:t>
      </w:r>
      <w:r w:rsidRPr="00B15A7A">
        <w:rPr>
          <w:rFonts w:eastAsia="Times New Roman"/>
          <w:sz w:val="24"/>
          <w:szCs w:val="24"/>
        </w:rPr>
        <w:t>, 809 P.2d 1064 (Colo. App. 1990). The only intent required is to do the act that itself constitutes or inevitably causes the intrusion.</w:t>
      </w:r>
    </w:p>
    <w:p w14:paraId="170BE36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r w:rsidRPr="00B15A7A">
        <w:rPr>
          <w:rFonts w:eastAsia="Times New Roman"/>
          <w:b/>
          <w:sz w:val="24"/>
          <w:szCs w:val="24"/>
        </w:rPr>
        <w:t>Antolovich</w:t>
      </w:r>
      <w:r w:rsidRPr="00B15A7A">
        <w:rPr>
          <w:rFonts w:eastAsia="Times New Roman"/>
          <w:sz w:val="24"/>
          <w:szCs w:val="24"/>
        </w:rPr>
        <w:t>, 183 P.3d at 603.</w:t>
      </w:r>
    </w:p>
    <w:p w14:paraId="3E1E8F73" w14:textId="77777777" w:rsidR="00B15A7A" w:rsidRDefault="00B15A7A">
      <w:pPr>
        <w:rPr>
          <w:rFonts w:eastAsia="Times New Roman"/>
          <w:sz w:val="24"/>
          <w:szCs w:val="24"/>
        </w:rPr>
      </w:pPr>
      <w:r>
        <w:rPr>
          <w:rFonts w:eastAsia="Times New Roman"/>
          <w:sz w:val="24"/>
          <w:szCs w:val="24"/>
        </w:rPr>
        <w:br w:type="page"/>
      </w:r>
    </w:p>
    <w:p w14:paraId="357203BF" w14:textId="77777777" w:rsidR="00B15A7A" w:rsidRPr="009E3DA4" w:rsidRDefault="00B15A7A" w:rsidP="00B15A7A">
      <w:pPr>
        <w:spacing w:after="240"/>
        <w:ind w:left="720" w:hanging="720"/>
        <w:rPr>
          <w:rFonts w:eastAsia="Times New Roman"/>
          <w:b/>
          <w:sz w:val="24"/>
          <w:szCs w:val="24"/>
        </w:rPr>
      </w:pPr>
      <w:bookmarkStart w:id="2" w:name="a18_03"/>
      <w:bookmarkEnd w:id="2"/>
      <w:r w:rsidRPr="00B15A7A">
        <w:rPr>
          <w:rFonts w:eastAsia="Times New Roman"/>
          <w:b/>
          <w:sz w:val="24"/>
          <w:szCs w:val="24"/>
        </w:rPr>
        <w:lastRenderedPageBreak/>
        <w:t xml:space="preserve">18:3 </w:t>
      </w:r>
      <w:r w:rsidRPr="00B15A7A">
        <w:rPr>
          <w:rFonts w:eastAsia="Times New Roman"/>
          <w:b/>
          <w:sz w:val="24"/>
          <w:szCs w:val="24"/>
        </w:rPr>
        <w:tab/>
        <w:t>CONSENT</w:t>
      </w:r>
    </w:p>
    <w:p w14:paraId="72068F79" w14:textId="3904DE8C"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xml:space="preserve">, on </w:t>
      </w:r>
      <w:r w:rsidR="00146121" w:rsidRPr="004F0EE5">
        <w:rPr>
          <w:rFonts w:eastAsia="Times New Roman"/>
          <w:bCs/>
          <w:i/>
          <w:iCs/>
          <w:sz w:val="24"/>
          <w:szCs w:val="24"/>
        </w:rPr>
        <w:t>(insert applicable pronoun)</w:t>
      </w:r>
      <w:r w:rsidRPr="00B15A7A">
        <w:rPr>
          <w:rFonts w:eastAsia="Times New Roman"/>
          <w:b/>
          <w:sz w:val="24"/>
          <w:szCs w:val="24"/>
        </w:rPr>
        <w:t xml:space="preserve"> claim of trespass if the affirmative defense of consent is proved. This defense is proved if you find both of the following:</w:t>
      </w:r>
    </w:p>
    <w:p w14:paraId="00BB140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14:paraId="23FC7982"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14:paraId="27CE3AB5" w14:textId="77777777" w:rsidR="00B15A7A" w:rsidRDefault="00B15A7A" w:rsidP="00B15A7A">
      <w:pPr>
        <w:jc w:val="center"/>
        <w:rPr>
          <w:rFonts w:eastAsia="Times New Roman"/>
          <w:sz w:val="24"/>
          <w:szCs w:val="24"/>
        </w:rPr>
      </w:pPr>
    </w:p>
    <w:p w14:paraId="2DAF05DD"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2E80B1C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14:paraId="1A313A96"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14:paraId="6DA13E0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cmt. c (1965) (“The burden of establishing the possessor’s consent is upon the person who relies upon it.”).</w:t>
      </w:r>
    </w:p>
    <w:p w14:paraId="5DD69210" w14:textId="77777777" w:rsidR="00B15A7A" w:rsidRDefault="00B15A7A">
      <w:pPr>
        <w:rPr>
          <w:rFonts w:eastAsia="Times New Roman"/>
          <w:sz w:val="24"/>
          <w:szCs w:val="24"/>
        </w:rPr>
      </w:pPr>
      <w:r>
        <w:rPr>
          <w:rFonts w:eastAsia="Times New Roman"/>
          <w:sz w:val="24"/>
          <w:szCs w:val="24"/>
        </w:rPr>
        <w:br w:type="page"/>
      </w:r>
    </w:p>
    <w:p w14:paraId="0BAE527F" w14:textId="77777777" w:rsidR="00B15A7A" w:rsidRPr="009E3DA4" w:rsidRDefault="00B15A7A" w:rsidP="00B15A7A">
      <w:pPr>
        <w:spacing w:after="240"/>
        <w:ind w:left="720" w:hanging="720"/>
        <w:rPr>
          <w:rFonts w:eastAsia="Times New Roman"/>
          <w:b/>
          <w:sz w:val="24"/>
          <w:szCs w:val="24"/>
        </w:rPr>
      </w:pPr>
      <w:bookmarkStart w:id="3" w:name="a18_04"/>
      <w:bookmarkEnd w:id="3"/>
      <w:r w:rsidRPr="00B15A7A">
        <w:rPr>
          <w:rFonts w:eastAsia="Times New Roman"/>
          <w:b/>
          <w:sz w:val="24"/>
          <w:szCs w:val="24"/>
        </w:rPr>
        <w:lastRenderedPageBreak/>
        <w:t>18:4</w:t>
      </w:r>
      <w:r w:rsidRPr="00B15A7A">
        <w:rPr>
          <w:rFonts w:eastAsia="Times New Roman"/>
          <w:b/>
          <w:sz w:val="24"/>
          <w:szCs w:val="24"/>
        </w:rPr>
        <w:tab/>
        <w:t>ACTUAL OR NOMINAL DAMAGES</w:t>
      </w:r>
    </w:p>
    <w:p w14:paraId="399F8E14" w14:textId="757D7E8D"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w:t>
      </w:r>
      <w:r w:rsidR="00146121" w:rsidRPr="004F0EE5">
        <w:rPr>
          <w:rFonts w:eastAsia="Times New Roman"/>
          <w:bCs/>
          <w:i/>
          <w:iCs/>
          <w:sz w:val="24"/>
          <w:szCs w:val="24"/>
        </w:rPr>
        <w:t>(insert applicable pronoun)</w:t>
      </w:r>
      <w:r w:rsidRPr="00B15A7A">
        <w:rPr>
          <w:rFonts w:eastAsia="Times New Roman"/>
          <w:b/>
          <w:sz w:val="24"/>
          <w:szCs w:val="24"/>
        </w:rPr>
        <w:t xml:space="preserve">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14:paraId="391A7B18"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14:paraId="47F11BC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The difference between the reasonable market value of the real estate immediately before the trespass and its reasonable market value immediately after the trespass [; and])</w:t>
      </w:r>
    </w:p>
    <w:p w14:paraId="07C3E695"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The reasonable cost of [restoring] [repairing] [rebuilding] the property (and the decrease, if any, in market value of the property as [restored] [repaired] [rebuilt]) [; and])</w:t>
      </w:r>
    </w:p>
    <w:p w14:paraId="01719F93"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[insert any consequential damages the jury might reasonably find the plaintiff suffered as a result of the defendant’s trespass]</w:t>
      </w:r>
      <w:r w:rsidRPr="00B15A7A">
        <w:rPr>
          <w:rFonts w:eastAsia="Times New Roman"/>
          <w:b/>
          <w:sz w:val="24"/>
          <w:szCs w:val="24"/>
        </w:rPr>
        <w:t>.)</w:t>
      </w:r>
    </w:p>
    <w:p w14:paraId="7F037BC7" w14:textId="54D9FA04"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If you find in favor of the plaintiff but do not find any actual damages, you shall award </w:t>
      </w:r>
      <w:r w:rsidR="00146121" w:rsidRPr="004F0EE5">
        <w:rPr>
          <w:rFonts w:eastAsia="Times New Roman"/>
          <w:bCs/>
          <w:i/>
          <w:iCs/>
          <w:sz w:val="24"/>
          <w:szCs w:val="24"/>
        </w:rPr>
        <w:t>(insert applicable pronoun)</w:t>
      </w:r>
      <w:r w:rsidRPr="00B15A7A">
        <w:rPr>
          <w:rFonts w:eastAsia="Times New Roman"/>
          <w:b/>
          <w:sz w:val="24"/>
          <w:szCs w:val="24"/>
        </w:rPr>
        <w:t xml:space="preserve"> nominal damages of one dollar.</w:t>
      </w:r>
    </w:p>
    <w:p w14:paraId="43B07608" w14:textId="77777777" w:rsidR="00B15A7A" w:rsidRDefault="00B15A7A" w:rsidP="00B15A7A">
      <w:pPr>
        <w:jc w:val="center"/>
        <w:rPr>
          <w:rFonts w:eastAsia="Times New Roman"/>
          <w:sz w:val="24"/>
          <w:szCs w:val="24"/>
        </w:rPr>
      </w:pPr>
    </w:p>
    <w:p w14:paraId="63ACF622"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7D6B5F66"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14:paraId="1B37B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14:paraId="44AFA83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Bd. of Cty. Comm’rs v. 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Heritage Vill. Owners Ass’n v. Golden Heritage Inv’rs, Ltd.</w:t>
      </w:r>
      <w:r w:rsidRPr="00B15A7A">
        <w:rPr>
          <w:rFonts w:eastAsia="Times New Roman"/>
          <w:sz w:val="24"/>
          <w:szCs w:val="24"/>
        </w:rPr>
        <w:t xml:space="preserve">, 89 P.3d 513 (Colo. App. 2004). In such situations, this instruction must be appropriately modified. </w:t>
      </w:r>
    </w:p>
    <w:p w14:paraId="21D58D9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Calvaresi v. Nat’l Dev. Co.</w:t>
      </w:r>
      <w:r w:rsidRPr="00B15A7A">
        <w:rPr>
          <w:rFonts w:eastAsia="Times New Roman"/>
          <w:sz w:val="24"/>
          <w:szCs w:val="24"/>
        </w:rPr>
        <w:t>, 772 P.2d 640 (Colo. App. 1988).</w:t>
      </w:r>
    </w:p>
    <w:p w14:paraId="18A5AF80"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lastRenderedPageBreak/>
        <w:t>Source and Authority</w:t>
      </w:r>
    </w:p>
    <w:p w14:paraId="274A8C9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Bridge &amp; Construction Co. v. Preuit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r w:rsidRPr="00B15A7A">
        <w:rPr>
          <w:rFonts w:eastAsia="Times New Roman"/>
          <w:b/>
          <w:sz w:val="24"/>
          <w:szCs w:val="24"/>
        </w:rPr>
        <w:t>Mogote-Northeastern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Mustang Reservoir, Canal &amp; Land Co. v. Hissman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Dandrea v. Bd. of Cty. Comm’rs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xml:space="preserve">, 20 Colo. 304, 38 P. 322 (1894). </w:t>
      </w:r>
    </w:p>
    <w:p w14:paraId="71FFE3C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r w:rsidRPr="00B15A7A">
        <w:rPr>
          <w:rFonts w:eastAsia="Times New Roman"/>
          <w:b/>
          <w:sz w:val="24"/>
          <w:szCs w:val="24"/>
        </w:rPr>
        <w:t>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r w:rsidRPr="00B15A7A">
        <w:rPr>
          <w:rFonts w:eastAsia="Times New Roman"/>
          <w:b/>
          <w:sz w:val="24"/>
          <w:szCs w:val="24"/>
        </w:rPr>
        <w:t>Mogote-Northeastern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r w:rsidRPr="00B15A7A">
        <w:rPr>
          <w:rFonts w:eastAsia="Times New Roman"/>
          <w:b/>
          <w:sz w:val="24"/>
          <w:szCs w:val="24"/>
        </w:rPr>
        <w:t>Bobrick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r w:rsidRPr="00B15A7A">
        <w:rPr>
          <w:rFonts w:eastAsia="Times New Roman"/>
          <w:b/>
          <w:sz w:val="24"/>
          <w:szCs w:val="24"/>
        </w:rPr>
        <w:t>Gladin v. Von Engeln</w:t>
      </w:r>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Evans v. Colo. Ute Elec. Ass’n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14:paraId="00D142B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Fed. Ins. Co. v. Ferrellgas, Inc.</w:t>
      </w:r>
      <w:r w:rsidRPr="00B15A7A">
        <w:rPr>
          <w:rFonts w:eastAsia="Times New Roman"/>
          <w:sz w:val="24"/>
          <w:szCs w:val="24"/>
        </w:rPr>
        <w:t xml:space="preserve">, 961 P.2d 511 (Colo. App. 1997). A “cost of restoration” measure may be used even though in some cases it may exceed either the diminution in market value caused by the trespass or the value of the land as it existed before the trespass occurred. </w:t>
      </w:r>
      <w:r w:rsidRPr="00B15A7A">
        <w:rPr>
          <w:rFonts w:eastAsia="Times New Roman"/>
          <w:b/>
          <w:sz w:val="24"/>
          <w:szCs w:val="24"/>
        </w:rPr>
        <w:t>Slovek</w:t>
      </w:r>
      <w:r w:rsidRPr="00B15A7A">
        <w:rPr>
          <w:rFonts w:eastAsia="Times New Roman"/>
          <w:sz w:val="24"/>
          <w:szCs w:val="24"/>
        </w:rPr>
        <w:t xml:space="preserve">, 723 P.2d at 1317. However, the cost of restoration measure is generally not applicable where no “personal or special use” of the property is shown. </w:t>
      </w:r>
      <w:r w:rsidRPr="00B15A7A">
        <w:rPr>
          <w:rFonts w:eastAsia="Times New Roman"/>
          <w:b/>
          <w:sz w:val="24"/>
          <w:szCs w:val="24"/>
        </w:rPr>
        <w:t>Razi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14:paraId="76F9845A" w14:textId="687DB6AA"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4. For a discussion of the difference in damages recoverable for a “continuing trespass” as distinguished from a “permanent trespass,” see </w:t>
      </w:r>
      <w:r w:rsidRPr="00B15A7A">
        <w:rPr>
          <w:rFonts w:eastAsia="Times New Roman"/>
          <w:b/>
          <w:sz w:val="24"/>
          <w:szCs w:val="24"/>
        </w:rPr>
        <w:t>Hawley v. Mowatt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w:t>
      </w:r>
      <w:r w:rsidR="008C3241" w:rsidRPr="006C6C4C">
        <w:rPr>
          <w:rFonts w:eastAsia="Times New Roman"/>
          <w:b/>
          <w:sz w:val="24"/>
          <w:szCs w:val="24"/>
        </w:rPr>
        <w:t>Rinker v. Colina-Lee</w:t>
      </w:r>
      <w:r w:rsidR="008C3241" w:rsidRPr="00FB7EEE">
        <w:rPr>
          <w:rFonts w:eastAsia="Times New Roman"/>
          <w:sz w:val="24"/>
          <w:szCs w:val="24"/>
        </w:rPr>
        <w:t>, 2019 COA 45, ¶ 83</w:t>
      </w:r>
      <w:r w:rsidR="008211F2">
        <w:rPr>
          <w:rFonts w:eastAsia="Times New Roman"/>
          <w:sz w:val="24"/>
          <w:szCs w:val="24"/>
        </w:rPr>
        <w:t>, 452 P.3d 161, 174</w:t>
      </w:r>
      <w:r w:rsidR="008C3241" w:rsidRPr="006C6C4C">
        <w:rPr>
          <w:rFonts w:eastAsia="Times New Roman"/>
          <w:b/>
          <w:sz w:val="24"/>
          <w:szCs w:val="24"/>
        </w:rPr>
        <w:t xml:space="preserve"> </w:t>
      </w:r>
      <w:r w:rsidR="008C3241" w:rsidRPr="00FB7EEE">
        <w:rPr>
          <w:rFonts w:eastAsia="Times New Roman"/>
          <w:sz w:val="24"/>
          <w:szCs w:val="24"/>
        </w:rPr>
        <w:t>(“the traditiona</w:t>
      </w:r>
      <w:r w:rsidR="008C3241" w:rsidRPr="00267AA6">
        <w:rPr>
          <w:rFonts w:eastAsia="Times New Roman"/>
          <w:sz w:val="24"/>
          <w:szCs w:val="24"/>
        </w:rPr>
        <w:t>l and preferred equitable remed</w:t>
      </w:r>
      <w:r w:rsidR="008C3241" w:rsidRPr="00FB7EEE">
        <w:rPr>
          <w:rFonts w:eastAsia="Times New Roman"/>
          <w:sz w:val="24"/>
          <w:szCs w:val="24"/>
        </w:rPr>
        <w:t xml:space="preserve">y for </w:t>
      </w:r>
      <w:r w:rsidR="008C3241">
        <w:rPr>
          <w:rFonts w:eastAsia="Times New Roman"/>
          <w:sz w:val="24"/>
          <w:szCs w:val="24"/>
        </w:rPr>
        <w:t xml:space="preserve">a </w:t>
      </w:r>
      <w:r w:rsidR="008C3241" w:rsidRPr="00FB7EEE">
        <w:rPr>
          <w:rFonts w:eastAsia="Times New Roman"/>
          <w:sz w:val="24"/>
          <w:szCs w:val="24"/>
        </w:rPr>
        <w:t xml:space="preserve">continuing </w:t>
      </w:r>
      <w:r w:rsidR="008C3241" w:rsidRPr="00267AA6">
        <w:rPr>
          <w:rFonts w:eastAsia="Times New Roman"/>
          <w:sz w:val="24"/>
          <w:szCs w:val="24"/>
        </w:rPr>
        <w:t>trespass</w:t>
      </w:r>
      <w:r w:rsidR="008C3241" w:rsidRPr="00FB7EEE">
        <w:rPr>
          <w:rFonts w:eastAsia="Times New Roman"/>
          <w:sz w:val="24"/>
          <w:szCs w:val="24"/>
        </w:rPr>
        <w:t xml:space="preserve"> is a mandatory injunction requiring the removal of the encroachment”);</w:t>
      </w:r>
      <w:r w:rsidR="008C3241" w:rsidRPr="00B15A7A">
        <w:rPr>
          <w:rFonts w:eastAsia="Times New Roman"/>
          <w:b/>
          <w:sz w:val="24"/>
          <w:szCs w:val="24"/>
        </w:rPr>
        <w:t xml:space="preserve"> </w:t>
      </w:r>
      <w:r w:rsidRPr="00B15A7A">
        <w:rPr>
          <w:rFonts w:eastAsia="Times New Roman"/>
          <w:b/>
          <w:sz w:val="24"/>
          <w:szCs w:val="24"/>
        </w:rPr>
        <w:t>Hunter v. Mansell</w:t>
      </w:r>
      <w:r w:rsidRPr="00B15A7A">
        <w:rPr>
          <w:rFonts w:eastAsia="Times New Roman"/>
          <w:sz w:val="24"/>
          <w:szCs w:val="24"/>
        </w:rPr>
        <w:t>, 240 P.3d 469 (Colo. App. 2010) (reversing legal remedy of damages for continuing trespass where equitable remedy of mandatory injunction was more appropriate).</w:t>
      </w:r>
    </w:p>
    <w:p w14:paraId="5D57660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 v. Shott</w:t>
      </w:r>
      <w:r w:rsidRPr="00B15A7A">
        <w:rPr>
          <w:rFonts w:eastAsia="Times New Roman"/>
          <w:sz w:val="24"/>
          <w:szCs w:val="24"/>
        </w:rPr>
        <w:t xml:space="preserve">, 68 Colo. 385, 189 P. 848 (1920). Only nominal damages are recoverable when there is insufficient evidence of any actual damages resulting from a trespass. </w:t>
      </w:r>
      <w:r w:rsidRPr="00B15A7A">
        <w:rPr>
          <w:rFonts w:eastAsia="Times New Roman"/>
          <w:b/>
          <w:sz w:val="24"/>
          <w:szCs w:val="24"/>
        </w:rPr>
        <w:t>Crawford v. French</w:t>
      </w:r>
      <w:r w:rsidRPr="00B15A7A">
        <w:rPr>
          <w:rFonts w:eastAsia="Times New Roman"/>
          <w:sz w:val="24"/>
          <w:szCs w:val="24"/>
        </w:rPr>
        <w:t>, 633 P.2d 524 (Colo. App. 1981).</w:t>
      </w:r>
    </w:p>
    <w:p w14:paraId="7CF2378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Livingston v. Utah-Colo. Land &amp; Live Stock Co.</w:t>
      </w:r>
      <w:r w:rsidRPr="00B15A7A">
        <w:rPr>
          <w:rFonts w:eastAsia="Times New Roman"/>
          <w:sz w:val="24"/>
          <w:szCs w:val="24"/>
        </w:rPr>
        <w:t>, 106 Colo. 278, 103 P.2d 684 (1940).</w:t>
      </w:r>
    </w:p>
    <w:p w14:paraId="7348B16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Sanderson v. Heath Mesa Homeowners Ass’n</w:t>
      </w:r>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r w:rsidRPr="00B15A7A">
        <w:rPr>
          <w:rFonts w:eastAsia="Times New Roman"/>
          <w:b/>
          <w:sz w:val="24"/>
          <w:szCs w:val="24"/>
        </w:rPr>
        <w:t>Traver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14:paraId="46CA6601" w14:textId="77777777" w:rsidR="00B15A7A" w:rsidRPr="00B15A7A" w:rsidRDefault="00B15A7A" w:rsidP="00B15A7A">
      <w:pPr>
        <w:keepNext/>
        <w:rPr>
          <w:rFonts w:eastAsia="Times New Roman"/>
          <w:sz w:val="24"/>
          <w:szCs w:val="24"/>
        </w:rPr>
      </w:pPr>
      <w:r w:rsidRPr="00B15A7A">
        <w:rPr>
          <w:rFonts w:eastAsia="Times New Roman"/>
          <w:b/>
          <w:sz w:val="24"/>
          <w:szCs w:val="24"/>
          <w:u w:val="single"/>
        </w:rPr>
        <w:t>Damages for Destruction of Improvements (Buildings, Fences, etc.</w:t>
      </w:r>
      <w:r w:rsidRPr="00B15A7A">
        <w:rPr>
          <w:rFonts w:eastAsia="Times New Roman"/>
          <w:sz w:val="24"/>
          <w:szCs w:val="24"/>
        </w:rPr>
        <w:t>)</w:t>
      </w:r>
    </w:p>
    <w:p w14:paraId="5DB80702"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
    <w:p w14:paraId="77F1BEF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14:paraId="1038623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 v. Lehl</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14:paraId="5E1C0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10. For an annual, unmatured crop that is destroyed, the measure of damages is the value of the unmatured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14:paraId="7580EF9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r w:rsidRPr="00B15A7A">
        <w:rPr>
          <w:rFonts w:eastAsia="Times New Roman"/>
          <w:i/>
          <w:sz w:val="24"/>
          <w:szCs w:val="24"/>
        </w:rPr>
        <w:t>rev’d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14:paraId="6E749E0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r w:rsidRPr="00B15A7A">
        <w:rPr>
          <w:rFonts w:eastAsia="Times New Roman"/>
          <w:b/>
          <w:sz w:val="24"/>
          <w:szCs w:val="24"/>
        </w:rPr>
        <w:t>Smith v. Eichheim</w:t>
      </w:r>
      <w:r w:rsidRPr="00B15A7A">
        <w:rPr>
          <w:rFonts w:eastAsia="Times New Roman"/>
          <w:sz w:val="24"/>
          <w:szCs w:val="24"/>
        </w:rPr>
        <w:t>, 147 Colo. 180, 363 P.2d 185 (1961).</w:t>
      </w:r>
    </w:p>
    <w:p w14:paraId="0ADEECC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189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r w:rsidRPr="00B15A7A">
        <w:rPr>
          <w:rFonts w:eastAsia="Times New Roman"/>
          <w:b/>
          <w:sz w:val="24"/>
          <w:szCs w:val="24"/>
        </w:rPr>
        <w:t>Bullerdick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Traver</w:t>
      </w:r>
      <w:r w:rsidRPr="00B15A7A">
        <w:rPr>
          <w:rFonts w:eastAsia="Times New Roman"/>
          <w:sz w:val="24"/>
          <w:szCs w:val="24"/>
        </w:rPr>
        <w:t>, 24 Colo. App. at 277, 133 P. at 1119 (diminution in value theory).</w:t>
      </w:r>
    </w:p>
    <w:p w14:paraId="252E425F"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14:paraId="7AB4F333"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(1935). The value of a unique growing tree is not limited to its value as lumber. Its aesthetic value may also be considered either by measuring damages by the diminution in the market value of the real property or by adding the aesthetic value of the tree to its value as lumber. </w:t>
      </w:r>
      <w:r w:rsidRPr="00B15A7A">
        <w:rPr>
          <w:rFonts w:eastAsia="Times New Roman"/>
          <w:b/>
          <w:sz w:val="24"/>
          <w:szCs w:val="24"/>
        </w:rPr>
        <w:t>Kroulik v. Knuppel</w:t>
      </w:r>
      <w:r w:rsidRPr="00B15A7A">
        <w:rPr>
          <w:rFonts w:eastAsia="Times New Roman"/>
          <w:sz w:val="24"/>
          <w:szCs w:val="24"/>
        </w:rPr>
        <w:t>, 634 P.2d 1027 (Colo. App. 1981).</w:t>
      </w:r>
    </w:p>
    <w:p w14:paraId="0AE2F0A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14:paraId="3F37EE2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For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w:t>
      </w:r>
      <w:r w:rsidRPr="00B15A7A">
        <w:rPr>
          <w:rFonts w:eastAsia="Times New Roman"/>
          <w:sz w:val="24"/>
          <w:szCs w:val="24"/>
        </w:rPr>
        <w:lastRenderedPageBreak/>
        <w:t xml:space="preserve">the timber and its products as improved by defendant’s labor without any allowance for costs of cutting, milling, or other processing. </w:t>
      </w:r>
      <w:r w:rsidRPr="00B15A7A">
        <w:rPr>
          <w:rFonts w:eastAsia="Times New Roman"/>
          <w:i/>
          <w:sz w:val="24"/>
          <w:szCs w:val="24"/>
        </w:rPr>
        <w:t>Id.</w:t>
      </w:r>
    </w:p>
    <w:p w14:paraId="5FB7DE5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14:paraId="2BDA058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Colo. Cent. Consol. Mining Co. v. Turck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70 F. 294 (8th Cir. 1895).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O’Connor v. Rolfes</w:t>
      </w:r>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r w:rsidRPr="00B15A7A">
        <w:rPr>
          <w:rFonts w:eastAsia="Times New Roman"/>
          <w:b/>
          <w:sz w:val="24"/>
          <w:szCs w:val="24"/>
        </w:rPr>
        <w:t>Kroulik</w:t>
      </w:r>
      <w:r w:rsidRPr="00B15A7A">
        <w:rPr>
          <w:rFonts w:eastAsia="Times New Roman"/>
          <w:sz w:val="24"/>
          <w:szCs w:val="24"/>
        </w:rPr>
        <w:t>, 634 P.2d at 1030-31 (citing this instruction).</w:t>
      </w:r>
    </w:p>
    <w:p w14:paraId="6612D5E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rule, but allowed trial court to apply nonwillful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14:paraId="7BA59C51" w14:textId="77777777" w:rsidR="009007E8"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p w14:paraId="6D9E3FA3" w14:textId="77777777" w:rsidR="00786121" w:rsidRPr="00322F02" w:rsidRDefault="00786121" w:rsidP="00430165">
      <w:pPr>
        <w:rPr>
          <w:rFonts w:eastAsia="Times New Roman"/>
          <w:b/>
          <w:bCs/>
          <w:sz w:val="24"/>
          <w:szCs w:val="24"/>
          <w:u w:val="single"/>
        </w:rPr>
      </w:pPr>
      <w:r w:rsidRPr="00322F02">
        <w:rPr>
          <w:rFonts w:eastAsia="Times New Roman"/>
          <w:b/>
          <w:bCs/>
          <w:sz w:val="24"/>
          <w:szCs w:val="24"/>
          <w:u w:val="single"/>
        </w:rPr>
        <w:t>Damages for Obstruction of Easements</w:t>
      </w:r>
    </w:p>
    <w:p w14:paraId="3E01FEF1" w14:textId="218554EA" w:rsidR="00786121" w:rsidRDefault="00786121" w:rsidP="00786121">
      <w:pPr>
        <w:spacing w:after="240"/>
        <w:ind w:firstLine="720"/>
        <w:rPr>
          <w:rFonts w:eastAsia="Times New Roman"/>
          <w:sz w:val="24"/>
          <w:szCs w:val="24"/>
        </w:rPr>
      </w:pPr>
      <w:r w:rsidRPr="00786121">
        <w:rPr>
          <w:rFonts w:eastAsia="Times New Roman"/>
          <w:bCs/>
          <w:sz w:val="24"/>
          <w:szCs w:val="24"/>
        </w:rPr>
        <w:t>20.</w:t>
      </w:r>
      <w:r>
        <w:rPr>
          <w:rFonts w:eastAsia="Times New Roman"/>
          <w:b/>
          <w:bCs/>
          <w:sz w:val="24"/>
          <w:szCs w:val="24"/>
        </w:rPr>
        <w:t xml:space="preserve"> </w:t>
      </w:r>
      <w:r w:rsidRPr="00A43023">
        <w:rPr>
          <w:rFonts w:eastAsia="Times New Roman"/>
          <w:sz w:val="24"/>
          <w:szCs w:val="24"/>
        </w:rPr>
        <w:t>Damages may be awarded to easement holder when denied access to his land.</w:t>
      </w:r>
      <w:r>
        <w:rPr>
          <w:rFonts w:eastAsia="Times New Roman"/>
          <w:b/>
          <w:bCs/>
          <w:sz w:val="24"/>
          <w:szCs w:val="24"/>
        </w:rPr>
        <w:t xml:space="preserve">  Amada Family Ltd. P’ship v. Pomeroy</w:t>
      </w:r>
      <w:r w:rsidRPr="00322F02">
        <w:rPr>
          <w:rFonts w:eastAsia="Times New Roman"/>
          <w:bCs/>
          <w:sz w:val="24"/>
          <w:szCs w:val="24"/>
        </w:rPr>
        <w:t xml:space="preserve">, </w:t>
      </w:r>
      <w:r w:rsidRPr="00A43023">
        <w:rPr>
          <w:rFonts w:eastAsia="Times New Roman"/>
          <w:sz w:val="24"/>
          <w:szCs w:val="24"/>
        </w:rPr>
        <w:t>2021 COA 73</w:t>
      </w:r>
      <w:r>
        <w:rPr>
          <w:rFonts w:eastAsia="Times New Roman"/>
          <w:sz w:val="24"/>
          <w:szCs w:val="24"/>
        </w:rPr>
        <w:t>,</w:t>
      </w:r>
      <w:r w:rsidRPr="00A43023">
        <w:rPr>
          <w:rFonts w:eastAsia="Times New Roman"/>
          <w:sz w:val="24"/>
          <w:szCs w:val="24"/>
        </w:rPr>
        <w:t xml:space="preserve"> ¶ 83</w:t>
      </w:r>
      <w:r w:rsidR="005917C1">
        <w:rPr>
          <w:rFonts w:eastAsia="Times New Roman"/>
          <w:sz w:val="24"/>
          <w:szCs w:val="24"/>
        </w:rPr>
        <w:t xml:space="preserve">, 494 P.3d 633, </w:t>
      </w:r>
      <w:r w:rsidR="005917C1" w:rsidRPr="005917C1">
        <w:rPr>
          <w:rFonts w:eastAsia="Times New Roman"/>
          <w:sz w:val="24"/>
          <w:szCs w:val="24"/>
        </w:rPr>
        <w:t xml:space="preserve">651 </w:t>
      </w:r>
      <w:r>
        <w:rPr>
          <w:rFonts w:eastAsia="Times New Roman"/>
          <w:sz w:val="24"/>
          <w:szCs w:val="24"/>
        </w:rPr>
        <w:t>(“Pomeroys committed trespass by locking the gate at the entrance to the access easement [requiring plaintiff] to leave his residence in Arizona, drive to Colorado, and spend two nights in a hotel room.”).</w:t>
      </w:r>
    </w:p>
    <w:p w14:paraId="55B0B45E" w14:textId="4038902E" w:rsidR="00E7751B" w:rsidRDefault="009E4F11" w:rsidP="00FC69E3">
      <w:pPr>
        <w:spacing w:after="240"/>
        <w:ind w:firstLine="720"/>
        <w:rPr>
          <w:rFonts w:eastAsia="Times New Roman"/>
          <w:sz w:val="24"/>
          <w:szCs w:val="24"/>
        </w:rPr>
      </w:pPr>
      <w:r>
        <w:rPr>
          <w:rFonts w:eastAsia="Times New Roman"/>
          <w:sz w:val="24"/>
          <w:szCs w:val="24"/>
        </w:rPr>
        <w:t xml:space="preserve">21. </w:t>
      </w:r>
      <w:r w:rsidRPr="009E4F11">
        <w:rPr>
          <w:rFonts w:eastAsia="Times New Roman"/>
          <w:sz w:val="24"/>
          <w:szCs w:val="24"/>
        </w:rPr>
        <w:t xml:space="preserve">A trespass occurs when a ditch easement is unilaterally altered. </w:t>
      </w:r>
      <w:r w:rsidRPr="009E4F11">
        <w:rPr>
          <w:rFonts w:eastAsia="Times New Roman"/>
          <w:b/>
          <w:sz w:val="24"/>
          <w:szCs w:val="24"/>
        </w:rPr>
        <w:t>Roaring Fork Club</w:t>
      </w:r>
      <w:r>
        <w:rPr>
          <w:rFonts w:eastAsia="Times New Roman"/>
          <w:b/>
          <w:sz w:val="24"/>
          <w:szCs w:val="24"/>
        </w:rPr>
        <w:t>,</w:t>
      </w:r>
      <w:r w:rsidRPr="009E4F11">
        <w:rPr>
          <w:rFonts w:eastAsia="Times New Roman"/>
          <w:b/>
          <w:sz w:val="24"/>
          <w:szCs w:val="24"/>
        </w:rPr>
        <w:t xml:space="preserve"> L.P. v. St. Jude’s Co.</w:t>
      </w:r>
      <w:r w:rsidRPr="00681617">
        <w:rPr>
          <w:rFonts w:eastAsia="Times New Roman"/>
          <w:sz w:val="24"/>
          <w:szCs w:val="24"/>
        </w:rPr>
        <w:t>,</w:t>
      </w:r>
      <w:r w:rsidRPr="009E4F11">
        <w:rPr>
          <w:rFonts w:eastAsia="Times New Roman"/>
          <w:sz w:val="24"/>
          <w:szCs w:val="24"/>
        </w:rPr>
        <w:t xml:space="preserve"> 36 P</w:t>
      </w:r>
      <w:r>
        <w:rPr>
          <w:rFonts w:eastAsia="Times New Roman"/>
          <w:sz w:val="24"/>
          <w:szCs w:val="24"/>
        </w:rPr>
        <w:t>.</w:t>
      </w:r>
      <w:r w:rsidRPr="009E4F11">
        <w:rPr>
          <w:rFonts w:eastAsia="Times New Roman"/>
          <w:sz w:val="24"/>
          <w:szCs w:val="24"/>
        </w:rPr>
        <w:t>3d 1229 (Colo. 2001). However, there must be evi</w:t>
      </w:r>
      <w:r>
        <w:rPr>
          <w:rFonts w:eastAsia="Times New Roman"/>
          <w:sz w:val="24"/>
          <w:szCs w:val="24"/>
        </w:rPr>
        <w:t xml:space="preserve">dence of an actual movement or </w:t>
      </w:r>
      <w:r w:rsidRPr="009E4F11">
        <w:rPr>
          <w:rFonts w:eastAsia="Times New Roman"/>
          <w:sz w:val="24"/>
          <w:szCs w:val="24"/>
        </w:rPr>
        <w:t xml:space="preserve">alteration. Accidental damage and repair is not movement or alteration. </w:t>
      </w:r>
      <w:r w:rsidRPr="009E4F11">
        <w:rPr>
          <w:rFonts w:eastAsia="Times New Roman"/>
          <w:b/>
          <w:sz w:val="24"/>
          <w:szCs w:val="24"/>
        </w:rPr>
        <w:t>Glover v. Serratoga Falls</w:t>
      </w:r>
      <w:r w:rsidR="00EC77D1">
        <w:rPr>
          <w:rFonts w:eastAsia="Times New Roman"/>
          <w:b/>
          <w:sz w:val="24"/>
          <w:szCs w:val="24"/>
        </w:rPr>
        <w:t xml:space="preserve"> LLC</w:t>
      </w:r>
      <w:r w:rsidR="00EC77D1" w:rsidRPr="002C27CE">
        <w:rPr>
          <w:rFonts w:eastAsia="Times New Roman"/>
          <w:sz w:val="24"/>
          <w:szCs w:val="24"/>
        </w:rPr>
        <w:t>,</w:t>
      </w:r>
      <w:r w:rsidRPr="009E4F11">
        <w:rPr>
          <w:rFonts w:eastAsia="Times New Roman"/>
          <w:sz w:val="24"/>
          <w:szCs w:val="24"/>
        </w:rPr>
        <w:t xml:space="preserve"> 2021 CO 77</w:t>
      </w:r>
      <w:r w:rsidR="00EC77D1">
        <w:rPr>
          <w:rFonts w:eastAsia="Times New Roman"/>
          <w:sz w:val="24"/>
          <w:szCs w:val="24"/>
        </w:rPr>
        <w:t>, ¶ 33, 498 P.3d 1106</w:t>
      </w:r>
      <w:r w:rsidRPr="009E4F11">
        <w:rPr>
          <w:rFonts w:eastAsia="Times New Roman"/>
          <w:sz w:val="24"/>
          <w:szCs w:val="24"/>
        </w:rPr>
        <w:t>.</w:t>
      </w:r>
    </w:p>
    <w:p w14:paraId="270D4C1B" w14:textId="442D8206" w:rsidR="00C7459A" w:rsidRDefault="00C7459A">
      <w:pPr>
        <w:rPr>
          <w:rFonts w:eastAsia="Times New Roman"/>
          <w:sz w:val="24"/>
          <w:szCs w:val="24"/>
        </w:rPr>
      </w:pPr>
      <w:r>
        <w:rPr>
          <w:rFonts w:eastAsia="Times New Roman"/>
          <w:sz w:val="24"/>
          <w:szCs w:val="24"/>
        </w:rPr>
        <w:br w:type="page"/>
      </w:r>
    </w:p>
    <w:p w14:paraId="573EFB86" w14:textId="77777777" w:rsidR="00C7459A" w:rsidRDefault="00C7459A" w:rsidP="00C7459A">
      <w:pPr>
        <w:spacing w:after="240"/>
        <w:ind w:left="720" w:hanging="720"/>
        <w:rPr>
          <w:rFonts w:eastAsia="Times New Roman"/>
          <w:b/>
          <w:sz w:val="24"/>
          <w:szCs w:val="24"/>
        </w:rPr>
      </w:pPr>
      <w:bookmarkStart w:id="4" w:name="a18_05"/>
      <w:bookmarkEnd w:id="4"/>
      <w:r>
        <w:rPr>
          <w:rFonts w:eastAsia="Times New Roman"/>
          <w:b/>
          <w:sz w:val="24"/>
          <w:szCs w:val="24"/>
        </w:rPr>
        <w:lastRenderedPageBreak/>
        <w:t xml:space="preserve">18:5 </w:t>
      </w:r>
      <w:r>
        <w:rPr>
          <w:rFonts w:eastAsia="Times New Roman"/>
          <w:b/>
          <w:sz w:val="24"/>
          <w:szCs w:val="24"/>
        </w:rPr>
        <w:tab/>
        <w:t>PRIVATE NUISANCE —</w:t>
      </w:r>
      <w:r w:rsidRPr="00F44EE3">
        <w:rPr>
          <w:rFonts w:eastAsia="Times New Roman"/>
          <w:b/>
          <w:sz w:val="24"/>
          <w:szCs w:val="24"/>
        </w:rPr>
        <w:t xml:space="preserve"> ELEMENTS</w:t>
      </w:r>
      <w:r>
        <w:rPr>
          <w:rFonts w:eastAsia="Times New Roman"/>
          <w:b/>
          <w:sz w:val="24"/>
          <w:szCs w:val="24"/>
        </w:rPr>
        <w:t xml:space="preserve"> OF LIABILITY</w:t>
      </w:r>
    </w:p>
    <w:p w14:paraId="26443293" w14:textId="77777777" w:rsidR="00C7459A" w:rsidRDefault="00C7459A" w:rsidP="00C7459A">
      <w:pPr>
        <w:spacing w:after="240"/>
        <w:ind w:firstLine="720"/>
        <w:rPr>
          <w:rFonts w:eastAsia="Times New Roman"/>
          <w:b/>
          <w:sz w:val="24"/>
          <w:szCs w:val="24"/>
        </w:rPr>
      </w:pPr>
      <w:r>
        <w:rPr>
          <w:rFonts w:eastAsia="Times New Roman"/>
          <w:b/>
          <w:sz w:val="24"/>
          <w:szCs w:val="24"/>
        </w:rPr>
        <w:t xml:space="preserve">For the plaintiff, </w:t>
      </w:r>
      <w:r>
        <w:rPr>
          <w:rFonts w:eastAsia="Times New Roman"/>
          <w:i/>
          <w:sz w:val="24"/>
          <w:szCs w:val="24"/>
        </w:rPr>
        <w:t>(name)</w:t>
      </w:r>
      <w:r>
        <w:rPr>
          <w:rFonts w:eastAsia="Times New Roman"/>
          <w:b/>
          <w:sz w:val="24"/>
          <w:szCs w:val="24"/>
        </w:rPr>
        <w:t xml:space="preserve">, to recover from the defendant, </w:t>
      </w:r>
      <w:r>
        <w:rPr>
          <w:rFonts w:eastAsia="Times New Roman"/>
          <w:i/>
          <w:sz w:val="24"/>
          <w:szCs w:val="24"/>
        </w:rPr>
        <w:t>(name)</w:t>
      </w:r>
      <w:r>
        <w:rPr>
          <w:rFonts w:eastAsia="Times New Roman"/>
          <w:b/>
          <w:sz w:val="24"/>
          <w:szCs w:val="24"/>
        </w:rPr>
        <w:t>, on</w:t>
      </w:r>
      <w:r>
        <w:rPr>
          <w:rFonts w:eastAsia="Times New Roman"/>
          <w:bCs/>
          <w:i/>
          <w:iCs/>
          <w:sz w:val="24"/>
          <w:szCs w:val="24"/>
        </w:rPr>
        <w:t xml:space="preserve"> </w:t>
      </w:r>
      <w:r w:rsidRPr="00852309">
        <w:rPr>
          <w:rFonts w:eastAsia="Times New Roman"/>
          <w:b/>
          <w:sz w:val="24"/>
          <w:szCs w:val="24"/>
        </w:rPr>
        <w:t>the</w:t>
      </w:r>
      <w:r>
        <w:rPr>
          <w:rFonts w:eastAsia="Times New Roman"/>
          <w:b/>
          <w:sz w:val="24"/>
          <w:szCs w:val="24"/>
        </w:rPr>
        <w:t xml:space="preserve"> claim of private nuisance, you must find that the following have been proved by a preponderance of the evidence:</w:t>
      </w:r>
    </w:p>
    <w:p w14:paraId="215504A6" w14:textId="77777777" w:rsidR="00C7459A" w:rsidRDefault="00C7459A" w:rsidP="00C7459A">
      <w:pPr>
        <w:spacing w:after="240"/>
        <w:ind w:firstLine="720"/>
        <w:rPr>
          <w:rFonts w:eastAsia="Times New Roman"/>
          <w:b/>
          <w:sz w:val="24"/>
          <w:szCs w:val="24"/>
        </w:rPr>
      </w:pPr>
      <w:r>
        <w:rPr>
          <w:rFonts w:eastAsia="Times New Roman"/>
          <w:b/>
          <w:sz w:val="24"/>
          <w:szCs w:val="24"/>
        </w:rPr>
        <w:t xml:space="preserve">1. The plaintiff is (the owner) (in lawful possession of) </w:t>
      </w:r>
      <w:r>
        <w:rPr>
          <w:rFonts w:eastAsia="Times New Roman"/>
          <w:bCs/>
          <w:i/>
          <w:iCs/>
          <w:sz w:val="24"/>
          <w:szCs w:val="24"/>
        </w:rPr>
        <w:t>(</w:t>
      </w:r>
      <w:r>
        <w:rPr>
          <w:rFonts w:eastAsia="Times New Roman"/>
          <w:i/>
          <w:sz w:val="24"/>
          <w:szCs w:val="24"/>
        </w:rPr>
        <w:t>describe the real property)</w:t>
      </w:r>
      <w:r>
        <w:rPr>
          <w:rFonts w:eastAsia="Times New Roman"/>
          <w:b/>
          <w:sz w:val="24"/>
          <w:szCs w:val="24"/>
        </w:rPr>
        <w:t>;</w:t>
      </w:r>
    </w:p>
    <w:p w14:paraId="55A02693" w14:textId="77777777" w:rsidR="00C7459A" w:rsidRDefault="00C7459A" w:rsidP="00C7459A">
      <w:pPr>
        <w:spacing w:after="240"/>
        <w:ind w:firstLine="720"/>
        <w:rPr>
          <w:rFonts w:eastAsia="Times New Roman"/>
          <w:b/>
          <w:sz w:val="24"/>
          <w:szCs w:val="24"/>
        </w:rPr>
      </w:pPr>
      <w:r>
        <w:rPr>
          <w:rFonts w:eastAsia="Times New Roman"/>
          <w:b/>
          <w:sz w:val="24"/>
          <w:szCs w:val="24"/>
        </w:rPr>
        <w:t xml:space="preserve">2. The defendant, by </w:t>
      </w:r>
      <w:r w:rsidRPr="00F44EE3">
        <w:rPr>
          <w:rFonts w:eastAsia="Times New Roman"/>
          <w:bCs/>
          <w:i/>
          <w:iCs/>
          <w:sz w:val="24"/>
          <w:szCs w:val="24"/>
        </w:rPr>
        <w:t>(</w:t>
      </w:r>
      <w:r w:rsidRPr="00A93957">
        <w:rPr>
          <w:rFonts w:eastAsia="Times New Roman"/>
          <w:bCs/>
          <w:i/>
          <w:iCs/>
          <w:sz w:val="24"/>
          <w:szCs w:val="24"/>
        </w:rPr>
        <w:t>describe the alleged activity</w:t>
      </w:r>
      <w:r w:rsidRPr="00F44EE3">
        <w:rPr>
          <w:rFonts w:eastAsia="Times New Roman"/>
          <w:bCs/>
          <w:i/>
          <w:iCs/>
          <w:sz w:val="24"/>
          <w:szCs w:val="24"/>
        </w:rPr>
        <w:t>)</w:t>
      </w:r>
      <w:r w:rsidRPr="00F44EE3">
        <w:rPr>
          <w:rFonts w:eastAsia="Times New Roman"/>
          <w:b/>
          <w:sz w:val="24"/>
          <w:szCs w:val="24"/>
        </w:rPr>
        <w:t>,</w:t>
      </w:r>
      <w:r>
        <w:rPr>
          <w:rFonts w:eastAsia="Times New Roman"/>
          <w:b/>
          <w:sz w:val="24"/>
          <w:szCs w:val="24"/>
        </w:rPr>
        <w:t xml:space="preserve"> (negligently) (intentionally) interfered or is interfering with the plaintiff’s use and enjoyment of plaintiff’s </w:t>
      </w:r>
      <w:r>
        <w:rPr>
          <w:rFonts w:eastAsia="Times New Roman"/>
          <w:bCs/>
          <w:i/>
          <w:iCs/>
          <w:sz w:val="24"/>
          <w:szCs w:val="24"/>
        </w:rPr>
        <w:t>(</w:t>
      </w:r>
      <w:r>
        <w:rPr>
          <w:rFonts w:eastAsia="Times New Roman"/>
          <w:i/>
          <w:sz w:val="24"/>
          <w:szCs w:val="24"/>
        </w:rPr>
        <w:t>describe the real property)</w:t>
      </w:r>
      <w:r>
        <w:rPr>
          <w:rFonts w:eastAsia="Times New Roman"/>
          <w:b/>
          <w:sz w:val="24"/>
          <w:szCs w:val="24"/>
        </w:rPr>
        <w:t>; and</w:t>
      </w:r>
    </w:p>
    <w:p w14:paraId="7BF4C02C" w14:textId="77777777" w:rsidR="00C7459A" w:rsidRDefault="00C7459A" w:rsidP="00C7459A">
      <w:pPr>
        <w:spacing w:after="240"/>
        <w:ind w:firstLine="720"/>
        <w:rPr>
          <w:rFonts w:eastAsia="Times New Roman"/>
          <w:b/>
          <w:sz w:val="24"/>
          <w:szCs w:val="24"/>
        </w:rPr>
      </w:pPr>
      <w:r>
        <w:rPr>
          <w:rFonts w:eastAsia="Times New Roman"/>
          <w:b/>
          <w:sz w:val="24"/>
          <w:szCs w:val="24"/>
        </w:rPr>
        <w:t xml:space="preserve">3. The defendant’s interference with plaintiff’s use and enjoyment of </w:t>
      </w:r>
      <w:r w:rsidRPr="00F44EE3">
        <w:rPr>
          <w:rFonts w:eastAsia="Times New Roman"/>
          <w:bCs/>
          <w:i/>
          <w:iCs/>
          <w:sz w:val="24"/>
          <w:szCs w:val="24"/>
        </w:rPr>
        <w:t>(</w:t>
      </w:r>
      <w:r w:rsidRPr="009C3E55">
        <w:rPr>
          <w:rFonts w:eastAsia="Times New Roman"/>
          <w:bCs/>
          <w:i/>
          <w:iCs/>
          <w:sz w:val="24"/>
          <w:szCs w:val="24"/>
        </w:rPr>
        <w:t>describe the real property</w:t>
      </w:r>
      <w:r w:rsidRPr="00F44EE3">
        <w:rPr>
          <w:rFonts w:eastAsia="Times New Roman"/>
          <w:bCs/>
          <w:i/>
          <w:iCs/>
          <w:sz w:val="24"/>
          <w:szCs w:val="24"/>
        </w:rPr>
        <w:t>)</w:t>
      </w:r>
      <w:r>
        <w:rPr>
          <w:rFonts w:eastAsia="Times New Roman"/>
          <w:b/>
          <w:sz w:val="24"/>
          <w:szCs w:val="24"/>
        </w:rPr>
        <w:t xml:space="preserve"> </w:t>
      </w:r>
      <w:r w:rsidRPr="00F44EE3">
        <w:rPr>
          <w:rFonts w:eastAsia="Times New Roman"/>
          <w:b/>
          <w:sz w:val="24"/>
          <w:szCs w:val="24"/>
        </w:rPr>
        <w:t>(is)</w:t>
      </w:r>
      <w:r>
        <w:rPr>
          <w:rFonts w:eastAsia="Times New Roman"/>
          <w:b/>
          <w:sz w:val="24"/>
          <w:szCs w:val="24"/>
        </w:rPr>
        <w:t xml:space="preserve"> </w:t>
      </w:r>
      <w:r w:rsidRPr="00F44EE3">
        <w:rPr>
          <w:rFonts w:eastAsia="Times New Roman"/>
          <w:b/>
          <w:sz w:val="24"/>
          <w:szCs w:val="24"/>
        </w:rPr>
        <w:t>(was)</w:t>
      </w:r>
      <w:r>
        <w:rPr>
          <w:rFonts w:eastAsia="Times New Roman"/>
          <w:b/>
          <w:sz w:val="24"/>
          <w:szCs w:val="24"/>
        </w:rPr>
        <w:t xml:space="preserve"> unreasonable and substantial, such that it would offend or cause inconvenience or annoyance to a person of ordinary temperament and sensibility in the community.</w:t>
      </w:r>
    </w:p>
    <w:p w14:paraId="777D51F7" w14:textId="77777777" w:rsidR="00C7459A" w:rsidRDefault="00C7459A" w:rsidP="00C7459A">
      <w:pPr>
        <w:spacing w:after="240"/>
        <w:ind w:firstLine="720"/>
        <w:rPr>
          <w:rFonts w:eastAsia="Times New Roman"/>
          <w:b/>
          <w:sz w:val="24"/>
          <w:szCs w:val="24"/>
        </w:rPr>
      </w:pPr>
      <w:r>
        <w:rPr>
          <w:rFonts w:eastAsia="Times New Roman"/>
          <w:b/>
          <w:sz w:val="24"/>
          <w:szCs w:val="24"/>
        </w:rPr>
        <w:t>If you find that any one or more of these statements has not been proved, then your verdict must be for the defendant.</w:t>
      </w:r>
    </w:p>
    <w:p w14:paraId="1DBE65D9" w14:textId="77777777" w:rsidR="00C7459A" w:rsidRDefault="00C7459A" w:rsidP="00C7459A">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F44EE3">
        <w:rPr>
          <w:rFonts w:eastAsia="Times New Roman"/>
          <w:b/>
          <w:bCs/>
          <w:iCs/>
          <w:sz w:val="24"/>
          <w:szCs w:val="24"/>
        </w:rPr>
        <w:t>).</w:t>
      </w:r>
    </w:p>
    <w:p w14:paraId="2C55E5B6" w14:textId="77777777" w:rsidR="00C7459A" w:rsidRDefault="00C7459A" w:rsidP="00C7459A">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5A5393" w14:textId="77777777" w:rsidR="00C7459A" w:rsidRDefault="00C7459A" w:rsidP="00C7459A">
      <w:pPr>
        <w:spacing w:after="240"/>
        <w:ind w:firstLine="720"/>
        <w:rPr>
          <w:rFonts w:eastAsia="Times New Roman"/>
          <w:b/>
          <w:sz w:val="24"/>
          <w:szCs w:val="24"/>
        </w:rPr>
      </w:pPr>
      <w:r>
        <w:rPr>
          <w:rFonts w:eastAsia="Times New Roman"/>
          <w:b/>
          <w:sz w:val="24"/>
          <w:szCs w:val="24"/>
        </w:rPr>
        <w:t>However, if you find that (this affirmative defense has not) (none of these affirmative defenses have) been proved, then your verdict must be for the plaintiff.</w:t>
      </w:r>
    </w:p>
    <w:p w14:paraId="02453427" w14:textId="77777777" w:rsidR="00C7459A" w:rsidRDefault="00C7459A" w:rsidP="00C7459A">
      <w:pPr>
        <w:ind w:firstLine="720"/>
        <w:rPr>
          <w:rFonts w:eastAsia="Times New Roman"/>
          <w:b/>
          <w:sz w:val="24"/>
          <w:szCs w:val="24"/>
        </w:rPr>
      </w:pPr>
    </w:p>
    <w:p w14:paraId="33EE787C" w14:textId="77777777" w:rsidR="00C7459A" w:rsidRDefault="00C7459A" w:rsidP="00C7459A">
      <w:pPr>
        <w:keepNext/>
        <w:spacing w:after="240"/>
        <w:jc w:val="center"/>
        <w:rPr>
          <w:rFonts w:eastAsia="Times New Roman"/>
          <w:b/>
          <w:sz w:val="24"/>
          <w:szCs w:val="24"/>
        </w:rPr>
      </w:pPr>
      <w:r>
        <w:rPr>
          <w:rFonts w:eastAsia="Times New Roman"/>
          <w:b/>
          <w:sz w:val="24"/>
          <w:szCs w:val="24"/>
        </w:rPr>
        <w:t>Notes on Use</w:t>
      </w:r>
    </w:p>
    <w:p w14:paraId="5E910F5B" w14:textId="77777777" w:rsidR="00C7459A" w:rsidRDefault="00C7459A" w:rsidP="00C7459A">
      <w:pPr>
        <w:spacing w:after="240"/>
        <w:ind w:firstLine="720"/>
        <w:rPr>
          <w:rFonts w:eastAsia="Times New Roman"/>
          <w:sz w:val="24"/>
          <w:szCs w:val="24"/>
        </w:rPr>
      </w:pPr>
      <w:r>
        <w:rPr>
          <w:rFonts w:eastAsia="Times New Roman"/>
          <w:sz w:val="24"/>
          <w:szCs w:val="24"/>
        </w:rPr>
        <w:t>Use whichever parenthesized words and phrases are appropriate.</w:t>
      </w:r>
    </w:p>
    <w:p w14:paraId="7E06EC86" w14:textId="77777777" w:rsidR="00C7459A" w:rsidRDefault="00C7459A" w:rsidP="00C7459A">
      <w:pPr>
        <w:spacing w:after="240"/>
        <w:jc w:val="center"/>
        <w:rPr>
          <w:rFonts w:eastAsia="Times New Roman"/>
          <w:b/>
          <w:sz w:val="24"/>
          <w:szCs w:val="24"/>
        </w:rPr>
      </w:pPr>
      <w:r>
        <w:rPr>
          <w:rFonts w:eastAsia="Times New Roman"/>
          <w:b/>
          <w:sz w:val="24"/>
          <w:szCs w:val="24"/>
        </w:rPr>
        <w:t>Source and Authority</w:t>
      </w:r>
    </w:p>
    <w:p w14:paraId="6AACC20B" w14:textId="56024469" w:rsidR="00C7459A" w:rsidRDefault="00C7459A" w:rsidP="00C7459A">
      <w:pPr>
        <w:spacing w:after="240"/>
        <w:ind w:firstLine="720"/>
        <w:rPr>
          <w:rFonts w:eastAsia="Times New Roman"/>
          <w:bCs/>
          <w:sz w:val="24"/>
          <w:szCs w:val="24"/>
        </w:rPr>
      </w:pPr>
      <w:r>
        <w:rPr>
          <w:rFonts w:eastAsia="Times New Roman"/>
          <w:bCs/>
          <w:sz w:val="24"/>
          <w:szCs w:val="24"/>
        </w:rPr>
        <w:t xml:space="preserve">1. This instruction is supported by </w:t>
      </w:r>
      <w:r w:rsidRPr="003F025C">
        <w:rPr>
          <w:rFonts w:eastAsia="Times New Roman"/>
          <w:b/>
          <w:sz w:val="24"/>
          <w:szCs w:val="24"/>
        </w:rPr>
        <w:t>Public Serv</w:t>
      </w:r>
      <w:r>
        <w:rPr>
          <w:rFonts w:eastAsia="Times New Roman"/>
          <w:b/>
          <w:sz w:val="24"/>
          <w:szCs w:val="24"/>
        </w:rPr>
        <w:t>ice</w:t>
      </w:r>
      <w:r w:rsidRPr="003F025C">
        <w:rPr>
          <w:rFonts w:eastAsia="Times New Roman"/>
          <w:b/>
          <w:sz w:val="24"/>
          <w:szCs w:val="24"/>
        </w:rPr>
        <w:t xml:space="preserve"> Co.</w:t>
      </w:r>
      <w:r>
        <w:rPr>
          <w:rFonts w:eastAsia="Times New Roman"/>
          <w:b/>
          <w:sz w:val="24"/>
          <w:szCs w:val="24"/>
        </w:rPr>
        <w:t xml:space="preserve"> v</w:t>
      </w:r>
      <w:r w:rsidRPr="003F025C">
        <w:rPr>
          <w:rFonts w:eastAsia="Times New Roman"/>
          <w:b/>
          <w:sz w:val="24"/>
          <w:szCs w:val="24"/>
        </w:rPr>
        <w:t>. Van Wyk</w:t>
      </w:r>
      <w:r>
        <w:rPr>
          <w:rFonts w:eastAsia="Times New Roman"/>
          <w:bCs/>
          <w:sz w:val="24"/>
          <w:szCs w:val="24"/>
        </w:rPr>
        <w:t xml:space="preserve">, 27 P.3d 377, 391 (Colo. 2001) (“[T]he </w:t>
      </w:r>
      <w:r w:rsidRPr="00AF580D">
        <w:rPr>
          <w:rFonts w:eastAsia="Times New Roman"/>
          <w:bCs/>
          <w:sz w:val="24"/>
          <w:szCs w:val="24"/>
        </w:rPr>
        <w:t>elements of a claim of nuisance are an intentional, negligent, or unreasonably dangerous activity resulting in the unreasonable and substantial interference with a plaintiff</w:t>
      </w:r>
      <w:r>
        <w:rPr>
          <w:rFonts w:eastAsia="Times New Roman"/>
          <w:bCs/>
          <w:sz w:val="24"/>
          <w:szCs w:val="24"/>
        </w:rPr>
        <w:t>’</w:t>
      </w:r>
      <w:r w:rsidRPr="00AF580D">
        <w:rPr>
          <w:rFonts w:eastAsia="Times New Roman"/>
          <w:bCs/>
          <w:sz w:val="24"/>
          <w:szCs w:val="24"/>
        </w:rPr>
        <w:t>s use and enjoyment of her property</w:t>
      </w:r>
      <w:r>
        <w:rPr>
          <w:rFonts w:eastAsia="Times New Roman"/>
          <w:bCs/>
          <w:sz w:val="24"/>
          <w:szCs w:val="24"/>
        </w:rPr>
        <w:t xml:space="preserve">.”) (remanding to trial court to evaluate whether noise, radiation, and electromagnetic fields of a power line were unreasonable interference). </w:t>
      </w:r>
      <w:r w:rsidRPr="00A87882">
        <w:rPr>
          <w:rFonts w:eastAsia="Times New Roman"/>
          <w:bCs/>
          <w:i/>
          <w:iCs/>
          <w:sz w:val="24"/>
          <w:szCs w:val="24"/>
        </w:rPr>
        <w:t xml:space="preserve">See </w:t>
      </w:r>
      <w:r w:rsidRPr="003741D3">
        <w:rPr>
          <w:rFonts w:eastAsia="Times New Roman"/>
          <w:b/>
          <w:sz w:val="24"/>
          <w:szCs w:val="24"/>
        </w:rPr>
        <w:t>Green v. Castel Concrete Co</w:t>
      </w:r>
      <w:r w:rsidRPr="00C7459A">
        <w:rPr>
          <w:rFonts w:eastAsia="Times New Roman"/>
          <w:b/>
          <w:sz w:val="24"/>
          <w:szCs w:val="24"/>
        </w:rPr>
        <w:t>.</w:t>
      </w:r>
      <w:r>
        <w:rPr>
          <w:rFonts w:eastAsia="Times New Roman"/>
          <w:bCs/>
          <w:sz w:val="24"/>
          <w:szCs w:val="24"/>
        </w:rPr>
        <w:t xml:space="preserve">, 181 Colo. 309, 314, 509 P.2d 588, 591 (1973) (“a </w:t>
      </w:r>
      <w:r w:rsidRPr="00AF580D">
        <w:rPr>
          <w:rFonts w:eastAsia="Times New Roman"/>
          <w:bCs/>
          <w:sz w:val="24"/>
          <w:szCs w:val="24"/>
        </w:rPr>
        <w:t>reading of the record convinces us that there is not sufficient substantial, competent evidence to support a finding</w:t>
      </w:r>
      <w:r>
        <w:rPr>
          <w:rFonts w:eastAsia="Times New Roman"/>
          <w:bCs/>
          <w:sz w:val="24"/>
          <w:szCs w:val="24"/>
        </w:rPr>
        <w:t xml:space="preserve">” that a proposed quarry would constitute a private nuisance); </w:t>
      </w:r>
      <w:r w:rsidRPr="00D03157">
        <w:rPr>
          <w:rFonts w:eastAsia="Times New Roman"/>
          <w:b/>
          <w:sz w:val="24"/>
          <w:szCs w:val="24"/>
        </w:rPr>
        <w:t>B</w:t>
      </w:r>
      <w:r w:rsidRPr="003F025C">
        <w:rPr>
          <w:rFonts w:eastAsia="Times New Roman"/>
          <w:b/>
          <w:sz w:val="24"/>
          <w:szCs w:val="24"/>
        </w:rPr>
        <w:t>aughman v. Cosler</w:t>
      </w:r>
      <w:r>
        <w:rPr>
          <w:rFonts w:eastAsia="Times New Roman"/>
          <w:bCs/>
          <w:sz w:val="24"/>
          <w:szCs w:val="24"/>
        </w:rPr>
        <w:t xml:space="preserve">, 169 Colo. 534, 544, 459 P.2d 294, 299 (1969) (“The trial court </w:t>
      </w:r>
      <w:r w:rsidRPr="00AF580D">
        <w:rPr>
          <w:rFonts w:eastAsia="Times New Roman"/>
          <w:bCs/>
          <w:sz w:val="24"/>
          <w:szCs w:val="24"/>
        </w:rPr>
        <w:t xml:space="preserve">predicated the nuisance upon the </w:t>
      </w:r>
      <w:r w:rsidRPr="00AF580D">
        <w:rPr>
          <w:rFonts w:eastAsia="Times New Roman"/>
          <w:bCs/>
          <w:sz w:val="24"/>
          <w:szCs w:val="24"/>
        </w:rPr>
        <w:lastRenderedPageBreak/>
        <w:t>alleged negligent maintenance of a dangerous condition</w:t>
      </w:r>
      <w:r>
        <w:rPr>
          <w:rFonts w:eastAsia="Times New Roman"/>
          <w:bCs/>
          <w:sz w:val="24"/>
          <w:szCs w:val="24"/>
        </w:rPr>
        <w:t xml:space="preserve"> . . . [but] k</w:t>
      </w:r>
      <w:r w:rsidRPr="00AF580D">
        <w:rPr>
          <w:rFonts w:eastAsia="Times New Roman"/>
          <w:bCs/>
          <w:sz w:val="24"/>
          <w:szCs w:val="24"/>
        </w:rPr>
        <w:t>nowledge, actual or constructive, is an essential ingredient of liability based upon the negligent maintenance of a nuisance</w:t>
      </w:r>
      <w:r>
        <w:rPr>
          <w:rFonts w:eastAsia="Times New Roman"/>
          <w:bCs/>
          <w:sz w:val="24"/>
          <w:szCs w:val="24"/>
        </w:rPr>
        <w:t xml:space="preserve">.”) (reversing jury verdict where plaintiff was injured by explosion occurring on defendant’s property); </w:t>
      </w:r>
      <w:r w:rsidRPr="00375AEA">
        <w:rPr>
          <w:rFonts w:eastAsia="Times New Roman"/>
          <w:b/>
          <w:sz w:val="24"/>
          <w:szCs w:val="24"/>
        </w:rPr>
        <w:t>Krebs v. Hermann</w:t>
      </w:r>
      <w:r>
        <w:rPr>
          <w:rFonts w:eastAsia="Times New Roman"/>
          <w:bCs/>
          <w:sz w:val="24"/>
          <w:szCs w:val="24"/>
        </w:rPr>
        <w:t xml:space="preserve">, 90 Colo. 61, 6 P.2d 907 (1931) (holding that evidence of annoyance and discomfort to plaintiff’s family by defendants’ maintenance of dog kennel and canine hospital was sufficient to support claim for private nuisance); </w:t>
      </w:r>
      <w:r w:rsidRPr="00375AEA">
        <w:rPr>
          <w:rFonts w:eastAsia="Times New Roman"/>
          <w:b/>
          <w:sz w:val="24"/>
          <w:szCs w:val="24"/>
        </w:rPr>
        <w:t>S</w:t>
      </w:r>
      <w:r>
        <w:rPr>
          <w:rFonts w:eastAsia="Times New Roman"/>
          <w:b/>
          <w:sz w:val="24"/>
          <w:szCs w:val="24"/>
        </w:rPr>
        <w:t>t.</w:t>
      </w:r>
      <w:r w:rsidRPr="00375AEA">
        <w:rPr>
          <w:rFonts w:eastAsia="Times New Roman"/>
          <w:b/>
          <w:sz w:val="24"/>
          <w:szCs w:val="24"/>
        </w:rPr>
        <w:t xml:space="preserve"> John’s Church in the Wilderness v. Scott</w:t>
      </w:r>
      <w:r w:rsidRPr="007B045B">
        <w:rPr>
          <w:rFonts w:eastAsia="Times New Roman"/>
          <w:bCs/>
          <w:sz w:val="24"/>
          <w:szCs w:val="24"/>
        </w:rPr>
        <w:t>,</w:t>
      </w:r>
      <w:r>
        <w:rPr>
          <w:rFonts w:eastAsia="Times New Roman"/>
          <w:bCs/>
          <w:sz w:val="24"/>
          <w:szCs w:val="24"/>
        </w:rPr>
        <w:t xml:space="preserve"> 194 P.3d 475 (Colo. App. 2008) (defendant’s shouting from sidewalk during church service substantially and unreasonably interfered with use of church property and constituted a private nuisance)</w:t>
      </w:r>
      <w:bookmarkStart w:id="5" w:name="_Hlk172626800"/>
      <w:r w:rsidRPr="00AA2EED">
        <w:rPr>
          <w:rFonts w:eastAsia="Times New Roman"/>
          <w:bCs/>
          <w:sz w:val="24"/>
          <w:szCs w:val="24"/>
        </w:rPr>
        <w:t>;</w:t>
      </w:r>
      <w:r>
        <w:rPr>
          <w:rFonts w:eastAsia="Times New Roman"/>
          <w:b/>
          <w:sz w:val="24"/>
          <w:szCs w:val="24"/>
        </w:rPr>
        <w:t xml:space="preserve"> </w:t>
      </w:r>
      <w:r w:rsidRPr="00B06E97">
        <w:rPr>
          <w:rFonts w:eastAsia="Times New Roman"/>
          <w:b/>
          <w:sz w:val="24"/>
          <w:szCs w:val="24"/>
        </w:rPr>
        <w:t>Woodward v. Bd</w:t>
      </w:r>
      <w:r>
        <w:rPr>
          <w:rFonts w:eastAsia="Times New Roman"/>
          <w:b/>
          <w:sz w:val="24"/>
          <w:szCs w:val="24"/>
        </w:rPr>
        <w:t>.</w:t>
      </w:r>
      <w:r w:rsidRPr="00B06E97">
        <w:rPr>
          <w:rFonts w:eastAsia="Times New Roman"/>
          <w:b/>
          <w:sz w:val="24"/>
          <w:szCs w:val="24"/>
        </w:rPr>
        <w:t xml:space="preserve"> of Dirs</w:t>
      </w:r>
      <w:r>
        <w:rPr>
          <w:rFonts w:eastAsia="Times New Roman"/>
          <w:b/>
          <w:sz w:val="24"/>
          <w:szCs w:val="24"/>
        </w:rPr>
        <w:t>.</w:t>
      </w:r>
      <w:r>
        <w:rPr>
          <w:rFonts w:eastAsia="Times New Roman"/>
          <w:bCs/>
          <w:sz w:val="24"/>
          <w:szCs w:val="24"/>
        </w:rPr>
        <w:t xml:space="preserve">, 155 P.3d 621 (Colo. App. 2007) (reversing summary judgment and holding that whether modifications of adjoining property that increased light and noise in plaintiff’s unit was reasonable created a question of fact for the jury); </w:t>
      </w:r>
      <w:r w:rsidRPr="009E2302">
        <w:rPr>
          <w:rFonts w:eastAsia="Times New Roman"/>
          <w:b/>
          <w:sz w:val="24"/>
          <w:szCs w:val="24"/>
        </w:rPr>
        <w:t>Staley v. Sagel</w:t>
      </w:r>
      <w:r w:rsidRPr="00AA2EED">
        <w:rPr>
          <w:rFonts w:eastAsia="Times New Roman"/>
          <w:bCs/>
          <w:sz w:val="24"/>
          <w:szCs w:val="24"/>
        </w:rPr>
        <w:t>,</w:t>
      </w:r>
      <w:r>
        <w:rPr>
          <w:rFonts w:eastAsia="Times New Roman"/>
          <w:bCs/>
          <w:sz w:val="24"/>
          <w:szCs w:val="24"/>
        </w:rPr>
        <w:t xml:space="preserve"> 841 P.2d 379, 381-82 (Colo. App. 1992) (jury was properly instructed to determine “that the </w:t>
      </w:r>
      <w:r w:rsidRPr="00AA2EED">
        <w:rPr>
          <w:rFonts w:eastAsia="Times New Roman"/>
          <w:bCs/>
          <w:sz w:val="24"/>
          <w:szCs w:val="24"/>
        </w:rPr>
        <w:t>hog facility</w:t>
      </w:r>
      <w:r>
        <w:rPr>
          <w:rFonts w:eastAsia="Times New Roman"/>
          <w:bCs/>
          <w:sz w:val="24"/>
          <w:szCs w:val="24"/>
        </w:rPr>
        <w:t>’</w:t>
      </w:r>
      <w:r w:rsidRPr="00AA2EED">
        <w:rPr>
          <w:rFonts w:eastAsia="Times New Roman"/>
          <w:bCs/>
          <w:sz w:val="24"/>
          <w:szCs w:val="24"/>
        </w:rPr>
        <w:t>s operation unreasonably and substantially interfered with plaintiffs</w:t>
      </w:r>
      <w:r w:rsidR="00CA5AF3">
        <w:rPr>
          <w:rFonts w:eastAsia="Times New Roman"/>
          <w:bCs/>
          <w:sz w:val="24"/>
          <w:szCs w:val="24"/>
        </w:rPr>
        <w:t>’</w:t>
      </w:r>
      <w:r w:rsidRPr="00AA2EED">
        <w:rPr>
          <w:rFonts w:eastAsia="Times New Roman"/>
          <w:bCs/>
          <w:sz w:val="24"/>
          <w:szCs w:val="24"/>
        </w:rPr>
        <w:t xml:space="preserve"> use and enjoyment of their property</w:t>
      </w:r>
      <w:r>
        <w:rPr>
          <w:rFonts w:eastAsia="Times New Roman"/>
          <w:bCs/>
          <w:sz w:val="24"/>
          <w:szCs w:val="24"/>
        </w:rPr>
        <w:t xml:space="preserve">. . . [and] </w:t>
      </w:r>
      <w:r w:rsidRPr="00AA2EED">
        <w:rPr>
          <w:rFonts w:eastAsia="Times New Roman"/>
          <w:bCs/>
          <w:sz w:val="24"/>
          <w:szCs w:val="24"/>
        </w:rPr>
        <w:t>that interference is unreasonable and substantial only if the activity is disturbing to a person of ordinary temperament and sensibility</w:t>
      </w:r>
      <w:r>
        <w:rPr>
          <w:rFonts w:eastAsia="Times New Roman"/>
          <w:bCs/>
          <w:sz w:val="24"/>
          <w:szCs w:val="24"/>
        </w:rPr>
        <w:t xml:space="preserve">”); </w:t>
      </w:r>
      <w:r w:rsidRPr="00375AEA">
        <w:rPr>
          <w:rFonts w:eastAsia="Times New Roman"/>
          <w:b/>
          <w:sz w:val="24"/>
          <w:szCs w:val="24"/>
        </w:rPr>
        <w:t>Labbe v. Steff</w:t>
      </w:r>
      <w:r>
        <w:rPr>
          <w:rFonts w:eastAsia="Times New Roman"/>
          <w:b/>
          <w:sz w:val="24"/>
          <w:szCs w:val="24"/>
        </w:rPr>
        <w:t>e</w:t>
      </w:r>
      <w:r w:rsidRPr="00375AEA">
        <w:rPr>
          <w:rFonts w:eastAsia="Times New Roman"/>
          <w:b/>
          <w:sz w:val="24"/>
          <w:szCs w:val="24"/>
        </w:rPr>
        <w:t>ns</w:t>
      </w:r>
      <w:r>
        <w:rPr>
          <w:rFonts w:eastAsia="Times New Roman"/>
          <w:bCs/>
          <w:sz w:val="24"/>
          <w:szCs w:val="24"/>
        </w:rPr>
        <w:t>, 752 P.2d 1067, 1067 (Col.</w:t>
      </w:r>
      <w:r w:rsidRPr="003F025C">
        <w:rPr>
          <w:rFonts w:eastAsia="Times New Roman"/>
          <w:bCs/>
          <w:sz w:val="24"/>
          <w:szCs w:val="24"/>
        </w:rPr>
        <w:t xml:space="preserve"> </w:t>
      </w:r>
      <w:r>
        <w:rPr>
          <w:rFonts w:eastAsia="Times New Roman"/>
          <w:bCs/>
          <w:sz w:val="24"/>
          <w:szCs w:val="24"/>
        </w:rPr>
        <w:t>App. 1988) (“</w:t>
      </w:r>
      <w:r w:rsidRPr="00393C01">
        <w:rPr>
          <w:rFonts w:eastAsia="Times New Roman"/>
          <w:bCs/>
          <w:sz w:val="24"/>
          <w:szCs w:val="24"/>
        </w:rPr>
        <w:t>We find no merit in defendant</w:t>
      </w:r>
      <w:r>
        <w:rPr>
          <w:rFonts w:eastAsia="Times New Roman"/>
          <w:bCs/>
          <w:sz w:val="24"/>
          <w:szCs w:val="24"/>
        </w:rPr>
        <w:t>’</w:t>
      </w:r>
      <w:r w:rsidRPr="00393C01">
        <w:rPr>
          <w:rFonts w:eastAsia="Times New Roman"/>
          <w:bCs/>
          <w:sz w:val="24"/>
          <w:szCs w:val="24"/>
        </w:rPr>
        <w:t>s contention that the trial court erroneously determined the car wash to be a nuisance</w:t>
      </w:r>
      <w:r>
        <w:rPr>
          <w:rFonts w:eastAsia="Times New Roman"/>
          <w:bCs/>
          <w:sz w:val="24"/>
          <w:szCs w:val="24"/>
        </w:rPr>
        <w:t xml:space="preserve">.”); </w:t>
      </w:r>
      <w:r w:rsidRPr="00375AEA">
        <w:rPr>
          <w:rFonts w:eastAsia="Times New Roman"/>
          <w:b/>
          <w:sz w:val="24"/>
          <w:szCs w:val="24"/>
        </w:rPr>
        <w:t>Allison v. Smith</w:t>
      </w:r>
      <w:r>
        <w:rPr>
          <w:rFonts w:eastAsia="Times New Roman"/>
          <w:bCs/>
          <w:sz w:val="24"/>
          <w:szCs w:val="24"/>
        </w:rPr>
        <w:t>, 695 P.2d 791 (Colo. App. 1984)</w:t>
      </w:r>
      <w:bookmarkEnd w:id="5"/>
      <w:r>
        <w:rPr>
          <w:rFonts w:eastAsia="Times New Roman"/>
          <w:bCs/>
          <w:sz w:val="24"/>
          <w:szCs w:val="24"/>
        </w:rPr>
        <w:t xml:space="preserve"> (conducting well drilling, car dealership, and construction business in a mountain residential neighborhood created a private nuisance); </w:t>
      </w:r>
      <w:r w:rsidRPr="004A3685">
        <w:rPr>
          <w:rFonts w:eastAsia="Times New Roman"/>
          <w:b/>
          <w:sz w:val="24"/>
          <w:szCs w:val="24"/>
        </w:rPr>
        <w:t>Lowder v. Tina Marie Homes, Inc.</w:t>
      </w:r>
      <w:r w:rsidRPr="0027419B">
        <w:rPr>
          <w:rFonts w:eastAsia="Times New Roman"/>
          <w:bCs/>
          <w:sz w:val="24"/>
          <w:szCs w:val="24"/>
        </w:rPr>
        <w:t>,</w:t>
      </w:r>
      <w:r>
        <w:rPr>
          <w:rFonts w:eastAsia="Times New Roman"/>
          <w:bCs/>
          <w:sz w:val="24"/>
          <w:szCs w:val="24"/>
        </w:rPr>
        <w:t xml:space="preserve"> 43 Colo. App. 225, 601 P.2d 657 (1979) (defendant’s scraping of vegetation from a residential lot negligently causing soil to blow onto plaintiff’s adjoining property created a private nuisance); </w:t>
      </w:r>
      <w:r w:rsidRPr="00375AEA">
        <w:rPr>
          <w:rFonts w:eastAsia="Times New Roman"/>
          <w:b/>
          <w:sz w:val="24"/>
          <w:szCs w:val="24"/>
        </w:rPr>
        <w:t>Miller v. Carnation Co</w:t>
      </w:r>
      <w:r w:rsidRPr="00ED119F">
        <w:rPr>
          <w:rFonts w:eastAsia="Times New Roman"/>
          <w:b/>
          <w:sz w:val="24"/>
          <w:szCs w:val="24"/>
        </w:rPr>
        <w:t>.</w:t>
      </w:r>
      <w:r>
        <w:rPr>
          <w:rFonts w:eastAsia="Times New Roman"/>
          <w:bCs/>
          <w:sz w:val="24"/>
          <w:szCs w:val="24"/>
        </w:rPr>
        <w:t>, 33 Colo. App. 62, 67, 516 P.2d 661, 664 (Colo. App. 1973) (“</w:t>
      </w:r>
      <w:r w:rsidRPr="0027419B">
        <w:rPr>
          <w:rFonts w:eastAsia="Times New Roman"/>
          <w:bCs/>
          <w:sz w:val="24"/>
          <w:szCs w:val="24"/>
        </w:rPr>
        <w:t>there is evidence that defendants</w:t>
      </w:r>
      <w:r>
        <w:rPr>
          <w:rFonts w:eastAsia="Times New Roman"/>
          <w:bCs/>
          <w:sz w:val="24"/>
          <w:szCs w:val="24"/>
        </w:rPr>
        <w:t>’</w:t>
      </w:r>
      <w:r w:rsidRPr="0027419B">
        <w:rPr>
          <w:rFonts w:eastAsia="Times New Roman"/>
          <w:bCs/>
          <w:sz w:val="24"/>
          <w:szCs w:val="24"/>
        </w:rPr>
        <w:t xml:space="preserve"> failure to remove manure from underneath the chicken houses resulted in a breeding ground for flies</w:t>
      </w:r>
      <w:r>
        <w:rPr>
          <w:rFonts w:eastAsia="Times New Roman"/>
          <w:bCs/>
          <w:sz w:val="24"/>
          <w:szCs w:val="24"/>
        </w:rPr>
        <w:t xml:space="preserve">  . . . </w:t>
      </w:r>
      <w:r w:rsidRPr="00034B32">
        <w:rPr>
          <w:rFonts w:eastAsia="Times New Roman"/>
          <w:bCs/>
          <w:sz w:val="24"/>
          <w:szCs w:val="24"/>
        </w:rPr>
        <w:t>and that these flies annoyed plaintiffs and damaged their property</w:t>
      </w:r>
      <w:r>
        <w:rPr>
          <w:rFonts w:eastAsia="Times New Roman"/>
          <w:bCs/>
          <w:sz w:val="24"/>
          <w:szCs w:val="24"/>
        </w:rPr>
        <w:t xml:space="preserve">. . . . </w:t>
      </w:r>
      <w:r w:rsidRPr="00034B32">
        <w:rPr>
          <w:rFonts w:eastAsia="Times New Roman"/>
          <w:bCs/>
          <w:sz w:val="24"/>
          <w:szCs w:val="24"/>
        </w:rPr>
        <w:t>It was therefore error for the trial court to dismiss the nuisance claim at the conclusion of plaintiffs</w:t>
      </w:r>
      <w:r w:rsidR="00ED119F">
        <w:rPr>
          <w:rFonts w:eastAsia="Times New Roman"/>
          <w:bCs/>
          <w:sz w:val="24"/>
          <w:szCs w:val="24"/>
        </w:rPr>
        <w:t>’</w:t>
      </w:r>
      <w:r w:rsidRPr="00034B32">
        <w:rPr>
          <w:rFonts w:eastAsia="Times New Roman"/>
          <w:bCs/>
          <w:sz w:val="24"/>
          <w:szCs w:val="24"/>
        </w:rPr>
        <w:t xml:space="preserve"> evidence</w:t>
      </w:r>
      <w:r>
        <w:rPr>
          <w:rFonts w:eastAsia="Times New Roman"/>
          <w:bCs/>
          <w:sz w:val="24"/>
          <w:szCs w:val="24"/>
        </w:rPr>
        <w:t xml:space="preserve">.”); </w:t>
      </w:r>
      <w:r w:rsidRPr="00FF68B4">
        <w:rPr>
          <w:rFonts w:eastAsia="Times New Roman"/>
          <w:bCs/>
          <w:i/>
          <w:iCs/>
          <w:sz w:val="24"/>
          <w:szCs w:val="24"/>
        </w:rPr>
        <w:t>see also</w:t>
      </w:r>
      <w:r>
        <w:rPr>
          <w:rFonts w:eastAsia="Times New Roman"/>
          <w:bCs/>
          <w:sz w:val="24"/>
          <w:szCs w:val="24"/>
        </w:rPr>
        <w:t xml:space="preserve"> </w:t>
      </w:r>
      <w:r w:rsidRPr="00375AEA">
        <w:rPr>
          <w:rFonts w:eastAsia="Times New Roman"/>
          <w:b/>
          <w:sz w:val="24"/>
          <w:szCs w:val="24"/>
        </w:rPr>
        <w:t>Hoery v. U</w:t>
      </w:r>
      <w:r>
        <w:rPr>
          <w:rFonts w:eastAsia="Times New Roman"/>
          <w:b/>
          <w:sz w:val="24"/>
          <w:szCs w:val="24"/>
        </w:rPr>
        <w:t xml:space="preserve">nited </w:t>
      </w:r>
      <w:r w:rsidRPr="00375AEA">
        <w:rPr>
          <w:rFonts w:eastAsia="Times New Roman"/>
          <w:b/>
          <w:sz w:val="24"/>
          <w:szCs w:val="24"/>
        </w:rPr>
        <w:t>S</w:t>
      </w:r>
      <w:r>
        <w:rPr>
          <w:rFonts w:eastAsia="Times New Roman"/>
          <w:b/>
          <w:sz w:val="24"/>
          <w:szCs w:val="24"/>
        </w:rPr>
        <w:t>tates</w:t>
      </w:r>
      <w:r>
        <w:rPr>
          <w:rFonts w:eastAsia="Times New Roman"/>
          <w:bCs/>
          <w:sz w:val="24"/>
          <w:szCs w:val="24"/>
        </w:rPr>
        <w:t>, 64 P.3d 214, 218 (Colo. 2003) (“</w:t>
      </w:r>
      <w:r w:rsidRPr="00FF68B4">
        <w:rPr>
          <w:rFonts w:eastAsia="Times New Roman"/>
          <w:bCs/>
          <w:sz w:val="24"/>
          <w:szCs w:val="24"/>
        </w:rPr>
        <w:t>A claim for nuisance is predicated upon a substantial invasion of an individual</w:t>
      </w:r>
      <w:r>
        <w:rPr>
          <w:rFonts w:eastAsia="Times New Roman"/>
          <w:bCs/>
          <w:sz w:val="24"/>
          <w:szCs w:val="24"/>
        </w:rPr>
        <w:t>’</w:t>
      </w:r>
      <w:r w:rsidRPr="00FF68B4">
        <w:rPr>
          <w:rFonts w:eastAsia="Times New Roman"/>
          <w:bCs/>
          <w:sz w:val="24"/>
          <w:szCs w:val="24"/>
        </w:rPr>
        <w:t>s interest in the use and enjoyment of his property</w:t>
      </w:r>
      <w:r>
        <w:rPr>
          <w:rFonts w:eastAsia="Times New Roman"/>
          <w:bCs/>
          <w:sz w:val="24"/>
          <w:szCs w:val="24"/>
        </w:rPr>
        <w:t>.”).</w:t>
      </w:r>
    </w:p>
    <w:p w14:paraId="009D1976" w14:textId="77777777" w:rsidR="00C7459A" w:rsidRPr="00375AEA" w:rsidRDefault="00C7459A" w:rsidP="00C7459A">
      <w:pPr>
        <w:spacing w:after="240"/>
        <w:ind w:firstLine="720"/>
        <w:rPr>
          <w:rFonts w:eastAsia="Times New Roman"/>
          <w:bCs/>
          <w:sz w:val="24"/>
          <w:szCs w:val="24"/>
        </w:rPr>
      </w:pPr>
      <w:r>
        <w:rPr>
          <w:rFonts w:eastAsia="Times New Roman"/>
          <w:sz w:val="24"/>
          <w:szCs w:val="24"/>
        </w:rPr>
        <w:t xml:space="preserve">2. Whether conduct amounts to an absolute nuisance, and thus determined as a matter of law, is a question for the court. Absolute nuisances include conduct that has been declared a nuisance by a governing authority, nuisances that result from abnormal and unduly hazardous activities, and situations where the defendants’ purposes on its own land is clearly an unreasonable act in view of surrounding circumstances. </w:t>
      </w:r>
      <w:r w:rsidRPr="00355A96">
        <w:rPr>
          <w:rFonts w:eastAsia="Times New Roman"/>
          <w:b/>
          <w:bCs/>
          <w:sz w:val="24"/>
          <w:szCs w:val="24"/>
        </w:rPr>
        <w:t>N</w:t>
      </w:r>
      <w:r>
        <w:rPr>
          <w:rFonts w:eastAsia="Times New Roman"/>
          <w:b/>
          <w:bCs/>
          <w:sz w:val="24"/>
          <w:szCs w:val="24"/>
        </w:rPr>
        <w:t>w.</w:t>
      </w:r>
      <w:r w:rsidRPr="00355A96">
        <w:rPr>
          <w:rFonts w:eastAsia="Times New Roman"/>
          <w:b/>
          <w:bCs/>
          <w:sz w:val="24"/>
          <w:szCs w:val="24"/>
        </w:rPr>
        <w:t xml:space="preserve"> Water Corp. v. Pennetta</w:t>
      </w:r>
      <w:r w:rsidRPr="002E56BD">
        <w:rPr>
          <w:rFonts w:eastAsia="Times New Roman"/>
          <w:sz w:val="24"/>
          <w:szCs w:val="24"/>
        </w:rPr>
        <w:t>,</w:t>
      </w:r>
      <w:r>
        <w:rPr>
          <w:rFonts w:eastAsia="Times New Roman"/>
          <w:sz w:val="24"/>
          <w:szCs w:val="24"/>
        </w:rPr>
        <w:t xml:space="preserve"> 29 Colo. App. 1, 479 P.2d 398 (1970) (“</w:t>
      </w:r>
      <w:r w:rsidRPr="000F3F07">
        <w:rPr>
          <w:rFonts w:eastAsia="Times New Roman"/>
          <w:sz w:val="24"/>
          <w:szCs w:val="24"/>
        </w:rPr>
        <w:t>In the absence of the tank</w:t>
      </w:r>
      <w:r>
        <w:rPr>
          <w:rFonts w:eastAsia="Times New Roman"/>
          <w:sz w:val="24"/>
          <w:szCs w:val="24"/>
        </w:rPr>
        <w:t>’</w:t>
      </w:r>
      <w:r w:rsidRPr="000F3F07">
        <w:rPr>
          <w:rFonts w:eastAsia="Times New Roman"/>
          <w:sz w:val="24"/>
          <w:szCs w:val="24"/>
        </w:rPr>
        <w:t>s being an absolute nuisance, the question of whether it constituted a nuisance in fact is one which should have been submitted to the jury</w:t>
      </w:r>
      <w:r>
        <w:rPr>
          <w:rFonts w:eastAsia="Times New Roman"/>
          <w:sz w:val="24"/>
          <w:szCs w:val="24"/>
        </w:rPr>
        <w:t>.”).</w:t>
      </w:r>
    </w:p>
    <w:p w14:paraId="69F59711" w14:textId="4FC3C858" w:rsidR="002E56BD" w:rsidRDefault="00C7459A" w:rsidP="002E56BD">
      <w:pPr>
        <w:spacing w:after="240"/>
        <w:ind w:firstLine="720"/>
        <w:rPr>
          <w:rFonts w:eastAsia="Times New Roman"/>
          <w:sz w:val="24"/>
          <w:szCs w:val="24"/>
        </w:rPr>
      </w:pPr>
      <w:r>
        <w:rPr>
          <w:rFonts w:eastAsia="Times New Roman"/>
          <w:sz w:val="24"/>
          <w:szCs w:val="24"/>
        </w:rPr>
        <w:t xml:space="preserve">3.  Conduct and activity permitted by zoning regulations may constitute a private nuisance. </w:t>
      </w:r>
      <w:r w:rsidRPr="000A33BC">
        <w:rPr>
          <w:rFonts w:eastAsia="Times New Roman"/>
          <w:b/>
          <w:bCs/>
          <w:sz w:val="24"/>
          <w:szCs w:val="24"/>
        </w:rPr>
        <w:t>Hobbs v. Smith</w:t>
      </w:r>
      <w:r>
        <w:rPr>
          <w:rFonts w:eastAsia="Times New Roman"/>
          <w:sz w:val="24"/>
          <w:szCs w:val="24"/>
        </w:rPr>
        <w:t>, 29 Colo. App. 301, 303, 484 P.2d 804, 805 (1971) (“</w:t>
      </w:r>
      <w:r w:rsidRPr="00555FBA">
        <w:rPr>
          <w:rFonts w:eastAsia="Times New Roman"/>
          <w:sz w:val="24"/>
          <w:szCs w:val="24"/>
        </w:rPr>
        <w:t>Even though zoning regulations permit an act to be done, and the act is being done with due care, the courts may grant relief where they find that the acts complained of constitute a nuisance</w:t>
      </w:r>
      <w:r>
        <w:rPr>
          <w:rFonts w:eastAsia="Times New Roman"/>
          <w:sz w:val="24"/>
          <w:szCs w:val="24"/>
        </w:rPr>
        <w:t xml:space="preserve">.”), </w:t>
      </w:r>
      <w:r w:rsidRPr="00555FBA">
        <w:rPr>
          <w:rFonts w:eastAsia="Times New Roman"/>
          <w:i/>
          <w:iCs/>
          <w:sz w:val="24"/>
          <w:szCs w:val="24"/>
        </w:rPr>
        <w:t>aff’d</w:t>
      </w:r>
      <w:r>
        <w:rPr>
          <w:rFonts w:eastAsia="Times New Roman"/>
          <w:sz w:val="24"/>
          <w:szCs w:val="24"/>
        </w:rPr>
        <w:t xml:space="preserve">, 177 Colo. 299, 493 P.2d 1352 (1972). Conversely, conduct that violates a zoning ordinance is not necessarily a nuisance. </w:t>
      </w:r>
      <w:r w:rsidRPr="00355A96">
        <w:rPr>
          <w:rFonts w:eastAsia="Times New Roman"/>
          <w:b/>
          <w:bCs/>
          <w:sz w:val="24"/>
          <w:szCs w:val="24"/>
        </w:rPr>
        <w:t>N</w:t>
      </w:r>
      <w:r>
        <w:rPr>
          <w:rFonts w:eastAsia="Times New Roman"/>
          <w:b/>
          <w:bCs/>
          <w:sz w:val="24"/>
          <w:szCs w:val="24"/>
        </w:rPr>
        <w:t>w.</w:t>
      </w:r>
      <w:r w:rsidRPr="00355A96">
        <w:rPr>
          <w:rFonts w:eastAsia="Times New Roman"/>
          <w:b/>
          <w:bCs/>
          <w:sz w:val="24"/>
          <w:szCs w:val="24"/>
        </w:rPr>
        <w:t xml:space="preserve"> Water Corp.</w:t>
      </w:r>
      <w:r w:rsidRPr="000F3F07">
        <w:rPr>
          <w:rFonts w:eastAsia="Times New Roman"/>
          <w:sz w:val="24"/>
          <w:szCs w:val="24"/>
        </w:rPr>
        <w:t>,</w:t>
      </w:r>
      <w:r>
        <w:rPr>
          <w:rFonts w:eastAsia="Times New Roman"/>
          <w:sz w:val="24"/>
          <w:szCs w:val="24"/>
        </w:rPr>
        <w:t xml:space="preserve"> 29 Colo. App. at 4, 479 P.2d at 400 (construction of water tank did not amount to a nuisance </w:t>
      </w:r>
      <w:r w:rsidRPr="000F3F07">
        <w:rPr>
          <w:rFonts w:eastAsia="Times New Roman"/>
          <w:sz w:val="24"/>
          <w:szCs w:val="24"/>
        </w:rPr>
        <w:t>per se</w:t>
      </w:r>
      <w:r>
        <w:rPr>
          <w:rFonts w:eastAsia="Times New Roman"/>
          <w:sz w:val="24"/>
          <w:szCs w:val="24"/>
        </w:rPr>
        <w:t xml:space="preserve">) (“[T]he </w:t>
      </w:r>
      <w:r w:rsidRPr="000F3F07">
        <w:rPr>
          <w:rFonts w:eastAsia="Times New Roman"/>
          <w:sz w:val="24"/>
          <w:szCs w:val="24"/>
        </w:rPr>
        <w:t>fact that a zoning ordinance has been violated is not totally controlling in determining whether a private nuisance exists</w:t>
      </w:r>
      <w:r>
        <w:rPr>
          <w:rFonts w:eastAsia="Times New Roman"/>
          <w:sz w:val="24"/>
          <w:szCs w:val="24"/>
        </w:rPr>
        <w:t>.”).</w:t>
      </w:r>
      <w:r w:rsidR="002E56BD">
        <w:rPr>
          <w:rFonts w:eastAsia="Times New Roman"/>
          <w:sz w:val="24"/>
          <w:szCs w:val="24"/>
        </w:rPr>
        <w:br w:type="page"/>
      </w:r>
    </w:p>
    <w:p w14:paraId="4F8A1391" w14:textId="77777777" w:rsidR="002E56BD" w:rsidRPr="009E3DA4" w:rsidRDefault="002E56BD" w:rsidP="002E56BD">
      <w:pPr>
        <w:spacing w:after="240"/>
        <w:ind w:left="720" w:hanging="720"/>
        <w:rPr>
          <w:rFonts w:eastAsia="Times New Roman"/>
          <w:b/>
          <w:sz w:val="24"/>
          <w:szCs w:val="24"/>
        </w:rPr>
      </w:pPr>
      <w:bookmarkStart w:id="6" w:name="a18_06"/>
      <w:bookmarkEnd w:id="6"/>
      <w:r w:rsidRPr="00167A38">
        <w:rPr>
          <w:rFonts w:eastAsia="Times New Roman"/>
          <w:b/>
          <w:sz w:val="24"/>
          <w:szCs w:val="24"/>
        </w:rPr>
        <w:lastRenderedPageBreak/>
        <w:t>18:</w:t>
      </w:r>
      <w:r>
        <w:rPr>
          <w:rFonts w:eastAsia="Times New Roman"/>
          <w:b/>
          <w:sz w:val="24"/>
          <w:szCs w:val="24"/>
        </w:rPr>
        <w:t>6</w:t>
      </w:r>
      <w:r>
        <w:rPr>
          <w:rFonts w:eastAsia="Times New Roman"/>
          <w:b/>
          <w:sz w:val="24"/>
          <w:szCs w:val="24"/>
        </w:rPr>
        <w:tab/>
      </w:r>
      <w:r w:rsidRPr="00167A38">
        <w:rPr>
          <w:rFonts w:eastAsia="Times New Roman"/>
          <w:b/>
          <w:sz w:val="24"/>
          <w:szCs w:val="24"/>
        </w:rPr>
        <w:t>INTENTIONALLY</w:t>
      </w:r>
      <w:r>
        <w:rPr>
          <w:rFonts w:eastAsia="Times New Roman"/>
          <w:b/>
          <w:sz w:val="24"/>
          <w:szCs w:val="24"/>
        </w:rPr>
        <w:t xml:space="preserve"> OR NEGLIGENTLY</w:t>
      </w:r>
      <w:r w:rsidRPr="00167A38">
        <w:rPr>
          <w:rFonts w:eastAsia="Times New Roman"/>
          <w:b/>
          <w:sz w:val="24"/>
          <w:szCs w:val="24"/>
        </w:rPr>
        <w:t xml:space="preserve"> — DEFINED</w:t>
      </w:r>
    </w:p>
    <w:p w14:paraId="7F1D6F13" w14:textId="77777777" w:rsidR="002E56BD" w:rsidRDefault="002E56BD" w:rsidP="002E56BD">
      <w:pPr>
        <w:ind w:firstLine="720"/>
        <w:rPr>
          <w:rFonts w:eastAsia="Times New Roman"/>
          <w:b/>
          <w:sz w:val="24"/>
          <w:szCs w:val="24"/>
        </w:rPr>
      </w:pPr>
      <w:r w:rsidRPr="00FF5E55">
        <w:rPr>
          <w:rFonts w:eastAsia="Times New Roman"/>
          <w:b/>
          <w:sz w:val="24"/>
          <w:szCs w:val="24"/>
        </w:rPr>
        <w:t>(</w:t>
      </w:r>
      <w:r>
        <w:rPr>
          <w:rFonts w:eastAsia="Times New Roman"/>
          <w:b/>
          <w:sz w:val="24"/>
          <w:szCs w:val="24"/>
        </w:rPr>
        <w:t>A defendant</w:t>
      </w:r>
      <w:r w:rsidRPr="00FF5E55">
        <w:rPr>
          <w:rFonts w:eastAsia="Times New Roman"/>
          <w:b/>
          <w:sz w:val="24"/>
          <w:szCs w:val="24"/>
        </w:rPr>
        <w:t xml:space="preserve"> intentionally interferes with </w:t>
      </w:r>
      <w:r>
        <w:rPr>
          <w:rFonts w:eastAsia="Times New Roman"/>
          <w:b/>
          <w:sz w:val="24"/>
          <w:szCs w:val="24"/>
        </w:rPr>
        <w:t>a plaintiff’s</w:t>
      </w:r>
      <w:r w:rsidRPr="00FF5E55">
        <w:rPr>
          <w:rFonts w:eastAsia="Times New Roman"/>
          <w:b/>
          <w:sz w:val="24"/>
          <w:szCs w:val="24"/>
        </w:rPr>
        <w:t xml:space="preserve"> use and enjoyment</w:t>
      </w:r>
      <w:r>
        <w:rPr>
          <w:rFonts w:eastAsia="Times New Roman"/>
          <w:b/>
          <w:sz w:val="24"/>
          <w:szCs w:val="24"/>
        </w:rPr>
        <w:t xml:space="preserve"> of</w:t>
      </w:r>
      <w:r w:rsidRPr="00FF5E55">
        <w:rPr>
          <w:rFonts w:eastAsia="Times New Roman"/>
          <w:b/>
          <w:sz w:val="24"/>
          <w:szCs w:val="24"/>
        </w:rPr>
        <w:t xml:space="preserve"> </w:t>
      </w:r>
      <w:r>
        <w:rPr>
          <w:rFonts w:eastAsia="Times New Roman"/>
          <w:b/>
          <w:sz w:val="24"/>
          <w:szCs w:val="24"/>
        </w:rPr>
        <w:t xml:space="preserve">a plaintiff’s property when the defendant’s purpose is to cause such interference, or when the defendant knows that </w:t>
      </w:r>
      <w:r w:rsidRPr="00BF6987">
        <w:rPr>
          <w:rFonts w:eastAsia="Times New Roman"/>
          <w:bCs/>
          <w:i/>
          <w:iCs/>
          <w:sz w:val="24"/>
          <w:szCs w:val="24"/>
        </w:rPr>
        <w:t>[</w:t>
      </w:r>
      <w:r>
        <w:rPr>
          <w:rFonts w:eastAsia="Times New Roman"/>
          <w:bCs/>
          <w:i/>
          <w:iCs/>
          <w:sz w:val="24"/>
          <w:szCs w:val="24"/>
        </w:rPr>
        <w:t>insert applicable pronoun]</w:t>
      </w:r>
      <w:r>
        <w:rPr>
          <w:rFonts w:eastAsia="Times New Roman"/>
          <w:b/>
          <w:sz w:val="24"/>
          <w:szCs w:val="24"/>
        </w:rPr>
        <w:t xml:space="preserve"> conduct is likely to cause such interference.)</w:t>
      </w:r>
    </w:p>
    <w:p w14:paraId="273B1E18" w14:textId="77777777" w:rsidR="002E56BD" w:rsidRDefault="002E56BD" w:rsidP="002E56BD">
      <w:pPr>
        <w:ind w:firstLine="720"/>
        <w:rPr>
          <w:rFonts w:eastAsia="Times New Roman"/>
          <w:b/>
          <w:sz w:val="24"/>
          <w:szCs w:val="24"/>
        </w:rPr>
      </w:pPr>
    </w:p>
    <w:p w14:paraId="21FE51AB" w14:textId="77777777" w:rsidR="002E56BD" w:rsidRPr="009134A0" w:rsidRDefault="002E56BD" w:rsidP="002E56BD">
      <w:pPr>
        <w:ind w:firstLine="720"/>
        <w:rPr>
          <w:rFonts w:eastAsia="Times New Roman"/>
          <w:b/>
          <w:bCs/>
          <w:sz w:val="24"/>
          <w:szCs w:val="24"/>
        </w:rPr>
      </w:pPr>
      <w:r>
        <w:rPr>
          <w:rFonts w:eastAsia="Times New Roman"/>
          <w:b/>
          <w:bCs/>
          <w:sz w:val="24"/>
          <w:szCs w:val="24"/>
        </w:rPr>
        <w:t>(A defendant</w:t>
      </w:r>
      <w:r w:rsidRPr="001A1D2A">
        <w:rPr>
          <w:rFonts w:eastAsia="Times New Roman"/>
          <w:b/>
          <w:bCs/>
          <w:sz w:val="24"/>
          <w:szCs w:val="24"/>
        </w:rPr>
        <w:t xml:space="preserve"> negligently interferes with the use and enjoyment </w:t>
      </w:r>
      <w:r>
        <w:rPr>
          <w:rFonts w:eastAsia="Times New Roman"/>
          <w:b/>
          <w:bCs/>
          <w:sz w:val="24"/>
          <w:szCs w:val="24"/>
        </w:rPr>
        <w:t xml:space="preserve">of plaintiff’s </w:t>
      </w:r>
      <w:r w:rsidRPr="001A1D2A">
        <w:rPr>
          <w:rFonts w:eastAsia="Times New Roman"/>
          <w:b/>
          <w:bCs/>
          <w:sz w:val="24"/>
          <w:szCs w:val="24"/>
        </w:rPr>
        <w:t>property when</w:t>
      </w:r>
      <w:r>
        <w:rPr>
          <w:rFonts w:eastAsia="Times New Roman"/>
          <w:b/>
          <w:bCs/>
          <w:sz w:val="24"/>
          <w:szCs w:val="24"/>
        </w:rPr>
        <w:t xml:space="preserve"> a defendant </w:t>
      </w:r>
      <w:r w:rsidRPr="001A1D2A">
        <w:rPr>
          <w:rFonts w:eastAsia="Times New Roman"/>
          <w:b/>
          <w:bCs/>
          <w:sz w:val="24"/>
          <w:szCs w:val="24"/>
        </w:rPr>
        <w:t xml:space="preserve">fails to do an act which a reasonably careful person would do, or </w:t>
      </w:r>
      <w:r>
        <w:rPr>
          <w:rFonts w:eastAsia="Times New Roman"/>
          <w:b/>
          <w:bCs/>
          <w:sz w:val="24"/>
          <w:szCs w:val="24"/>
        </w:rPr>
        <w:t xml:space="preserve">the defendant </w:t>
      </w:r>
      <w:r w:rsidRPr="001A1D2A">
        <w:rPr>
          <w:rFonts w:eastAsia="Times New Roman"/>
          <w:b/>
          <w:bCs/>
          <w:sz w:val="24"/>
          <w:szCs w:val="24"/>
        </w:rPr>
        <w:t>does an act which a reasonably careful person would not do, which in the natural course of events interfere</w:t>
      </w:r>
      <w:r>
        <w:rPr>
          <w:rFonts w:eastAsia="Times New Roman"/>
          <w:b/>
          <w:bCs/>
          <w:sz w:val="24"/>
          <w:szCs w:val="24"/>
        </w:rPr>
        <w:t>d</w:t>
      </w:r>
      <w:r w:rsidRPr="001A1D2A">
        <w:rPr>
          <w:rFonts w:eastAsia="Times New Roman"/>
          <w:b/>
          <w:bCs/>
          <w:sz w:val="24"/>
          <w:szCs w:val="24"/>
        </w:rPr>
        <w:t xml:space="preserve"> with plaintiff’s use of</w:t>
      </w:r>
      <w:r>
        <w:rPr>
          <w:rFonts w:eastAsia="Times New Roman"/>
          <w:sz w:val="24"/>
          <w:szCs w:val="24"/>
        </w:rPr>
        <w:t xml:space="preserve"> </w:t>
      </w:r>
      <w:r w:rsidRPr="00BF6987">
        <w:rPr>
          <w:rFonts w:eastAsia="Times New Roman"/>
          <w:bCs/>
          <w:i/>
          <w:iCs/>
          <w:sz w:val="24"/>
          <w:szCs w:val="24"/>
        </w:rPr>
        <w:t>[</w:t>
      </w:r>
      <w:r>
        <w:rPr>
          <w:rFonts w:eastAsia="Times New Roman"/>
          <w:bCs/>
          <w:i/>
          <w:iCs/>
          <w:sz w:val="24"/>
          <w:szCs w:val="24"/>
        </w:rPr>
        <w:t xml:space="preserve">insert applicable pronoun] </w:t>
      </w:r>
      <w:r w:rsidRPr="009134A0">
        <w:rPr>
          <w:rFonts w:eastAsia="Times New Roman"/>
          <w:b/>
          <w:bCs/>
          <w:sz w:val="24"/>
          <w:szCs w:val="24"/>
        </w:rPr>
        <w:t>property.</w:t>
      </w:r>
      <w:r>
        <w:rPr>
          <w:rFonts w:eastAsia="Times New Roman"/>
          <w:b/>
          <w:bCs/>
          <w:sz w:val="24"/>
          <w:szCs w:val="24"/>
        </w:rPr>
        <w:t>)</w:t>
      </w:r>
    </w:p>
    <w:p w14:paraId="348FC385" w14:textId="77777777" w:rsidR="002E56BD" w:rsidRDefault="002E56BD" w:rsidP="002E56BD">
      <w:pPr>
        <w:rPr>
          <w:rFonts w:eastAsia="Times New Roman"/>
          <w:sz w:val="24"/>
          <w:szCs w:val="24"/>
        </w:rPr>
      </w:pPr>
    </w:p>
    <w:p w14:paraId="0A4C9A37" w14:textId="77777777" w:rsidR="002E56BD" w:rsidRDefault="002E56BD" w:rsidP="002E56BD">
      <w:pPr>
        <w:rPr>
          <w:rFonts w:eastAsia="Times New Roman"/>
          <w:sz w:val="24"/>
          <w:szCs w:val="24"/>
        </w:rPr>
      </w:pPr>
    </w:p>
    <w:p w14:paraId="37C4DBBD" w14:textId="77777777" w:rsidR="002E56BD" w:rsidRPr="0054263B" w:rsidRDefault="002E56BD" w:rsidP="002E56BD">
      <w:pPr>
        <w:keepNext/>
        <w:spacing w:after="240"/>
        <w:jc w:val="center"/>
        <w:rPr>
          <w:rFonts w:eastAsia="Times New Roman"/>
          <w:b/>
          <w:sz w:val="24"/>
          <w:szCs w:val="24"/>
        </w:rPr>
      </w:pPr>
      <w:r w:rsidRPr="0054263B">
        <w:rPr>
          <w:rFonts w:eastAsia="Times New Roman"/>
          <w:b/>
          <w:sz w:val="24"/>
          <w:szCs w:val="24"/>
        </w:rPr>
        <w:t>Notes on Use</w:t>
      </w:r>
    </w:p>
    <w:p w14:paraId="162EBE80" w14:textId="77777777" w:rsidR="002E56BD" w:rsidRDefault="002E56BD" w:rsidP="002E56BD">
      <w:pPr>
        <w:spacing w:after="240"/>
        <w:ind w:firstLine="720"/>
        <w:rPr>
          <w:rFonts w:eastAsia="Times New Roman"/>
          <w:sz w:val="24"/>
          <w:szCs w:val="24"/>
        </w:rPr>
      </w:pPr>
      <w:r w:rsidRPr="00167A38">
        <w:rPr>
          <w:rFonts w:eastAsia="Times New Roman"/>
          <w:sz w:val="24"/>
          <w:szCs w:val="24"/>
        </w:rPr>
        <w:t>This instruction</w:t>
      </w:r>
      <w:r>
        <w:rPr>
          <w:rFonts w:eastAsia="Times New Roman"/>
          <w:sz w:val="24"/>
          <w:szCs w:val="24"/>
        </w:rPr>
        <w:t xml:space="preserve"> and the appropriate parenthetical</w:t>
      </w:r>
      <w:r w:rsidRPr="00167A38">
        <w:rPr>
          <w:rFonts w:eastAsia="Times New Roman"/>
          <w:sz w:val="24"/>
          <w:szCs w:val="24"/>
        </w:rPr>
        <w:t xml:space="preserve"> should be used</w:t>
      </w:r>
      <w:r>
        <w:rPr>
          <w:rFonts w:eastAsia="Times New Roman"/>
          <w:sz w:val="24"/>
          <w:szCs w:val="24"/>
        </w:rPr>
        <w:t xml:space="preserve"> </w:t>
      </w:r>
      <w:r w:rsidRPr="00167A38">
        <w:rPr>
          <w:rFonts w:eastAsia="Times New Roman"/>
          <w:sz w:val="24"/>
          <w:szCs w:val="24"/>
        </w:rPr>
        <w:t>with Instruction 18:</w:t>
      </w:r>
      <w:r>
        <w:rPr>
          <w:rFonts w:eastAsia="Times New Roman"/>
          <w:sz w:val="24"/>
          <w:szCs w:val="24"/>
        </w:rPr>
        <w:t>5</w:t>
      </w:r>
      <w:r w:rsidRPr="00167A38">
        <w:rPr>
          <w:rFonts w:eastAsia="Times New Roman"/>
          <w:sz w:val="24"/>
          <w:szCs w:val="24"/>
        </w:rPr>
        <w:t>.</w:t>
      </w:r>
    </w:p>
    <w:p w14:paraId="1A4EEA00" w14:textId="77777777" w:rsidR="002E56BD" w:rsidRDefault="002E56BD" w:rsidP="002E56BD">
      <w:pPr>
        <w:spacing w:after="240"/>
        <w:jc w:val="center"/>
        <w:rPr>
          <w:rFonts w:eastAsia="Times New Roman"/>
          <w:b/>
          <w:sz w:val="24"/>
          <w:szCs w:val="24"/>
        </w:rPr>
      </w:pPr>
      <w:r>
        <w:rPr>
          <w:rFonts w:eastAsia="Times New Roman"/>
          <w:b/>
          <w:sz w:val="24"/>
          <w:szCs w:val="24"/>
        </w:rPr>
        <w:t>Source and Authority</w:t>
      </w:r>
    </w:p>
    <w:p w14:paraId="64C7603C" w14:textId="5D4B1B61" w:rsidR="002E56BD" w:rsidRDefault="002E56BD" w:rsidP="002E56BD">
      <w:pPr>
        <w:spacing w:after="240"/>
        <w:ind w:firstLine="720"/>
        <w:rPr>
          <w:rFonts w:eastAsia="Times New Roman"/>
          <w:bCs/>
          <w:sz w:val="24"/>
          <w:szCs w:val="24"/>
        </w:rPr>
      </w:pPr>
      <w:r>
        <w:rPr>
          <w:rFonts w:eastAsia="Times New Roman"/>
          <w:bCs/>
          <w:sz w:val="24"/>
          <w:szCs w:val="24"/>
        </w:rPr>
        <w:t xml:space="preserve">This instruction is supported by </w:t>
      </w:r>
      <w:r w:rsidRPr="003F025C">
        <w:rPr>
          <w:rFonts w:eastAsia="Times New Roman"/>
          <w:b/>
          <w:sz w:val="24"/>
          <w:szCs w:val="24"/>
        </w:rPr>
        <w:t>Public Serv</w:t>
      </w:r>
      <w:r>
        <w:rPr>
          <w:rFonts w:eastAsia="Times New Roman"/>
          <w:b/>
          <w:sz w:val="24"/>
          <w:szCs w:val="24"/>
        </w:rPr>
        <w:t>ice</w:t>
      </w:r>
      <w:r w:rsidRPr="003F025C">
        <w:rPr>
          <w:rFonts w:eastAsia="Times New Roman"/>
          <w:b/>
          <w:sz w:val="24"/>
          <w:szCs w:val="24"/>
        </w:rPr>
        <w:t xml:space="preserve"> Co. </w:t>
      </w:r>
      <w:r>
        <w:rPr>
          <w:rFonts w:eastAsia="Times New Roman"/>
          <w:b/>
          <w:sz w:val="24"/>
          <w:szCs w:val="24"/>
        </w:rPr>
        <w:t>v</w:t>
      </w:r>
      <w:r w:rsidRPr="003F025C">
        <w:rPr>
          <w:rFonts w:eastAsia="Times New Roman"/>
          <w:b/>
          <w:sz w:val="24"/>
          <w:szCs w:val="24"/>
        </w:rPr>
        <w:t>. Van Wyk</w:t>
      </w:r>
      <w:r>
        <w:rPr>
          <w:rFonts w:eastAsia="Times New Roman"/>
          <w:bCs/>
          <w:sz w:val="24"/>
          <w:szCs w:val="24"/>
        </w:rPr>
        <w:t xml:space="preserve">, 27 P.3d 377, 391 (Colo. 2001) (“[T]he </w:t>
      </w:r>
      <w:r w:rsidRPr="00AF580D">
        <w:rPr>
          <w:rFonts w:eastAsia="Times New Roman"/>
          <w:bCs/>
          <w:sz w:val="24"/>
          <w:szCs w:val="24"/>
        </w:rPr>
        <w:t>elements of a claim of nuisance are an intentional, negligent, or unreasonably dangerous activity resulting in the unreasonable and substantial interference with a plaintiff's use and enjoyment of her property</w:t>
      </w:r>
      <w:r>
        <w:rPr>
          <w:rFonts w:eastAsia="Times New Roman"/>
          <w:bCs/>
          <w:sz w:val="24"/>
          <w:szCs w:val="24"/>
        </w:rPr>
        <w:t>.”) (remanding to trial court to evaluate whether noise, radiation, and electromagnetic fields of a power line were unreasonable interference);</w:t>
      </w:r>
      <w:r w:rsidRPr="00336F90">
        <w:rPr>
          <w:rFonts w:eastAsia="Times New Roman"/>
          <w:b/>
          <w:sz w:val="24"/>
          <w:szCs w:val="24"/>
        </w:rPr>
        <w:t xml:space="preserve"> </w:t>
      </w:r>
      <w:r w:rsidRPr="0050109E">
        <w:rPr>
          <w:rFonts w:eastAsia="Times New Roman"/>
          <w:bCs/>
          <w:sz w:val="24"/>
          <w:szCs w:val="24"/>
        </w:rPr>
        <w:t>and</w:t>
      </w:r>
      <w:r>
        <w:rPr>
          <w:rFonts w:eastAsia="Times New Roman"/>
          <w:b/>
          <w:sz w:val="24"/>
          <w:szCs w:val="24"/>
        </w:rPr>
        <w:t xml:space="preserve"> </w:t>
      </w:r>
      <w:r w:rsidRPr="00375AEA">
        <w:rPr>
          <w:rFonts w:eastAsia="Times New Roman"/>
          <w:b/>
          <w:sz w:val="24"/>
          <w:szCs w:val="24"/>
        </w:rPr>
        <w:t>S</w:t>
      </w:r>
      <w:r>
        <w:rPr>
          <w:rFonts w:eastAsia="Times New Roman"/>
          <w:b/>
          <w:sz w:val="24"/>
          <w:szCs w:val="24"/>
        </w:rPr>
        <w:t>t.</w:t>
      </w:r>
      <w:r w:rsidRPr="00375AEA">
        <w:rPr>
          <w:rFonts w:eastAsia="Times New Roman"/>
          <w:b/>
          <w:sz w:val="24"/>
          <w:szCs w:val="24"/>
        </w:rPr>
        <w:t xml:space="preserve"> John’s Church in the Wilderness v. Scott</w:t>
      </w:r>
      <w:r w:rsidRPr="002E56BD">
        <w:rPr>
          <w:rFonts w:eastAsia="Times New Roman"/>
          <w:bCs/>
          <w:sz w:val="24"/>
          <w:szCs w:val="24"/>
        </w:rPr>
        <w:t>,</w:t>
      </w:r>
      <w:r>
        <w:rPr>
          <w:rFonts w:eastAsia="Times New Roman"/>
          <w:bCs/>
          <w:sz w:val="24"/>
          <w:szCs w:val="24"/>
        </w:rPr>
        <w:t xml:space="preserve"> 194 P.3d 475, 479 (Colo. App. 2008) (“To </w:t>
      </w:r>
      <w:r w:rsidRPr="00C16BD0">
        <w:rPr>
          <w:rFonts w:eastAsia="Times New Roman"/>
          <w:bCs/>
          <w:sz w:val="24"/>
          <w:szCs w:val="24"/>
        </w:rPr>
        <w:t>prove a private nuisance claim, a plaintiff must establish that (1) the defendant</w:t>
      </w:r>
      <w:r>
        <w:rPr>
          <w:rFonts w:eastAsia="Times New Roman"/>
          <w:bCs/>
          <w:sz w:val="24"/>
          <w:szCs w:val="24"/>
        </w:rPr>
        <w:t>’</w:t>
      </w:r>
      <w:r w:rsidRPr="00C16BD0">
        <w:rPr>
          <w:rFonts w:eastAsia="Times New Roman"/>
          <w:bCs/>
          <w:sz w:val="24"/>
          <w:szCs w:val="24"/>
        </w:rPr>
        <w:t>s conduct unreasonably interfered with the use and enjoyment of the plaintiff</w:t>
      </w:r>
      <w:r>
        <w:rPr>
          <w:rFonts w:eastAsia="Times New Roman"/>
          <w:bCs/>
          <w:sz w:val="24"/>
          <w:szCs w:val="24"/>
        </w:rPr>
        <w:t>’</w:t>
      </w:r>
      <w:r w:rsidRPr="00C16BD0">
        <w:rPr>
          <w:rFonts w:eastAsia="Times New Roman"/>
          <w:bCs/>
          <w:sz w:val="24"/>
          <w:szCs w:val="24"/>
        </w:rPr>
        <w:t>s property, (2) the interference was so substantial that it would have been offensive or caused inconvenience or annoyance to a reasonable person in the community, and (3) the interference was either negligent or intentional</w:t>
      </w:r>
      <w:r>
        <w:rPr>
          <w:rFonts w:eastAsia="Times New Roman"/>
          <w:bCs/>
          <w:sz w:val="24"/>
          <w:szCs w:val="24"/>
        </w:rPr>
        <w:t>.”).</w:t>
      </w:r>
    </w:p>
    <w:p w14:paraId="603E3D91" w14:textId="4ECCD9E9" w:rsidR="002E56BD" w:rsidRDefault="002E56BD">
      <w:pPr>
        <w:rPr>
          <w:rFonts w:eastAsia="Times New Roman"/>
          <w:bCs/>
          <w:sz w:val="24"/>
          <w:szCs w:val="24"/>
        </w:rPr>
      </w:pPr>
      <w:r>
        <w:rPr>
          <w:rFonts w:eastAsia="Times New Roman"/>
          <w:bCs/>
          <w:sz w:val="24"/>
          <w:szCs w:val="24"/>
        </w:rPr>
        <w:br w:type="page"/>
      </w:r>
    </w:p>
    <w:p w14:paraId="74CFD4CC" w14:textId="77777777" w:rsidR="002E56BD" w:rsidRPr="007E0DFF" w:rsidRDefault="002E56BD" w:rsidP="002E56BD">
      <w:pPr>
        <w:spacing w:after="240"/>
        <w:ind w:left="720" w:hanging="720"/>
        <w:rPr>
          <w:rFonts w:eastAsia="Times New Roman"/>
          <w:b/>
          <w:sz w:val="24"/>
          <w:szCs w:val="24"/>
        </w:rPr>
      </w:pPr>
      <w:bookmarkStart w:id="7" w:name="a18_07"/>
      <w:bookmarkEnd w:id="7"/>
      <w:r w:rsidRPr="007E0DFF">
        <w:rPr>
          <w:rFonts w:eastAsia="Times New Roman"/>
          <w:b/>
          <w:sz w:val="24"/>
          <w:szCs w:val="24"/>
        </w:rPr>
        <w:lastRenderedPageBreak/>
        <w:t>18:7</w:t>
      </w:r>
      <w:r w:rsidRPr="007E0DFF">
        <w:rPr>
          <w:rFonts w:eastAsia="Times New Roman"/>
          <w:b/>
          <w:sz w:val="24"/>
          <w:szCs w:val="24"/>
        </w:rPr>
        <w:tab/>
        <w:t>ACTUAL OR NOMINAL DAMAGES</w:t>
      </w:r>
    </w:p>
    <w:p w14:paraId="642382C1" w14:textId="77777777" w:rsidR="002E56BD" w:rsidRPr="007E0DFF" w:rsidRDefault="002E56BD" w:rsidP="002E56BD">
      <w:pPr>
        <w:spacing w:after="240"/>
        <w:ind w:firstLine="720"/>
        <w:rPr>
          <w:rFonts w:eastAsia="Times New Roman"/>
          <w:b/>
          <w:sz w:val="24"/>
          <w:szCs w:val="24"/>
        </w:rPr>
      </w:pPr>
      <w:r w:rsidRPr="007E0DFF">
        <w:rPr>
          <w:rFonts w:eastAsia="Times New Roman"/>
          <w:b/>
          <w:sz w:val="24"/>
          <w:szCs w:val="24"/>
        </w:rPr>
        <w:t xml:space="preserve">Plaintiff, </w:t>
      </w:r>
      <w:r w:rsidRPr="007E0DFF">
        <w:rPr>
          <w:rFonts w:eastAsia="Times New Roman"/>
          <w:i/>
          <w:sz w:val="24"/>
          <w:szCs w:val="24"/>
        </w:rPr>
        <w:t>(name)</w:t>
      </w:r>
      <w:r w:rsidRPr="007E0DFF">
        <w:rPr>
          <w:rFonts w:eastAsia="Times New Roman"/>
          <w:b/>
          <w:sz w:val="24"/>
          <w:szCs w:val="24"/>
        </w:rPr>
        <w:t xml:space="preserve">, has the burden of proving the nature and extent of </w:t>
      </w:r>
      <w:r w:rsidRPr="007E0DFF">
        <w:rPr>
          <w:rFonts w:eastAsia="Times New Roman"/>
          <w:bCs/>
          <w:i/>
          <w:iCs/>
          <w:sz w:val="24"/>
          <w:szCs w:val="24"/>
        </w:rPr>
        <w:t>(insert applicable pronoun)</w:t>
      </w:r>
      <w:r w:rsidRPr="007E0DFF">
        <w:rPr>
          <w:rFonts w:eastAsia="Times New Roman"/>
          <w:b/>
          <w:sz w:val="24"/>
          <w:szCs w:val="24"/>
        </w:rPr>
        <w:t xml:space="preserve"> damages by a preponderance of the evidence. If you find in favor of the plaintiff, you must determine the total dollar amount of the plaintiff’s damages, if any, that were caused by the nuisance.</w:t>
      </w:r>
    </w:p>
    <w:p w14:paraId="415C0EA3" w14:textId="77777777" w:rsidR="002E56BD" w:rsidRPr="007E0DFF" w:rsidRDefault="002E56BD" w:rsidP="002E56BD">
      <w:pPr>
        <w:spacing w:after="240"/>
        <w:ind w:firstLine="720"/>
        <w:rPr>
          <w:rFonts w:eastAsia="Times New Roman"/>
          <w:b/>
          <w:sz w:val="24"/>
          <w:szCs w:val="24"/>
        </w:rPr>
      </w:pPr>
      <w:r w:rsidRPr="007E0DFF">
        <w:rPr>
          <w:rFonts w:eastAsia="Times New Roman"/>
          <w:b/>
          <w:sz w:val="24"/>
          <w:szCs w:val="24"/>
        </w:rPr>
        <w:t xml:space="preserve">In determining these the plaintiff’s damages, you shall consider </w:t>
      </w:r>
    </w:p>
    <w:p w14:paraId="03AA6BF8" w14:textId="77777777" w:rsidR="002E56BD" w:rsidRPr="007E0DFF" w:rsidRDefault="002E56BD" w:rsidP="002E56BD">
      <w:pPr>
        <w:spacing w:after="240"/>
        <w:ind w:firstLine="720"/>
        <w:rPr>
          <w:rFonts w:eastAsia="Times New Roman"/>
          <w:b/>
          <w:sz w:val="24"/>
          <w:szCs w:val="24"/>
        </w:rPr>
      </w:pPr>
      <w:r w:rsidRPr="007E0DFF">
        <w:rPr>
          <w:rFonts w:eastAsia="Times New Roman"/>
          <w:b/>
          <w:sz w:val="24"/>
          <w:szCs w:val="24"/>
        </w:rPr>
        <w:t>1. (The difference between the reasonable market value of the real estate without the nuisance and its reasonable market value with the nuisance) (The loss of the property’s rental value for the period during which the nuisance continued); (and)</w:t>
      </w:r>
    </w:p>
    <w:p w14:paraId="3BFCBA06" w14:textId="77777777" w:rsidR="002E56BD" w:rsidRPr="007E0DFF" w:rsidRDefault="002E56BD" w:rsidP="002E56BD">
      <w:pPr>
        <w:spacing w:after="240"/>
        <w:ind w:firstLine="720"/>
        <w:rPr>
          <w:rFonts w:eastAsia="Times New Roman"/>
          <w:b/>
          <w:sz w:val="24"/>
          <w:szCs w:val="24"/>
        </w:rPr>
      </w:pPr>
      <w:r w:rsidRPr="007E0DFF">
        <w:rPr>
          <w:rFonts w:eastAsia="Times New Roman"/>
          <w:b/>
          <w:sz w:val="24"/>
          <w:szCs w:val="24"/>
        </w:rPr>
        <w:t xml:space="preserve">(2. </w:t>
      </w:r>
      <w:r w:rsidRPr="007E0DFF">
        <w:rPr>
          <w:rFonts w:eastAsia="Times New Roman"/>
          <w:b/>
          <w:bCs/>
          <w:iCs/>
          <w:sz w:val="24"/>
          <w:szCs w:val="24"/>
        </w:rPr>
        <w:t>Consequential damages the jury might reasonably find the plaintiff suffered as a result of the defendant’s nuisance, including loss of use of the property, discomfort, annoyance, or physical illness.</w:t>
      </w:r>
      <w:r w:rsidRPr="007E0DFF">
        <w:rPr>
          <w:rFonts w:eastAsia="Times New Roman"/>
          <w:b/>
          <w:sz w:val="24"/>
          <w:szCs w:val="24"/>
        </w:rPr>
        <w:t>)</w:t>
      </w:r>
    </w:p>
    <w:p w14:paraId="6979431B" w14:textId="77777777" w:rsidR="002E56BD" w:rsidRPr="007E0DFF" w:rsidRDefault="002E56BD" w:rsidP="002E56BD">
      <w:pPr>
        <w:ind w:firstLine="720"/>
        <w:rPr>
          <w:rFonts w:eastAsia="Times New Roman"/>
          <w:b/>
          <w:sz w:val="24"/>
          <w:szCs w:val="24"/>
        </w:rPr>
      </w:pPr>
    </w:p>
    <w:p w14:paraId="6C105539" w14:textId="77777777" w:rsidR="002E56BD" w:rsidRPr="007E0DFF" w:rsidRDefault="002E56BD" w:rsidP="002E56BD">
      <w:pPr>
        <w:spacing w:after="240"/>
        <w:ind w:firstLine="720"/>
        <w:jc w:val="center"/>
        <w:rPr>
          <w:rFonts w:eastAsia="Times New Roman"/>
          <w:b/>
          <w:sz w:val="24"/>
          <w:szCs w:val="24"/>
        </w:rPr>
      </w:pPr>
      <w:r w:rsidRPr="007E0DFF">
        <w:rPr>
          <w:rFonts w:eastAsia="Times New Roman"/>
          <w:b/>
          <w:sz w:val="24"/>
          <w:szCs w:val="24"/>
        </w:rPr>
        <w:t>Notes on Use</w:t>
      </w:r>
    </w:p>
    <w:p w14:paraId="49A2538F" w14:textId="77777777" w:rsidR="002E56BD" w:rsidRPr="007E0DFF" w:rsidRDefault="002E56BD" w:rsidP="002E56BD">
      <w:pPr>
        <w:spacing w:after="240"/>
        <w:ind w:firstLine="720"/>
        <w:rPr>
          <w:rFonts w:eastAsia="Times New Roman"/>
          <w:bCs/>
          <w:sz w:val="24"/>
          <w:szCs w:val="24"/>
        </w:rPr>
      </w:pPr>
      <w:r w:rsidRPr="007E0DFF">
        <w:rPr>
          <w:rFonts w:eastAsia="Times New Roman"/>
          <w:bCs/>
          <w:sz w:val="24"/>
          <w:szCs w:val="24"/>
        </w:rPr>
        <w:t xml:space="preserve">1. Use parentheticals that are supported by the evidence. </w:t>
      </w:r>
    </w:p>
    <w:p w14:paraId="736C657F" w14:textId="77777777" w:rsidR="002E56BD" w:rsidRPr="007E0DFF" w:rsidRDefault="002E56BD" w:rsidP="002E56BD">
      <w:pPr>
        <w:spacing w:after="240"/>
        <w:ind w:firstLine="720"/>
        <w:rPr>
          <w:rFonts w:eastAsia="Times New Roman"/>
          <w:bCs/>
          <w:sz w:val="24"/>
          <w:szCs w:val="24"/>
        </w:rPr>
      </w:pPr>
      <w:r w:rsidRPr="007E0DFF">
        <w:rPr>
          <w:rFonts w:eastAsia="Times New Roman"/>
          <w:bCs/>
          <w:sz w:val="24"/>
          <w:szCs w:val="24"/>
        </w:rPr>
        <w:t xml:space="preserve">2. A landowner is not entitled to both a permanent injunction terminating a nuisance and to an award of damages for the market value. </w:t>
      </w:r>
      <w:r w:rsidRPr="007E0DFF">
        <w:rPr>
          <w:rFonts w:eastAsia="Times New Roman"/>
          <w:b/>
          <w:sz w:val="24"/>
          <w:szCs w:val="24"/>
        </w:rPr>
        <w:t>Staley v. Sagel</w:t>
      </w:r>
      <w:r w:rsidRPr="003A5C5E">
        <w:rPr>
          <w:rFonts w:eastAsia="Times New Roman"/>
          <w:bCs/>
          <w:sz w:val="24"/>
          <w:szCs w:val="24"/>
        </w:rPr>
        <w:t>,</w:t>
      </w:r>
      <w:r w:rsidRPr="007E0DFF">
        <w:rPr>
          <w:rFonts w:eastAsia="Times New Roman"/>
          <w:bCs/>
          <w:sz w:val="24"/>
          <w:szCs w:val="24"/>
        </w:rPr>
        <w:t xml:space="preserve"> 841 P.2d 379 (Colo. App. 1992).</w:t>
      </w:r>
    </w:p>
    <w:p w14:paraId="207E9D18" w14:textId="77777777" w:rsidR="002E56BD" w:rsidRPr="007E0DFF" w:rsidRDefault="002E56BD" w:rsidP="002E56BD">
      <w:pPr>
        <w:spacing w:after="240"/>
        <w:ind w:firstLine="720"/>
        <w:rPr>
          <w:rFonts w:eastAsia="Times New Roman"/>
          <w:bCs/>
          <w:sz w:val="24"/>
          <w:szCs w:val="24"/>
        </w:rPr>
      </w:pPr>
      <w:r w:rsidRPr="007E0DFF">
        <w:rPr>
          <w:rFonts w:eastAsia="Times New Roman"/>
          <w:bCs/>
          <w:sz w:val="24"/>
          <w:szCs w:val="24"/>
        </w:rPr>
        <w:t xml:space="preserve">3. In trespass actions plaintiffs may recover the cost of restoring, repairing, and rebuilding their property, plus any decrease in market value after repairs. </w:t>
      </w:r>
      <w:r w:rsidRPr="007E0DFF">
        <w:rPr>
          <w:rFonts w:eastAsia="Times New Roman"/>
          <w:bCs/>
          <w:i/>
          <w:iCs/>
          <w:sz w:val="24"/>
          <w:szCs w:val="24"/>
        </w:rPr>
        <w:t>See</w:t>
      </w:r>
      <w:r w:rsidRPr="007E0DFF">
        <w:rPr>
          <w:rFonts w:eastAsia="Times New Roman"/>
          <w:bCs/>
          <w:sz w:val="24"/>
          <w:szCs w:val="24"/>
        </w:rPr>
        <w:t xml:space="preserve"> Note on Use 2 to Instruction 18:4. While a private nuisance claim does not require proof of physical damage to plaintiff’s property, costs of restoration and repair may be available if proven, </w:t>
      </w:r>
      <w:r w:rsidRPr="007E0DFF">
        <w:rPr>
          <w:rFonts w:eastAsia="Times New Roman"/>
          <w:i/>
          <w:iCs/>
          <w:sz w:val="24"/>
          <w:szCs w:val="24"/>
        </w:rPr>
        <w:t xml:space="preserve">see </w:t>
      </w:r>
      <w:r w:rsidRPr="007E0DFF">
        <w:rPr>
          <w:rFonts w:eastAsia="Times New Roman"/>
          <w:b/>
          <w:sz w:val="24"/>
          <w:szCs w:val="24"/>
        </w:rPr>
        <w:t>Webster v. Boone</w:t>
      </w:r>
      <w:r w:rsidRPr="007E0DFF">
        <w:rPr>
          <w:rFonts w:eastAsia="Times New Roman"/>
          <w:bCs/>
          <w:sz w:val="24"/>
          <w:szCs w:val="24"/>
        </w:rPr>
        <w:t>, 992 P.2d 1183, 1185 (Colo. App. 1999) (dicta), and paragraph 1 may be modified accordingly.</w:t>
      </w:r>
    </w:p>
    <w:p w14:paraId="345D612F" w14:textId="77777777" w:rsidR="002E56BD" w:rsidRPr="007E0DFF" w:rsidRDefault="002E56BD" w:rsidP="002E56BD">
      <w:pPr>
        <w:spacing w:after="240"/>
        <w:ind w:firstLine="720"/>
        <w:jc w:val="center"/>
        <w:rPr>
          <w:rFonts w:eastAsia="Times New Roman"/>
          <w:b/>
          <w:sz w:val="24"/>
          <w:szCs w:val="24"/>
        </w:rPr>
      </w:pPr>
      <w:r w:rsidRPr="007E0DFF">
        <w:rPr>
          <w:rFonts w:eastAsia="Times New Roman"/>
          <w:b/>
          <w:sz w:val="24"/>
          <w:szCs w:val="24"/>
        </w:rPr>
        <w:t>Source and Authority</w:t>
      </w:r>
    </w:p>
    <w:p w14:paraId="23D0B19D" w14:textId="64679DB8" w:rsidR="002E56BD" w:rsidRPr="002E56BD" w:rsidRDefault="002E56BD" w:rsidP="002E56BD">
      <w:pPr>
        <w:spacing w:after="240"/>
        <w:ind w:firstLine="720"/>
        <w:rPr>
          <w:rFonts w:eastAsia="Times New Roman"/>
          <w:sz w:val="24"/>
          <w:szCs w:val="24"/>
        </w:rPr>
      </w:pPr>
      <w:r w:rsidRPr="007E0DFF">
        <w:rPr>
          <w:rFonts w:eastAsia="Times New Roman"/>
          <w:bCs/>
          <w:sz w:val="24"/>
          <w:szCs w:val="24"/>
        </w:rPr>
        <w:t xml:space="preserve">This instruction is supported by </w:t>
      </w:r>
      <w:r w:rsidRPr="007E0DFF">
        <w:rPr>
          <w:rFonts w:eastAsia="Times New Roman"/>
          <w:b/>
          <w:sz w:val="24"/>
          <w:szCs w:val="24"/>
        </w:rPr>
        <w:t>Webster</w:t>
      </w:r>
      <w:r w:rsidRPr="007E0DFF">
        <w:rPr>
          <w:rFonts w:eastAsia="Times New Roman"/>
          <w:bCs/>
          <w:sz w:val="24"/>
          <w:szCs w:val="24"/>
        </w:rPr>
        <w:t xml:space="preserve">, 992 P.2d at 1185 (“Damages available on trespass and nuisance claims can include not only diminution of market value or costs of restoration and loss of use of the property, but also discomfort and annoyance to the property owner as the occupant.”);  </w:t>
      </w:r>
      <w:r w:rsidRPr="007E0DFF">
        <w:rPr>
          <w:rFonts w:eastAsia="Times New Roman"/>
          <w:b/>
          <w:sz w:val="24"/>
          <w:szCs w:val="24"/>
        </w:rPr>
        <w:t>Calvaresi v. National Development Co.</w:t>
      </w:r>
      <w:r w:rsidRPr="007E0DFF">
        <w:rPr>
          <w:rFonts w:eastAsia="Times New Roman"/>
          <w:bCs/>
          <w:sz w:val="24"/>
          <w:szCs w:val="24"/>
        </w:rPr>
        <w:t>, 772 P.2d 640, 645 (Colo. App. 1988) (“The trial court must permit an injured landowner to recover damages for . . . the loss of the use of the property, if any, and any separate injuries in the nature of discomfort, annoyance or physical illness.”);</w:t>
      </w:r>
      <w:r w:rsidRPr="007E0DFF">
        <w:rPr>
          <w:rFonts w:eastAsia="Times New Roman"/>
          <w:b/>
          <w:bCs/>
          <w:sz w:val="24"/>
          <w:szCs w:val="24"/>
        </w:rPr>
        <w:t xml:space="preserve"> </w:t>
      </w:r>
      <w:r w:rsidRPr="007E0DFF">
        <w:rPr>
          <w:rFonts w:eastAsia="Times New Roman"/>
          <w:b/>
          <w:sz w:val="24"/>
          <w:szCs w:val="24"/>
        </w:rPr>
        <w:t>Allison v. Smith</w:t>
      </w:r>
      <w:r w:rsidRPr="007E0DFF">
        <w:rPr>
          <w:rFonts w:eastAsia="Times New Roman"/>
          <w:bCs/>
          <w:sz w:val="24"/>
          <w:szCs w:val="24"/>
        </w:rPr>
        <w:t xml:space="preserve">, 695 P.2d 791, 795 (Colo. App. 1984) (the trial court “found a diminution in market value of $8,200 arising from the loss of the well, . . . $7,400 because of the unsightliness resulting from the Smith’s use of their property, . . . and $5,000 for five years’ loss of use”); </w:t>
      </w:r>
      <w:r w:rsidRPr="007E0DFF">
        <w:rPr>
          <w:rFonts w:eastAsia="Times New Roman"/>
          <w:b/>
          <w:bCs/>
          <w:sz w:val="24"/>
          <w:szCs w:val="24"/>
        </w:rPr>
        <w:t>Nw. Water Corp. v. Pennetta</w:t>
      </w:r>
      <w:r w:rsidRPr="008B34DB">
        <w:rPr>
          <w:rFonts w:eastAsia="Times New Roman"/>
          <w:sz w:val="24"/>
          <w:szCs w:val="24"/>
        </w:rPr>
        <w:t>,</w:t>
      </w:r>
      <w:r w:rsidRPr="007E0DFF">
        <w:rPr>
          <w:rFonts w:eastAsia="Times New Roman"/>
          <w:sz w:val="24"/>
          <w:szCs w:val="24"/>
        </w:rPr>
        <w:t xml:space="preserve"> 29 Colo. App. 1, 3, 479 P.2d 398, 400 (1970) (“Plaintiffs were awarded $2,500 for diminution in property value; $1,500 for annoyance, discomfort and inconvenience; and interest on such sums from the date the complaint was filed.”).</w:t>
      </w:r>
    </w:p>
    <w:sectPr w:rsidR="002E56BD" w:rsidRPr="002E56BD"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D97DB" w14:textId="77777777" w:rsidR="009321E9" w:rsidRDefault="009321E9" w:rsidP="0054263B">
      <w:r>
        <w:separator/>
      </w:r>
    </w:p>
    <w:p w14:paraId="0AE79529" w14:textId="77777777" w:rsidR="009321E9" w:rsidRDefault="009321E9"/>
  </w:endnote>
  <w:endnote w:type="continuationSeparator" w:id="0">
    <w:p w14:paraId="741FDD6B" w14:textId="77777777" w:rsidR="009321E9" w:rsidRDefault="009321E9" w:rsidP="0054263B">
      <w:r>
        <w:continuationSeparator/>
      </w:r>
    </w:p>
    <w:p w14:paraId="057E43B1" w14:textId="77777777" w:rsidR="009321E9" w:rsidRDefault="00932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382F5C18" w14:textId="77777777" w:rsidR="008B7FBA" w:rsidRDefault="008B7FBA">
        <w:pPr>
          <w:pStyle w:val="Footer"/>
          <w:jc w:val="center"/>
        </w:pPr>
        <w:r>
          <w:fldChar w:fldCharType="begin"/>
        </w:r>
        <w:r>
          <w:instrText xml:space="preserve"> PAGE   \* MERGEFORMAT </w:instrText>
        </w:r>
        <w:r>
          <w:fldChar w:fldCharType="separate"/>
        </w:r>
        <w:r w:rsidR="00EC77D1">
          <w:rPr>
            <w:noProof/>
          </w:rPr>
          <w:t>11</w:t>
        </w:r>
        <w:r>
          <w:rPr>
            <w:noProof/>
          </w:rPr>
          <w:fldChar w:fldCharType="end"/>
        </w:r>
      </w:p>
    </w:sdtContent>
  </w:sdt>
  <w:p w14:paraId="0BECC4B6" w14:textId="77777777" w:rsidR="008B7FBA" w:rsidRDefault="008B7FBA">
    <w:pPr>
      <w:pStyle w:val="Footer"/>
    </w:pPr>
  </w:p>
  <w:p w14:paraId="1543323E" w14:textId="77777777" w:rsidR="008B7FBA" w:rsidRDefault="008B7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6911" w14:textId="77777777" w:rsidR="009321E9" w:rsidRDefault="009321E9" w:rsidP="0054263B">
      <w:r>
        <w:separator/>
      </w:r>
    </w:p>
    <w:p w14:paraId="4DB0651A" w14:textId="77777777" w:rsidR="009321E9" w:rsidRDefault="009321E9"/>
  </w:footnote>
  <w:footnote w:type="continuationSeparator" w:id="0">
    <w:p w14:paraId="00E25A58" w14:textId="77777777" w:rsidR="009321E9" w:rsidRDefault="009321E9" w:rsidP="0054263B">
      <w:r>
        <w:continuationSeparator/>
      </w:r>
    </w:p>
    <w:p w14:paraId="06B08C16" w14:textId="77777777" w:rsidR="009321E9" w:rsidRDefault="009321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259169">
    <w:abstractNumId w:val="0"/>
  </w:num>
  <w:num w:numId="2" w16cid:durableId="7975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2123"/>
    <w:rsid w:val="00014161"/>
    <w:rsid w:val="00034B32"/>
    <w:rsid w:val="00037111"/>
    <w:rsid w:val="00044BF5"/>
    <w:rsid w:val="00051D41"/>
    <w:rsid w:val="00062B99"/>
    <w:rsid w:val="0006367C"/>
    <w:rsid w:val="00072065"/>
    <w:rsid w:val="00072641"/>
    <w:rsid w:val="000824C8"/>
    <w:rsid w:val="00085495"/>
    <w:rsid w:val="000921F1"/>
    <w:rsid w:val="000962C8"/>
    <w:rsid w:val="000A040F"/>
    <w:rsid w:val="000A33BC"/>
    <w:rsid w:val="000B1B7A"/>
    <w:rsid w:val="000C204E"/>
    <w:rsid w:val="000C503A"/>
    <w:rsid w:val="000C6F97"/>
    <w:rsid w:val="000D3EDF"/>
    <w:rsid w:val="000D4856"/>
    <w:rsid w:val="000F205C"/>
    <w:rsid w:val="000F3F07"/>
    <w:rsid w:val="001117D9"/>
    <w:rsid w:val="00112C8E"/>
    <w:rsid w:val="00112FF9"/>
    <w:rsid w:val="00125209"/>
    <w:rsid w:val="00126B7A"/>
    <w:rsid w:val="00144917"/>
    <w:rsid w:val="00146121"/>
    <w:rsid w:val="001608FF"/>
    <w:rsid w:val="0016520C"/>
    <w:rsid w:val="00166263"/>
    <w:rsid w:val="001671A9"/>
    <w:rsid w:val="00167A38"/>
    <w:rsid w:val="00172674"/>
    <w:rsid w:val="00174BB5"/>
    <w:rsid w:val="00176B92"/>
    <w:rsid w:val="0018388B"/>
    <w:rsid w:val="001903CB"/>
    <w:rsid w:val="001913B1"/>
    <w:rsid w:val="00191498"/>
    <w:rsid w:val="00191C86"/>
    <w:rsid w:val="001A1D2A"/>
    <w:rsid w:val="001A2648"/>
    <w:rsid w:val="001A31FD"/>
    <w:rsid w:val="001C0A35"/>
    <w:rsid w:val="001D5896"/>
    <w:rsid w:val="001E0F3B"/>
    <w:rsid w:val="001E1686"/>
    <w:rsid w:val="001F0193"/>
    <w:rsid w:val="001F4D70"/>
    <w:rsid w:val="00200BA5"/>
    <w:rsid w:val="00202B81"/>
    <w:rsid w:val="002065D8"/>
    <w:rsid w:val="0021368F"/>
    <w:rsid w:val="0021730E"/>
    <w:rsid w:val="00217435"/>
    <w:rsid w:val="00220455"/>
    <w:rsid w:val="0022134E"/>
    <w:rsid w:val="0022161C"/>
    <w:rsid w:val="00223286"/>
    <w:rsid w:val="00227D3A"/>
    <w:rsid w:val="0024062B"/>
    <w:rsid w:val="0024597C"/>
    <w:rsid w:val="0024764A"/>
    <w:rsid w:val="002547C3"/>
    <w:rsid w:val="002613F9"/>
    <w:rsid w:val="00262EC2"/>
    <w:rsid w:val="00264B49"/>
    <w:rsid w:val="002654B4"/>
    <w:rsid w:val="00267805"/>
    <w:rsid w:val="00273777"/>
    <w:rsid w:val="0027419B"/>
    <w:rsid w:val="00293F7E"/>
    <w:rsid w:val="002A23B0"/>
    <w:rsid w:val="002A6EC7"/>
    <w:rsid w:val="002B759D"/>
    <w:rsid w:val="002C27CE"/>
    <w:rsid w:val="002D163D"/>
    <w:rsid w:val="002E0970"/>
    <w:rsid w:val="002E12FC"/>
    <w:rsid w:val="002E33D8"/>
    <w:rsid w:val="002E56BD"/>
    <w:rsid w:val="002F48D6"/>
    <w:rsid w:val="0030228D"/>
    <w:rsid w:val="00304398"/>
    <w:rsid w:val="0031067D"/>
    <w:rsid w:val="00316D33"/>
    <w:rsid w:val="00320613"/>
    <w:rsid w:val="0032073B"/>
    <w:rsid w:val="00322F02"/>
    <w:rsid w:val="003247EA"/>
    <w:rsid w:val="003259EE"/>
    <w:rsid w:val="00333886"/>
    <w:rsid w:val="00335934"/>
    <w:rsid w:val="00336CE4"/>
    <w:rsid w:val="00336F90"/>
    <w:rsid w:val="00345533"/>
    <w:rsid w:val="00352111"/>
    <w:rsid w:val="00352433"/>
    <w:rsid w:val="00352696"/>
    <w:rsid w:val="00353044"/>
    <w:rsid w:val="00355A96"/>
    <w:rsid w:val="003613FE"/>
    <w:rsid w:val="003741D3"/>
    <w:rsid w:val="00375AEA"/>
    <w:rsid w:val="00382177"/>
    <w:rsid w:val="003837B6"/>
    <w:rsid w:val="003937B8"/>
    <w:rsid w:val="00393C01"/>
    <w:rsid w:val="003A2EEF"/>
    <w:rsid w:val="003A2F1C"/>
    <w:rsid w:val="003A5A75"/>
    <w:rsid w:val="003A5C5E"/>
    <w:rsid w:val="003C7EC2"/>
    <w:rsid w:val="003D027F"/>
    <w:rsid w:val="003D1B54"/>
    <w:rsid w:val="003D370E"/>
    <w:rsid w:val="003D565A"/>
    <w:rsid w:val="003E472A"/>
    <w:rsid w:val="003E5B38"/>
    <w:rsid w:val="003F0106"/>
    <w:rsid w:val="003F025C"/>
    <w:rsid w:val="003F108C"/>
    <w:rsid w:val="003F6E89"/>
    <w:rsid w:val="003F78F0"/>
    <w:rsid w:val="00411F7A"/>
    <w:rsid w:val="00430165"/>
    <w:rsid w:val="00434371"/>
    <w:rsid w:val="004425AA"/>
    <w:rsid w:val="00456038"/>
    <w:rsid w:val="00462653"/>
    <w:rsid w:val="00467B80"/>
    <w:rsid w:val="0047120C"/>
    <w:rsid w:val="00471618"/>
    <w:rsid w:val="00474B1B"/>
    <w:rsid w:val="0047575F"/>
    <w:rsid w:val="004844EB"/>
    <w:rsid w:val="0048541F"/>
    <w:rsid w:val="0049313F"/>
    <w:rsid w:val="00494645"/>
    <w:rsid w:val="004A1210"/>
    <w:rsid w:val="004A19EB"/>
    <w:rsid w:val="004A32E6"/>
    <w:rsid w:val="004A3685"/>
    <w:rsid w:val="004B1D21"/>
    <w:rsid w:val="004B50BD"/>
    <w:rsid w:val="004B753E"/>
    <w:rsid w:val="004C437F"/>
    <w:rsid w:val="004C62F9"/>
    <w:rsid w:val="004C723A"/>
    <w:rsid w:val="004D6A1A"/>
    <w:rsid w:val="004E0408"/>
    <w:rsid w:val="004E0838"/>
    <w:rsid w:val="004E7EF1"/>
    <w:rsid w:val="004F48CF"/>
    <w:rsid w:val="0050109E"/>
    <w:rsid w:val="005065E6"/>
    <w:rsid w:val="0051385E"/>
    <w:rsid w:val="00514104"/>
    <w:rsid w:val="00515A30"/>
    <w:rsid w:val="00516447"/>
    <w:rsid w:val="00523826"/>
    <w:rsid w:val="0052537F"/>
    <w:rsid w:val="00527A18"/>
    <w:rsid w:val="00531F87"/>
    <w:rsid w:val="0053544D"/>
    <w:rsid w:val="00535E5C"/>
    <w:rsid w:val="0054263B"/>
    <w:rsid w:val="00543618"/>
    <w:rsid w:val="00547D97"/>
    <w:rsid w:val="00550AFD"/>
    <w:rsid w:val="00552212"/>
    <w:rsid w:val="005545DA"/>
    <w:rsid w:val="00555FBA"/>
    <w:rsid w:val="00557FCC"/>
    <w:rsid w:val="005619DB"/>
    <w:rsid w:val="005648EF"/>
    <w:rsid w:val="005659EE"/>
    <w:rsid w:val="0057158D"/>
    <w:rsid w:val="0057771F"/>
    <w:rsid w:val="005917C1"/>
    <w:rsid w:val="00592A51"/>
    <w:rsid w:val="005A22A6"/>
    <w:rsid w:val="005B3A78"/>
    <w:rsid w:val="005C56C9"/>
    <w:rsid w:val="005C5CCB"/>
    <w:rsid w:val="005D1AD3"/>
    <w:rsid w:val="005D3156"/>
    <w:rsid w:val="005E712D"/>
    <w:rsid w:val="005F1017"/>
    <w:rsid w:val="005F19FD"/>
    <w:rsid w:val="005F5A94"/>
    <w:rsid w:val="00614CA6"/>
    <w:rsid w:val="006272FE"/>
    <w:rsid w:val="00627E27"/>
    <w:rsid w:val="00647CC5"/>
    <w:rsid w:val="00651A64"/>
    <w:rsid w:val="00661D05"/>
    <w:rsid w:val="00667E2D"/>
    <w:rsid w:val="00675252"/>
    <w:rsid w:val="00681617"/>
    <w:rsid w:val="00682325"/>
    <w:rsid w:val="00682B93"/>
    <w:rsid w:val="0068336D"/>
    <w:rsid w:val="00683FA1"/>
    <w:rsid w:val="00685E76"/>
    <w:rsid w:val="00687304"/>
    <w:rsid w:val="00692BC2"/>
    <w:rsid w:val="00697184"/>
    <w:rsid w:val="00697DF2"/>
    <w:rsid w:val="006A74B6"/>
    <w:rsid w:val="006B2457"/>
    <w:rsid w:val="006B26D7"/>
    <w:rsid w:val="006B35C5"/>
    <w:rsid w:val="006E0D06"/>
    <w:rsid w:val="006E34FA"/>
    <w:rsid w:val="006E3575"/>
    <w:rsid w:val="006E62F0"/>
    <w:rsid w:val="006E7691"/>
    <w:rsid w:val="006F02ED"/>
    <w:rsid w:val="006F7581"/>
    <w:rsid w:val="006F7DC0"/>
    <w:rsid w:val="00702B5A"/>
    <w:rsid w:val="0070752A"/>
    <w:rsid w:val="007119D8"/>
    <w:rsid w:val="0071225B"/>
    <w:rsid w:val="00713866"/>
    <w:rsid w:val="007216DA"/>
    <w:rsid w:val="00724230"/>
    <w:rsid w:val="007340B5"/>
    <w:rsid w:val="007532AB"/>
    <w:rsid w:val="007572BC"/>
    <w:rsid w:val="00766F81"/>
    <w:rsid w:val="00770FFC"/>
    <w:rsid w:val="00786121"/>
    <w:rsid w:val="00787065"/>
    <w:rsid w:val="00792028"/>
    <w:rsid w:val="007A3A0E"/>
    <w:rsid w:val="007A612E"/>
    <w:rsid w:val="007B045B"/>
    <w:rsid w:val="007B1633"/>
    <w:rsid w:val="007C7289"/>
    <w:rsid w:val="007D168F"/>
    <w:rsid w:val="007D198E"/>
    <w:rsid w:val="007D2BCE"/>
    <w:rsid w:val="007D39CC"/>
    <w:rsid w:val="007E1675"/>
    <w:rsid w:val="007F7129"/>
    <w:rsid w:val="00801691"/>
    <w:rsid w:val="00806282"/>
    <w:rsid w:val="00813A6B"/>
    <w:rsid w:val="00815172"/>
    <w:rsid w:val="008211F2"/>
    <w:rsid w:val="0082168C"/>
    <w:rsid w:val="0083254A"/>
    <w:rsid w:val="0083264A"/>
    <w:rsid w:val="00832DB4"/>
    <w:rsid w:val="0083763B"/>
    <w:rsid w:val="00837F81"/>
    <w:rsid w:val="00843192"/>
    <w:rsid w:val="00845F81"/>
    <w:rsid w:val="00850A48"/>
    <w:rsid w:val="00853ECF"/>
    <w:rsid w:val="008557E1"/>
    <w:rsid w:val="0086735A"/>
    <w:rsid w:val="008703EF"/>
    <w:rsid w:val="0087099E"/>
    <w:rsid w:val="00872C4E"/>
    <w:rsid w:val="00875064"/>
    <w:rsid w:val="008812A8"/>
    <w:rsid w:val="00881431"/>
    <w:rsid w:val="00895065"/>
    <w:rsid w:val="008A475A"/>
    <w:rsid w:val="008A6339"/>
    <w:rsid w:val="008A637B"/>
    <w:rsid w:val="008B1617"/>
    <w:rsid w:val="008B34DB"/>
    <w:rsid w:val="008B7FBA"/>
    <w:rsid w:val="008C1739"/>
    <w:rsid w:val="008C3241"/>
    <w:rsid w:val="008D2D56"/>
    <w:rsid w:val="008D4A28"/>
    <w:rsid w:val="008D609F"/>
    <w:rsid w:val="008D7ECC"/>
    <w:rsid w:val="008E41F1"/>
    <w:rsid w:val="008E51AF"/>
    <w:rsid w:val="008F4C42"/>
    <w:rsid w:val="008F746C"/>
    <w:rsid w:val="009007E8"/>
    <w:rsid w:val="009022AA"/>
    <w:rsid w:val="0090292A"/>
    <w:rsid w:val="00902A25"/>
    <w:rsid w:val="00914128"/>
    <w:rsid w:val="009150CD"/>
    <w:rsid w:val="009321E9"/>
    <w:rsid w:val="00932723"/>
    <w:rsid w:val="00935DA8"/>
    <w:rsid w:val="00936D0A"/>
    <w:rsid w:val="00937FEA"/>
    <w:rsid w:val="00940E35"/>
    <w:rsid w:val="00950692"/>
    <w:rsid w:val="00952BBB"/>
    <w:rsid w:val="0095709A"/>
    <w:rsid w:val="009725D8"/>
    <w:rsid w:val="00973884"/>
    <w:rsid w:val="009902F2"/>
    <w:rsid w:val="009931B9"/>
    <w:rsid w:val="00993D46"/>
    <w:rsid w:val="009A5AA6"/>
    <w:rsid w:val="009B6746"/>
    <w:rsid w:val="009B750A"/>
    <w:rsid w:val="009B777F"/>
    <w:rsid w:val="009C0C3F"/>
    <w:rsid w:val="009C14D0"/>
    <w:rsid w:val="009D3029"/>
    <w:rsid w:val="009E20C7"/>
    <w:rsid w:val="009E2302"/>
    <w:rsid w:val="009E3DA4"/>
    <w:rsid w:val="009E4F11"/>
    <w:rsid w:val="009F581C"/>
    <w:rsid w:val="00A005E6"/>
    <w:rsid w:val="00A109BC"/>
    <w:rsid w:val="00A10F3D"/>
    <w:rsid w:val="00A110C7"/>
    <w:rsid w:val="00A137AF"/>
    <w:rsid w:val="00A20F8A"/>
    <w:rsid w:val="00A250A2"/>
    <w:rsid w:val="00A36457"/>
    <w:rsid w:val="00A3678B"/>
    <w:rsid w:val="00A50F20"/>
    <w:rsid w:val="00A606B1"/>
    <w:rsid w:val="00A632A0"/>
    <w:rsid w:val="00A7145D"/>
    <w:rsid w:val="00A73AE6"/>
    <w:rsid w:val="00A76341"/>
    <w:rsid w:val="00A80C10"/>
    <w:rsid w:val="00A82D0A"/>
    <w:rsid w:val="00A85AAA"/>
    <w:rsid w:val="00A87882"/>
    <w:rsid w:val="00A92C18"/>
    <w:rsid w:val="00AA2EED"/>
    <w:rsid w:val="00AB2019"/>
    <w:rsid w:val="00AB5FFA"/>
    <w:rsid w:val="00AB71A7"/>
    <w:rsid w:val="00AC78F7"/>
    <w:rsid w:val="00AD4B56"/>
    <w:rsid w:val="00AF580D"/>
    <w:rsid w:val="00AF7D47"/>
    <w:rsid w:val="00B0264D"/>
    <w:rsid w:val="00B06E97"/>
    <w:rsid w:val="00B14314"/>
    <w:rsid w:val="00B15A7A"/>
    <w:rsid w:val="00B170BD"/>
    <w:rsid w:val="00B20268"/>
    <w:rsid w:val="00B2028F"/>
    <w:rsid w:val="00B32E46"/>
    <w:rsid w:val="00B338E2"/>
    <w:rsid w:val="00B33FF6"/>
    <w:rsid w:val="00B35185"/>
    <w:rsid w:val="00B37722"/>
    <w:rsid w:val="00B46099"/>
    <w:rsid w:val="00B46A2F"/>
    <w:rsid w:val="00B567C1"/>
    <w:rsid w:val="00B579DF"/>
    <w:rsid w:val="00B6178E"/>
    <w:rsid w:val="00B6275E"/>
    <w:rsid w:val="00B70D68"/>
    <w:rsid w:val="00B719C2"/>
    <w:rsid w:val="00B72D6B"/>
    <w:rsid w:val="00B80FD1"/>
    <w:rsid w:val="00B81C66"/>
    <w:rsid w:val="00B81D5C"/>
    <w:rsid w:val="00B84E37"/>
    <w:rsid w:val="00B937E4"/>
    <w:rsid w:val="00B97801"/>
    <w:rsid w:val="00BA1C58"/>
    <w:rsid w:val="00BA2389"/>
    <w:rsid w:val="00BA27A8"/>
    <w:rsid w:val="00BA510E"/>
    <w:rsid w:val="00BA72D6"/>
    <w:rsid w:val="00BB344E"/>
    <w:rsid w:val="00BB5DBC"/>
    <w:rsid w:val="00BC49BF"/>
    <w:rsid w:val="00BC65EF"/>
    <w:rsid w:val="00BC681D"/>
    <w:rsid w:val="00BD0F7E"/>
    <w:rsid w:val="00BE2B09"/>
    <w:rsid w:val="00BE654D"/>
    <w:rsid w:val="00BE6634"/>
    <w:rsid w:val="00BF5DF3"/>
    <w:rsid w:val="00C16BD0"/>
    <w:rsid w:val="00C21D93"/>
    <w:rsid w:val="00C225C9"/>
    <w:rsid w:val="00C23BF5"/>
    <w:rsid w:val="00C26751"/>
    <w:rsid w:val="00C40968"/>
    <w:rsid w:val="00C473A2"/>
    <w:rsid w:val="00C60E95"/>
    <w:rsid w:val="00C610EC"/>
    <w:rsid w:val="00C724B6"/>
    <w:rsid w:val="00C7459A"/>
    <w:rsid w:val="00C75D6F"/>
    <w:rsid w:val="00C84E71"/>
    <w:rsid w:val="00C87463"/>
    <w:rsid w:val="00C8797B"/>
    <w:rsid w:val="00C93B0B"/>
    <w:rsid w:val="00C94C5E"/>
    <w:rsid w:val="00CA142A"/>
    <w:rsid w:val="00CA41CC"/>
    <w:rsid w:val="00CA5AF3"/>
    <w:rsid w:val="00CA7EF2"/>
    <w:rsid w:val="00CB008B"/>
    <w:rsid w:val="00CB08FF"/>
    <w:rsid w:val="00CB0CC1"/>
    <w:rsid w:val="00CB3564"/>
    <w:rsid w:val="00CC0502"/>
    <w:rsid w:val="00CC1603"/>
    <w:rsid w:val="00CC1AC8"/>
    <w:rsid w:val="00CC3F23"/>
    <w:rsid w:val="00CC6A95"/>
    <w:rsid w:val="00CC7E17"/>
    <w:rsid w:val="00CD4A7D"/>
    <w:rsid w:val="00CE4AA6"/>
    <w:rsid w:val="00CE593D"/>
    <w:rsid w:val="00CF07F1"/>
    <w:rsid w:val="00D00330"/>
    <w:rsid w:val="00D0050C"/>
    <w:rsid w:val="00D014AE"/>
    <w:rsid w:val="00D03157"/>
    <w:rsid w:val="00D03893"/>
    <w:rsid w:val="00D046AB"/>
    <w:rsid w:val="00D05926"/>
    <w:rsid w:val="00D06D8D"/>
    <w:rsid w:val="00D16901"/>
    <w:rsid w:val="00D23BD0"/>
    <w:rsid w:val="00D24F27"/>
    <w:rsid w:val="00D333AA"/>
    <w:rsid w:val="00D347CA"/>
    <w:rsid w:val="00D51E80"/>
    <w:rsid w:val="00D53848"/>
    <w:rsid w:val="00D53AC5"/>
    <w:rsid w:val="00D5484F"/>
    <w:rsid w:val="00D76E57"/>
    <w:rsid w:val="00D8125F"/>
    <w:rsid w:val="00D90972"/>
    <w:rsid w:val="00D90E67"/>
    <w:rsid w:val="00DA1796"/>
    <w:rsid w:val="00DA2814"/>
    <w:rsid w:val="00DB2C90"/>
    <w:rsid w:val="00DB44CA"/>
    <w:rsid w:val="00DC545A"/>
    <w:rsid w:val="00DC63A9"/>
    <w:rsid w:val="00DC66A6"/>
    <w:rsid w:val="00DC7533"/>
    <w:rsid w:val="00DD4ED4"/>
    <w:rsid w:val="00DE2930"/>
    <w:rsid w:val="00DF2CB7"/>
    <w:rsid w:val="00DF3BF1"/>
    <w:rsid w:val="00E007F8"/>
    <w:rsid w:val="00E058BA"/>
    <w:rsid w:val="00E111AA"/>
    <w:rsid w:val="00E172C8"/>
    <w:rsid w:val="00E21120"/>
    <w:rsid w:val="00E24E10"/>
    <w:rsid w:val="00E50187"/>
    <w:rsid w:val="00E55147"/>
    <w:rsid w:val="00E551EB"/>
    <w:rsid w:val="00E57CC7"/>
    <w:rsid w:val="00E64EA9"/>
    <w:rsid w:val="00E67638"/>
    <w:rsid w:val="00E70C9B"/>
    <w:rsid w:val="00E72FF1"/>
    <w:rsid w:val="00E7526A"/>
    <w:rsid w:val="00E7751B"/>
    <w:rsid w:val="00E87248"/>
    <w:rsid w:val="00E87C31"/>
    <w:rsid w:val="00E87FFB"/>
    <w:rsid w:val="00E93068"/>
    <w:rsid w:val="00E970B9"/>
    <w:rsid w:val="00E97281"/>
    <w:rsid w:val="00EB113C"/>
    <w:rsid w:val="00EB5133"/>
    <w:rsid w:val="00EC16F4"/>
    <w:rsid w:val="00EC17E3"/>
    <w:rsid w:val="00EC3919"/>
    <w:rsid w:val="00EC57D7"/>
    <w:rsid w:val="00EC77D1"/>
    <w:rsid w:val="00EC7C98"/>
    <w:rsid w:val="00ED119F"/>
    <w:rsid w:val="00ED33CD"/>
    <w:rsid w:val="00ED5E52"/>
    <w:rsid w:val="00ED7176"/>
    <w:rsid w:val="00ED75EA"/>
    <w:rsid w:val="00EF1E2D"/>
    <w:rsid w:val="00EF4043"/>
    <w:rsid w:val="00EF42D0"/>
    <w:rsid w:val="00EF68C4"/>
    <w:rsid w:val="00F022D4"/>
    <w:rsid w:val="00F062A4"/>
    <w:rsid w:val="00F32AA4"/>
    <w:rsid w:val="00F35FB2"/>
    <w:rsid w:val="00F573CF"/>
    <w:rsid w:val="00F57A2B"/>
    <w:rsid w:val="00F658E5"/>
    <w:rsid w:val="00F71E85"/>
    <w:rsid w:val="00F764F4"/>
    <w:rsid w:val="00F86F49"/>
    <w:rsid w:val="00F948A1"/>
    <w:rsid w:val="00FA333E"/>
    <w:rsid w:val="00FA3D57"/>
    <w:rsid w:val="00FA7B76"/>
    <w:rsid w:val="00FC69E3"/>
    <w:rsid w:val="00FD1EE6"/>
    <w:rsid w:val="00FD2DF4"/>
    <w:rsid w:val="00FD7D4E"/>
    <w:rsid w:val="00FE00D7"/>
    <w:rsid w:val="00FE156B"/>
    <w:rsid w:val="00FE5969"/>
    <w:rsid w:val="00FE607E"/>
    <w:rsid w:val="00FF171F"/>
    <w:rsid w:val="00FF5E01"/>
    <w:rsid w:val="00FF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D8AB"/>
  <w15:docId w15:val="{62DAF7E0-883A-4029-A6AB-8223BBF8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DD4ED4"/>
    <w:rPr>
      <w:sz w:val="22"/>
      <w:szCs w:val="26"/>
    </w:rPr>
  </w:style>
  <w:style w:type="character" w:styleId="UnresolvedMention">
    <w:name w:val="Unresolved Mention"/>
    <w:basedOn w:val="DefaultParagraphFont"/>
    <w:uiPriority w:val="99"/>
    <w:semiHidden/>
    <w:unhideWhenUsed/>
    <w:rsid w:val="00D76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0815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1B36-D406-4175-8C3F-87F817D2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5828</Words>
  <Characters>33223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dc:title>
  <dc:creator>Ellen Buckley</dc:creator>
  <cp:lastModifiedBy>beck, jeremy</cp:lastModifiedBy>
  <cp:revision>3</cp:revision>
  <dcterms:created xsi:type="dcterms:W3CDTF">2025-01-27T22:27:00Z</dcterms:created>
  <dcterms:modified xsi:type="dcterms:W3CDTF">2025-02-11T19:17:00Z</dcterms:modified>
</cp:coreProperties>
</file>