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80E3" w14:textId="03303EE8" w:rsidR="00CA41CC" w:rsidRPr="00914128" w:rsidRDefault="0068336D" w:rsidP="00914128">
      <w:pPr>
        <w:pStyle w:val="Heading1"/>
      </w:pPr>
      <w:r>
        <w:t xml:space="preserve">CHAPTER </w:t>
      </w:r>
      <w:r w:rsidR="006F7B49">
        <w:t>34</w:t>
      </w:r>
    </w:p>
    <w:p w14:paraId="440347E6" w14:textId="77777777" w:rsidR="00EC7C98" w:rsidRPr="00914128" w:rsidRDefault="006F7B49" w:rsidP="00914128">
      <w:pPr>
        <w:pStyle w:val="Heading1"/>
      </w:pPr>
      <w:r w:rsidRPr="006F7B49">
        <w:t>WILLS</w:t>
      </w:r>
    </w:p>
    <w:p w14:paraId="4CEA2EAD" w14:textId="77777777" w:rsidR="00533E74" w:rsidRDefault="000E72CD" w:rsidP="00D40616">
      <w:pPr>
        <w:pStyle w:val="ToC"/>
        <w:ind w:left="900" w:hanging="900"/>
      </w:pPr>
      <w:hyperlink w:anchor="a34_01" w:history="1">
        <w:r w:rsidRPr="001C5646">
          <w:rPr>
            <w:rStyle w:val="Hyperlink"/>
          </w:rPr>
          <w:t>34:1</w:t>
        </w:r>
      </w:hyperlink>
      <w:r w:rsidRPr="001C5646">
        <w:t xml:space="preserve"> </w:t>
      </w:r>
      <w:r w:rsidRPr="001C5646">
        <w:tab/>
        <w:t xml:space="preserve">Will Contest — Statement </w:t>
      </w:r>
      <w:r>
        <w:t>of the</w:t>
      </w:r>
      <w:r w:rsidRPr="001C5646">
        <w:t xml:space="preserve"> Case</w:t>
      </w:r>
    </w:p>
    <w:p w14:paraId="4F0D80CF" w14:textId="3EE5BE1B" w:rsidR="001C5646" w:rsidRDefault="000E72CD" w:rsidP="00D40616">
      <w:pPr>
        <w:pStyle w:val="ToC"/>
        <w:ind w:left="900" w:hanging="900"/>
      </w:pPr>
      <w:hyperlink w:anchor="a34_02" w:history="1">
        <w:r w:rsidRPr="001C5646">
          <w:rPr>
            <w:rStyle w:val="Hyperlink"/>
          </w:rPr>
          <w:t>34:2</w:t>
        </w:r>
      </w:hyperlink>
      <w:r w:rsidRPr="001C5646">
        <w:t xml:space="preserve"> </w:t>
      </w:r>
      <w:r w:rsidRPr="001C5646">
        <w:tab/>
        <w:t xml:space="preserve">Elements </w:t>
      </w:r>
      <w:r>
        <w:t xml:space="preserve">of </w:t>
      </w:r>
      <w:r w:rsidRPr="001C5646">
        <w:t xml:space="preserve">Proof </w:t>
      </w:r>
      <w:r>
        <w:t xml:space="preserve">of </w:t>
      </w:r>
      <w:r w:rsidRPr="001C5646">
        <w:t xml:space="preserve">Properly Executed, Signed, </w:t>
      </w:r>
      <w:r>
        <w:t>and</w:t>
      </w:r>
      <w:r w:rsidRPr="001C5646">
        <w:t xml:space="preserve"> Witnessed </w:t>
      </w:r>
      <w:r>
        <w:t>or</w:t>
      </w:r>
      <w:r w:rsidRPr="001C5646">
        <w:t xml:space="preserve"> </w:t>
      </w:r>
      <w:r w:rsidR="00FE5D48">
        <w:t>Notarized</w:t>
      </w:r>
      <w:r w:rsidR="00FE5D48" w:rsidRPr="001C5646">
        <w:t xml:space="preserve"> </w:t>
      </w:r>
      <w:r w:rsidRPr="001C5646">
        <w:t xml:space="preserve">Will — All Wills Except Self-Proved </w:t>
      </w:r>
      <w:r>
        <w:t>and</w:t>
      </w:r>
      <w:r w:rsidRPr="001C5646">
        <w:t xml:space="preserve"> Holographic</w:t>
      </w:r>
    </w:p>
    <w:p w14:paraId="5413567F" w14:textId="77777777" w:rsidR="001C5646" w:rsidRDefault="000E72CD" w:rsidP="00D40616">
      <w:pPr>
        <w:pStyle w:val="ToC"/>
        <w:ind w:left="900" w:hanging="900"/>
      </w:pPr>
      <w:hyperlink w:anchor="a34_03" w:history="1">
        <w:r w:rsidRPr="001C5646">
          <w:rPr>
            <w:rStyle w:val="Hyperlink"/>
          </w:rPr>
          <w:t>34:3</w:t>
        </w:r>
      </w:hyperlink>
      <w:r w:rsidRPr="001C5646">
        <w:t xml:space="preserve"> </w:t>
      </w:r>
      <w:r w:rsidRPr="001C5646">
        <w:tab/>
        <w:t>Conscious Presence — Defined</w:t>
      </w:r>
    </w:p>
    <w:p w14:paraId="631A5955" w14:textId="4497A488" w:rsidR="00B3791E" w:rsidRDefault="00B3791E" w:rsidP="00B3791E">
      <w:pPr>
        <w:pStyle w:val="ToC"/>
        <w:ind w:left="900" w:hanging="900"/>
      </w:pPr>
      <w:hyperlink w:anchor="a34_03a" w:history="1">
        <w:r w:rsidRPr="00B35C89">
          <w:rPr>
            <w:rStyle w:val="Hyperlink"/>
          </w:rPr>
          <w:t>34:3A</w:t>
        </w:r>
      </w:hyperlink>
      <w:r>
        <w:tab/>
        <w:t xml:space="preserve">Testator </w:t>
      </w:r>
      <w:r w:rsidRPr="00625453">
        <w:t>— Defined</w:t>
      </w:r>
    </w:p>
    <w:p w14:paraId="04E1FD54" w14:textId="096466DB" w:rsidR="00B3791E" w:rsidRDefault="00B3791E" w:rsidP="00B3791E">
      <w:pPr>
        <w:pStyle w:val="ToC"/>
        <w:ind w:left="900" w:hanging="900"/>
      </w:pPr>
      <w:hyperlink w:anchor="a34_03b" w:history="1">
        <w:r w:rsidRPr="00B35C89">
          <w:rPr>
            <w:rStyle w:val="Hyperlink"/>
          </w:rPr>
          <w:t>34:3B</w:t>
        </w:r>
      </w:hyperlink>
      <w:r>
        <w:tab/>
        <w:t xml:space="preserve">Devisee </w:t>
      </w:r>
      <w:r w:rsidRPr="00625453">
        <w:t>— Defined</w:t>
      </w:r>
    </w:p>
    <w:p w14:paraId="04EA230D" w14:textId="77777777" w:rsidR="001C5646" w:rsidRDefault="000E72CD" w:rsidP="00D40616">
      <w:pPr>
        <w:pStyle w:val="ToC"/>
        <w:ind w:left="900" w:hanging="900"/>
      </w:pPr>
      <w:hyperlink w:anchor="a34_04" w:history="1">
        <w:r w:rsidRPr="001C5646">
          <w:rPr>
            <w:rStyle w:val="Hyperlink"/>
          </w:rPr>
          <w:t>34:4</w:t>
        </w:r>
      </w:hyperlink>
      <w:r w:rsidRPr="001C5646">
        <w:t xml:space="preserve"> </w:t>
      </w:r>
      <w:r w:rsidRPr="001C5646">
        <w:tab/>
        <w:t xml:space="preserve">Witness Having </w:t>
      </w:r>
      <w:r>
        <w:t>an</w:t>
      </w:r>
      <w:r w:rsidRPr="001C5646">
        <w:t xml:space="preserve"> Interest Under </w:t>
      </w:r>
      <w:r>
        <w:t>the</w:t>
      </w:r>
      <w:r w:rsidRPr="001C5646">
        <w:t xml:space="preserve"> Will</w:t>
      </w:r>
    </w:p>
    <w:p w14:paraId="254F6631" w14:textId="77777777" w:rsidR="001C5646" w:rsidRDefault="000E72CD" w:rsidP="00D40616">
      <w:pPr>
        <w:pStyle w:val="ToC"/>
        <w:ind w:left="900" w:hanging="900"/>
      </w:pPr>
      <w:hyperlink w:anchor="a34_05" w:history="1">
        <w:r w:rsidRPr="001C5646">
          <w:rPr>
            <w:rStyle w:val="Hyperlink"/>
          </w:rPr>
          <w:t>34:5</w:t>
        </w:r>
      </w:hyperlink>
      <w:r w:rsidRPr="001C5646">
        <w:t xml:space="preserve"> </w:t>
      </w:r>
      <w:r w:rsidRPr="001C5646">
        <w:tab/>
        <w:t xml:space="preserve">Elements </w:t>
      </w:r>
      <w:r>
        <w:t xml:space="preserve">of </w:t>
      </w:r>
      <w:r w:rsidRPr="001C5646">
        <w:t xml:space="preserve">Proof </w:t>
      </w:r>
      <w:r>
        <w:t xml:space="preserve">of </w:t>
      </w:r>
      <w:r w:rsidRPr="001C5646">
        <w:t>Properly Executed Will — Self-Proved Will</w:t>
      </w:r>
    </w:p>
    <w:p w14:paraId="72102FAD" w14:textId="77777777" w:rsidR="001C5646" w:rsidRDefault="000E72CD" w:rsidP="00D40616">
      <w:pPr>
        <w:pStyle w:val="ToC"/>
        <w:ind w:left="900" w:hanging="900"/>
      </w:pPr>
      <w:hyperlink w:anchor="a34_06" w:history="1">
        <w:r w:rsidRPr="001C5646">
          <w:rPr>
            <w:rStyle w:val="Hyperlink"/>
          </w:rPr>
          <w:t>34:6</w:t>
        </w:r>
      </w:hyperlink>
      <w:r w:rsidRPr="001C5646">
        <w:t xml:space="preserve"> </w:t>
      </w:r>
      <w:r w:rsidRPr="001C5646">
        <w:tab/>
        <w:t xml:space="preserve">Elements </w:t>
      </w:r>
      <w:r>
        <w:t xml:space="preserve">of </w:t>
      </w:r>
      <w:r w:rsidRPr="001C5646">
        <w:t xml:space="preserve">Proof </w:t>
      </w:r>
      <w:r>
        <w:t xml:space="preserve">of </w:t>
      </w:r>
      <w:r w:rsidRPr="001C5646">
        <w:t>Properly Executed Will — Holographic Will</w:t>
      </w:r>
    </w:p>
    <w:p w14:paraId="720203CB" w14:textId="77777777" w:rsidR="001C5646" w:rsidRDefault="000E72CD" w:rsidP="00D40616">
      <w:pPr>
        <w:pStyle w:val="ToC"/>
        <w:ind w:left="900" w:hanging="900"/>
      </w:pPr>
      <w:hyperlink w:anchor="a34_07" w:history="1">
        <w:r w:rsidRPr="001C5646">
          <w:rPr>
            <w:rStyle w:val="Hyperlink"/>
          </w:rPr>
          <w:t>34:7</w:t>
        </w:r>
      </w:hyperlink>
      <w:r w:rsidRPr="001C5646">
        <w:t xml:space="preserve"> </w:t>
      </w:r>
      <w:r w:rsidRPr="001C5646">
        <w:tab/>
        <w:t>Testamentary Intent — Defined</w:t>
      </w:r>
    </w:p>
    <w:p w14:paraId="52587E01" w14:textId="26A99CE7" w:rsidR="001C5646" w:rsidRDefault="000E72CD" w:rsidP="00D40616">
      <w:pPr>
        <w:pStyle w:val="ToC"/>
        <w:ind w:left="900" w:hanging="900"/>
      </w:pPr>
      <w:hyperlink w:anchor="a34_08" w:history="1">
        <w:r w:rsidRPr="001C5646">
          <w:rPr>
            <w:rStyle w:val="Hyperlink"/>
          </w:rPr>
          <w:t>34:8</w:t>
        </w:r>
      </w:hyperlink>
      <w:r w:rsidRPr="001C5646">
        <w:t xml:space="preserve"> </w:t>
      </w:r>
      <w:r w:rsidRPr="001C5646">
        <w:tab/>
        <w:t xml:space="preserve">Revocation </w:t>
      </w:r>
      <w:r>
        <w:t>by</w:t>
      </w:r>
      <w:r w:rsidRPr="001C5646">
        <w:t xml:space="preserve"> Burning, Tearing, Canceling, Obliterating, </w:t>
      </w:r>
      <w:r>
        <w:t>or</w:t>
      </w:r>
      <w:r w:rsidRPr="001C5646">
        <w:t xml:space="preserve"> Destroying — Defined</w:t>
      </w:r>
    </w:p>
    <w:p w14:paraId="27E6BE90" w14:textId="764A0CFB" w:rsidR="001C5646" w:rsidRDefault="000E72CD" w:rsidP="00D40616">
      <w:pPr>
        <w:pStyle w:val="ToC"/>
        <w:ind w:left="900" w:hanging="900"/>
      </w:pPr>
      <w:hyperlink w:anchor="a34_09" w:history="1">
        <w:r w:rsidRPr="001C5646">
          <w:rPr>
            <w:rStyle w:val="Hyperlink"/>
          </w:rPr>
          <w:t>34:9</w:t>
        </w:r>
      </w:hyperlink>
      <w:r w:rsidRPr="001C5646">
        <w:t xml:space="preserve"> </w:t>
      </w:r>
      <w:r w:rsidRPr="001C5646">
        <w:tab/>
        <w:t xml:space="preserve">Presumption </w:t>
      </w:r>
      <w:r>
        <w:t xml:space="preserve">of </w:t>
      </w:r>
      <w:r w:rsidRPr="001C5646">
        <w:t xml:space="preserve">Revocation </w:t>
      </w:r>
      <w:r>
        <w:t xml:space="preserve">of </w:t>
      </w:r>
      <w:r w:rsidRPr="001C5646">
        <w:t xml:space="preserve">Lost Will </w:t>
      </w:r>
      <w:r>
        <w:t>or</w:t>
      </w:r>
      <w:r w:rsidRPr="001C5646">
        <w:t xml:space="preserve"> </w:t>
      </w:r>
      <w:r w:rsidR="00FE5D48">
        <w:t>Unavailable</w:t>
      </w:r>
      <w:r>
        <w:t xml:space="preserve"> </w:t>
      </w:r>
      <w:r w:rsidRPr="001C5646">
        <w:t>Will</w:t>
      </w:r>
    </w:p>
    <w:p w14:paraId="5A2957C1" w14:textId="3522DE8D" w:rsidR="001C5646" w:rsidRDefault="000E72CD" w:rsidP="00D40616">
      <w:pPr>
        <w:pStyle w:val="ToC"/>
        <w:ind w:left="900" w:hanging="900"/>
      </w:pPr>
      <w:hyperlink w:anchor="a34_10" w:history="1">
        <w:r w:rsidRPr="001C5646">
          <w:rPr>
            <w:rStyle w:val="Hyperlink"/>
          </w:rPr>
          <w:t>34:10</w:t>
        </w:r>
      </w:hyperlink>
      <w:r w:rsidRPr="001C5646">
        <w:tab/>
        <w:t xml:space="preserve">Burden </w:t>
      </w:r>
      <w:r>
        <w:t xml:space="preserve">of </w:t>
      </w:r>
      <w:r w:rsidRPr="001C5646">
        <w:t xml:space="preserve">Proof </w:t>
      </w:r>
      <w:r>
        <w:t>on</w:t>
      </w:r>
      <w:r w:rsidRPr="001C5646">
        <w:t xml:space="preserve"> Issues </w:t>
      </w:r>
      <w:r>
        <w:t xml:space="preserve">of </w:t>
      </w:r>
      <w:r w:rsidRPr="001C5646">
        <w:t>Sound Mind</w:t>
      </w:r>
      <w:r w:rsidR="00FE5D48">
        <w:t>,</w:t>
      </w:r>
      <w:r w:rsidRPr="001C5646">
        <w:t xml:space="preserve"> Testamentary Capacity</w:t>
      </w:r>
      <w:r w:rsidR="00FE5D48">
        <w:t>,</w:t>
      </w:r>
      <w:r w:rsidRPr="001C5646">
        <w:t xml:space="preserve"> Undue Influence</w:t>
      </w:r>
      <w:r w:rsidR="00FE5D48">
        <w:t>, and Insane Delusion</w:t>
      </w:r>
    </w:p>
    <w:p w14:paraId="7F185EDA" w14:textId="77777777" w:rsidR="001C5646" w:rsidRDefault="000E72CD" w:rsidP="00D40616">
      <w:pPr>
        <w:pStyle w:val="ToC"/>
        <w:ind w:left="900" w:hanging="900"/>
      </w:pPr>
      <w:hyperlink w:anchor="a34_11" w:history="1">
        <w:r w:rsidRPr="001C5646">
          <w:rPr>
            <w:rStyle w:val="Hyperlink"/>
          </w:rPr>
          <w:t>34:11</w:t>
        </w:r>
      </w:hyperlink>
      <w:r w:rsidRPr="001C5646">
        <w:tab/>
        <w:t xml:space="preserve">Testamentary Capacity </w:t>
      </w:r>
      <w:r>
        <w:t>and</w:t>
      </w:r>
      <w:r w:rsidRPr="001C5646">
        <w:t xml:space="preserve"> Sound Mind — Defined</w:t>
      </w:r>
    </w:p>
    <w:p w14:paraId="64FBC5EF" w14:textId="77777777" w:rsidR="006153FA" w:rsidRDefault="000E72CD" w:rsidP="00D40616">
      <w:pPr>
        <w:pStyle w:val="ToC"/>
        <w:ind w:left="900" w:hanging="900"/>
      </w:pPr>
      <w:hyperlink w:anchor="a34_12" w:history="1">
        <w:r w:rsidRPr="006153FA">
          <w:rPr>
            <w:rStyle w:val="Hyperlink"/>
          </w:rPr>
          <w:t>34:12</w:t>
        </w:r>
      </w:hyperlink>
      <w:r w:rsidRPr="006153FA">
        <w:t xml:space="preserve"> </w:t>
      </w:r>
      <w:r w:rsidRPr="006153FA">
        <w:tab/>
        <w:t>Insane Delusion — Defined</w:t>
      </w:r>
    </w:p>
    <w:p w14:paraId="1811BDDD" w14:textId="33319633" w:rsidR="00B3791E" w:rsidRDefault="00B3791E" w:rsidP="00B3791E">
      <w:pPr>
        <w:pStyle w:val="ToC"/>
        <w:ind w:left="900" w:hanging="900"/>
      </w:pPr>
      <w:hyperlink w:anchor="a34_13" w:history="1">
        <w:r w:rsidRPr="00594C24">
          <w:rPr>
            <w:rStyle w:val="Hyperlink"/>
          </w:rPr>
          <w:t>34:13</w:t>
        </w:r>
      </w:hyperlink>
      <w:r>
        <w:tab/>
        <w:t>Elements of Proof of Insane Delusion</w:t>
      </w:r>
    </w:p>
    <w:p w14:paraId="5A2EBA6E" w14:textId="77777777" w:rsidR="006153FA" w:rsidRDefault="000E72CD" w:rsidP="00D40616">
      <w:pPr>
        <w:pStyle w:val="ToC"/>
        <w:ind w:left="900" w:hanging="900"/>
      </w:pPr>
      <w:hyperlink w:anchor="a34_14" w:history="1">
        <w:r w:rsidRPr="006153FA">
          <w:rPr>
            <w:rStyle w:val="Hyperlink"/>
          </w:rPr>
          <w:t>34:14</w:t>
        </w:r>
      </w:hyperlink>
      <w:r w:rsidRPr="006153FA">
        <w:t xml:space="preserve"> </w:t>
      </w:r>
      <w:r w:rsidRPr="006153FA">
        <w:tab/>
        <w:t>Undue Influence — Defined</w:t>
      </w:r>
    </w:p>
    <w:p w14:paraId="4DB2E75A" w14:textId="77777777" w:rsidR="006153FA" w:rsidRDefault="000E72CD" w:rsidP="00D40616">
      <w:pPr>
        <w:pStyle w:val="ToC"/>
        <w:ind w:left="900" w:hanging="900"/>
      </w:pPr>
      <w:hyperlink w:anchor="a34_15" w:history="1">
        <w:r w:rsidRPr="006153FA">
          <w:rPr>
            <w:rStyle w:val="Hyperlink"/>
          </w:rPr>
          <w:t>34:15</w:t>
        </w:r>
      </w:hyperlink>
      <w:r w:rsidRPr="006153FA">
        <w:t xml:space="preserve"> </w:t>
      </w:r>
      <w:r w:rsidRPr="006153FA">
        <w:tab/>
        <w:t xml:space="preserve">Factors </w:t>
      </w:r>
      <w:r>
        <w:t>to</w:t>
      </w:r>
      <w:r w:rsidRPr="006153FA">
        <w:t xml:space="preserve"> Be Considered </w:t>
      </w:r>
      <w:r>
        <w:t>in</w:t>
      </w:r>
      <w:r w:rsidRPr="006153FA">
        <w:t xml:space="preserve"> Determining Undue Influence</w:t>
      </w:r>
    </w:p>
    <w:p w14:paraId="636235EB" w14:textId="77777777" w:rsidR="00625453" w:rsidRDefault="000E72CD" w:rsidP="00D40616">
      <w:pPr>
        <w:pStyle w:val="ToC"/>
        <w:ind w:left="900" w:hanging="900"/>
      </w:pPr>
      <w:hyperlink w:anchor="a34_16" w:history="1">
        <w:r w:rsidRPr="00625453">
          <w:rPr>
            <w:rStyle w:val="Hyperlink"/>
          </w:rPr>
          <w:t>34:16</w:t>
        </w:r>
      </w:hyperlink>
      <w:r w:rsidRPr="00625453">
        <w:t xml:space="preserve"> </w:t>
      </w:r>
      <w:r w:rsidRPr="00625453">
        <w:tab/>
        <w:t xml:space="preserve">Undue Influence — Presumption When Beneficiary </w:t>
      </w:r>
      <w:r>
        <w:t xml:space="preserve">in a </w:t>
      </w:r>
      <w:r w:rsidRPr="00625453">
        <w:t xml:space="preserve">Confidential </w:t>
      </w:r>
      <w:r>
        <w:t>or</w:t>
      </w:r>
      <w:r w:rsidRPr="00625453">
        <w:t xml:space="preserve"> Fiduciary Relationship</w:t>
      </w:r>
    </w:p>
    <w:p w14:paraId="49BB6A7D" w14:textId="77777777" w:rsidR="00625453" w:rsidRDefault="000E72CD" w:rsidP="00D40616">
      <w:pPr>
        <w:pStyle w:val="ToC"/>
        <w:ind w:left="900" w:hanging="900"/>
      </w:pPr>
      <w:hyperlink w:anchor="a34_17" w:history="1">
        <w:r w:rsidRPr="00625453">
          <w:rPr>
            <w:rStyle w:val="Hyperlink"/>
          </w:rPr>
          <w:t>34:17</w:t>
        </w:r>
      </w:hyperlink>
      <w:r w:rsidRPr="00625453">
        <w:tab/>
        <w:t xml:space="preserve">Undue Influence ― Permissible Inference When Presumption </w:t>
      </w:r>
      <w:r>
        <w:t xml:space="preserve">of </w:t>
      </w:r>
      <w:r w:rsidRPr="00625453">
        <w:t>Undue Influence Is Rebutted</w:t>
      </w:r>
    </w:p>
    <w:p w14:paraId="36EE30CD" w14:textId="0C9262B0" w:rsidR="00D40616" w:rsidRDefault="000E72CD" w:rsidP="00D40616">
      <w:pPr>
        <w:pStyle w:val="ToC"/>
        <w:ind w:left="900" w:hanging="900"/>
      </w:pPr>
      <w:hyperlink w:anchor="a34_18" w:history="1">
        <w:r w:rsidRPr="00625453">
          <w:rPr>
            <w:rStyle w:val="Hyperlink"/>
          </w:rPr>
          <w:t>34:18</w:t>
        </w:r>
      </w:hyperlink>
      <w:r w:rsidRPr="00625453">
        <w:t xml:space="preserve"> </w:t>
      </w:r>
      <w:r w:rsidRPr="00625453">
        <w:tab/>
        <w:t>Confidential Relationship — Defined</w:t>
      </w:r>
    </w:p>
    <w:p w14:paraId="7B01FBD8" w14:textId="77777777" w:rsidR="00625453" w:rsidRDefault="000E72CD" w:rsidP="00D40616">
      <w:pPr>
        <w:pStyle w:val="ToC"/>
        <w:ind w:left="900" w:hanging="900"/>
      </w:pPr>
      <w:hyperlink w:anchor="a34_19" w:history="1">
        <w:r w:rsidRPr="00625453">
          <w:rPr>
            <w:rStyle w:val="Hyperlink"/>
          </w:rPr>
          <w:t>34:19</w:t>
        </w:r>
      </w:hyperlink>
      <w:r w:rsidRPr="00625453">
        <w:tab/>
        <w:t>Fiduciary Relationship — Defined</w:t>
      </w:r>
    </w:p>
    <w:p w14:paraId="1627885B" w14:textId="67EA69F8" w:rsidR="00625453" w:rsidRDefault="000E72CD" w:rsidP="00D40616">
      <w:pPr>
        <w:pStyle w:val="ToC"/>
        <w:ind w:left="900" w:hanging="900"/>
      </w:pPr>
      <w:hyperlink w:anchor="a34_20" w:history="1">
        <w:r w:rsidRPr="00625453">
          <w:rPr>
            <w:rStyle w:val="Hyperlink"/>
          </w:rPr>
          <w:t>34:20</w:t>
        </w:r>
      </w:hyperlink>
      <w:r w:rsidRPr="00625453">
        <w:t xml:space="preserve"> </w:t>
      </w:r>
      <w:r w:rsidRPr="00625453">
        <w:tab/>
        <w:t xml:space="preserve">Verdict Form </w:t>
      </w:r>
      <w:r>
        <w:t>f</w:t>
      </w:r>
      <w:r w:rsidRPr="00625453">
        <w:t>or Proponent</w:t>
      </w:r>
    </w:p>
    <w:p w14:paraId="612E6ABE" w14:textId="5734302D" w:rsidR="008B491E" w:rsidRDefault="000E72CD" w:rsidP="00DF7E1B">
      <w:pPr>
        <w:pStyle w:val="ToC"/>
        <w:ind w:left="900" w:hanging="900"/>
      </w:pPr>
      <w:hyperlink w:anchor="a34_21" w:history="1">
        <w:r w:rsidRPr="00625453">
          <w:rPr>
            <w:rStyle w:val="Hyperlink"/>
          </w:rPr>
          <w:t>34:21</w:t>
        </w:r>
      </w:hyperlink>
      <w:r>
        <w:t xml:space="preserve"> </w:t>
      </w:r>
      <w:r>
        <w:tab/>
        <w:t>Verdict Form f</w:t>
      </w:r>
      <w:r w:rsidRPr="00625453">
        <w:t>or Contestant</w:t>
      </w:r>
    </w:p>
    <w:p w14:paraId="684766AE" w14:textId="4B65E833" w:rsidR="00352111" w:rsidRPr="00352111" w:rsidRDefault="00352111">
      <w:pPr>
        <w:rPr>
          <w:rFonts w:eastAsia="Times New Roman"/>
          <w:sz w:val="24"/>
          <w:szCs w:val="24"/>
        </w:rPr>
      </w:pPr>
      <w:r w:rsidRPr="00352111">
        <w:rPr>
          <w:rFonts w:eastAsia="Times New Roman"/>
          <w:sz w:val="24"/>
          <w:szCs w:val="24"/>
        </w:rPr>
        <w:br w:type="page"/>
      </w:r>
    </w:p>
    <w:p w14:paraId="163B2191" w14:textId="77777777" w:rsidR="009E3DA4" w:rsidRPr="009E3DA4" w:rsidRDefault="006F7B49" w:rsidP="00CC0502">
      <w:pPr>
        <w:spacing w:after="240"/>
        <w:ind w:left="720" w:hanging="720"/>
        <w:rPr>
          <w:rFonts w:eastAsia="Times New Roman"/>
          <w:b/>
          <w:sz w:val="24"/>
          <w:szCs w:val="24"/>
        </w:rPr>
      </w:pPr>
      <w:bookmarkStart w:id="0" w:name="a34_01"/>
      <w:bookmarkEnd w:id="0"/>
      <w:r w:rsidRPr="006F7B49">
        <w:rPr>
          <w:rFonts w:eastAsia="Times New Roman"/>
          <w:b/>
          <w:sz w:val="24"/>
          <w:szCs w:val="24"/>
        </w:rPr>
        <w:lastRenderedPageBreak/>
        <w:t xml:space="preserve">34:1 </w:t>
      </w:r>
      <w:r w:rsidRPr="006F7B49">
        <w:rPr>
          <w:rFonts w:eastAsia="Times New Roman"/>
          <w:b/>
          <w:sz w:val="24"/>
          <w:szCs w:val="24"/>
        </w:rPr>
        <w:tab/>
        <w:t>WILL CONTEST — STATEMENT OF THE CASE</w:t>
      </w:r>
    </w:p>
    <w:p w14:paraId="758370EB"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 (The Court) will now instruct you as to the claims of each party to the case and the law governing the case. Please pay close attention to these instructions. You must all agree on your verdict. You must apply the law to the facts.</w:t>
      </w:r>
    </w:p>
    <w:p w14:paraId="4E8FDEE2"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parties to the case are:</w:t>
      </w:r>
    </w:p>
    <w:p w14:paraId="00665328" w14:textId="431475BB"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w:t>
      </w:r>
      <w:r w:rsidRPr="006F7B49">
        <w:rPr>
          <w:rFonts w:eastAsia="Times New Roman"/>
          <w:i/>
          <w:sz w:val="24"/>
          <w:szCs w:val="24"/>
        </w:rPr>
        <w:t>(name)</w:t>
      </w:r>
      <w:r w:rsidRPr="006F7B49">
        <w:rPr>
          <w:rFonts w:eastAsia="Times New Roman"/>
          <w:b/>
          <w:sz w:val="24"/>
          <w:szCs w:val="24"/>
        </w:rPr>
        <w:t xml:space="preserve">, who is the party offering the </w:t>
      </w:r>
      <w:r w:rsidR="001B01F2">
        <w:rPr>
          <w:rFonts w:eastAsia="Times New Roman"/>
          <w:b/>
          <w:sz w:val="24"/>
          <w:szCs w:val="24"/>
        </w:rPr>
        <w:t>W</w:t>
      </w:r>
      <w:r w:rsidRPr="006F7B49">
        <w:rPr>
          <w:rFonts w:eastAsia="Times New Roman"/>
          <w:b/>
          <w:sz w:val="24"/>
          <w:szCs w:val="24"/>
        </w:rPr>
        <w:t xml:space="preserve">ill for probate, and the contestant, </w:t>
      </w:r>
      <w:r w:rsidRPr="006F7B49">
        <w:rPr>
          <w:rFonts w:eastAsia="Times New Roman"/>
          <w:i/>
          <w:sz w:val="24"/>
          <w:szCs w:val="24"/>
        </w:rPr>
        <w:t>(name)</w:t>
      </w:r>
      <w:r w:rsidRPr="006F7B49">
        <w:rPr>
          <w:rFonts w:eastAsia="Times New Roman"/>
          <w:b/>
          <w:sz w:val="24"/>
          <w:szCs w:val="24"/>
        </w:rPr>
        <w:t xml:space="preserve">, who is the party objecting to the admission of the </w:t>
      </w:r>
      <w:r w:rsidR="001B01F2">
        <w:rPr>
          <w:rFonts w:eastAsia="Times New Roman"/>
          <w:b/>
          <w:sz w:val="24"/>
          <w:szCs w:val="24"/>
        </w:rPr>
        <w:t>W</w:t>
      </w:r>
      <w:r w:rsidRPr="006F7B49">
        <w:rPr>
          <w:rFonts w:eastAsia="Times New Roman"/>
          <w:b/>
          <w:sz w:val="24"/>
          <w:szCs w:val="24"/>
        </w:rPr>
        <w:t>ill to probate.</w:t>
      </w:r>
    </w:p>
    <w:p w14:paraId="7090CAD8" w14:textId="17712FB6"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claims the offered </w:t>
      </w:r>
      <w:r w:rsidR="001B01F2">
        <w:rPr>
          <w:rFonts w:eastAsia="Times New Roman"/>
          <w:b/>
          <w:sz w:val="24"/>
          <w:szCs w:val="24"/>
        </w:rPr>
        <w:t>W</w:t>
      </w:r>
      <w:r w:rsidRPr="006F7B49">
        <w:rPr>
          <w:rFonts w:eastAsia="Times New Roman"/>
          <w:b/>
          <w:sz w:val="24"/>
          <w:szCs w:val="24"/>
        </w:rPr>
        <w:t xml:space="preserve">ill was properly signed by </w:t>
      </w:r>
      <w:r w:rsidRPr="006F7B49">
        <w:rPr>
          <w:rFonts w:eastAsia="Times New Roman"/>
          <w:i/>
          <w:sz w:val="24"/>
          <w:szCs w:val="24"/>
        </w:rPr>
        <w:t>[name of testator]</w:t>
      </w:r>
      <w:r w:rsidRPr="006F7B49">
        <w:rPr>
          <w:rFonts w:eastAsia="Times New Roman"/>
          <w:b/>
          <w:sz w:val="24"/>
          <w:szCs w:val="24"/>
        </w:rPr>
        <w:t xml:space="preserve"> as </w:t>
      </w:r>
      <w:r w:rsidR="00172753" w:rsidRPr="00172753">
        <w:rPr>
          <w:rFonts w:eastAsia="Times New Roman"/>
          <w:bCs/>
          <w:i/>
          <w:iCs/>
          <w:sz w:val="24"/>
          <w:szCs w:val="24"/>
        </w:rPr>
        <w:t xml:space="preserve">[insert </w:t>
      </w:r>
      <w:r w:rsidR="001F19AC">
        <w:rPr>
          <w:rFonts w:eastAsia="Times New Roman"/>
          <w:bCs/>
          <w:i/>
          <w:iCs/>
          <w:sz w:val="24"/>
          <w:szCs w:val="24"/>
        </w:rPr>
        <w:t>applicable</w:t>
      </w:r>
      <w:r w:rsidR="00172753" w:rsidRPr="00172753">
        <w:rPr>
          <w:rFonts w:eastAsia="Times New Roman"/>
          <w:bCs/>
          <w:i/>
          <w:iCs/>
          <w:sz w:val="24"/>
          <w:szCs w:val="24"/>
        </w:rPr>
        <w:t xml:space="preserve"> pronoun]</w:t>
      </w:r>
      <w:r w:rsidRPr="006F7B49">
        <w:rPr>
          <w:rFonts w:eastAsia="Times New Roman"/>
          <w:b/>
          <w:sz w:val="24"/>
          <w:szCs w:val="24"/>
        </w:rPr>
        <w:t xml:space="preserve"> [signed and witnessed] [signed and acknowledged] [self-proved] [or] [holographic] </w:t>
      </w:r>
      <w:r w:rsidR="001B01F2">
        <w:rPr>
          <w:rFonts w:eastAsia="Times New Roman"/>
          <w:b/>
          <w:sz w:val="24"/>
          <w:szCs w:val="24"/>
        </w:rPr>
        <w:t>W</w:t>
      </w:r>
      <w:r w:rsidRPr="006F7B49">
        <w:rPr>
          <w:rFonts w:eastAsia="Times New Roman"/>
          <w:b/>
          <w:sz w:val="24"/>
          <w:szCs w:val="24"/>
        </w:rPr>
        <w:t>ill.)</w:t>
      </w:r>
    </w:p>
    <w:p w14:paraId="7DC2ABD7" w14:textId="781476D6"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(Even though the court has determined that the offered </w:t>
      </w:r>
      <w:r w:rsidR="001B01F2">
        <w:rPr>
          <w:rFonts w:eastAsia="Times New Roman"/>
          <w:b/>
          <w:sz w:val="24"/>
          <w:szCs w:val="24"/>
        </w:rPr>
        <w:t>W</w:t>
      </w:r>
      <w:r w:rsidRPr="006F7B49">
        <w:rPr>
          <w:rFonts w:eastAsia="Times New Roman"/>
          <w:b/>
          <w:sz w:val="24"/>
          <w:szCs w:val="24"/>
        </w:rPr>
        <w:t xml:space="preserve">ill was not properly signed by </w:t>
      </w:r>
      <w:r w:rsidRPr="006F7B49">
        <w:rPr>
          <w:rFonts w:eastAsia="Times New Roman"/>
          <w:i/>
          <w:sz w:val="24"/>
          <w:szCs w:val="24"/>
        </w:rPr>
        <w:t>[name of testator]</w:t>
      </w:r>
      <w:r w:rsidRPr="006F7B49">
        <w:rPr>
          <w:rFonts w:eastAsia="Times New Roman"/>
          <w:sz w:val="24"/>
          <w:szCs w:val="24"/>
        </w:rPr>
        <w:t>,</w:t>
      </w:r>
      <w:r w:rsidRPr="006F7B49">
        <w:rPr>
          <w:rFonts w:eastAsia="Times New Roman"/>
          <w:b/>
          <w:sz w:val="24"/>
          <w:szCs w:val="24"/>
        </w:rPr>
        <w:t xml:space="preserve"> the court has also determined that it should nonetheless be treated as if it had been properly signed as </w:t>
      </w:r>
      <w:r w:rsidR="00172753" w:rsidRPr="00172753">
        <w:rPr>
          <w:rFonts w:eastAsia="Times New Roman"/>
          <w:bCs/>
          <w:i/>
          <w:iCs/>
          <w:sz w:val="24"/>
          <w:szCs w:val="24"/>
        </w:rPr>
        <w:t xml:space="preserve">[insert </w:t>
      </w:r>
      <w:r w:rsidR="001F19AC">
        <w:rPr>
          <w:rFonts w:eastAsia="Times New Roman"/>
          <w:bCs/>
          <w:i/>
          <w:iCs/>
          <w:sz w:val="24"/>
          <w:szCs w:val="24"/>
        </w:rPr>
        <w:t>applicable</w:t>
      </w:r>
      <w:r w:rsidR="001F19AC" w:rsidRPr="00172753">
        <w:rPr>
          <w:rFonts w:eastAsia="Times New Roman"/>
          <w:bCs/>
          <w:i/>
          <w:iCs/>
          <w:sz w:val="24"/>
          <w:szCs w:val="24"/>
        </w:rPr>
        <w:t xml:space="preserve"> </w:t>
      </w:r>
      <w:r w:rsidR="00172753" w:rsidRPr="00172753">
        <w:rPr>
          <w:rFonts w:eastAsia="Times New Roman"/>
          <w:bCs/>
          <w:i/>
          <w:iCs/>
          <w:sz w:val="24"/>
          <w:szCs w:val="24"/>
        </w:rPr>
        <w:t>pronoun]</w:t>
      </w:r>
      <w:r w:rsidRPr="006F7B49">
        <w:rPr>
          <w:rFonts w:eastAsia="Times New Roman"/>
          <w:b/>
          <w:sz w:val="24"/>
          <w:szCs w:val="24"/>
        </w:rPr>
        <w:t xml:space="preserve"> [signed and witnessed] [signed and acknowledged] [or] [holographic] </w:t>
      </w:r>
      <w:r w:rsidR="001B01F2">
        <w:rPr>
          <w:rFonts w:eastAsia="Times New Roman"/>
          <w:b/>
          <w:sz w:val="24"/>
          <w:szCs w:val="24"/>
        </w:rPr>
        <w:t>W</w:t>
      </w:r>
      <w:r w:rsidRPr="006F7B49">
        <w:rPr>
          <w:rFonts w:eastAsia="Times New Roman"/>
          <w:b/>
          <w:sz w:val="24"/>
          <w:szCs w:val="24"/>
        </w:rPr>
        <w:t>ill.)</w:t>
      </w:r>
    </w:p>
    <w:p w14:paraId="30474A92" w14:textId="1AE46993"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contestant claims that the </w:t>
      </w:r>
      <w:r w:rsidR="001B01F2">
        <w:rPr>
          <w:rFonts w:eastAsia="Times New Roman"/>
          <w:b/>
          <w:sz w:val="24"/>
          <w:szCs w:val="24"/>
        </w:rPr>
        <w:t>W</w:t>
      </w:r>
      <w:r w:rsidRPr="006F7B49">
        <w:rPr>
          <w:rFonts w:eastAsia="Times New Roman"/>
          <w:b/>
          <w:sz w:val="24"/>
          <w:szCs w:val="24"/>
        </w:rPr>
        <w:t>ill should not be admitted to probate because:</w:t>
      </w:r>
    </w:p>
    <w:p w14:paraId="3A04996F" w14:textId="77777777" w:rsidR="006F7B49" w:rsidRPr="006F7B49" w:rsidRDefault="006F7B49" w:rsidP="006F7B49">
      <w:pPr>
        <w:spacing w:after="240"/>
        <w:ind w:left="720" w:firstLine="720"/>
        <w:rPr>
          <w:rFonts w:eastAsia="Times New Roman"/>
          <w:i/>
          <w:sz w:val="24"/>
          <w:szCs w:val="24"/>
        </w:rPr>
      </w:pPr>
      <w:r w:rsidRPr="006F7B49">
        <w:rPr>
          <w:rFonts w:eastAsia="Times New Roman"/>
          <w:i/>
          <w:sz w:val="24"/>
          <w:szCs w:val="24"/>
        </w:rPr>
        <w:t>(insert the basis of the objection).</w:t>
      </w:r>
    </w:p>
    <w:p w14:paraId="5D7EFB5C"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These are the issues you are to determine, but are not to be considered by you as evidence in the case.</w:t>
      </w:r>
    </w:p>
    <w:p w14:paraId="6B7DCF90" w14:textId="77777777" w:rsidR="00832DB4" w:rsidRDefault="00832DB4" w:rsidP="0054263B">
      <w:pPr>
        <w:jc w:val="center"/>
        <w:rPr>
          <w:rFonts w:eastAsia="Times New Roman"/>
          <w:sz w:val="24"/>
          <w:szCs w:val="24"/>
        </w:rPr>
      </w:pPr>
    </w:p>
    <w:p w14:paraId="5490AAAB"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CF03691" w14:textId="3D178A5B"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Use the first parenthesized paragraph unless the court has determined as a matter of law under section 15-11-503(1), C.R.S., that the offered document or writing “was not executed in compliance with section 15-11-502.” Use the second parenthesized paragraph if a valid will exists under section 15-11-503, when the evidence is not sufficient for a reasonable jury to find by a preponderance of the evidence that the will was properly executed as a signed and witnessed will under section 15-11-502(1), C.R.S.,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w:t>
      </w:r>
      <w:r w:rsidRPr="006F7B49">
        <w:rPr>
          <w:rFonts w:eastAsia="Times New Roman"/>
          <w:sz w:val="24"/>
          <w:szCs w:val="24"/>
        </w:rPr>
        <w:lastRenderedPageBreak/>
        <w:t xml:space="preserve">signed may be recognized as a will under this statute); </w:t>
      </w:r>
      <w:r w:rsidRPr="006F7B49">
        <w:rPr>
          <w:rFonts w:eastAsia="Times New Roman"/>
          <w:b/>
          <w:sz w:val="24"/>
          <w:szCs w:val="24"/>
        </w:rPr>
        <w:t>In re Estate of Sky Dancer</w:t>
      </w:r>
      <w:r w:rsidRPr="006F7B49">
        <w:rPr>
          <w:rFonts w:eastAsia="Times New Roman"/>
          <w:sz w:val="24"/>
          <w:szCs w:val="24"/>
        </w:rPr>
        <w:t>, 13 P.3d 1231 (Colo. App. 2000) (inadequate basis to find a will under this statute).</w:t>
      </w:r>
    </w:p>
    <w:p w14:paraId="366A275A"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2. Use whichever other parenthesized or bracketed portions of the instruction are appropriate to the evidence in the case.</w:t>
      </w:r>
    </w:p>
    <w:p w14:paraId="217476E6" w14:textId="527CF775"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3. If the parties have stipulated pursuant to C.R.C.P. 48 to having the jury’s verdict based on some stated majority rather than requiring it to be unanimous, this instruction </w:t>
      </w:r>
      <w:r w:rsidR="00285CB9">
        <w:rPr>
          <w:rFonts w:eastAsia="Times New Roman"/>
          <w:sz w:val="24"/>
          <w:szCs w:val="24"/>
        </w:rPr>
        <w:t>should</w:t>
      </w:r>
      <w:r w:rsidRPr="006F7B49">
        <w:rPr>
          <w:rFonts w:eastAsia="Times New Roman"/>
          <w:sz w:val="24"/>
          <w:szCs w:val="24"/>
        </w:rPr>
        <w:t xml:space="preserve"> be appropriately modified.</w:t>
      </w:r>
    </w:p>
    <w:p w14:paraId="0C0208CF"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4. If the contest relates only to a codicil or to a will with one or more codicils, appropriate modifications should be made in this instruction.</w:t>
      </w:r>
    </w:p>
    <w:p w14:paraId="4518A9F7" w14:textId="03078BA0" w:rsidR="006F7B49" w:rsidRDefault="006F7B49" w:rsidP="006F7B49">
      <w:pPr>
        <w:spacing w:after="240"/>
        <w:ind w:firstLine="720"/>
        <w:rPr>
          <w:rFonts w:eastAsia="Times New Roman"/>
          <w:sz w:val="24"/>
          <w:szCs w:val="24"/>
        </w:rPr>
      </w:pPr>
      <w:r w:rsidRPr="006F7B49">
        <w:rPr>
          <w:rFonts w:eastAsia="Times New Roman"/>
          <w:sz w:val="24"/>
          <w:szCs w:val="24"/>
        </w:rPr>
        <w:t xml:space="preserve">5. If the will contains an </w:t>
      </w:r>
      <w:r w:rsidRPr="006F7B49">
        <w:rPr>
          <w:rFonts w:eastAsia="Times New Roman"/>
          <w:i/>
          <w:sz w:val="24"/>
          <w:szCs w:val="24"/>
        </w:rPr>
        <w:t>in terrorem</w:t>
      </w:r>
      <w:r w:rsidRPr="006F7B49">
        <w:rPr>
          <w:rFonts w:eastAsia="Times New Roman"/>
          <w:sz w:val="24"/>
          <w:szCs w:val="24"/>
        </w:rPr>
        <w:t xml:space="preserve"> (no contest) clause, courts generally will not enforce that clause when a beneficiary acts in good faith and has probable cause to challenge the will. </w:t>
      </w:r>
      <w:r w:rsidRPr="006F7B49">
        <w:rPr>
          <w:rFonts w:eastAsia="Times New Roman"/>
          <w:b/>
          <w:sz w:val="24"/>
          <w:szCs w:val="24"/>
        </w:rPr>
        <w:t>In re Estate of Peppler</w:t>
      </w:r>
      <w:r w:rsidRPr="006F7B49">
        <w:rPr>
          <w:rFonts w:eastAsia="Times New Roman"/>
          <w:sz w:val="24"/>
          <w:szCs w:val="24"/>
        </w:rPr>
        <w:t xml:space="preserve">, 971 P.2d 694 (Colo. App. 1998). “In the context of wills, probable cause is ‘the existence, at the time of the initiation of the proceeding, of evidence which would lead a reasonable person, properly informed and advised, to conclude that there is a substantial likelihood that the contest or attack will be successful.’” </w:t>
      </w:r>
      <w:r w:rsidR="00984936" w:rsidRPr="002F5B7D">
        <w:rPr>
          <w:rFonts w:eastAsia="Times New Roman"/>
          <w:i/>
          <w:sz w:val="24"/>
          <w:szCs w:val="24"/>
        </w:rPr>
        <w:t>Id.</w:t>
      </w:r>
      <w:r w:rsidR="00F23E0D" w:rsidRPr="00706A17">
        <w:rPr>
          <w:rFonts w:eastAsia="Times New Roman"/>
          <w:sz w:val="24"/>
          <w:szCs w:val="24"/>
        </w:rPr>
        <w:t xml:space="preserve"> </w:t>
      </w:r>
      <w:r w:rsidRPr="006F7B49">
        <w:rPr>
          <w:rFonts w:eastAsia="Times New Roman"/>
          <w:sz w:val="24"/>
          <w:szCs w:val="24"/>
        </w:rPr>
        <w:t xml:space="preserve">at 697; </w:t>
      </w:r>
      <w:r w:rsidRPr="006F7B49">
        <w:rPr>
          <w:rFonts w:eastAsia="Times New Roman"/>
          <w:i/>
          <w:sz w:val="24"/>
          <w:szCs w:val="24"/>
        </w:rPr>
        <w:t>accord</w:t>
      </w:r>
      <w:r w:rsidRPr="006F7B49">
        <w:rPr>
          <w:rFonts w:eastAsia="Times New Roman"/>
          <w:sz w:val="24"/>
          <w:szCs w:val="24"/>
        </w:rPr>
        <w:t xml:space="preserve"> </w:t>
      </w:r>
      <w:r w:rsidRPr="006F7B49">
        <w:rPr>
          <w:rFonts w:eastAsia="Times New Roman"/>
          <w:smallCaps/>
          <w:sz w:val="24"/>
          <w:szCs w:val="24"/>
        </w:rPr>
        <w:t>Restatement (Second) of Property</w:t>
      </w:r>
      <w:r w:rsidRPr="006F7B49">
        <w:rPr>
          <w:rFonts w:eastAsia="Times New Roman"/>
          <w:sz w:val="24"/>
          <w:szCs w:val="24"/>
        </w:rPr>
        <w:t xml:space="preserve"> § 9.1 cmt. j (1981). </w:t>
      </w:r>
      <w:r w:rsidR="00984936">
        <w:rPr>
          <w:rFonts w:eastAsia="Times New Roman"/>
          <w:sz w:val="24"/>
          <w:szCs w:val="24"/>
        </w:rPr>
        <w:t xml:space="preserve">Additionally, no-contest clauses in wills are to be strictly construed, and forfeiture is to be avoided if possible. </w:t>
      </w:r>
      <w:r w:rsidR="00984936" w:rsidRPr="00E50BFE">
        <w:rPr>
          <w:rFonts w:eastAsia="Times New Roman"/>
          <w:b/>
          <w:sz w:val="24"/>
          <w:szCs w:val="24"/>
        </w:rPr>
        <w:t>Sandstead-Corona v. Sandstead</w:t>
      </w:r>
      <w:r w:rsidR="00984936">
        <w:rPr>
          <w:rFonts w:eastAsia="Times New Roman"/>
          <w:sz w:val="24"/>
          <w:szCs w:val="24"/>
        </w:rPr>
        <w:t xml:space="preserve">, 2018 CO 26, ¶ 60, 415 P.3d 310. </w:t>
      </w:r>
      <w:r w:rsidRPr="006F7B49">
        <w:rPr>
          <w:rFonts w:eastAsia="Times New Roman"/>
          <w:sz w:val="24"/>
          <w:szCs w:val="24"/>
        </w:rPr>
        <w:t xml:space="preserve">The court must first determine as a matter of law if the </w:t>
      </w:r>
      <w:r w:rsidRPr="006F7B49">
        <w:rPr>
          <w:rFonts w:eastAsia="Times New Roman"/>
          <w:i/>
          <w:sz w:val="24"/>
          <w:szCs w:val="24"/>
        </w:rPr>
        <w:t>in terrorem</w:t>
      </w:r>
      <w:r w:rsidRPr="006F7B49">
        <w:rPr>
          <w:rFonts w:eastAsia="Times New Roman"/>
          <w:sz w:val="24"/>
          <w:szCs w:val="24"/>
        </w:rPr>
        <w:t xml:space="preserve"> (no contest) clause is enforceable; if it is not, then the case may be submitted to the jury.</w:t>
      </w:r>
    </w:p>
    <w:p w14:paraId="7FAB42F4" w14:textId="2B85CCD7" w:rsidR="007E1AAF" w:rsidRPr="006F7B49" w:rsidRDefault="007E1AAF" w:rsidP="006F7B49">
      <w:pPr>
        <w:spacing w:after="240"/>
        <w:ind w:firstLine="720"/>
        <w:rPr>
          <w:rFonts w:eastAsia="Times New Roman"/>
          <w:sz w:val="24"/>
          <w:szCs w:val="24"/>
        </w:rPr>
      </w:pPr>
      <w:r>
        <w:rPr>
          <w:rFonts w:eastAsia="Times New Roman"/>
          <w:sz w:val="24"/>
          <w:szCs w:val="24"/>
        </w:rPr>
        <w:t xml:space="preserve">6. </w:t>
      </w:r>
      <w:r w:rsidRPr="006F7B49">
        <w:rPr>
          <w:rFonts w:eastAsia="Times New Roman"/>
          <w:sz w:val="24"/>
          <w:szCs w:val="24"/>
        </w:rPr>
        <w:t xml:space="preserve">The requirements of a properly executed, signed, and witnessed or </w:t>
      </w:r>
      <w:r w:rsidR="00AE4A63">
        <w:rPr>
          <w:rFonts w:eastAsia="Times New Roman"/>
          <w:sz w:val="24"/>
          <w:szCs w:val="24"/>
        </w:rPr>
        <w:t>notarized</w:t>
      </w:r>
      <w:r w:rsidRPr="006F7B49">
        <w:rPr>
          <w:rFonts w:eastAsia="Times New Roman"/>
          <w:sz w:val="24"/>
          <w:szCs w:val="24"/>
        </w:rPr>
        <w:t xml:space="preserve"> will, that is, a will other than a self-proved or holographic will, are set out in Instruction 34:2. The requirements of a properly executed self-proved will are set out in Instruction 34:5, and the requirements for a properly executed holographic will are set out in Instruction 34:6.</w:t>
      </w:r>
    </w:p>
    <w:p w14:paraId="5E3D4E7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66D7520" w14:textId="5C5826A8" w:rsidR="00FA4D3B" w:rsidRDefault="006F7B49" w:rsidP="00133112">
      <w:pPr>
        <w:spacing w:after="240"/>
        <w:ind w:firstLine="720"/>
        <w:rPr>
          <w:rFonts w:eastAsia="Times New Roman"/>
          <w:sz w:val="24"/>
          <w:szCs w:val="24"/>
        </w:rPr>
      </w:pPr>
      <w:r w:rsidRPr="006F7B49">
        <w:rPr>
          <w:rFonts w:eastAsia="Times New Roman"/>
          <w:sz w:val="24"/>
          <w:szCs w:val="24"/>
        </w:rPr>
        <w:t>This instruction is supported by sections 15-12-407 (contested cases), 15-10-306 (right to jury trial), and 15-11-502 to -504</w:t>
      </w:r>
      <w:r w:rsidR="003835A5">
        <w:rPr>
          <w:rFonts w:eastAsia="Times New Roman"/>
          <w:sz w:val="24"/>
          <w:szCs w:val="24"/>
        </w:rPr>
        <w:t xml:space="preserve"> (witnessed wills, notarized wills, holographic wills, writing intended as will, self-proved wills)</w:t>
      </w:r>
      <w:r w:rsidRPr="006F7B49">
        <w:rPr>
          <w:rFonts w:eastAsia="Times New Roman"/>
          <w:sz w:val="24"/>
          <w:szCs w:val="24"/>
        </w:rPr>
        <w:t>, C.R.S.</w:t>
      </w:r>
    </w:p>
    <w:p w14:paraId="4C1D68B1" w14:textId="77777777" w:rsidR="006F7B49" w:rsidRDefault="006F7B49">
      <w:pPr>
        <w:rPr>
          <w:rFonts w:eastAsia="Times New Roman"/>
          <w:sz w:val="24"/>
          <w:szCs w:val="24"/>
        </w:rPr>
      </w:pPr>
      <w:r>
        <w:rPr>
          <w:rFonts w:eastAsia="Times New Roman"/>
          <w:sz w:val="24"/>
          <w:szCs w:val="24"/>
        </w:rPr>
        <w:br w:type="page"/>
      </w:r>
    </w:p>
    <w:p w14:paraId="1F462991" w14:textId="4B62A9D3" w:rsidR="006F7B49" w:rsidRPr="009E3DA4" w:rsidRDefault="006F7B49" w:rsidP="006F7B49">
      <w:pPr>
        <w:spacing w:after="240"/>
        <w:ind w:left="720" w:hanging="720"/>
        <w:rPr>
          <w:rFonts w:eastAsia="Times New Roman"/>
          <w:b/>
          <w:sz w:val="24"/>
          <w:szCs w:val="24"/>
        </w:rPr>
      </w:pPr>
      <w:bookmarkStart w:id="1" w:name="a34_02"/>
      <w:bookmarkEnd w:id="1"/>
      <w:r w:rsidRPr="006F7B49">
        <w:rPr>
          <w:rFonts w:eastAsia="Times New Roman"/>
          <w:b/>
          <w:sz w:val="24"/>
          <w:szCs w:val="24"/>
        </w:rPr>
        <w:lastRenderedPageBreak/>
        <w:t xml:space="preserve">34:2 </w:t>
      </w:r>
      <w:r w:rsidRPr="006F7B49">
        <w:rPr>
          <w:rFonts w:eastAsia="Times New Roman"/>
          <w:b/>
          <w:sz w:val="24"/>
          <w:szCs w:val="24"/>
        </w:rPr>
        <w:tab/>
      </w:r>
      <w:r w:rsidRPr="00F94E0B">
        <w:rPr>
          <w:rFonts w:ascii="Times New Roman Bold" w:eastAsia="Times New Roman" w:hAnsi="Times New Roman Bold"/>
          <w:b/>
          <w:caps/>
          <w:sz w:val="24"/>
          <w:szCs w:val="24"/>
        </w:rPr>
        <w:t>Elements of Proof of Properly Executed, Signed, and Witnessed OR</w:t>
      </w:r>
      <w:r w:rsidR="00C925CB">
        <w:rPr>
          <w:rFonts w:ascii="Times New Roman Bold" w:eastAsia="Times New Roman" w:hAnsi="Times New Roman Bold"/>
          <w:b/>
          <w:caps/>
          <w:sz w:val="24"/>
          <w:szCs w:val="24"/>
        </w:rPr>
        <w:t xml:space="preserve"> notarized</w:t>
      </w:r>
      <w:r w:rsidRPr="00F94E0B">
        <w:rPr>
          <w:rFonts w:ascii="Times New Roman Bold" w:eastAsia="Times New Roman" w:hAnsi="Times New Roman Bold"/>
          <w:b/>
          <w:caps/>
          <w:sz w:val="24"/>
          <w:szCs w:val="24"/>
        </w:rPr>
        <w:t xml:space="preserve"> WilL — All Wills Except Self-Proved and Holographic</w:t>
      </w:r>
    </w:p>
    <w:p w14:paraId="61B55C4B" w14:textId="6100D7FA"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For the proponent, </w:t>
      </w:r>
      <w:r w:rsidRPr="006F7B49">
        <w:rPr>
          <w:rFonts w:eastAsia="Times New Roman"/>
          <w:i/>
          <w:sz w:val="24"/>
          <w:szCs w:val="24"/>
        </w:rPr>
        <w:t>(name)</w:t>
      </w:r>
      <w:r w:rsidRPr="006F7B49">
        <w:rPr>
          <w:rFonts w:eastAsia="Times New Roman"/>
          <w:b/>
          <w:sz w:val="24"/>
          <w:szCs w:val="24"/>
        </w:rPr>
        <w:t xml:space="preserve">, to have the writing that has been admitted into evidence and identified as </w:t>
      </w:r>
      <w:r w:rsidRPr="006F7B49">
        <w:rPr>
          <w:rFonts w:eastAsia="Times New Roman"/>
          <w:i/>
          <w:sz w:val="24"/>
          <w:szCs w:val="24"/>
        </w:rPr>
        <w:t>(insert appropriate description)</w:t>
      </w:r>
      <w:r w:rsidRPr="006F7B49">
        <w:rPr>
          <w:rFonts w:eastAsia="Times New Roman"/>
          <w:b/>
          <w:sz w:val="24"/>
          <w:szCs w:val="24"/>
        </w:rPr>
        <w:t xml:space="preserve"> admitted to probate as the </w:t>
      </w:r>
      <w:r w:rsidR="001B01F2">
        <w:rPr>
          <w:rFonts w:eastAsia="Times New Roman"/>
          <w:b/>
          <w:sz w:val="24"/>
          <w:szCs w:val="24"/>
        </w:rPr>
        <w:t>W</w:t>
      </w:r>
      <w:r w:rsidRPr="006F7B49">
        <w:rPr>
          <w:rFonts w:eastAsia="Times New Roman"/>
          <w:b/>
          <w:sz w:val="24"/>
          <w:szCs w:val="24"/>
        </w:rPr>
        <w:t xml:space="preserve">ill of the testator, </w:t>
      </w:r>
      <w:r w:rsidRPr="006F7B49">
        <w:rPr>
          <w:rFonts w:eastAsia="Times New Roman"/>
          <w:i/>
          <w:sz w:val="24"/>
          <w:szCs w:val="24"/>
        </w:rPr>
        <w:t>(insert name of testator)</w:t>
      </w:r>
      <w:r w:rsidRPr="006F7B49">
        <w:rPr>
          <w:rFonts w:eastAsia="Times New Roman"/>
          <w:b/>
          <w:sz w:val="24"/>
          <w:szCs w:val="24"/>
        </w:rPr>
        <w:t>, you must find the following have been proved by a preponderance of the evidence:</w:t>
      </w:r>
    </w:p>
    <w:p w14:paraId="074713C5" w14:textId="5D4911FF" w:rsidR="005962CA" w:rsidRDefault="006F7B49" w:rsidP="006F7B49">
      <w:pPr>
        <w:spacing w:after="240"/>
        <w:ind w:firstLine="720"/>
        <w:rPr>
          <w:rFonts w:eastAsia="Times New Roman"/>
          <w:b/>
          <w:sz w:val="24"/>
          <w:szCs w:val="24"/>
        </w:rPr>
      </w:pPr>
      <w:r w:rsidRPr="006F7B49">
        <w:rPr>
          <w:rFonts w:eastAsia="Times New Roman"/>
          <w:b/>
          <w:sz w:val="24"/>
          <w:szCs w:val="24"/>
        </w:rPr>
        <w:t xml:space="preserve">1. The writing </w:t>
      </w:r>
      <w:r w:rsidRPr="006F7B49">
        <w:rPr>
          <w:rFonts w:eastAsia="Times New Roman"/>
          <w:i/>
          <w:sz w:val="24"/>
          <w:szCs w:val="24"/>
        </w:rPr>
        <w:t>(insert appropriate description)</w:t>
      </w:r>
      <w:r w:rsidRPr="006F7B49">
        <w:rPr>
          <w:rFonts w:eastAsia="Times New Roman"/>
          <w:b/>
          <w:sz w:val="24"/>
          <w:szCs w:val="24"/>
        </w:rPr>
        <w:t xml:space="preserve"> was signed by </w:t>
      </w:r>
      <w:r w:rsidRPr="006F7B49">
        <w:rPr>
          <w:rFonts w:eastAsia="Times New Roman"/>
          <w:i/>
          <w:sz w:val="24"/>
          <w:szCs w:val="24"/>
        </w:rPr>
        <w:t>(name of testator)</w:t>
      </w:r>
      <w:r w:rsidRPr="006F7B49">
        <w:rPr>
          <w:rFonts w:eastAsia="Times New Roman"/>
          <w:b/>
          <w:sz w:val="24"/>
          <w:szCs w:val="24"/>
        </w:rPr>
        <w:t xml:space="preserve"> (or) (someone for </w:t>
      </w:r>
      <w:r w:rsidRPr="006F7B49">
        <w:rPr>
          <w:rFonts w:eastAsia="Times New Roman"/>
          <w:i/>
          <w:sz w:val="24"/>
          <w:szCs w:val="24"/>
        </w:rPr>
        <w:t>[name of testator]</w:t>
      </w:r>
      <w:r w:rsidRPr="006F7B49">
        <w:rPr>
          <w:rFonts w:eastAsia="Times New Roman"/>
          <w:b/>
          <w:sz w:val="24"/>
          <w:szCs w:val="24"/>
        </w:rPr>
        <w:t xml:space="preserve">) in </w:t>
      </w:r>
      <w:r w:rsidR="00172753">
        <w:rPr>
          <w:rFonts w:eastAsia="Times New Roman"/>
          <w:bCs/>
          <w:i/>
          <w:iCs/>
          <w:sz w:val="24"/>
          <w:szCs w:val="24"/>
        </w:rPr>
        <w:t>(</w:t>
      </w:r>
      <w:r w:rsidR="00172753" w:rsidRPr="00172753">
        <w:rPr>
          <w:rFonts w:eastAsia="Times New Roman"/>
          <w:bCs/>
          <w:i/>
          <w:iCs/>
          <w:sz w:val="24"/>
          <w:szCs w:val="24"/>
        </w:rPr>
        <w:t xml:space="preserve">insert </w:t>
      </w:r>
      <w:r w:rsidR="001F19AC">
        <w:rPr>
          <w:rFonts w:eastAsia="Times New Roman"/>
          <w:bCs/>
          <w:i/>
          <w:iCs/>
          <w:sz w:val="24"/>
          <w:szCs w:val="24"/>
        </w:rPr>
        <w:t>applicable</w:t>
      </w:r>
      <w:r w:rsidR="001F19AC" w:rsidRPr="00172753">
        <w:rPr>
          <w:rFonts w:eastAsia="Times New Roman"/>
          <w:bCs/>
          <w:i/>
          <w:iCs/>
          <w:sz w:val="24"/>
          <w:szCs w:val="24"/>
        </w:rPr>
        <w:t xml:space="preserve"> </w:t>
      </w:r>
      <w:r w:rsidR="00172753" w:rsidRPr="00172753">
        <w:rPr>
          <w:rFonts w:eastAsia="Times New Roman"/>
          <w:bCs/>
          <w:i/>
          <w:iCs/>
          <w:sz w:val="24"/>
          <w:szCs w:val="24"/>
        </w:rPr>
        <w:t>pronoun</w:t>
      </w:r>
      <w:r w:rsidR="00172753">
        <w:rPr>
          <w:rFonts w:eastAsia="Times New Roman"/>
          <w:bCs/>
          <w:i/>
          <w:iCs/>
          <w:sz w:val="24"/>
          <w:szCs w:val="24"/>
        </w:rPr>
        <w:t>)</w:t>
      </w:r>
      <w:r w:rsidRPr="006F7B49">
        <w:rPr>
          <w:rFonts w:eastAsia="Times New Roman"/>
          <w:b/>
          <w:sz w:val="24"/>
          <w:szCs w:val="24"/>
        </w:rPr>
        <w:t xml:space="preserve"> conscious presence and at </w:t>
      </w:r>
      <w:r w:rsidR="00172753">
        <w:rPr>
          <w:rFonts w:eastAsia="Times New Roman"/>
          <w:bCs/>
          <w:i/>
          <w:iCs/>
          <w:sz w:val="24"/>
          <w:szCs w:val="24"/>
        </w:rPr>
        <w:t>(</w:t>
      </w:r>
      <w:r w:rsidR="00172753" w:rsidRPr="00172753">
        <w:rPr>
          <w:rFonts w:eastAsia="Times New Roman"/>
          <w:bCs/>
          <w:i/>
          <w:iCs/>
          <w:sz w:val="24"/>
          <w:szCs w:val="24"/>
        </w:rPr>
        <w:t xml:space="preserve">insert </w:t>
      </w:r>
      <w:r w:rsidR="001F19AC">
        <w:rPr>
          <w:rFonts w:eastAsia="Times New Roman"/>
          <w:bCs/>
          <w:i/>
          <w:iCs/>
          <w:sz w:val="24"/>
          <w:szCs w:val="24"/>
        </w:rPr>
        <w:t>applicable</w:t>
      </w:r>
      <w:r w:rsidR="001F19AC" w:rsidRPr="00172753">
        <w:rPr>
          <w:rFonts w:eastAsia="Times New Roman"/>
          <w:bCs/>
          <w:i/>
          <w:iCs/>
          <w:sz w:val="24"/>
          <w:szCs w:val="24"/>
        </w:rPr>
        <w:t xml:space="preserve"> </w:t>
      </w:r>
      <w:r w:rsidR="00172753" w:rsidRPr="00172753">
        <w:rPr>
          <w:rFonts w:eastAsia="Times New Roman"/>
          <w:bCs/>
          <w:i/>
          <w:iCs/>
          <w:sz w:val="24"/>
          <w:szCs w:val="24"/>
        </w:rPr>
        <w:t>pronoun</w:t>
      </w:r>
      <w:r w:rsidR="00172753">
        <w:rPr>
          <w:rFonts w:eastAsia="Times New Roman"/>
          <w:bCs/>
          <w:i/>
          <w:iCs/>
          <w:sz w:val="24"/>
          <w:szCs w:val="24"/>
        </w:rPr>
        <w:t>)</w:t>
      </w:r>
      <w:r w:rsidRPr="006F7B49">
        <w:rPr>
          <w:rFonts w:eastAsia="Times New Roman"/>
          <w:b/>
          <w:sz w:val="24"/>
          <w:szCs w:val="24"/>
        </w:rPr>
        <w:t xml:space="preserve"> direction; </w:t>
      </w:r>
    </w:p>
    <w:p w14:paraId="43A91355" w14:textId="63CF7B15" w:rsidR="00952D3A" w:rsidRPr="006F7B49" w:rsidRDefault="006F7B49" w:rsidP="00952D3A">
      <w:pPr>
        <w:spacing w:after="240"/>
        <w:ind w:firstLine="720"/>
        <w:rPr>
          <w:rFonts w:eastAsia="Times New Roman"/>
          <w:b/>
          <w:sz w:val="24"/>
          <w:szCs w:val="24"/>
        </w:rPr>
      </w:pPr>
      <w:r w:rsidRPr="006F7B49">
        <w:rPr>
          <w:rFonts w:eastAsia="Times New Roman"/>
          <w:b/>
          <w:sz w:val="24"/>
          <w:szCs w:val="24"/>
        </w:rPr>
        <w:t>and</w:t>
      </w:r>
      <w:r w:rsidR="00952D3A">
        <w:rPr>
          <w:rFonts w:eastAsia="Times New Roman"/>
          <w:b/>
          <w:sz w:val="24"/>
          <w:szCs w:val="24"/>
        </w:rPr>
        <w:t xml:space="preserve"> </w:t>
      </w:r>
      <w:r w:rsidR="00B75EDC">
        <w:rPr>
          <w:rFonts w:eastAsia="Times New Roman"/>
          <w:bCs/>
          <w:i/>
          <w:iCs/>
          <w:sz w:val="24"/>
          <w:szCs w:val="24"/>
        </w:rPr>
        <w:t>(select appropriate number (2) below)</w:t>
      </w:r>
      <w:r w:rsidR="00952D3A" w:rsidRPr="00952D3A">
        <w:rPr>
          <w:rFonts w:eastAsia="Times New Roman"/>
          <w:bCs/>
          <w:i/>
          <w:iCs/>
          <w:sz w:val="24"/>
          <w:szCs w:val="24"/>
        </w:rPr>
        <w:t xml:space="preserve"> </w:t>
      </w:r>
    </w:p>
    <w:p w14:paraId="463E1828" w14:textId="3CE55C72"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(2. Either before or after the testator’s death, the writing was signed by at least two persons, each of whom signed it within a reasonable time after</w:t>
      </w:r>
      <w:r w:rsidR="00B75EDC">
        <w:rPr>
          <w:rFonts w:eastAsia="Times New Roman"/>
          <w:b/>
          <w:sz w:val="24"/>
          <w:szCs w:val="24"/>
        </w:rPr>
        <w:t xml:space="preserve"> witnessing</w:t>
      </w:r>
      <w:r w:rsidRPr="006F7B49">
        <w:rPr>
          <w:rFonts w:eastAsia="Times New Roman"/>
          <w:b/>
          <w:sz w:val="24"/>
          <w:szCs w:val="24"/>
        </w:rPr>
        <w:t xml:space="preserve"> </w:t>
      </w:r>
      <w:r w:rsidR="00B75EDC" w:rsidRPr="006F7B49">
        <w:rPr>
          <w:rFonts w:eastAsia="Times New Roman"/>
          <w:i/>
          <w:sz w:val="24"/>
          <w:szCs w:val="24"/>
        </w:rPr>
        <w:t>[name of testator]</w:t>
      </w:r>
      <w:r w:rsidRPr="006F7B49">
        <w:rPr>
          <w:rFonts w:eastAsia="Times New Roman"/>
          <w:b/>
          <w:sz w:val="24"/>
          <w:szCs w:val="24"/>
        </w:rPr>
        <w:t>:</w:t>
      </w:r>
    </w:p>
    <w:p w14:paraId="57318C19" w14:textId="0A64DCA5"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[a. </w:t>
      </w:r>
      <w:r w:rsidR="00B75EDC">
        <w:rPr>
          <w:rFonts w:eastAsia="Times New Roman"/>
          <w:b/>
          <w:sz w:val="24"/>
          <w:szCs w:val="24"/>
        </w:rPr>
        <w:t>S</w:t>
      </w:r>
      <w:r w:rsidRPr="006F7B49">
        <w:rPr>
          <w:rFonts w:eastAsia="Times New Roman"/>
          <w:b/>
          <w:sz w:val="24"/>
          <w:szCs w:val="24"/>
        </w:rPr>
        <w:t>ign the writing] [or]</w:t>
      </w:r>
    </w:p>
    <w:p w14:paraId="22D8858F" w14:textId="0281F3B2"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[b. </w:t>
      </w:r>
      <w:r w:rsidR="00B75EDC">
        <w:rPr>
          <w:rFonts w:eastAsia="Times New Roman"/>
          <w:b/>
          <w:sz w:val="24"/>
          <w:szCs w:val="24"/>
        </w:rPr>
        <w:t>A</w:t>
      </w:r>
      <w:r w:rsidRPr="006F7B49">
        <w:rPr>
          <w:rFonts w:eastAsia="Times New Roman"/>
          <w:b/>
          <w:sz w:val="24"/>
          <w:szCs w:val="24"/>
        </w:rPr>
        <w:t>cknowledge the signature on the writing as being</w:t>
      </w:r>
      <w:r w:rsidR="00172753">
        <w:rPr>
          <w:rFonts w:eastAsia="Times New Roman"/>
          <w:b/>
          <w:sz w:val="24"/>
          <w:szCs w:val="24"/>
        </w:rPr>
        <w:t xml:space="preserve"> </w:t>
      </w:r>
      <w:r w:rsidR="00172753" w:rsidRPr="00172753">
        <w:rPr>
          <w:rFonts w:eastAsia="Times New Roman"/>
          <w:bCs/>
          <w:i/>
          <w:iCs/>
          <w:sz w:val="24"/>
          <w:szCs w:val="24"/>
        </w:rPr>
        <w:t xml:space="preserve">[insert </w:t>
      </w:r>
      <w:r w:rsidR="001F19AC">
        <w:rPr>
          <w:rFonts w:eastAsia="Times New Roman"/>
          <w:bCs/>
          <w:i/>
          <w:iCs/>
          <w:sz w:val="24"/>
          <w:szCs w:val="24"/>
        </w:rPr>
        <w:t>applicable</w:t>
      </w:r>
      <w:r w:rsidR="001F19AC" w:rsidRPr="00172753">
        <w:rPr>
          <w:rFonts w:eastAsia="Times New Roman"/>
          <w:bCs/>
          <w:i/>
          <w:iCs/>
          <w:sz w:val="24"/>
          <w:szCs w:val="24"/>
        </w:rPr>
        <w:t xml:space="preserve"> </w:t>
      </w:r>
      <w:r w:rsidR="00172753" w:rsidRPr="00172753">
        <w:rPr>
          <w:rFonts w:eastAsia="Times New Roman"/>
          <w:bCs/>
          <w:i/>
          <w:iCs/>
          <w:sz w:val="24"/>
          <w:szCs w:val="24"/>
        </w:rPr>
        <w:t>pronoun]</w:t>
      </w:r>
      <w:r w:rsidRPr="006F7B49">
        <w:rPr>
          <w:rFonts w:eastAsia="Times New Roman"/>
          <w:b/>
          <w:sz w:val="24"/>
          <w:szCs w:val="24"/>
        </w:rPr>
        <w:t xml:space="preserve"> ] [or]</w:t>
      </w:r>
    </w:p>
    <w:p w14:paraId="678876B2" w14:textId="78A7E6C1" w:rsidR="006F7B49" w:rsidRPr="00952D3A" w:rsidRDefault="006F7B49" w:rsidP="006F7B49">
      <w:pPr>
        <w:spacing w:after="240"/>
        <w:ind w:firstLine="720"/>
        <w:rPr>
          <w:rFonts w:eastAsia="Times New Roman"/>
          <w:bCs/>
          <w:sz w:val="24"/>
          <w:szCs w:val="24"/>
        </w:rPr>
      </w:pPr>
      <w:r w:rsidRPr="006F7B49">
        <w:rPr>
          <w:rFonts w:eastAsia="Times New Roman"/>
          <w:b/>
          <w:sz w:val="24"/>
          <w:szCs w:val="24"/>
        </w:rPr>
        <w:t xml:space="preserve">[c. </w:t>
      </w:r>
      <w:r w:rsidR="00B75EDC">
        <w:rPr>
          <w:rFonts w:eastAsia="Times New Roman"/>
          <w:b/>
          <w:sz w:val="24"/>
          <w:szCs w:val="24"/>
        </w:rPr>
        <w:t>A</w:t>
      </w:r>
      <w:r w:rsidRPr="006F7B49">
        <w:rPr>
          <w:rFonts w:eastAsia="Times New Roman"/>
          <w:b/>
          <w:sz w:val="24"/>
          <w:szCs w:val="24"/>
        </w:rPr>
        <w:t>cknowledge the writing as being</w:t>
      </w:r>
      <w:r w:rsidR="00172753">
        <w:rPr>
          <w:rFonts w:eastAsia="Times New Roman"/>
          <w:b/>
          <w:sz w:val="24"/>
          <w:szCs w:val="24"/>
        </w:rPr>
        <w:t xml:space="preserve"> </w:t>
      </w:r>
      <w:r w:rsidR="00172753" w:rsidRPr="00172753">
        <w:rPr>
          <w:rFonts w:eastAsia="Times New Roman"/>
          <w:bCs/>
          <w:i/>
          <w:iCs/>
          <w:sz w:val="24"/>
          <w:szCs w:val="24"/>
        </w:rPr>
        <w:t xml:space="preserve">[insert </w:t>
      </w:r>
      <w:r w:rsidR="001F19AC">
        <w:rPr>
          <w:rFonts w:eastAsia="Times New Roman"/>
          <w:bCs/>
          <w:i/>
          <w:iCs/>
          <w:sz w:val="24"/>
          <w:szCs w:val="24"/>
        </w:rPr>
        <w:t>applicable</w:t>
      </w:r>
      <w:r w:rsidR="001F19AC" w:rsidRPr="00172753">
        <w:rPr>
          <w:rFonts w:eastAsia="Times New Roman"/>
          <w:bCs/>
          <w:i/>
          <w:iCs/>
          <w:sz w:val="24"/>
          <w:szCs w:val="24"/>
        </w:rPr>
        <w:t xml:space="preserve"> </w:t>
      </w:r>
      <w:r w:rsidR="00172753" w:rsidRPr="00172753">
        <w:rPr>
          <w:rFonts w:eastAsia="Times New Roman"/>
          <w:bCs/>
          <w:i/>
          <w:iCs/>
          <w:sz w:val="24"/>
          <w:szCs w:val="24"/>
        </w:rPr>
        <w:t>pronoun]</w:t>
      </w:r>
      <w:r w:rsidRPr="006F7B49">
        <w:rPr>
          <w:rFonts w:eastAsia="Times New Roman"/>
          <w:b/>
          <w:sz w:val="24"/>
          <w:szCs w:val="24"/>
        </w:rPr>
        <w:t xml:space="preserve"> </w:t>
      </w:r>
      <w:r w:rsidR="00895739">
        <w:rPr>
          <w:rFonts w:eastAsia="Times New Roman"/>
          <w:b/>
          <w:sz w:val="24"/>
          <w:szCs w:val="24"/>
        </w:rPr>
        <w:t>W</w:t>
      </w:r>
      <w:r w:rsidRPr="006F7B49">
        <w:rPr>
          <w:rFonts w:eastAsia="Times New Roman"/>
          <w:b/>
          <w:sz w:val="24"/>
          <w:szCs w:val="24"/>
        </w:rPr>
        <w:t>ill].)</w:t>
      </w:r>
    </w:p>
    <w:p w14:paraId="5FF89439" w14:textId="10FBA0DC" w:rsidR="00952D3A" w:rsidRPr="00952D3A" w:rsidRDefault="00B75EDC" w:rsidP="00952D3A">
      <w:pPr>
        <w:spacing w:after="240"/>
        <w:ind w:firstLine="720"/>
        <w:rPr>
          <w:rFonts w:eastAsia="Times New Roman"/>
          <w:bCs/>
          <w:i/>
          <w:iCs/>
          <w:sz w:val="24"/>
          <w:szCs w:val="24"/>
        </w:rPr>
      </w:pPr>
      <w:r>
        <w:rPr>
          <w:rFonts w:eastAsia="Times New Roman"/>
          <w:bCs/>
          <w:i/>
          <w:iCs/>
          <w:sz w:val="24"/>
          <w:szCs w:val="24"/>
        </w:rPr>
        <w:t>(</w:t>
      </w:r>
      <w:r w:rsidR="00952D3A" w:rsidRPr="00952D3A">
        <w:rPr>
          <w:rFonts w:eastAsia="Times New Roman"/>
          <w:bCs/>
          <w:i/>
          <w:iCs/>
          <w:sz w:val="24"/>
          <w:szCs w:val="24"/>
        </w:rPr>
        <w:t>or</w:t>
      </w:r>
      <w:r>
        <w:rPr>
          <w:rFonts w:eastAsia="Times New Roman"/>
          <w:bCs/>
          <w:i/>
          <w:iCs/>
          <w:sz w:val="24"/>
          <w:szCs w:val="24"/>
        </w:rPr>
        <w:t>)</w:t>
      </w:r>
    </w:p>
    <w:p w14:paraId="793E69E5" w14:textId="617FFD99"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w:t>
      </w:r>
      <w:r w:rsidR="00770D98">
        <w:rPr>
          <w:rFonts w:eastAsia="Times New Roman"/>
          <w:b/>
          <w:sz w:val="24"/>
          <w:szCs w:val="24"/>
        </w:rPr>
        <w:t>2.</w:t>
      </w:r>
      <w:r w:rsidR="00DE42C2">
        <w:rPr>
          <w:rFonts w:eastAsia="Times New Roman"/>
          <w:b/>
          <w:sz w:val="24"/>
          <w:szCs w:val="24"/>
        </w:rPr>
        <w:t xml:space="preserve"> </w:t>
      </w:r>
      <w:r w:rsidRPr="006F7B49">
        <w:rPr>
          <w:rFonts w:eastAsia="Times New Roman"/>
          <w:b/>
          <w:sz w:val="24"/>
          <w:szCs w:val="24"/>
        </w:rPr>
        <w:t xml:space="preserve">The writing was acknowledged by the testator before [a notary public] [an individual authorized by law to take acknowledgements].) </w:t>
      </w:r>
    </w:p>
    <w:p w14:paraId="6A717139"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If you find that either one of these propositions has not been proved by a preponderance of the evidence, then your verdict must be for the contestant, </w:t>
      </w:r>
      <w:r w:rsidRPr="006F7B49">
        <w:rPr>
          <w:rFonts w:eastAsia="Times New Roman"/>
          <w:i/>
          <w:sz w:val="24"/>
          <w:szCs w:val="24"/>
        </w:rPr>
        <w:t>(name)</w:t>
      </w:r>
      <w:r w:rsidRPr="006F7B49">
        <w:rPr>
          <w:rFonts w:eastAsia="Times New Roman"/>
          <w:b/>
          <w:sz w:val="24"/>
          <w:szCs w:val="24"/>
        </w:rPr>
        <w:t>.</w:t>
      </w:r>
    </w:p>
    <w:p w14:paraId="1D117B70" w14:textId="4E81DF2E"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On the other hand, if you find that both propositions have been proved, (then your verdict must be for the proponent) (then you must consider the contestant’s claim[s] that </w:t>
      </w:r>
      <w:r w:rsidRPr="006F7B49">
        <w:rPr>
          <w:rFonts w:eastAsia="Times New Roman"/>
          <w:i/>
          <w:sz w:val="24"/>
          <w:szCs w:val="24"/>
        </w:rPr>
        <w:t xml:space="preserve">[insert an appropriate description of any of the contestant’s claims on which the contestant has the burden of proof, e.g., “that (name of testator) was not of sound mind at the time the </w:t>
      </w:r>
      <w:r w:rsidR="003628AC">
        <w:rPr>
          <w:rFonts w:eastAsia="Times New Roman"/>
          <w:i/>
          <w:sz w:val="24"/>
          <w:szCs w:val="24"/>
        </w:rPr>
        <w:t>W</w:t>
      </w:r>
      <w:r w:rsidR="005A4776">
        <w:rPr>
          <w:rFonts w:eastAsia="Times New Roman"/>
          <w:i/>
          <w:sz w:val="24"/>
          <w:szCs w:val="24"/>
        </w:rPr>
        <w:t>ill was signed</w:t>
      </w:r>
      <w:r w:rsidRPr="006F7B49">
        <w:rPr>
          <w:rFonts w:eastAsia="Times New Roman"/>
          <w:i/>
          <w:sz w:val="24"/>
          <w:szCs w:val="24"/>
        </w:rPr>
        <w:t>”]</w:t>
      </w:r>
      <w:r w:rsidRPr="006F7B49">
        <w:rPr>
          <w:rFonts w:eastAsia="Times New Roman"/>
          <w:b/>
          <w:sz w:val="24"/>
          <w:szCs w:val="24"/>
        </w:rPr>
        <w:t>).</w:t>
      </w:r>
    </w:p>
    <w:p w14:paraId="42B94876"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If you find that (this claim has) (any one or more of these claims have) been proved by a preponderance of the evidence, then your verdict must be for the contestant.</w:t>
      </w:r>
    </w:p>
    <w:p w14:paraId="591DA95D" w14:textId="6A536EF9"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However, if you find that (this claim has not) (none of these claims have) been proved</w:t>
      </w:r>
      <w:r w:rsidR="00EF2738">
        <w:rPr>
          <w:rFonts w:eastAsia="Times New Roman"/>
          <w:b/>
          <w:sz w:val="24"/>
          <w:szCs w:val="24"/>
        </w:rPr>
        <w:t xml:space="preserve"> by a preponderance of the evidence</w:t>
      </w:r>
      <w:r w:rsidRPr="006F7B49">
        <w:rPr>
          <w:rFonts w:eastAsia="Times New Roman"/>
          <w:b/>
          <w:sz w:val="24"/>
          <w:szCs w:val="24"/>
        </w:rPr>
        <w:t>, then your verdict must be for the proponent.</w:t>
      </w:r>
    </w:p>
    <w:p w14:paraId="61F72E19" w14:textId="77777777" w:rsidR="006F7B49" w:rsidRDefault="006F7B49" w:rsidP="006F7B49">
      <w:pPr>
        <w:jc w:val="center"/>
        <w:rPr>
          <w:rFonts w:eastAsia="Times New Roman"/>
          <w:sz w:val="24"/>
          <w:szCs w:val="24"/>
        </w:rPr>
      </w:pPr>
    </w:p>
    <w:p w14:paraId="62B062B3" w14:textId="77777777" w:rsidR="006F7B49" w:rsidRPr="0054263B" w:rsidRDefault="006F7B49" w:rsidP="006F7B49">
      <w:pPr>
        <w:keepNext/>
        <w:spacing w:after="240"/>
        <w:jc w:val="center"/>
        <w:rPr>
          <w:rFonts w:eastAsia="Times New Roman"/>
          <w:b/>
          <w:sz w:val="24"/>
          <w:szCs w:val="24"/>
        </w:rPr>
      </w:pPr>
      <w:r w:rsidRPr="0054263B">
        <w:rPr>
          <w:rFonts w:eastAsia="Times New Roman"/>
          <w:b/>
          <w:sz w:val="24"/>
          <w:szCs w:val="24"/>
        </w:rPr>
        <w:lastRenderedPageBreak/>
        <w:t>Notes on Use</w:t>
      </w:r>
    </w:p>
    <w:p w14:paraId="23C76344"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This instruction should be used in cases in which there is sufficient evidence for a reasonable jury to find by a preponderance of the evidence that the alleged will was properly executed as a signed and witnessed will under section 15-11-502(1), C.R.S. </w:t>
      </w:r>
    </w:p>
    <w:p w14:paraId="3337F34F" w14:textId="2E9CC062"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2. Use either </w:t>
      </w:r>
      <w:r w:rsidR="005962CA">
        <w:rPr>
          <w:rFonts w:eastAsia="Times New Roman"/>
          <w:sz w:val="24"/>
          <w:szCs w:val="24"/>
        </w:rPr>
        <w:t xml:space="preserve">version of </w:t>
      </w:r>
      <w:r w:rsidRPr="006F7B49">
        <w:rPr>
          <w:rFonts w:eastAsia="Times New Roman"/>
          <w:sz w:val="24"/>
          <w:szCs w:val="24"/>
        </w:rPr>
        <w:t>numbered paragraph 2, as appropriate.</w:t>
      </w:r>
    </w:p>
    <w:p w14:paraId="047DDBBE"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3. If the evidence is not sufficient for a reasonable jury to find by a preponderance of the evidence that the will was properly executed as a signed and witnessed will or a signed and acknowledged will under section 15-11-502(1), or as a holographic will under section 15-11-502(2), the provisions of section 15-11-503, C.R.S. may nonetheless be applicable. Under that statute,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In re Estate of Sky Dancer</w:t>
      </w:r>
      <w:r w:rsidRPr="006F7B49">
        <w:rPr>
          <w:rFonts w:eastAsia="Times New Roman"/>
          <w:sz w:val="24"/>
          <w:szCs w:val="24"/>
        </w:rPr>
        <w:t>, 13 P.3d 1231 (Colo. App. 2000) (inadequate basis to find a will under this statute).</w:t>
      </w:r>
    </w:p>
    <w:p w14:paraId="6B63CAC8"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4. For self-proved wills, see Instruction 34:5.</w:t>
      </w:r>
    </w:p>
    <w:p w14:paraId="6E6754C9"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w:t>
      </w:r>
      <w:bookmarkStart w:id="2" w:name="_DV_X15"/>
      <w:bookmarkStart w:id="3" w:name="_DV_C16"/>
      <w:r w:rsidRPr="006F7B49">
        <w:rPr>
          <w:rFonts w:eastAsia="Times New Roman"/>
          <w:sz w:val="24"/>
          <w:szCs w:val="24"/>
        </w:rPr>
        <w:t>If the writing is one that would, at the most, constitute a holographic will, then Instruction 34:6 should be used rather than this instruction.</w:t>
      </w:r>
      <w:bookmarkEnd w:id="2"/>
      <w:bookmarkEnd w:id="3"/>
    </w:p>
    <w:p w14:paraId="0D2CA639" w14:textId="6C02DC82" w:rsidR="006F7B49" w:rsidRPr="006F7B49" w:rsidRDefault="006F7B49" w:rsidP="006F7B49">
      <w:pPr>
        <w:spacing w:after="240"/>
        <w:ind w:firstLine="720"/>
        <w:rPr>
          <w:rFonts w:eastAsia="Times New Roman"/>
          <w:sz w:val="24"/>
          <w:szCs w:val="24"/>
        </w:rPr>
      </w:pPr>
      <w:r w:rsidRPr="006F7B49">
        <w:rPr>
          <w:rFonts w:eastAsia="Times New Roman"/>
          <w:sz w:val="24"/>
          <w:szCs w:val="24"/>
        </w:rPr>
        <w:t>6. Instruction 34:3</w:t>
      </w:r>
      <w:r w:rsidR="00961567">
        <w:rPr>
          <w:rFonts w:eastAsia="Times New Roman"/>
          <w:sz w:val="24"/>
          <w:szCs w:val="24"/>
        </w:rPr>
        <w:t xml:space="preserve"> (</w:t>
      </w:r>
      <w:r w:rsidRPr="006F7B49">
        <w:rPr>
          <w:rFonts w:eastAsia="Times New Roman"/>
          <w:sz w:val="24"/>
          <w:szCs w:val="24"/>
        </w:rPr>
        <w:t>defining conscious presence</w:t>
      </w:r>
      <w:r w:rsidR="00961567">
        <w:rPr>
          <w:rFonts w:eastAsia="Times New Roman"/>
          <w:sz w:val="24"/>
          <w:szCs w:val="24"/>
        </w:rPr>
        <w:t>)</w:t>
      </w:r>
      <w:r w:rsidRPr="006F7B49">
        <w:rPr>
          <w:rFonts w:eastAsia="Times New Roman"/>
          <w:sz w:val="24"/>
          <w:szCs w:val="24"/>
        </w:rPr>
        <w:t xml:space="preserve"> should be given with this instruction whenever that phrase is given in numbered paragraph 1 of this instruction.</w:t>
      </w:r>
    </w:p>
    <w:p w14:paraId="04F18E49" w14:textId="77777777" w:rsidR="006F7B49" w:rsidRDefault="006F7B49" w:rsidP="006F7B49">
      <w:pPr>
        <w:spacing w:after="240"/>
        <w:ind w:firstLine="720"/>
        <w:rPr>
          <w:rFonts w:eastAsia="Times New Roman"/>
          <w:sz w:val="24"/>
          <w:szCs w:val="24"/>
        </w:rPr>
      </w:pPr>
      <w:r w:rsidRPr="006F7B49">
        <w:rPr>
          <w:rFonts w:eastAsia="Times New Roman"/>
          <w:sz w:val="24"/>
          <w:szCs w:val="24"/>
        </w:rPr>
        <w:t>7. Use whichever parenthesized and bracketed words and phrases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(e.g., “lack of testamentary intent or capacity [insufficient age or unsound mind], undue influence, fraud, duress, mistake, or revocation,” section 15-12-407, C.R.S.) or there is insufficient evidence to support a jury finding as to any such matters.</w:t>
      </w:r>
    </w:p>
    <w:p w14:paraId="3B7B2805" w14:textId="6AF973E5" w:rsidR="008867DA" w:rsidRPr="006F7B49" w:rsidRDefault="008867DA" w:rsidP="008867DA">
      <w:pPr>
        <w:spacing w:after="240"/>
        <w:ind w:firstLine="720"/>
        <w:rPr>
          <w:rFonts w:eastAsia="Times New Roman"/>
          <w:sz w:val="24"/>
          <w:szCs w:val="24"/>
        </w:rPr>
      </w:pPr>
      <w:r>
        <w:rPr>
          <w:rFonts w:eastAsia="Times New Roman"/>
          <w:sz w:val="24"/>
          <w:szCs w:val="24"/>
        </w:rPr>
        <w:t>8</w:t>
      </w:r>
      <w:r w:rsidRPr="006F7B49">
        <w:rPr>
          <w:rFonts w:eastAsia="Times New Roman"/>
          <w:sz w:val="24"/>
          <w:szCs w:val="24"/>
        </w:rPr>
        <w:t xml:space="preserve">. Omit any of the numbered paragraphs if the facts are not in dispute, and make such other changes as are necessary in such circumstances. </w:t>
      </w:r>
      <w:r w:rsidRPr="006F7B49">
        <w:rPr>
          <w:rFonts w:eastAsia="Times New Roman"/>
          <w:i/>
          <w:sz w:val="24"/>
          <w:szCs w:val="24"/>
        </w:rPr>
        <w:t>See</w:t>
      </w:r>
      <w:r w:rsidRPr="006F7B49">
        <w:rPr>
          <w:rFonts w:eastAsia="Times New Roman"/>
          <w:sz w:val="24"/>
          <w:szCs w:val="24"/>
        </w:rPr>
        <w:t xml:space="preserve"> </w:t>
      </w:r>
      <w:r w:rsidRPr="006F7B49">
        <w:rPr>
          <w:rFonts w:eastAsia="Times New Roman"/>
          <w:b/>
          <w:sz w:val="24"/>
          <w:szCs w:val="24"/>
        </w:rPr>
        <w:t>O’Brien v. Wallace</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145 Colo. 291, 359 P.2d 1029 (1961) (where proof of due execution has been made, only such issues on which there is contrary evidence should be submitted to the jury).</w:t>
      </w:r>
    </w:p>
    <w:p w14:paraId="41EC3520" w14:textId="72BB0140" w:rsidR="006F7B49" w:rsidRPr="006F7B49" w:rsidRDefault="008867DA" w:rsidP="006F7B49">
      <w:pPr>
        <w:spacing w:after="240"/>
        <w:ind w:firstLine="720"/>
        <w:rPr>
          <w:rFonts w:eastAsia="Times New Roman"/>
          <w:sz w:val="24"/>
          <w:szCs w:val="24"/>
        </w:rPr>
      </w:pPr>
      <w:r>
        <w:rPr>
          <w:rFonts w:eastAsia="Times New Roman"/>
          <w:sz w:val="24"/>
          <w:szCs w:val="24"/>
        </w:rPr>
        <w:lastRenderedPageBreak/>
        <w:t>9</w:t>
      </w:r>
      <w:r w:rsidR="006F7B49" w:rsidRPr="006F7B49">
        <w:rPr>
          <w:rFonts w:eastAsia="Times New Roman"/>
          <w:sz w:val="24"/>
          <w:szCs w:val="24"/>
        </w:rPr>
        <w:t xml:space="preserve">. If the death of the testator is in issue, and the proponent of the will in question has the burden of proving death under section 15-12-407, this instruction </w:t>
      </w:r>
      <w:r w:rsidR="00285CB9">
        <w:rPr>
          <w:rFonts w:eastAsia="Times New Roman"/>
          <w:sz w:val="24"/>
          <w:szCs w:val="24"/>
        </w:rPr>
        <w:t>should</w:t>
      </w:r>
      <w:r w:rsidR="006F7B49" w:rsidRPr="006F7B49">
        <w:rPr>
          <w:rFonts w:eastAsia="Times New Roman"/>
          <w:sz w:val="24"/>
          <w:szCs w:val="24"/>
        </w:rPr>
        <w:t xml:space="preserve"> be appropriately modified.</w:t>
      </w:r>
    </w:p>
    <w:p w14:paraId="3BAE193E" w14:textId="40458028" w:rsidR="00DE42C2" w:rsidRPr="00DE42C2" w:rsidRDefault="008867DA" w:rsidP="00DE42C2">
      <w:pPr>
        <w:pStyle w:val="NormalWeb"/>
        <w:spacing w:before="0" w:beforeAutospacing="0" w:after="240" w:afterAutospacing="0"/>
        <w:ind w:firstLine="720"/>
        <w:textAlignment w:val="baseline"/>
      </w:pPr>
      <w:r w:rsidRPr="00DE42C2">
        <w:t>10</w:t>
      </w:r>
      <w:r w:rsidR="006F7B49" w:rsidRPr="00DE42C2">
        <w:t xml:space="preserve">. This instruction </w:t>
      </w:r>
      <w:r w:rsidR="0010214A" w:rsidRPr="00DE42C2">
        <w:t xml:space="preserve">should </w:t>
      </w:r>
      <w:r w:rsidR="006F7B49" w:rsidRPr="00DE42C2">
        <w:t>be appropriately modified if, because the testator’s original will, if any, has been lost, destroyed, or is otherwise unavailable, no writing has been admitted, or the writing referred to in this instruction is a copy. Under section 15-12-402(3), C.R.S., the burden is on the proponent to prove that a lost, destroyed, or otherwise unavailable will was not revoked. Consequently, where the will has been lost, destroyed, or for any other reason is unavailable, this instruction</w:t>
      </w:r>
      <w:r w:rsidR="00D43AF9" w:rsidRPr="00DE42C2">
        <w:t xml:space="preserve"> should also be given with</w:t>
      </w:r>
      <w:r w:rsidR="00CE02A1" w:rsidRPr="00DE42C2">
        <w:t xml:space="preserve"> Instruction</w:t>
      </w:r>
      <w:r w:rsidR="00D43AF9" w:rsidRPr="00DE42C2">
        <w:t xml:space="preserve"> 34:9.</w:t>
      </w:r>
      <w:r w:rsidR="006F7B49" w:rsidRPr="00DE42C2">
        <w:t xml:space="preserve"> </w:t>
      </w:r>
      <w:r w:rsidR="00A84A79" w:rsidRPr="00DE42C2">
        <w:rPr>
          <w:b/>
          <w:bCs/>
        </w:rPr>
        <w:t>Hoff v. Armbruster</w:t>
      </w:r>
      <w:r w:rsidR="00A84A79" w:rsidRPr="00DE42C2">
        <w:t xml:space="preserve">, </w:t>
      </w:r>
      <w:r w:rsidR="00594BCF" w:rsidRPr="00DE42C2">
        <w:t xml:space="preserve">122 Colo. 563, </w:t>
      </w:r>
      <w:r w:rsidR="00747747" w:rsidRPr="00DE42C2">
        <w:t xml:space="preserve">568, </w:t>
      </w:r>
      <w:r w:rsidR="00A84A79" w:rsidRPr="00DE42C2">
        <w:t>226 P.2d 312</w:t>
      </w:r>
      <w:r w:rsidR="00747747" w:rsidRPr="00DE42C2">
        <w:t>, 314</w:t>
      </w:r>
      <w:r w:rsidR="00A84A79" w:rsidRPr="00DE42C2">
        <w:t xml:space="preserve"> (1950) (</w:t>
      </w:r>
      <w:r w:rsidR="00594BCF" w:rsidRPr="00DE42C2">
        <w:t>“W</w:t>
      </w:r>
      <w:r w:rsidR="00A84A79" w:rsidRPr="00DE42C2">
        <w:t xml:space="preserve">here a will which cannot be found following the death of the testator is shown to have been in his possession when last seen, the presumption is, in the absence of other evidence, that he destroyed it </w:t>
      </w:r>
      <w:r w:rsidR="00A84A79" w:rsidRPr="00DE42C2">
        <w:rPr>
          <w:i/>
          <w:iCs/>
        </w:rPr>
        <w:t>animo revocandi</w:t>
      </w:r>
      <w:r w:rsidR="00747747" w:rsidRPr="00DE42C2">
        <w:t>.</w:t>
      </w:r>
      <w:r w:rsidR="00594BCF" w:rsidRPr="00DE42C2">
        <w:t>”</w:t>
      </w:r>
      <w:r w:rsidR="00DB1393" w:rsidRPr="00DE42C2">
        <w:rPr>
          <w:i/>
          <w:iCs/>
        </w:rPr>
        <w:t xml:space="preserve"> </w:t>
      </w:r>
      <w:r w:rsidR="00DB1393" w:rsidRPr="00DE42C2">
        <w:t xml:space="preserve">(quoting 57 </w:t>
      </w:r>
      <w:r w:rsidR="00DB1393" w:rsidRPr="00DE42C2">
        <w:rPr>
          <w:smallCaps/>
        </w:rPr>
        <w:t>Am. Jur.</w:t>
      </w:r>
      <w:r w:rsidR="00DB1393" w:rsidRPr="00DE42C2">
        <w:t xml:space="preserve"> </w:t>
      </w:r>
      <w:r w:rsidR="00DB1393" w:rsidRPr="00DE42C2">
        <w:rPr>
          <w:i/>
          <w:iCs/>
        </w:rPr>
        <w:t>Wills</w:t>
      </w:r>
      <w:r w:rsidR="00DB1393" w:rsidRPr="00DE42C2">
        <w:t xml:space="preserve"> § 549)</w:t>
      </w:r>
      <w:r w:rsidR="00A84A79" w:rsidRPr="00DE42C2">
        <w:t>)</w:t>
      </w:r>
      <w:r w:rsidR="00594BCF" w:rsidRPr="00DE42C2">
        <w:t>;</w:t>
      </w:r>
      <w:r w:rsidR="00CF387A" w:rsidRPr="00DE42C2">
        <w:t xml:space="preserve"> </w:t>
      </w:r>
      <w:r w:rsidR="00CF387A" w:rsidRPr="00DE42C2">
        <w:rPr>
          <w:b/>
          <w:bCs/>
        </w:rPr>
        <w:t>In re Estate of Enz</w:t>
      </w:r>
      <w:r w:rsidR="00CF387A" w:rsidRPr="00DE42C2">
        <w:t xml:space="preserve">, </w:t>
      </w:r>
      <w:r w:rsidR="00594BCF" w:rsidRPr="00DE42C2">
        <w:t>33 Colo. App. 24,</w:t>
      </w:r>
      <w:r w:rsidR="0010214A" w:rsidRPr="00DE42C2">
        <w:t xml:space="preserve"> 29</w:t>
      </w:r>
      <w:r w:rsidR="00594BCF" w:rsidRPr="00DE42C2">
        <w:t xml:space="preserve"> </w:t>
      </w:r>
      <w:r w:rsidR="00CF387A" w:rsidRPr="00DE42C2">
        <w:rPr>
          <w:bdr w:val="none" w:sz="0" w:space="0" w:color="auto" w:frame="1"/>
        </w:rPr>
        <w:t xml:space="preserve">515 P.2d 1133, </w:t>
      </w:r>
      <w:r w:rsidR="00966951" w:rsidRPr="00DE42C2">
        <w:rPr>
          <w:bdr w:val="none" w:sz="0" w:space="0" w:color="auto" w:frame="1"/>
        </w:rPr>
        <w:t xml:space="preserve">1136-37 </w:t>
      </w:r>
      <w:r w:rsidR="00594BCF" w:rsidRPr="00DE42C2">
        <w:rPr>
          <w:bdr w:val="none" w:sz="0" w:space="0" w:color="auto" w:frame="1"/>
        </w:rPr>
        <w:t xml:space="preserve">(1973) </w:t>
      </w:r>
      <w:r w:rsidR="00966951" w:rsidRPr="00DE42C2">
        <w:rPr>
          <w:bdr w:val="none" w:sz="0" w:space="0" w:color="auto" w:frame="1"/>
        </w:rPr>
        <w:t>(</w:t>
      </w:r>
      <w:r w:rsidR="00594BCF" w:rsidRPr="00DE42C2">
        <w:rPr>
          <w:bdr w:val="none" w:sz="0" w:space="0" w:color="auto" w:frame="1"/>
        </w:rPr>
        <w:t>“W</w:t>
      </w:r>
      <w:r w:rsidR="001261D8" w:rsidRPr="00DE42C2">
        <w:t>hen a will, last seen in the possession of the testatrix, cannot be found following her death there is a presumption that the testatrix destroyed the will with the intent to revoke it. However, the presumption may be rebutted by evidence of decedent</w:t>
      </w:r>
      <w:r w:rsidR="00DE42C2">
        <w:t>’</w:t>
      </w:r>
      <w:r w:rsidR="001261D8" w:rsidRPr="00DE42C2">
        <w:t>s declarations tending to prove decedent believed the will to be in existence unrevoked.</w:t>
      </w:r>
      <w:r w:rsidR="00594BCF" w:rsidRPr="00DE42C2">
        <w:t>”</w:t>
      </w:r>
      <w:r w:rsidR="00DB396F" w:rsidRPr="00DE42C2">
        <w:t>)</w:t>
      </w:r>
      <w:r w:rsidR="00AE6619" w:rsidRPr="00DE42C2">
        <w:t xml:space="preserve">; </w:t>
      </w:r>
      <w:r w:rsidR="003E70AA" w:rsidRPr="00DE42C2">
        <w:rPr>
          <w:i/>
          <w:iCs/>
        </w:rPr>
        <w:t>see also</w:t>
      </w:r>
      <w:r w:rsidR="003E70AA" w:rsidRPr="00DE42C2">
        <w:t xml:space="preserve"> </w:t>
      </w:r>
      <w:r w:rsidR="00AE6619" w:rsidRPr="00DE42C2">
        <w:rPr>
          <w:b/>
          <w:bCs/>
          <w:bdr w:val="none" w:sz="0" w:space="0" w:color="auto" w:frame="1"/>
        </w:rPr>
        <w:t>Bailey v. Kennedy</w:t>
      </w:r>
      <w:r w:rsidR="00AE6619" w:rsidRPr="00DE42C2">
        <w:rPr>
          <w:bdr w:val="none" w:sz="0" w:space="0" w:color="auto" w:frame="1"/>
        </w:rPr>
        <w:t xml:space="preserve">, 162 Colo. 135, </w:t>
      </w:r>
      <w:r w:rsidR="00AE6619" w:rsidRPr="00DE42C2">
        <w:t>425 P.2d 304 (1967) (finding that the lost will doctrine did not apply where there was undisputed evidence that the decedent tore up her 1963 will)</w:t>
      </w:r>
      <w:r w:rsidR="003E70AA" w:rsidRPr="00DE42C2">
        <w:t>.</w:t>
      </w:r>
    </w:p>
    <w:p w14:paraId="3F7F7632" w14:textId="5B95592D" w:rsidR="006F7B49" w:rsidRPr="006F7B49" w:rsidRDefault="006F7B49" w:rsidP="00DE42C2">
      <w:pPr>
        <w:pStyle w:val="NormalWeb"/>
        <w:spacing w:before="0" w:beforeAutospacing="0" w:after="240" w:afterAutospacing="0"/>
        <w:ind w:firstLine="720"/>
        <w:textAlignment w:val="baseline"/>
      </w:pPr>
      <w:r w:rsidRPr="003E70AA">
        <w:t>1</w:t>
      </w:r>
      <w:r w:rsidR="008867DA" w:rsidRPr="003E70AA">
        <w:t>1</w:t>
      </w:r>
      <w:r w:rsidRPr="003E70AA">
        <w:t>. Section 15-12-402(3) refers to satisfying “the court” that an “unavailable” will has not been revoked</w:t>
      </w:r>
      <w:r w:rsidR="00101A69" w:rsidRPr="003E70AA">
        <w:t xml:space="preserve"> </w:t>
      </w:r>
      <w:r w:rsidR="006A6A3A" w:rsidRPr="003E70AA">
        <w:t>therefore</w:t>
      </w:r>
      <w:r w:rsidR="00101A69" w:rsidRPr="003E70AA">
        <w:t xml:space="preserve"> the </w:t>
      </w:r>
      <w:r w:rsidR="00CE02A1" w:rsidRPr="003E70AA">
        <w:t>c</w:t>
      </w:r>
      <w:r w:rsidR="00101A69" w:rsidRPr="003E70AA">
        <w:t>ourt</w:t>
      </w:r>
      <w:r w:rsidR="000A4BB8">
        <w:t xml:space="preserve"> must</w:t>
      </w:r>
      <w:r w:rsidR="00101A69">
        <w:t xml:space="preserve"> find that there is </w:t>
      </w:r>
      <w:r w:rsidR="0006281F">
        <w:t>legally sufficient evidence to rebut the presumption of revocation of a lost</w:t>
      </w:r>
      <w:r w:rsidR="00CE02A1">
        <w:t>, destroyed,</w:t>
      </w:r>
      <w:r w:rsidR="0006281F">
        <w:t xml:space="preserve"> </w:t>
      </w:r>
      <w:r w:rsidR="006A6A3A">
        <w:t>or</w:t>
      </w:r>
      <w:r w:rsidR="00CE02A1">
        <w:t xml:space="preserve"> otherwise</w:t>
      </w:r>
      <w:r w:rsidR="006A6A3A">
        <w:t xml:space="preserve"> unavailable will. If the </w:t>
      </w:r>
      <w:r w:rsidR="00CE02A1">
        <w:t>c</w:t>
      </w:r>
      <w:r w:rsidR="006A6A3A">
        <w:t>ourt finds that the presumption</w:t>
      </w:r>
      <w:r w:rsidR="00CE02A1">
        <w:t xml:space="preserve"> of revocation</w:t>
      </w:r>
      <w:r w:rsidR="006A6A3A">
        <w:t xml:space="preserve"> has been sufficiently rebutted then the</w:t>
      </w:r>
      <w:r w:rsidR="0006281F">
        <w:t xml:space="preserve"> matter may be submitted to the jury, to determine whether the proponent </w:t>
      </w:r>
      <w:r w:rsidR="0048293A">
        <w:t xml:space="preserve">has </w:t>
      </w:r>
      <w:r w:rsidR="0006281F">
        <w:t>proved by a preponderance of the evidence that it was unrevoked</w:t>
      </w:r>
      <w:r w:rsidRPr="006F7B49">
        <w:t xml:space="preserve">. </w:t>
      </w:r>
      <w:r w:rsidR="00B83CCD">
        <w:t xml:space="preserve">§ </w:t>
      </w:r>
      <w:r w:rsidR="007C118D">
        <w:t>15-10-306(1)</w:t>
      </w:r>
      <w:r w:rsidR="00B83CCD">
        <w:t>, C.R.S</w:t>
      </w:r>
      <w:r w:rsidR="007C118D">
        <w:t>.</w:t>
      </w:r>
      <w:r w:rsidR="00B83CCD">
        <w:t>;</w:t>
      </w:r>
      <w:r w:rsidR="007C118D">
        <w:t xml:space="preserve"> </w:t>
      </w:r>
      <w:r w:rsidR="00B83CCD">
        <w:rPr>
          <w:i/>
        </w:rPr>
        <w:t>s</w:t>
      </w:r>
      <w:r w:rsidR="00667266" w:rsidRPr="00D81D01">
        <w:rPr>
          <w:i/>
        </w:rPr>
        <w:t>ee</w:t>
      </w:r>
      <w:r w:rsidR="00667266" w:rsidRPr="00D81D01">
        <w:t xml:space="preserve"> </w:t>
      </w:r>
      <w:r w:rsidR="00667266" w:rsidRPr="00D81D01">
        <w:rPr>
          <w:b/>
        </w:rPr>
        <w:t>Krueger v. Ary</w:t>
      </w:r>
      <w:r w:rsidR="00667266" w:rsidRPr="00D81D01">
        <w:t>, 205 P.3d 1150 (Colo. 2009)</w:t>
      </w:r>
      <w:r w:rsidR="006C094F">
        <w:t>.</w:t>
      </w:r>
    </w:p>
    <w:p w14:paraId="6904298E" w14:textId="77777777" w:rsidR="00DE42C2" w:rsidRDefault="006F7B49" w:rsidP="00DE42C2">
      <w:pPr>
        <w:pStyle w:val="NormalWeb"/>
        <w:spacing w:before="0" w:beforeAutospacing="0" w:after="240" w:afterAutospacing="0"/>
        <w:ind w:firstLine="720"/>
        <w:textAlignment w:val="baseline"/>
      </w:pPr>
      <w:r w:rsidRPr="006F7B49">
        <w:t>1</w:t>
      </w:r>
      <w:r w:rsidR="008867DA">
        <w:t>2</w:t>
      </w:r>
      <w:r w:rsidRPr="006F7B49">
        <w:t>. If a will has not been destroyed</w:t>
      </w:r>
      <w:r w:rsidR="00A20A3F">
        <w:t xml:space="preserve"> i</w:t>
      </w:r>
      <w:r w:rsidR="0001364B">
        <w:t>n i</w:t>
      </w:r>
      <w:r w:rsidR="00A20A3F">
        <w:t>t</w:t>
      </w:r>
      <w:r w:rsidR="0001364B">
        <w:t>s</w:t>
      </w:r>
      <w:r w:rsidR="00A20A3F">
        <w:t xml:space="preserve"> entirety</w:t>
      </w:r>
      <w:r w:rsidRPr="006F7B49">
        <w:t xml:space="preserve"> and is, therefore, still “available,” but is found burned, torn, canceled, obliterated</w:t>
      </w:r>
      <w:r w:rsidR="002A5296">
        <w:t>, or destroyed, in part</w:t>
      </w:r>
      <w:r w:rsidRPr="006F7B49">
        <w:t>, then the burden of proving revocation is with the contestant under section 15-12-407. The issue should be set out as the contestant’s claim in the third to the last unnumbered paragraph of this instruction, and Instruction 34:8</w:t>
      </w:r>
      <w:r w:rsidR="00892E25">
        <w:t>.</w:t>
      </w:r>
    </w:p>
    <w:p w14:paraId="760E91E5" w14:textId="656C6227" w:rsidR="006F7B49" w:rsidRPr="006F7B49" w:rsidRDefault="006F7B49" w:rsidP="00DE42C2">
      <w:pPr>
        <w:pStyle w:val="NormalWeb"/>
        <w:spacing w:before="0" w:beforeAutospacing="0" w:after="240" w:afterAutospacing="0"/>
        <w:ind w:firstLine="720"/>
        <w:textAlignment w:val="baseline"/>
      </w:pPr>
      <w:r w:rsidRPr="006F7B49">
        <w:t>1</w:t>
      </w:r>
      <w:r w:rsidR="008867DA">
        <w:t>3</w:t>
      </w:r>
      <w:r w:rsidRPr="006F7B49">
        <w:t>. This instruction should not be used when it is claimed only a part, as opposed to the entire will, is invalid because of fraud,</w:t>
      </w:r>
      <w:r w:rsidR="00B37120">
        <w:t xml:space="preserve"> </w:t>
      </w:r>
      <w:r w:rsidR="00913442">
        <w:t xml:space="preserve">forgery, </w:t>
      </w:r>
      <w:r w:rsidR="00B37120">
        <w:t>lack of capacity, undue influence, or insane delusion</w:t>
      </w:r>
      <w:r w:rsidRPr="006F7B49">
        <w:t>.</w:t>
      </w:r>
    </w:p>
    <w:p w14:paraId="203A182F"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14. This instruction, appropriately modified as may be necessary, may also be used in cases involving a written foreign will which the proponent claims was executed in compliance “with section 15-11-502 or 15-11-503 or . . . with the law at the time of execution of the place where the will [was] executed, or of the law of the place where, at the time of execution or at the time of death, the testator [was] domiciled, [had] a place of abode, or [was] a national.” § 15-11-506, C.R.S.</w:t>
      </w:r>
    </w:p>
    <w:p w14:paraId="6FBE9831"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lastRenderedPageBreak/>
        <w:t>15. For international wills, see the Uniform International Wills Act, §§ 15-11-1001 to -1011, C.R.S. When the valid execution of a will under that statute requires one or more facts to be determined by a jury, this instruction, appropriately modified, may be used. Other relevant instructions in this chapter, with such modifications as may be necessary, may also be used.</w:t>
      </w:r>
      <w:r w:rsidRPr="006F7B49" w:rsidDel="0098680B">
        <w:rPr>
          <w:rFonts w:eastAsia="Times New Roman"/>
          <w:sz w:val="24"/>
          <w:szCs w:val="24"/>
        </w:rPr>
        <w:t xml:space="preserve"> </w:t>
      </w:r>
    </w:p>
    <w:p w14:paraId="7DE176D3"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16. As to determining the sufficiency of the evidence relating to the requirements of due execution under this instruction, see section 15-12-406(1):</w:t>
      </w:r>
    </w:p>
    <w:p w14:paraId="4D987390"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 In a contested case in which the proper execution of a will is at issue, the following rules apply:</w:t>
      </w:r>
    </w:p>
    <w:p w14:paraId="6C963F57" w14:textId="77777777" w:rsidR="006F7B49" w:rsidRPr="006F7B49" w:rsidRDefault="006F7B49" w:rsidP="006F7B49">
      <w:pPr>
        <w:spacing w:after="240"/>
        <w:ind w:left="720"/>
        <w:rPr>
          <w:rFonts w:eastAsia="Times New Roman"/>
          <w:sz w:val="24"/>
          <w:szCs w:val="24"/>
        </w:rPr>
      </w:pPr>
      <w:r w:rsidRPr="006F7B49">
        <w:rPr>
          <w:rFonts w:eastAsia="Times New Roman"/>
          <w:sz w:val="24"/>
          <w:szCs w:val="24"/>
        </w:rPr>
        <w:t>(a) 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14:paraId="5B08D940" w14:textId="77777777" w:rsidR="006F7B49" w:rsidRPr="006F7B49" w:rsidRDefault="006F7B49" w:rsidP="006F7B49">
      <w:pPr>
        <w:spacing w:after="240"/>
        <w:ind w:left="720"/>
        <w:rPr>
          <w:rFonts w:eastAsia="Times New Roman"/>
          <w:sz w:val="24"/>
          <w:szCs w:val="24"/>
        </w:rPr>
      </w:pPr>
      <w:r w:rsidRPr="006F7B49">
        <w:rPr>
          <w:rFonts w:eastAsia="Times New Roman"/>
          <w:sz w:val="24"/>
          <w:szCs w:val="24"/>
        </w:rPr>
        <w:t>(b) If the will is notarized pursuant to section 15-11-502(1)(c)(II), but not self-proved, there is a rebuttable presumption that the will satisfies the requirements for execution upon filing the will.</w:t>
      </w:r>
    </w:p>
    <w:p w14:paraId="7D8354C6" w14:textId="77777777" w:rsidR="006F7B49" w:rsidRPr="006F7B49" w:rsidRDefault="006F7B49" w:rsidP="006F7B49">
      <w:pPr>
        <w:spacing w:after="240"/>
        <w:ind w:left="720"/>
        <w:rPr>
          <w:rFonts w:eastAsia="Times New Roman"/>
          <w:sz w:val="24"/>
          <w:szCs w:val="24"/>
        </w:rPr>
      </w:pPr>
      <w:r w:rsidRPr="006F7B49">
        <w:rPr>
          <w:rFonts w:eastAsia="Times New Roman"/>
          <w:sz w:val="24"/>
          <w:szCs w:val="24"/>
        </w:rPr>
        <w:t>(c) If the will is witnessed pursuant to section 15-11-502(1)(c)(I),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14:paraId="325818AE" w14:textId="77777777" w:rsidR="006F7B49" w:rsidRPr="006F7B49" w:rsidRDefault="006F7B49" w:rsidP="006F7B49">
      <w:pPr>
        <w:spacing w:after="240"/>
        <w:rPr>
          <w:rFonts w:eastAsia="Times New Roman"/>
          <w:sz w:val="24"/>
          <w:szCs w:val="24"/>
        </w:rPr>
      </w:pPr>
      <w:r w:rsidRPr="006F7B49">
        <w:rPr>
          <w:rFonts w:eastAsia="Times New Roman"/>
          <w:sz w:val="24"/>
          <w:szCs w:val="24"/>
        </w:rPr>
        <w:t>For submitting rebuttable presumptions to the jury, see Instruction 3:5.</w:t>
      </w:r>
      <w:r w:rsidRPr="006F7B49" w:rsidDel="003539F3">
        <w:rPr>
          <w:rFonts w:eastAsia="Times New Roman"/>
          <w:sz w:val="24"/>
          <w:szCs w:val="24"/>
        </w:rPr>
        <w:t xml:space="preserve"> </w:t>
      </w:r>
    </w:p>
    <w:p w14:paraId="78B7A2A6"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17. When the case involves a “separate writing or memorandum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14:paraId="37E7B989" w14:textId="46C0708B"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18. If the contest relates only to a codicil or to a will with one or more codicils, appropriate modifications </w:t>
      </w:r>
      <w:r w:rsidR="00285CB9">
        <w:rPr>
          <w:rFonts w:eastAsia="Times New Roman"/>
          <w:sz w:val="24"/>
          <w:szCs w:val="24"/>
        </w:rPr>
        <w:t>should</w:t>
      </w:r>
      <w:r w:rsidRPr="006F7B49">
        <w:rPr>
          <w:rFonts w:eastAsia="Times New Roman"/>
          <w:sz w:val="24"/>
          <w:szCs w:val="24"/>
        </w:rPr>
        <w:t xml:space="preserve"> also be made in this instruction.</w:t>
      </w:r>
    </w:p>
    <w:p w14:paraId="07C321E3" w14:textId="77777777" w:rsidR="002840A5" w:rsidRPr="00824DD3" w:rsidRDefault="006F7B49" w:rsidP="002840A5">
      <w:pPr>
        <w:spacing w:after="240"/>
        <w:ind w:firstLine="720"/>
        <w:rPr>
          <w:rFonts w:eastAsia="Times New Roman"/>
          <w:sz w:val="24"/>
          <w:szCs w:val="24"/>
        </w:rPr>
      </w:pPr>
      <w:r w:rsidRPr="006F7B49">
        <w:rPr>
          <w:rFonts w:eastAsia="Times New Roman"/>
          <w:sz w:val="24"/>
          <w:szCs w:val="24"/>
        </w:rPr>
        <w:t xml:space="preserve">19. When necessary and appropriate to the evidence in the case, Instruction 34:4 (witness </w:t>
      </w:r>
      <w:r w:rsidRPr="00824DD3">
        <w:rPr>
          <w:rFonts w:eastAsia="Times New Roman"/>
          <w:sz w:val="24"/>
          <w:szCs w:val="24"/>
        </w:rPr>
        <w:t>having an interest under the will) should be given with this instruction as a cautionary instruction.</w:t>
      </w:r>
    </w:p>
    <w:p w14:paraId="50CE3CD0" w14:textId="343CA636" w:rsidR="00E07DF7" w:rsidRPr="00824DD3" w:rsidRDefault="00E07DF7" w:rsidP="002840A5">
      <w:pPr>
        <w:spacing w:after="240"/>
        <w:ind w:firstLine="720"/>
        <w:rPr>
          <w:rFonts w:eastAsia="Times New Roman"/>
          <w:sz w:val="24"/>
          <w:szCs w:val="24"/>
        </w:rPr>
      </w:pPr>
      <w:r w:rsidRPr="00824DD3">
        <w:rPr>
          <w:sz w:val="24"/>
          <w:szCs w:val="24"/>
        </w:rPr>
        <w:t xml:space="preserve">20. This instruction </w:t>
      </w:r>
      <w:r w:rsidR="0010214A">
        <w:rPr>
          <w:sz w:val="24"/>
          <w:szCs w:val="24"/>
        </w:rPr>
        <w:t>should</w:t>
      </w:r>
      <w:r w:rsidRPr="00824DD3">
        <w:rPr>
          <w:sz w:val="24"/>
          <w:szCs w:val="24"/>
        </w:rPr>
        <w:t xml:space="preserve"> be modified if the will at issue purports to be a will executed, or revoked, in compliance with the Colorado Uniform Electronic Wills Act</w:t>
      </w:r>
      <w:r w:rsidR="00B83CCD" w:rsidRPr="00824DD3">
        <w:rPr>
          <w:sz w:val="24"/>
          <w:szCs w:val="24"/>
        </w:rPr>
        <w:t>,</w:t>
      </w:r>
      <w:r w:rsidRPr="00824DD3">
        <w:rPr>
          <w:sz w:val="24"/>
          <w:szCs w:val="24"/>
        </w:rPr>
        <w:t xml:space="preserve"> §§ 15-11-1301</w:t>
      </w:r>
      <w:r w:rsidR="00B83CCD" w:rsidRPr="00824DD3">
        <w:rPr>
          <w:sz w:val="24"/>
          <w:szCs w:val="24"/>
        </w:rPr>
        <w:t xml:space="preserve"> to </w:t>
      </w:r>
      <w:r w:rsidRPr="00824DD3">
        <w:rPr>
          <w:sz w:val="24"/>
          <w:szCs w:val="24"/>
        </w:rPr>
        <w:t>-1311</w:t>
      </w:r>
      <w:r w:rsidR="00B83CCD" w:rsidRPr="00824DD3">
        <w:rPr>
          <w:sz w:val="24"/>
          <w:szCs w:val="24"/>
        </w:rPr>
        <w:t>, C.R.S.,</w:t>
      </w:r>
      <w:r w:rsidRPr="00824DD3">
        <w:rPr>
          <w:sz w:val="24"/>
          <w:szCs w:val="24"/>
        </w:rPr>
        <w:t xml:space="preserve"> or a will executed in compliance with C.R.P.P. 92</w:t>
      </w:r>
      <w:r w:rsidR="00D80F3B" w:rsidRPr="00824DD3">
        <w:rPr>
          <w:sz w:val="24"/>
          <w:szCs w:val="24"/>
        </w:rPr>
        <w:t>.</w:t>
      </w:r>
    </w:p>
    <w:p w14:paraId="5DF63727" w14:textId="570C59F7" w:rsidR="002840A5" w:rsidRPr="00824DD3" w:rsidRDefault="002840A5" w:rsidP="002840A5">
      <w:pPr>
        <w:spacing w:after="240"/>
        <w:ind w:firstLine="720"/>
        <w:rPr>
          <w:rFonts w:eastAsia="Times New Roman"/>
          <w:sz w:val="24"/>
          <w:szCs w:val="24"/>
        </w:rPr>
      </w:pPr>
      <w:r w:rsidRPr="00824DD3">
        <w:rPr>
          <w:rFonts w:eastAsia="Times New Roman"/>
          <w:sz w:val="24"/>
          <w:szCs w:val="24"/>
        </w:rPr>
        <w:t>2</w:t>
      </w:r>
      <w:r w:rsidR="00E07DF7" w:rsidRPr="00824DD3">
        <w:rPr>
          <w:rFonts w:eastAsia="Times New Roman"/>
          <w:sz w:val="24"/>
          <w:szCs w:val="24"/>
        </w:rPr>
        <w:t>1</w:t>
      </w:r>
      <w:r w:rsidRPr="00824DD3">
        <w:rPr>
          <w:rFonts w:eastAsia="Times New Roman"/>
          <w:sz w:val="24"/>
          <w:szCs w:val="24"/>
        </w:rPr>
        <w:t>. This instruction should be given with Instruction 34:</w:t>
      </w:r>
      <w:r w:rsidR="00151659">
        <w:rPr>
          <w:rFonts w:eastAsia="Times New Roman"/>
          <w:sz w:val="24"/>
          <w:szCs w:val="24"/>
        </w:rPr>
        <w:t>3A</w:t>
      </w:r>
      <w:r w:rsidRPr="00824DD3">
        <w:rPr>
          <w:rFonts w:eastAsia="Times New Roman"/>
          <w:sz w:val="24"/>
          <w:szCs w:val="24"/>
        </w:rPr>
        <w:t xml:space="preserve"> </w:t>
      </w:r>
      <w:r w:rsidR="00D80F3B" w:rsidRPr="00824DD3">
        <w:rPr>
          <w:rFonts w:eastAsia="Times New Roman"/>
          <w:sz w:val="24"/>
          <w:szCs w:val="24"/>
        </w:rPr>
        <w:t>(</w:t>
      </w:r>
      <w:r w:rsidRPr="00824DD3">
        <w:rPr>
          <w:rFonts w:eastAsia="Times New Roman"/>
          <w:sz w:val="24"/>
          <w:szCs w:val="24"/>
        </w:rPr>
        <w:t>defining testator</w:t>
      </w:r>
      <w:r w:rsidR="00D80F3B" w:rsidRPr="00824DD3">
        <w:rPr>
          <w:rFonts w:eastAsia="Times New Roman"/>
          <w:sz w:val="24"/>
          <w:szCs w:val="24"/>
        </w:rPr>
        <w:t>)</w:t>
      </w:r>
      <w:r w:rsidRPr="00824DD3">
        <w:rPr>
          <w:rFonts w:eastAsia="Times New Roman"/>
          <w:sz w:val="24"/>
          <w:szCs w:val="24"/>
        </w:rPr>
        <w:t>.</w:t>
      </w:r>
    </w:p>
    <w:p w14:paraId="723B9170" w14:textId="77777777" w:rsidR="006F7B49" w:rsidRPr="0054263B" w:rsidRDefault="006F7B49" w:rsidP="006F7B49">
      <w:pPr>
        <w:keepNext/>
        <w:spacing w:after="240"/>
        <w:jc w:val="center"/>
        <w:rPr>
          <w:rFonts w:eastAsia="Times New Roman"/>
          <w:b/>
          <w:sz w:val="24"/>
          <w:szCs w:val="24"/>
        </w:rPr>
      </w:pPr>
      <w:r>
        <w:rPr>
          <w:rFonts w:eastAsia="Times New Roman"/>
          <w:b/>
          <w:sz w:val="24"/>
          <w:szCs w:val="24"/>
        </w:rPr>
        <w:lastRenderedPageBreak/>
        <w:t>Source and Authority</w:t>
      </w:r>
    </w:p>
    <w:p w14:paraId="7247604F" w14:textId="4F1276C2" w:rsidR="006F7B49" w:rsidRDefault="008867DA" w:rsidP="006F7B49">
      <w:pPr>
        <w:spacing w:after="240"/>
        <w:ind w:firstLine="720"/>
        <w:rPr>
          <w:rFonts w:eastAsia="Times New Roman"/>
          <w:sz w:val="24"/>
          <w:szCs w:val="24"/>
        </w:rPr>
      </w:pPr>
      <w:r>
        <w:rPr>
          <w:rFonts w:eastAsia="Times New Roman"/>
          <w:sz w:val="24"/>
          <w:szCs w:val="24"/>
        </w:rPr>
        <w:t xml:space="preserve">1. </w:t>
      </w:r>
      <w:r w:rsidR="006F7B49" w:rsidRPr="006F7B49">
        <w:rPr>
          <w:rFonts w:eastAsia="Times New Roman"/>
          <w:sz w:val="24"/>
          <w:szCs w:val="24"/>
        </w:rPr>
        <w:t>This instruction is supported by section 15-11-502(1).</w:t>
      </w:r>
    </w:p>
    <w:p w14:paraId="011457BE" w14:textId="6EDE3C62" w:rsidR="008867DA" w:rsidRPr="006F7B49" w:rsidRDefault="008867DA" w:rsidP="008867DA">
      <w:pPr>
        <w:spacing w:after="240"/>
        <w:ind w:firstLine="720"/>
        <w:rPr>
          <w:rFonts w:eastAsia="Times New Roman"/>
          <w:sz w:val="24"/>
          <w:szCs w:val="24"/>
        </w:rPr>
      </w:pPr>
      <w:r w:rsidRPr="006F7B49">
        <w:rPr>
          <w:rFonts w:eastAsia="Times New Roman"/>
          <w:sz w:val="24"/>
          <w:szCs w:val="24"/>
        </w:rPr>
        <w:t>2. “Intent that [a] document constitute[s] the testator’s will can be established by extrinsic evidence. . . .” § 15-11-502(3)</w:t>
      </w:r>
      <w:r>
        <w:rPr>
          <w:rFonts w:eastAsia="Times New Roman"/>
          <w:sz w:val="24"/>
          <w:szCs w:val="24"/>
        </w:rPr>
        <w:t>.</w:t>
      </w:r>
    </w:p>
    <w:p w14:paraId="2FC7F194" w14:textId="5DF1078C" w:rsidR="008867DA" w:rsidRPr="006F7B49" w:rsidRDefault="008867DA" w:rsidP="008867DA">
      <w:pPr>
        <w:spacing w:after="240"/>
        <w:ind w:firstLine="720"/>
        <w:rPr>
          <w:rFonts w:eastAsia="Times New Roman"/>
          <w:sz w:val="24"/>
          <w:szCs w:val="24"/>
        </w:rPr>
      </w:pPr>
      <w:r>
        <w:rPr>
          <w:rFonts w:eastAsia="Times New Roman"/>
          <w:sz w:val="24"/>
          <w:szCs w:val="24"/>
        </w:rPr>
        <w:t>3</w:t>
      </w:r>
      <w:r w:rsidRPr="006F7B49">
        <w:rPr>
          <w:rFonts w:eastAsia="Times New Roman"/>
          <w:sz w:val="24"/>
          <w:szCs w:val="24"/>
        </w:rPr>
        <w:t xml:space="preserve">. Where a holographic will was executed in accordance with the requirements of section 15-11-502(2), and the signature of the decedent was affixed to the will itself, an additional signature beside cross-outs intended to work a partial revocation was not necessary pursuant to sections 15-11-503 or 15-11-507. </w:t>
      </w:r>
      <w:r w:rsidRPr="006F7B49">
        <w:rPr>
          <w:rFonts w:eastAsia="Times New Roman"/>
          <w:b/>
          <w:sz w:val="24"/>
          <w:szCs w:val="24"/>
        </w:rPr>
        <w:t>In re Estate of Schumacher</w:t>
      </w:r>
      <w:r w:rsidRPr="006F7B49">
        <w:rPr>
          <w:rFonts w:eastAsia="Times New Roman"/>
          <w:sz w:val="24"/>
          <w:szCs w:val="24"/>
        </w:rPr>
        <w:t>, 253 P.3d 1280 (Colo. App. 2011).</w:t>
      </w:r>
    </w:p>
    <w:p w14:paraId="3746A2D2" w14:textId="77777777" w:rsidR="00F94E0B" w:rsidRDefault="00F94E0B">
      <w:pPr>
        <w:rPr>
          <w:rFonts w:eastAsia="Times New Roman"/>
          <w:sz w:val="24"/>
          <w:szCs w:val="24"/>
        </w:rPr>
      </w:pPr>
      <w:r>
        <w:rPr>
          <w:rFonts w:eastAsia="Times New Roman"/>
          <w:sz w:val="24"/>
          <w:szCs w:val="24"/>
        </w:rPr>
        <w:br w:type="page"/>
      </w:r>
    </w:p>
    <w:p w14:paraId="2BE13053" w14:textId="77777777" w:rsidR="00F94E0B" w:rsidRPr="009E3DA4" w:rsidRDefault="00F94E0B" w:rsidP="00F94E0B">
      <w:pPr>
        <w:spacing w:after="240"/>
        <w:ind w:left="720" w:hanging="720"/>
        <w:rPr>
          <w:rFonts w:eastAsia="Times New Roman"/>
          <w:b/>
          <w:sz w:val="24"/>
          <w:szCs w:val="24"/>
        </w:rPr>
      </w:pPr>
      <w:bookmarkStart w:id="4" w:name="a34_03"/>
      <w:bookmarkEnd w:id="4"/>
      <w:r w:rsidRPr="00F94E0B">
        <w:rPr>
          <w:rFonts w:eastAsia="Times New Roman"/>
          <w:b/>
          <w:sz w:val="24"/>
          <w:szCs w:val="24"/>
        </w:rPr>
        <w:lastRenderedPageBreak/>
        <w:t xml:space="preserve">34:3 </w:t>
      </w:r>
      <w:r w:rsidRPr="00F94E0B">
        <w:rPr>
          <w:rFonts w:eastAsia="Times New Roman"/>
          <w:b/>
          <w:sz w:val="24"/>
          <w:szCs w:val="24"/>
        </w:rPr>
        <w:tab/>
      </w:r>
      <w:r w:rsidRPr="00F94E0B">
        <w:rPr>
          <w:rFonts w:ascii="Times New Roman Bold" w:eastAsia="Times New Roman" w:hAnsi="Times New Roman Bold"/>
          <w:b/>
          <w:caps/>
          <w:sz w:val="24"/>
          <w:szCs w:val="24"/>
        </w:rPr>
        <w:t>Conscious Presence — Defined</w:t>
      </w:r>
    </w:p>
    <w:p w14:paraId="7907B86A" w14:textId="421BE228" w:rsidR="00F94E0B" w:rsidRPr="00F94E0B" w:rsidRDefault="00F94E0B" w:rsidP="00F94E0B">
      <w:pPr>
        <w:spacing w:after="240"/>
        <w:ind w:firstLine="720"/>
        <w:rPr>
          <w:rFonts w:eastAsia="Times New Roman"/>
          <w:b/>
          <w:sz w:val="24"/>
          <w:szCs w:val="24"/>
        </w:rPr>
      </w:pPr>
      <w:bookmarkStart w:id="5" w:name="_Hlk146443166"/>
      <w:r w:rsidRPr="00F94E0B">
        <w:rPr>
          <w:rFonts w:eastAsia="Times New Roman"/>
          <w:b/>
          <w:sz w:val="24"/>
          <w:szCs w:val="24"/>
        </w:rPr>
        <w:t xml:space="preserve">“Conscious” means that the testator, </w:t>
      </w:r>
      <w:r w:rsidRPr="00F94E0B">
        <w:rPr>
          <w:rFonts w:eastAsia="Times New Roman"/>
          <w:i/>
          <w:sz w:val="24"/>
          <w:szCs w:val="24"/>
        </w:rPr>
        <w:t>(name)</w:t>
      </w:r>
      <w:r w:rsidRPr="00F94E0B">
        <w:rPr>
          <w:rFonts w:eastAsia="Times New Roman"/>
          <w:b/>
          <w:sz w:val="24"/>
          <w:szCs w:val="24"/>
        </w:rPr>
        <w:t>, was aware through one or more of</w:t>
      </w:r>
      <w:r w:rsidR="001F19AC">
        <w:rPr>
          <w:rFonts w:eastAsia="Times New Roman"/>
          <w:b/>
          <w:sz w:val="24"/>
          <w:szCs w:val="24"/>
        </w:rPr>
        <w:t xml:space="preserve"> </w:t>
      </w:r>
      <w:r w:rsidR="001F19AC" w:rsidRPr="001F19AC">
        <w:rPr>
          <w:rFonts w:eastAsia="Times New Roman"/>
          <w:bCs/>
          <w:i/>
          <w:iCs/>
          <w:sz w:val="24"/>
          <w:szCs w:val="24"/>
        </w:rPr>
        <w:t>(insert applicable pronoun)</w:t>
      </w:r>
      <w:r w:rsidRPr="00F94E0B">
        <w:rPr>
          <w:rFonts w:eastAsia="Times New Roman"/>
          <w:b/>
          <w:sz w:val="24"/>
          <w:szCs w:val="24"/>
        </w:rPr>
        <w:t xml:space="preserve"> senses of the presence of the person signing the </w:t>
      </w:r>
      <w:r w:rsidR="009B3307">
        <w:rPr>
          <w:rFonts w:eastAsia="Times New Roman"/>
          <w:b/>
          <w:sz w:val="24"/>
          <w:szCs w:val="24"/>
        </w:rPr>
        <w:t>W</w:t>
      </w:r>
      <w:r w:rsidRPr="00F94E0B">
        <w:rPr>
          <w:rFonts w:eastAsia="Times New Roman"/>
          <w:b/>
          <w:sz w:val="24"/>
          <w:szCs w:val="24"/>
        </w:rPr>
        <w:t>ill at</w:t>
      </w:r>
      <w:r w:rsidR="003C20B4">
        <w:rPr>
          <w:rFonts w:eastAsia="Times New Roman"/>
          <w:b/>
          <w:sz w:val="24"/>
          <w:szCs w:val="24"/>
        </w:rPr>
        <w:t xml:space="preserve"> the testator’s</w:t>
      </w:r>
      <w:r w:rsidRPr="00F94E0B">
        <w:rPr>
          <w:rFonts w:eastAsia="Times New Roman"/>
          <w:b/>
          <w:sz w:val="24"/>
          <w:szCs w:val="24"/>
        </w:rPr>
        <w:t xml:space="preserve"> direction. “Presence” requires that that person was physically near the testator, though not necessarily in</w:t>
      </w:r>
      <w:r w:rsidR="00172753">
        <w:rPr>
          <w:rFonts w:eastAsia="Times New Roman"/>
          <w:b/>
          <w:sz w:val="24"/>
          <w:szCs w:val="24"/>
        </w:rPr>
        <w:t xml:space="preserve"> </w:t>
      </w:r>
      <w:r w:rsidR="003C20B4">
        <w:rPr>
          <w:rFonts w:eastAsia="Times New Roman"/>
          <w:b/>
          <w:sz w:val="24"/>
          <w:szCs w:val="24"/>
        </w:rPr>
        <w:t>the testator’s</w:t>
      </w:r>
      <w:r w:rsidRPr="00F94E0B">
        <w:rPr>
          <w:rFonts w:eastAsia="Times New Roman"/>
          <w:b/>
          <w:sz w:val="24"/>
          <w:szCs w:val="24"/>
        </w:rPr>
        <w:t xml:space="preserve"> line of sight.</w:t>
      </w:r>
      <w:bookmarkEnd w:id="5"/>
    </w:p>
    <w:p w14:paraId="383AB9A9" w14:textId="77777777" w:rsidR="00F94E0B" w:rsidRDefault="00F94E0B" w:rsidP="00F94E0B">
      <w:pPr>
        <w:jc w:val="center"/>
        <w:rPr>
          <w:rFonts w:eastAsia="Times New Roman"/>
          <w:sz w:val="24"/>
          <w:szCs w:val="24"/>
        </w:rPr>
      </w:pPr>
    </w:p>
    <w:p w14:paraId="3FF16BAD" w14:textId="77777777"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14:paraId="44E4DF3B" w14:textId="107BFE7D" w:rsidR="00804A03" w:rsidRPr="00824DD3" w:rsidRDefault="00D80F3B" w:rsidP="0067112B">
      <w:pPr>
        <w:spacing w:after="240"/>
        <w:ind w:firstLine="720"/>
        <w:rPr>
          <w:rFonts w:eastAsia="Times New Roman"/>
          <w:sz w:val="24"/>
          <w:szCs w:val="24"/>
        </w:rPr>
      </w:pPr>
      <w:r>
        <w:rPr>
          <w:rFonts w:eastAsia="Times New Roman"/>
          <w:sz w:val="24"/>
          <w:szCs w:val="24"/>
        </w:rPr>
        <w:t>1</w:t>
      </w:r>
      <w:r w:rsidRPr="00824DD3">
        <w:rPr>
          <w:rFonts w:eastAsia="Times New Roman"/>
          <w:sz w:val="24"/>
          <w:szCs w:val="24"/>
        </w:rPr>
        <w:t xml:space="preserve">. </w:t>
      </w:r>
      <w:r w:rsidR="00F94E0B" w:rsidRPr="00824DD3">
        <w:rPr>
          <w:rFonts w:eastAsia="Times New Roman"/>
          <w:sz w:val="24"/>
          <w:szCs w:val="24"/>
        </w:rPr>
        <w:t>This instruction should be given with Instruction 34:2 whenever the phrase “conscious presence” is used in numbered paragraph 1 of that Instruction.</w:t>
      </w:r>
    </w:p>
    <w:p w14:paraId="76FCD589" w14:textId="64B143F1" w:rsidR="00804A03" w:rsidRPr="00824DD3" w:rsidRDefault="00D80F3B" w:rsidP="00F94E0B">
      <w:pPr>
        <w:spacing w:after="240"/>
        <w:ind w:firstLine="720"/>
        <w:rPr>
          <w:rFonts w:eastAsia="Times New Roman"/>
          <w:sz w:val="24"/>
          <w:szCs w:val="24"/>
        </w:rPr>
      </w:pPr>
      <w:r w:rsidRPr="00824DD3">
        <w:rPr>
          <w:rFonts w:eastAsia="Times New Roman"/>
          <w:sz w:val="24"/>
          <w:szCs w:val="24"/>
        </w:rPr>
        <w:t xml:space="preserve">2. </w:t>
      </w:r>
      <w:r w:rsidR="00804A03" w:rsidRPr="00824DD3">
        <w:rPr>
          <w:rFonts w:eastAsia="Times New Roman"/>
          <w:sz w:val="24"/>
          <w:szCs w:val="24"/>
        </w:rPr>
        <w:t>This instruction should be given with Instruction 34:</w:t>
      </w:r>
      <w:r w:rsidR="00151659">
        <w:rPr>
          <w:rFonts w:eastAsia="Times New Roman"/>
          <w:sz w:val="24"/>
          <w:szCs w:val="24"/>
        </w:rPr>
        <w:t>3A</w:t>
      </w:r>
      <w:r w:rsidR="0067112B" w:rsidRPr="00824DD3">
        <w:rPr>
          <w:rFonts w:eastAsia="Times New Roman"/>
          <w:sz w:val="24"/>
          <w:szCs w:val="24"/>
        </w:rPr>
        <w:t xml:space="preserve"> </w:t>
      </w:r>
      <w:r w:rsidRPr="00824DD3">
        <w:rPr>
          <w:rFonts w:eastAsia="Times New Roman"/>
          <w:sz w:val="24"/>
          <w:szCs w:val="24"/>
        </w:rPr>
        <w:t>(</w:t>
      </w:r>
      <w:r w:rsidR="0067112B" w:rsidRPr="00824DD3">
        <w:rPr>
          <w:rFonts w:eastAsia="Times New Roman"/>
          <w:sz w:val="24"/>
          <w:szCs w:val="24"/>
        </w:rPr>
        <w:t>defining testator</w:t>
      </w:r>
      <w:r w:rsidRPr="00824DD3">
        <w:rPr>
          <w:rFonts w:eastAsia="Times New Roman"/>
          <w:sz w:val="24"/>
          <w:szCs w:val="24"/>
        </w:rPr>
        <w:t>)</w:t>
      </w:r>
      <w:r w:rsidR="0067112B" w:rsidRPr="00824DD3">
        <w:rPr>
          <w:rFonts w:eastAsia="Times New Roman"/>
          <w:sz w:val="24"/>
          <w:szCs w:val="24"/>
        </w:rPr>
        <w:t xml:space="preserve">. </w:t>
      </w:r>
    </w:p>
    <w:p w14:paraId="7E8F0B25" w14:textId="6F974A09" w:rsidR="001E639B" w:rsidRPr="00824DD3" w:rsidRDefault="00D80F3B" w:rsidP="00F94E0B">
      <w:pPr>
        <w:spacing w:after="240"/>
        <w:ind w:firstLine="720"/>
        <w:rPr>
          <w:rFonts w:eastAsia="Times New Roman"/>
          <w:sz w:val="24"/>
          <w:szCs w:val="24"/>
        </w:rPr>
      </w:pPr>
      <w:r w:rsidRPr="00824DD3">
        <w:rPr>
          <w:sz w:val="24"/>
          <w:szCs w:val="24"/>
        </w:rPr>
        <w:t xml:space="preserve">3. </w:t>
      </w:r>
      <w:r w:rsidR="001E639B" w:rsidRPr="00824DD3">
        <w:rPr>
          <w:sz w:val="24"/>
          <w:szCs w:val="24"/>
        </w:rPr>
        <w:t xml:space="preserve">This instruction </w:t>
      </w:r>
      <w:r w:rsidR="0010214A">
        <w:rPr>
          <w:sz w:val="24"/>
          <w:szCs w:val="24"/>
        </w:rPr>
        <w:t>should</w:t>
      </w:r>
      <w:r w:rsidR="001E639B" w:rsidRPr="00824DD3">
        <w:rPr>
          <w:sz w:val="24"/>
          <w:szCs w:val="24"/>
        </w:rPr>
        <w:t xml:space="preserve"> be modified if the will at issue purports to be a will executed, or revoked, in compliance with the Colorado Uniform Electronic Wills Act</w:t>
      </w:r>
      <w:r w:rsidRPr="00824DD3">
        <w:rPr>
          <w:sz w:val="24"/>
          <w:szCs w:val="24"/>
        </w:rPr>
        <w:t>,</w:t>
      </w:r>
      <w:r w:rsidR="001E639B" w:rsidRPr="00824DD3">
        <w:rPr>
          <w:sz w:val="24"/>
          <w:szCs w:val="24"/>
        </w:rPr>
        <w:t xml:space="preserve"> §§ 15-11-1301</w:t>
      </w:r>
      <w:r w:rsidRPr="00824DD3">
        <w:rPr>
          <w:sz w:val="24"/>
          <w:szCs w:val="24"/>
        </w:rPr>
        <w:t xml:space="preserve"> to </w:t>
      </w:r>
      <w:r w:rsidR="001E639B" w:rsidRPr="00824DD3">
        <w:rPr>
          <w:sz w:val="24"/>
          <w:szCs w:val="24"/>
        </w:rPr>
        <w:t>-11</w:t>
      </w:r>
      <w:r w:rsidRPr="00824DD3">
        <w:rPr>
          <w:sz w:val="24"/>
          <w:szCs w:val="24"/>
        </w:rPr>
        <w:t>, C.R.S.,</w:t>
      </w:r>
      <w:r w:rsidR="001E639B" w:rsidRPr="00824DD3">
        <w:rPr>
          <w:sz w:val="24"/>
          <w:szCs w:val="24"/>
        </w:rPr>
        <w:t xml:space="preserve"> or a will executed in compliance with C.R.P.P. 92.</w:t>
      </w:r>
    </w:p>
    <w:p w14:paraId="7D4D1834" w14:textId="49A2CB69"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14:paraId="11A68053"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The first sentence of this instruction is supported by the common definition of conscious. The second sentence is supported by section 15-11-502(4), C.R.S.</w:t>
      </w:r>
    </w:p>
    <w:p w14:paraId="3F01997B" w14:textId="77777777" w:rsidR="00B35C89" w:rsidRDefault="00B35C89">
      <w:pPr>
        <w:rPr>
          <w:rFonts w:eastAsia="Times New Roman"/>
          <w:sz w:val="24"/>
          <w:szCs w:val="24"/>
        </w:rPr>
      </w:pPr>
      <w:r>
        <w:rPr>
          <w:rFonts w:eastAsia="Times New Roman"/>
          <w:sz w:val="24"/>
          <w:szCs w:val="24"/>
        </w:rPr>
        <w:br w:type="page"/>
      </w:r>
    </w:p>
    <w:p w14:paraId="28E236A6" w14:textId="77777777" w:rsidR="00B35C89" w:rsidRPr="00CC243A" w:rsidRDefault="00B35C89" w:rsidP="00B35C89">
      <w:pPr>
        <w:spacing w:after="240"/>
        <w:ind w:left="720" w:hanging="720"/>
        <w:rPr>
          <w:rFonts w:eastAsia="Times New Roman"/>
          <w:b/>
          <w:caps/>
          <w:sz w:val="24"/>
          <w:szCs w:val="24"/>
        </w:rPr>
      </w:pPr>
      <w:bookmarkStart w:id="6" w:name="a34_03a"/>
      <w:bookmarkEnd w:id="6"/>
      <w:r w:rsidRPr="00CC243A">
        <w:rPr>
          <w:rFonts w:eastAsia="Times New Roman"/>
          <w:b/>
          <w:sz w:val="24"/>
          <w:szCs w:val="24"/>
        </w:rPr>
        <w:lastRenderedPageBreak/>
        <w:t>34:</w:t>
      </w:r>
      <w:r>
        <w:rPr>
          <w:rFonts w:eastAsia="Times New Roman"/>
          <w:b/>
          <w:sz w:val="24"/>
          <w:szCs w:val="24"/>
        </w:rPr>
        <w:t>3A</w:t>
      </w:r>
      <w:r w:rsidRPr="00CC243A">
        <w:rPr>
          <w:rFonts w:eastAsia="Times New Roman"/>
          <w:b/>
          <w:sz w:val="24"/>
          <w:szCs w:val="24"/>
        </w:rPr>
        <w:t xml:space="preserve"> </w:t>
      </w:r>
      <w:r w:rsidRPr="00CC243A">
        <w:rPr>
          <w:rFonts w:eastAsia="Times New Roman"/>
          <w:b/>
          <w:sz w:val="24"/>
          <w:szCs w:val="24"/>
        </w:rPr>
        <w:tab/>
      </w:r>
      <w:r>
        <w:rPr>
          <w:rFonts w:eastAsia="Times New Roman"/>
          <w:b/>
          <w:sz w:val="24"/>
          <w:szCs w:val="24"/>
        </w:rPr>
        <w:t xml:space="preserve">TESTATOR </w:t>
      </w:r>
      <w:r w:rsidRPr="00CC243A">
        <w:rPr>
          <w:rFonts w:eastAsia="Times New Roman"/>
          <w:b/>
          <w:caps/>
          <w:sz w:val="24"/>
          <w:szCs w:val="24"/>
        </w:rPr>
        <w:t xml:space="preserve">— DEFINED </w:t>
      </w:r>
    </w:p>
    <w:p w14:paraId="09574CC2" w14:textId="77777777" w:rsidR="00B35C89" w:rsidRDefault="00B35C89" w:rsidP="00B35C89">
      <w:pPr>
        <w:ind w:firstLine="720"/>
        <w:rPr>
          <w:b/>
          <w:bCs/>
          <w:sz w:val="24"/>
          <w:szCs w:val="24"/>
        </w:rPr>
      </w:pPr>
      <w:r w:rsidRPr="00B60A63">
        <w:rPr>
          <w:b/>
          <w:bCs/>
          <w:sz w:val="24"/>
          <w:szCs w:val="24"/>
        </w:rPr>
        <w:t>A testator is a person who has died leaving a Will.</w:t>
      </w:r>
    </w:p>
    <w:p w14:paraId="752868C5" w14:textId="77777777" w:rsidR="00B35C89" w:rsidRDefault="00B35C89" w:rsidP="00B35C89">
      <w:pPr>
        <w:ind w:firstLine="720"/>
        <w:rPr>
          <w:rFonts w:eastAsia="Times New Roman"/>
          <w:sz w:val="24"/>
          <w:szCs w:val="24"/>
        </w:rPr>
      </w:pPr>
    </w:p>
    <w:p w14:paraId="2A48338C" w14:textId="77777777" w:rsidR="00B35C89" w:rsidRDefault="00B35C89" w:rsidP="00B35C89">
      <w:pPr>
        <w:rPr>
          <w:rFonts w:eastAsia="Times New Roman"/>
          <w:sz w:val="24"/>
          <w:szCs w:val="24"/>
        </w:rPr>
      </w:pPr>
    </w:p>
    <w:p w14:paraId="2EEE3D94" w14:textId="77777777" w:rsidR="00B35C89" w:rsidRPr="0054263B" w:rsidRDefault="00B35C89" w:rsidP="00B35C89">
      <w:pPr>
        <w:keepNext/>
        <w:spacing w:after="240"/>
        <w:jc w:val="center"/>
        <w:rPr>
          <w:rFonts w:eastAsia="Times New Roman"/>
          <w:b/>
          <w:sz w:val="24"/>
          <w:szCs w:val="24"/>
        </w:rPr>
      </w:pPr>
      <w:r w:rsidRPr="0054263B">
        <w:rPr>
          <w:rFonts w:eastAsia="Times New Roman"/>
          <w:b/>
          <w:sz w:val="24"/>
          <w:szCs w:val="24"/>
        </w:rPr>
        <w:t>Notes on Use</w:t>
      </w:r>
    </w:p>
    <w:p w14:paraId="04BD27B1" w14:textId="77777777" w:rsidR="00B35C89" w:rsidRDefault="00B35C89" w:rsidP="00B35C89">
      <w:pPr>
        <w:spacing w:after="160"/>
        <w:ind w:firstLine="720"/>
        <w:contextualSpacing/>
        <w:rPr>
          <w:sz w:val="24"/>
          <w:szCs w:val="24"/>
        </w:rPr>
      </w:pPr>
      <w:r>
        <w:rPr>
          <w:sz w:val="24"/>
          <w:szCs w:val="24"/>
        </w:rPr>
        <w:t>This instruction should be given with Instruction 34:2, 34:3, 34:6, 34:8, 34:9, 34:11, 34:13, 34:14, 34:15, 34:17, and 34:18.</w:t>
      </w:r>
    </w:p>
    <w:p w14:paraId="67A86B5E" w14:textId="77777777" w:rsidR="00B35C89" w:rsidRDefault="00B35C89" w:rsidP="00B35C89">
      <w:pPr>
        <w:spacing w:after="160"/>
        <w:ind w:firstLine="720"/>
        <w:contextualSpacing/>
        <w:rPr>
          <w:sz w:val="24"/>
          <w:szCs w:val="24"/>
        </w:rPr>
      </w:pPr>
    </w:p>
    <w:p w14:paraId="432BEC96" w14:textId="77777777" w:rsidR="00B35C89" w:rsidRPr="0054263B" w:rsidRDefault="00B35C89" w:rsidP="00B35C89">
      <w:pPr>
        <w:keepNext/>
        <w:spacing w:after="240"/>
        <w:jc w:val="center"/>
        <w:rPr>
          <w:rFonts w:eastAsia="Times New Roman"/>
          <w:b/>
          <w:sz w:val="24"/>
          <w:szCs w:val="24"/>
        </w:rPr>
      </w:pPr>
      <w:r>
        <w:rPr>
          <w:rFonts w:eastAsia="Times New Roman"/>
          <w:b/>
          <w:sz w:val="24"/>
          <w:szCs w:val="24"/>
        </w:rPr>
        <w:t>Source and Authority</w:t>
      </w:r>
    </w:p>
    <w:p w14:paraId="071FFE81" w14:textId="55443595" w:rsidR="00B35C89" w:rsidRDefault="00B35C89" w:rsidP="00B35C89">
      <w:pPr>
        <w:spacing w:after="240"/>
        <w:ind w:firstLine="720"/>
        <w:rPr>
          <w:rFonts w:eastAsia="Times New Roman"/>
          <w:sz w:val="24"/>
          <w:szCs w:val="24"/>
        </w:rPr>
      </w:pPr>
      <w:r>
        <w:rPr>
          <w:rFonts w:eastAsia="Times New Roman"/>
          <w:sz w:val="24"/>
          <w:szCs w:val="24"/>
        </w:rPr>
        <w:t xml:space="preserve">This instruction is supported by section 15-10-201(55), C.R.S.; and </w:t>
      </w:r>
      <w:r w:rsidRPr="0056348A">
        <w:rPr>
          <w:rFonts w:eastAsia="Times New Roman"/>
          <w:b/>
          <w:bCs/>
          <w:sz w:val="24"/>
          <w:szCs w:val="24"/>
        </w:rPr>
        <w:t>In re Estate of Rabin</w:t>
      </w:r>
      <w:r>
        <w:rPr>
          <w:rFonts w:eastAsia="Times New Roman"/>
          <w:sz w:val="24"/>
          <w:szCs w:val="24"/>
        </w:rPr>
        <w:t>, 2020 CO 77, ¶ 3 n.2, 474 P.3d 1211, 1214 (“We recognize that the decedent in this case died with a will and is thus a ‘testator.’”).</w:t>
      </w:r>
    </w:p>
    <w:p w14:paraId="372A13EF" w14:textId="77777777" w:rsidR="00B35C89" w:rsidRDefault="00B35C89">
      <w:pPr>
        <w:rPr>
          <w:rFonts w:eastAsia="Times New Roman"/>
          <w:sz w:val="24"/>
          <w:szCs w:val="24"/>
        </w:rPr>
      </w:pPr>
      <w:r>
        <w:rPr>
          <w:rFonts w:eastAsia="Times New Roman"/>
          <w:sz w:val="24"/>
          <w:szCs w:val="24"/>
        </w:rPr>
        <w:br w:type="page"/>
      </w:r>
    </w:p>
    <w:p w14:paraId="423D4566" w14:textId="77777777" w:rsidR="00B35C89" w:rsidRPr="00CC243A" w:rsidRDefault="00B35C89" w:rsidP="00B35C89">
      <w:pPr>
        <w:spacing w:after="240"/>
        <w:ind w:left="720" w:hanging="720"/>
        <w:rPr>
          <w:rFonts w:eastAsia="Times New Roman"/>
          <w:b/>
          <w:caps/>
          <w:sz w:val="24"/>
          <w:szCs w:val="24"/>
        </w:rPr>
      </w:pPr>
      <w:bookmarkStart w:id="7" w:name="a34_03b"/>
      <w:bookmarkEnd w:id="7"/>
      <w:r w:rsidRPr="00CC243A">
        <w:rPr>
          <w:rFonts w:eastAsia="Times New Roman"/>
          <w:b/>
          <w:sz w:val="24"/>
          <w:szCs w:val="24"/>
        </w:rPr>
        <w:lastRenderedPageBreak/>
        <w:t>34:</w:t>
      </w:r>
      <w:r>
        <w:rPr>
          <w:rFonts w:eastAsia="Times New Roman"/>
          <w:b/>
          <w:sz w:val="24"/>
          <w:szCs w:val="24"/>
        </w:rPr>
        <w:t>3B</w:t>
      </w:r>
      <w:r w:rsidRPr="00CC243A">
        <w:rPr>
          <w:rFonts w:eastAsia="Times New Roman"/>
          <w:b/>
          <w:sz w:val="24"/>
          <w:szCs w:val="24"/>
        </w:rPr>
        <w:t xml:space="preserve"> </w:t>
      </w:r>
      <w:r w:rsidRPr="00CC243A">
        <w:rPr>
          <w:rFonts w:eastAsia="Times New Roman"/>
          <w:b/>
          <w:sz w:val="24"/>
          <w:szCs w:val="24"/>
        </w:rPr>
        <w:tab/>
      </w:r>
      <w:r>
        <w:rPr>
          <w:rFonts w:eastAsia="Times New Roman"/>
          <w:b/>
          <w:sz w:val="24"/>
          <w:szCs w:val="24"/>
        </w:rPr>
        <w:t xml:space="preserve">DEVISEE </w:t>
      </w:r>
      <w:r w:rsidRPr="00CC243A">
        <w:rPr>
          <w:rFonts w:eastAsia="Times New Roman"/>
          <w:b/>
          <w:caps/>
          <w:sz w:val="24"/>
          <w:szCs w:val="24"/>
        </w:rPr>
        <w:t xml:space="preserve">— DEFINED </w:t>
      </w:r>
    </w:p>
    <w:p w14:paraId="439C2EF3" w14:textId="77777777" w:rsidR="00B35C89" w:rsidRDefault="00B35C89" w:rsidP="00B35C89">
      <w:pPr>
        <w:ind w:firstLine="720"/>
        <w:rPr>
          <w:rFonts w:eastAsia="Times New Roman"/>
          <w:sz w:val="24"/>
          <w:szCs w:val="24"/>
        </w:rPr>
      </w:pPr>
      <w:r w:rsidRPr="00117D55">
        <w:rPr>
          <w:b/>
          <w:bCs/>
          <w:sz w:val="24"/>
          <w:szCs w:val="24"/>
        </w:rPr>
        <w:t>A devisee is a person designated in a Will to receive real or personal property</w:t>
      </w:r>
      <w:r>
        <w:rPr>
          <w:b/>
          <w:bCs/>
          <w:sz w:val="24"/>
          <w:szCs w:val="24"/>
        </w:rPr>
        <w:t>.</w:t>
      </w:r>
    </w:p>
    <w:p w14:paraId="59C1F266" w14:textId="77777777" w:rsidR="00B35C89" w:rsidRDefault="00B35C89" w:rsidP="00B35C89">
      <w:pPr>
        <w:rPr>
          <w:rFonts w:eastAsia="Times New Roman"/>
          <w:sz w:val="24"/>
          <w:szCs w:val="24"/>
        </w:rPr>
      </w:pPr>
    </w:p>
    <w:p w14:paraId="007D0FE5" w14:textId="77777777" w:rsidR="00B35C89" w:rsidRDefault="00B35C89" w:rsidP="00B35C89">
      <w:pPr>
        <w:rPr>
          <w:rFonts w:eastAsia="Times New Roman"/>
          <w:sz w:val="24"/>
          <w:szCs w:val="24"/>
        </w:rPr>
      </w:pPr>
    </w:p>
    <w:p w14:paraId="58D779B0" w14:textId="77777777" w:rsidR="00B35C89" w:rsidRPr="0054263B" w:rsidRDefault="00B35C89" w:rsidP="00B35C89">
      <w:pPr>
        <w:keepNext/>
        <w:spacing w:after="240"/>
        <w:jc w:val="center"/>
        <w:rPr>
          <w:rFonts w:eastAsia="Times New Roman"/>
          <w:b/>
          <w:sz w:val="24"/>
          <w:szCs w:val="24"/>
        </w:rPr>
      </w:pPr>
      <w:r w:rsidRPr="0054263B">
        <w:rPr>
          <w:rFonts w:eastAsia="Times New Roman"/>
          <w:b/>
          <w:sz w:val="24"/>
          <w:szCs w:val="24"/>
        </w:rPr>
        <w:t>Notes on Use</w:t>
      </w:r>
    </w:p>
    <w:p w14:paraId="5D64494D" w14:textId="77777777" w:rsidR="00B35C89" w:rsidRDefault="00B35C89" w:rsidP="00B35C89">
      <w:pPr>
        <w:spacing w:after="160"/>
        <w:ind w:firstLine="720"/>
        <w:contextualSpacing/>
        <w:rPr>
          <w:sz w:val="24"/>
          <w:szCs w:val="24"/>
        </w:rPr>
      </w:pPr>
      <w:r>
        <w:rPr>
          <w:sz w:val="24"/>
          <w:szCs w:val="24"/>
        </w:rPr>
        <w:t>This instruction should be given with Instruction 34:4.</w:t>
      </w:r>
    </w:p>
    <w:p w14:paraId="6B5CF7A5" w14:textId="77777777" w:rsidR="00B35C89" w:rsidRDefault="00B35C89" w:rsidP="00B35C89">
      <w:pPr>
        <w:spacing w:after="160"/>
        <w:ind w:firstLine="720"/>
        <w:contextualSpacing/>
        <w:rPr>
          <w:sz w:val="24"/>
          <w:szCs w:val="24"/>
        </w:rPr>
      </w:pPr>
    </w:p>
    <w:p w14:paraId="68956BA0" w14:textId="77777777" w:rsidR="00B35C89" w:rsidRPr="0054263B" w:rsidRDefault="00B35C89" w:rsidP="00B35C89">
      <w:pPr>
        <w:keepNext/>
        <w:spacing w:after="240"/>
        <w:jc w:val="center"/>
        <w:rPr>
          <w:rFonts w:eastAsia="Times New Roman"/>
          <w:b/>
          <w:sz w:val="24"/>
          <w:szCs w:val="24"/>
        </w:rPr>
      </w:pPr>
      <w:r>
        <w:rPr>
          <w:rFonts w:eastAsia="Times New Roman"/>
          <w:b/>
          <w:sz w:val="24"/>
          <w:szCs w:val="24"/>
        </w:rPr>
        <w:t>Source and Authority</w:t>
      </w:r>
    </w:p>
    <w:p w14:paraId="474ECE8A" w14:textId="3B7503C4" w:rsidR="00B35C89" w:rsidRPr="00CC243A" w:rsidRDefault="00B35C89" w:rsidP="00B35C89">
      <w:pPr>
        <w:spacing w:after="240"/>
        <w:ind w:left="720"/>
        <w:rPr>
          <w:rFonts w:eastAsia="Times New Roman"/>
          <w:b/>
          <w:sz w:val="24"/>
          <w:szCs w:val="24"/>
        </w:rPr>
      </w:pPr>
      <w:r w:rsidRPr="00117D55">
        <w:rPr>
          <w:rFonts w:eastAsia="Times New Roman"/>
          <w:sz w:val="24"/>
          <w:szCs w:val="24"/>
        </w:rPr>
        <w:t xml:space="preserve">This instruction is supported by </w:t>
      </w:r>
      <w:r>
        <w:rPr>
          <w:rFonts w:eastAsia="Times New Roman"/>
          <w:sz w:val="24"/>
          <w:szCs w:val="24"/>
        </w:rPr>
        <w:t xml:space="preserve">section </w:t>
      </w:r>
      <w:r w:rsidRPr="00117D55">
        <w:rPr>
          <w:rFonts w:eastAsia="Times New Roman"/>
          <w:sz w:val="24"/>
          <w:szCs w:val="24"/>
        </w:rPr>
        <w:t>15-10-201(12)-(13), C.R.S.</w:t>
      </w:r>
    </w:p>
    <w:p w14:paraId="3B95A653" w14:textId="63E3D9DE" w:rsidR="00F94E0B" w:rsidRDefault="00F94E0B">
      <w:pPr>
        <w:rPr>
          <w:rFonts w:eastAsia="Times New Roman"/>
          <w:sz w:val="24"/>
          <w:szCs w:val="24"/>
        </w:rPr>
      </w:pPr>
      <w:r>
        <w:rPr>
          <w:rFonts w:eastAsia="Times New Roman"/>
          <w:sz w:val="24"/>
          <w:szCs w:val="24"/>
        </w:rPr>
        <w:br w:type="page"/>
      </w:r>
    </w:p>
    <w:p w14:paraId="771AA480" w14:textId="77777777" w:rsidR="00F94E0B" w:rsidRPr="009E3DA4" w:rsidRDefault="00F94E0B" w:rsidP="00F94E0B">
      <w:pPr>
        <w:spacing w:after="240"/>
        <w:ind w:left="720" w:hanging="720"/>
        <w:rPr>
          <w:rFonts w:eastAsia="Times New Roman"/>
          <w:b/>
          <w:sz w:val="24"/>
          <w:szCs w:val="24"/>
        </w:rPr>
      </w:pPr>
      <w:bookmarkStart w:id="8" w:name="a34_04"/>
      <w:bookmarkEnd w:id="8"/>
      <w:r w:rsidRPr="00F94E0B">
        <w:rPr>
          <w:rFonts w:eastAsia="Times New Roman"/>
          <w:b/>
          <w:sz w:val="24"/>
          <w:szCs w:val="24"/>
        </w:rPr>
        <w:lastRenderedPageBreak/>
        <w:t xml:space="preserve">34:4 </w:t>
      </w:r>
      <w:r w:rsidRPr="00F94E0B">
        <w:rPr>
          <w:rFonts w:eastAsia="Times New Roman"/>
          <w:b/>
          <w:sz w:val="24"/>
          <w:szCs w:val="24"/>
        </w:rPr>
        <w:tab/>
      </w:r>
      <w:r w:rsidRPr="00F94E0B">
        <w:rPr>
          <w:rFonts w:ascii="Times New Roman Bold" w:eastAsia="Times New Roman" w:hAnsi="Times New Roman Bold"/>
          <w:b/>
          <w:caps/>
          <w:sz w:val="24"/>
          <w:szCs w:val="24"/>
        </w:rPr>
        <w:t>Witness Having an Interest Under the Will</w:t>
      </w:r>
    </w:p>
    <w:p w14:paraId="33C1EA21" w14:textId="098F4723" w:rsidR="003C20B4"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A </w:t>
      </w:r>
      <w:r w:rsidR="009B3307">
        <w:rPr>
          <w:rFonts w:eastAsia="Times New Roman"/>
          <w:b/>
          <w:sz w:val="24"/>
          <w:szCs w:val="24"/>
        </w:rPr>
        <w:t>W</w:t>
      </w:r>
      <w:r w:rsidRPr="00F94E0B">
        <w:rPr>
          <w:rFonts w:eastAsia="Times New Roman"/>
          <w:b/>
          <w:sz w:val="24"/>
          <w:szCs w:val="24"/>
        </w:rPr>
        <w:t xml:space="preserve">ill or any provision in it may be valid even if a person who signed the </w:t>
      </w:r>
      <w:r w:rsidR="009B3307">
        <w:rPr>
          <w:rFonts w:eastAsia="Times New Roman"/>
          <w:b/>
          <w:sz w:val="24"/>
          <w:szCs w:val="24"/>
        </w:rPr>
        <w:t>W</w:t>
      </w:r>
      <w:r w:rsidRPr="00F94E0B">
        <w:rPr>
          <w:rFonts w:eastAsia="Times New Roman"/>
          <w:b/>
          <w:sz w:val="24"/>
          <w:szCs w:val="24"/>
        </w:rPr>
        <w:t xml:space="preserve">ill as a witness is also a </w:t>
      </w:r>
      <w:r w:rsidR="009B3307">
        <w:rPr>
          <w:rFonts w:eastAsia="Times New Roman"/>
          <w:b/>
          <w:sz w:val="24"/>
          <w:szCs w:val="24"/>
        </w:rPr>
        <w:t>devisee</w:t>
      </w:r>
      <w:r w:rsidR="009B3307" w:rsidRPr="00F94E0B">
        <w:rPr>
          <w:rFonts w:eastAsia="Times New Roman"/>
          <w:b/>
          <w:sz w:val="24"/>
          <w:szCs w:val="24"/>
        </w:rPr>
        <w:t xml:space="preserve"> </w:t>
      </w:r>
      <w:r w:rsidRPr="00F94E0B">
        <w:rPr>
          <w:rFonts w:eastAsia="Times New Roman"/>
          <w:b/>
          <w:sz w:val="24"/>
          <w:szCs w:val="24"/>
        </w:rPr>
        <w:t xml:space="preserve">under the </w:t>
      </w:r>
      <w:r w:rsidR="009B3307">
        <w:rPr>
          <w:rFonts w:eastAsia="Times New Roman"/>
          <w:b/>
          <w:sz w:val="24"/>
          <w:szCs w:val="24"/>
        </w:rPr>
        <w:t>W</w:t>
      </w:r>
      <w:r w:rsidRPr="00F94E0B">
        <w:rPr>
          <w:rFonts w:eastAsia="Times New Roman"/>
          <w:b/>
          <w:sz w:val="24"/>
          <w:szCs w:val="24"/>
        </w:rPr>
        <w:t>ill.</w:t>
      </w:r>
    </w:p>
    <w:p w14:paraId="485D7D1E" w14:textId="77777777" w:rsidR="00F94E0B" w:rsidRDefault="00F94E0B" w:rsidP="00F94E0B">
      <w:pPr>
        <w:jc w:val="center"/>
        <w:rPr>
          <w:rFonts w:eastAsia="Times New Roman"/>
          <w:sz w:val="24"/>
          <w:szCs w:val="24"/>
        </w:rPr>
      </w:pPr>
    </w:p>
    <w:p w14:paraId="4595D54B" w14:textId="77777777"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14:paraId="20247F95" w14:textId="20AFE2B0" w:rsidR="00F94E0B" w:rsidRDefault="00D80F3B" w:rsidP="00F94E0B">
      <w:pPr>
        <w:spacing w:after="240"/>
        <w:ind w:firstLine="720"/>
        <w:rPr>
          <w:rFonts w:eastAsia="Times New Roman"/>
          <w:sz w:val="24"/>
          <w:szCs w:val="24"/>
        </w:rPr>
      </w:pPr>
      <w:r>
        <w:rPr>
          <w:rFonts w:eastAsia="Times New Roman"/>
          <w:sz w:val="24"/>
          <w:szCs w:val="24"/>
        </w:rPr>
        <w:t xml:space="preserve">1. </w:t>
      </w:r>
      <w:r w:rsidR="00F94E0B" w:rsidRPr="00F94E0B">
        <w:rPr>
          <w:rFonts w:eastAsia="Times New Roman"/>
          <w:sz w:val="24"/>
          <w:szCs w:val="24"/>
        </w:rPr>
        <w:t>When, in light of the evidence and arguments being made in the case, it would be appropriate to give this instruction as a cautionary instruction, it may be given with Instruction 34:2, 34:5, or 34:6.</w:t>
      </w:r>
      <w:r w:rsidR="00C94D2D">
        <w:rPr>
          <w:rFonts w:eastAsia="Times New Roman"/>
          <w:sz w:val="24"/>
          <w:szCs w:val="24"/>
        </w:rPr>
        <w:t xml:space="preserve"> </w:t>
      </w:r>
    </w:p>
    <w:p w14:paraId="7AC16EA9" w14:textId="288D22C3" w:rsidR="00A03B84" w:rsidRPr="00F94E0B" w:rsidRDefault="00D80F3B" w:rsidP="00C94D2D">
      <w:pPr>
        <w:spacing w:after="240"/>
        <w:ind w:firstLine="720"/>
        <w:rPr>
          <w:rFonts w:eastAsia="Times New Roman"/>
          <w:sz w:val="24"/>
          <w:szCs w:val="24"/>
        </w:rPr>
      </w:pPr>
      <w:r>
        <w:rPr>
          <w:rFonts w:eastAsia="Times New Roman"/>
          <w:sz w:val="24"/>
          <w:szCs w:val="24"/>
        </w:rPr>
        <w:t xml:space="preserve">2. </w:t>
      </w:r>
      <w:r w:rsidR="00C94D2D">
        <w:rPr>
          <w:rFonts w:eastAsia="Times New Roman"/>
          <w:sz w:val="24"/>
          <w:szCs w:val="24"/>
        </w:rPr>
        <w:t>This instruction should be given with Instruction 34:</w:t>
      </w:r>
      <w:r w:rsidR="00151659">
        <w:rPr>
          <w:rFonts w:eastAsia="Times New Roman"/>
          <w:sz w:val="24"/>
          <w:szCs w:val="24"/>
        </w:rPr>
        <w:t>3B</w:t>
      </w:r>
      <w:r w:rsidR="00C94D2D">
        <w:rPr>
          <w:rFonts w:eastAsia="Times New Roman"/>
          <w:sz w:val="24"/>
          <w:szCs w:val="24"/>
        </w:rPr>
        <w:t xml:space="preserve"> </w:t>
      </w:r>
      <w:r>
        <w:rPr>
          <w:rFonts w:eastAsia="Times New Roman"/>
          <w:sz w:val="24"/>
          <w:szCs w:val="24"/>
        </w:rPr>
        <w:t>(</w:t>
      </w:r>
      <w:r w:rsidR="00C94D2D">
        <w:rPr>
          <w:rFonts w:eastAsia="Times New Roman"/>
          <w:sz w:val="24"/>
          <w:szCs w:val="24"/>
        </w:rPr>
        <w:t>defining devisee</w:t>
      </w:r>
      <w:r>
        <w:rPr>
          <w:rFonts w:eastAsia="Times New Roman"/>
          <w:sz w:val="24"/>
          <w:szCs w:val="24"/>
        </w:rPr>
        <w:t>)</w:t>
      </w:r>
      <w:r w:rsidR="00C94D2D">
        <w:rPr>
          <w:rFonts w:eastAsia="Times New Roman"/>
          <w:sz w:val="24"/>
          <w:szCs w:val="24"/>
        </w:rPr>
        <w:t>.</w:t>
      </w:r>
    </w:p>
    <w:p w14:paraId="333F28BC" w14:textId="77777777"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14:paraId="24D72BA1" w14:textId="4914A6CD" w:rsidR="008A5133" w:rsidRDefault="008A5133" w:rsidP="00F94E0B">
      <w:pPr>
        <w:spacing w:after="240"/>
        <w:ind w:firstLine="720"/>
        <w:rPr>
          <w:rFonts w:eastAsia="Times New Roman"/>
          <w:sz w:val="24"/>
          <w:szCs w:val="24"/>
        </w:rPr>
      </w:pPr>
      <w:r>
        <w:rPr>
          <w:rFonts w:eastAsia="Times New Roman"/>
          <w:sz w:val="24"/>
          <w:szCs w:val="24"/>
        </w:rPr>
        <w:t xml:space="preserve">1. </w:t>
      </w:r>
      <w:r w:rsidR="00F94E0B" w:rsidRPr="00F94E0B">
        <w:rPr>
          <w:rFonts w:eastAsia="Times New Roman"/>
          <w:sz w:val="24"/>
          <w:szCs w:val="24"/>
        </w:rPr>
        <w:t>This instruction is supported by section 15-11-505, C.R.S.</w:t>
      </w:r>
    </w:p>
    <w:p w14:paraId="190A7137" w14:textId="6E6241EB" w:rsidR="00F94E0B" w:rsidRPr="00F94E0B" w:rsidRDefault="008A5133" w:rsidP="00F94E0B">
      <w:pPr>
        <w:spacing w:after="240"/>
        <w:ind w:firstLine="720"/>
        <w:rPr>
          <w:rFonts w:eastAsia="Times New Roman"/>
          <w:sz w:val="24"/>
          <w:szCs w:val="24"/>
        </w:rPr>
      </w:pPr>
      <w:r>
        <w:rPr>
          <w:rFonts w:eastAsia="Times New Roman"/>
          <w:sz w:val="24"/>
          <w:szCs w:val="24"/>
        </w:rPr>
        <w:t>2. A</w:t>
      </w:r>
      <w:r w:rsidR="00F94E0B" w:rsidRPr="00F94E0B">
        <w:rPr>
          <w:rFonts w:eastAsia="Times New Roman"/>
          <w:sz w:val="24"/>
          <w:szCs w:val="24"/>
        </w:rPr>
        <w:t xml:space="preserve">nyone who is “generally competent to be a witness may act as a witness to a will.” </w:t>
      </w:r>
      <w:r>
        <w:rPr>
          <w:rFonts w:eastAsia="Times New Roman"/>
          <w:sz w:val="24"/>
          <w:szCs w:val="24"/>
        </w:rPr>
        <w:t xml:space="preserve">§ 15-11-505(1). </w:t>
      </w:r>
      <w:r w:rsidR="00364D8F">
        <w:rPr>
          <w:rFonts w:eastAsia="Times New Roman"/>
          <w:sz w:val="24"/>
          <w:szCs w:val="24"/>
        </w:rPr>
        <w:t>T</w:t>
      </w:r>
      <w:r>
        <w:rPr>
          <w:rFonts w:eastAsia="Times New Roman"/>
          <w:sz w:val="24"/>
          <w:szCs w:val="24"/>
        </w:rPr>
        <w:t>he</w:t>
      </w:r>
      <w:r w:rsidR="00F94E0B" w:rsidRPr="00F94E0B">
        <w:rPr>
          <w:rFonts w:eastAsia="Times New Roman"/>
          <w:sz w:val="24"/>
          <w:szCs w:val="24"/>
        </w:rPr>
        <w:t xml:space="preserve"> “signing of a will by an interested witness does not invalidate the will or any provision of it.”</w:t>
      </w:r>
      <w:r>
        <w:rPr>
          <w:rFonts w:eastAsia="Times New Roman"/>
          <w:sz w:val="24"/>
          <w:szCs w:val="24"/>
        </w:rPr>
        <w:t xml:space="preserve"> § 15-11-505(2).</w:t>
      </w:r>
    </w:p>
    <w:p w14:paraId="40A6184F" w14:textId="77777777" w:rsidR="00F94E0B" w:rsidRDefault="00F94E0B">
      <w:pPr>
        <w:rPr>
          <w:rFonts w:eastAsia="Times New Roman"/>
          <w:sz w:val="24"/>
          <w:szCs w:val="24"/>
        </w:rPr>
      </w:pPr>
      <w:r>
        <w:rPr>
          <w:rFonts w:eastAsia="Times New Roman"/>
          <w:sz w:val="24"/>
          <w:szCs w:val="24"/>
        </w:rPr>
        <w:br w:type="page"/>
      </w:r>
    </w:p>
    <w:p w14:paraId="3EFF538F" w14:textId="77777777" w:rsidR="00F94E0B" w:rsidRPr="009E3DA4" w:rsidRDefault="00F94E0B" w:rsidP="00F94E0B">
      <w:pPr>
        <w:spacing w:after="240"/>
        <w:ind w:left="720" w:hanging="720"/>
        <w:rPr>
          <w:rFonts w:eastAsia="Times New Roman"/>
          <w:b/>
          <w:sz w:val="24"/>
          <w:szCs w:val="24"/>
        </w:rPr>
      </w:pPr>
      <w:bookmarkStart w:id="9" w:name="a34_05"/>
      <w:bookmarkEnd w:id="9"/>
      <w:r w:rsidRPr="00F94E0B">
        <w:rPr>
          <w:rFonts w:eastAsia="Times New Roman"/>
          <w:b/>
          <w:sz w:val="24"/>
          <w:szCs w:val="24"/>
        </w:rPr>
        <w:lastRenderedPageBreak/>
        <w:t xml:space="preserve">34:5 </w:t>
      </w:r>
      <w:r w:rsidRPr="00F94E0B">
        <w:rPr>
          <w:rFonts w:eastAsia="Times New Roman"/>
          <w:b/>
          <w:sz w:val="24"/>
          <w:szCs w:val="24"/>
        </w:rPr>
        <w:tab/>
      </w:r>
      <w:r w:rsidRPr="00F94E0B">
        <w:rPr>
          <w:rFonts w:ascii="Times New Roman Bold" w:eastAsia="Times New Roman" w:hAnsi="Times New Roman Bold"/>
          <w:b/>
          <w:caps/>
          <w:sz w:val="24"/>
          <w:szCs w:val="24"/>
        </w:rPr>
        <w:t>Elements of Proof of Properly Executed Will — self-Proved Will</w:t>
      </w:r>
    </w:p>
    <w:p w14:paraId="64356C04" w14:textId="695FFE12" w:rsidR="00F94E0B" w:rsidRPr="00D80F3B" w:rsidRDefault="00F94E0B" w:rsidP="00F94E0B">
      <w:pPr>
        <w:spacing w:after="240"/>
        <w:ind w:firstLine="720"/>
        <w:rPr>
          <w:rFonts w:eastAsia="Times New Roman"/>
          <w:b/>
          <w:sz w:val="24"/>
          <w:szCs w:val="24"/>
        </w:rPr>
      </w:pPr>
      <w:bookmarkStart w:id="10" w:name="_Hlk146443308"/>
      <w:r w:rsidRPr="00F94E0B">
        <w:rPr>
          <w:rFonts w:eastAsia="Times New Roman"/>
          <w:b/>
          <w:sz w:val="24"/>
          <w:szCs w:val="24"/>
        </w:rPr>
        <w:t xml:space="preserve">Exhibit </w:t>
      </w:r>
      <w:r w:rsidRPr="00F94E0B">
        <w:rPr>
          <w:rFonts w:eastAsia="Times New Roman"/>
          <w:i/>
          <w:sz w:val="24"/>
          <w:szCs w:val="24"/>
        </w:rPr>
        <w:t>(</w:t>
      </w:r>
      <w:r w:rsidR="00BE3B7A" w:rsidRPr="00D80F3B">
        <w:rPr>
          <w:rFonts w:eastAsia="Times New Roman"/>
          <w:i/>
          <w:sz w:val="24"/>
          <w:szCs w:val="24"/>
        </w:rPr>
        <w:t>identify exhibit</w:t>
      </w:r>
      <w:r w:rsidRPr="00D80F3B">
        <w:rPr>
          <w:rFonts w:eastAsia="Times New Roman"/>
          <w:i/>
          <w:sz w:val="24"/>
          <w:szCs w:val="24"/>
        </w:rPr>
        <w:t>)</w:t>
      </w:r>
      <w:r w:rsidRPr="00D80F3B">
        <w:rPr>
          <w:rFonts w:eastAsia="Times New Roman"/>
          <w:b/>
          <w:sz w:val="24"/>
          <w:szCs w:val="24"/>
        </w:rPr>
        <w:t xml:space="preserve"> is what is known as a “self-proved” </w:t>
      </w:r>
      <w:r w:rsidR="009B3307" w:rsidRPr="00D80F3B">
        <w:rPr>
          <w:rFonts w:eastAsia="Times New Roman"/>
          <w:b/>
          <w:sz w:val="24"/>
          <w:szCs w:val="24"/>
        </w:rPr>
        <w:t>W</w:t>
      </w:r>
      <w:r w:rsidRPr="00D80F3B">
        <w:rPr>
          <w:rFonts w:eastAsia="Times New Roman"/>
          <w:b/>
          <w:sz w:val="24"/>
          <w:szCs w:val="24"/>
        </w:rPr>
        <w:t xml:space="preserve">ill. It has been offered by the proponent, </w:t>
      </w:r>
      <w:r w:rsidRPr="00D80F3B">
        <w:rPr>
          <w:rFonts w:eastAsia="Times New Roman"/>
          <w:i/>
          <w:sz w:val="24"/>
          <w:szCs w:val="24"/>
        </w:rPr>
        <w:t>(name)</w:t>
      </w:r>
      <w:r w:rsidRPr="00D80F3B">
        <w:rPr>
          <w:rFonts w:eastAsia="Times New Roman"/>
          <w:b/>
          <w:sz w:val="24"/>
          <w:szCs w:val="24"/>
        </w:rPr>
        <w:t xml:space="preserve">, as the </w:t>
      </w:r>
      <w:r w:rsidR="009B3307" w:rsidRPr="00D80F3B">
        <w:rPr>
          <w:rFonts w:eastAsia="Times New Roman"/>
          <w:b/>
          <w:sz w:val="24"/>
          <w:szCs w:val="24"/>
        </w:rPr>
        <w:t>W</w:t>
      </w:r>
      <w:r w:rsidRPr="00D80F3B">
        <w:rPr>
          <w:rFonts w:eastAsia="Times New Roman"/>
          <w:b/>
          <w:sz w:val="24"/>
          <w:szCs w:val="24"/>
        </w:rPr>
        <w:t xml:space="preserve">ill of </w:t>
      </w:r>
      <w:r w:rsidRPr="00D80F3B">
        <w:rPr>
          <w:rFonts w:eastAsia="Times New Roman"/>
          <w:i/>
          <w:sz w:val="24"/>
          <w:szCs w:val="24"/>
        </w:rPr>
        <w:t>(name of testator)</w:t>
      </w:r>
      <w:r w:rsidRPr="00D80F3B">
        <w:rPr>
          <w:rFonts w:eastAsia="Times New Roman"/>
          <w:b/>
          <w:sz w:val="24"/>
          <w:szCs w:val="24"/>
        </w:rPr>
        <w:t>.</w:t>
      </w:r>
    </w:p>
    <w:p w14:paraId="707DB1D6" w14:textId="5CBD569A" w:rsidR="00F94E0B" w:rsidRPr="00D80F3B" w:rsidRDefault="00F94E0B" w:rsidP="00F94E0B">
      <w:pPr>
        <w:spacing w:after="240"/>
        <w:ind w:firstLine="720"/>
        <w:rPr>
          <w:rFonts w:eastAsia="Times New Roman"/>
          <w:b/>
          <w:sz w:val="24"/>
          <w:szCs w:val="24"/>
        </w:rPr>
      </w:pPr>
      <w:r w:rsidRPr="00D80F3B">
        <w:rPr>
          <w:rFonts w:eastAsia="Times New Roman"/>
          <w:b/>
          <w:sz w:val="24"/>
          <w:szCs w:val="24"/>
        </w:rPr>
        <w:t>If you find that the contestant has proven the claim</w:t>
      </w:r>
      <w:r w:rsidR="00BE3B7A" w:rsidRPr="00D80F3B">
        <w:rPr>
          <w:rFonts w:eastAsia="Times New Roman"/>
          <w:b/>
          <w:sz w:val="24"/>
          <w:szCs w:val="24"/>
        </w:rPr>
        <w:t>(s)</w:t>
      </w:r>
      <w:r w:rsidRPr="00D80F3B">
        <w:rPr>
          <w:rFonts w:eastAsia="Times New Roman"/>
          <w:b/>
          <w:sz w:val="24"/>
          <w:szCs w:val="24"/>
        </w:rPr>
        <w:t xml:space="preserve"> of</w:t>
      </w:r>
      <w:r w:rsidRPr="00D80F3B">
        <w:rPr>
          <w:rFonts w:eastAsia="Times New Roman"/>
          <w:i/>
          <w:sz w:val="24"/>
          <w:szCs w:val="24"/>
        </w:rPr>
        <w:t xml:space="preserve"> </w:t>
      </w:r>
      <w:r w:rsidR="00BE3B7A" w:rsidRPr="00D80F3B">
        <w:rPr>
          <w:rFonts w:eastAsia="Times New Roman"/>
          <w:i/>
          <w:sz w:val="24"/>
          <w:szCs w:val="24"/>
        </w:rPr>
        <w:t>(</w:t>
      </w:r>
      <w:r w:rsidRPr="00D80F3B">
        <w:rPr>
          <w:rFonts w:eastAsia="Times New Roman"/>
          <w:i/>
          <w:sz w:val="24"/>
          <w:szCs w:val="24"/>
        </w:rPr>
        <w:t>descri</w:t>
      </w:r>
      <w:r w:rsidR="00BE3B7A" w:rsidRPr="00D80F3B">
        <w:rPr>
          <w:rFonts w:eastAsia="Times New Roman"/>
          <w:i/>
          <w:sz w:val="24"/>
          <w:szCs w:val="24"/>
        </w:rPr>
        <w:t>be</w:t>
      </w:r>
      <w:r w:rsidRPr="00D80F3B">
        <w:rPr>
          <w:rFonts w:eastAsia="Times New Roman"/>
          <w:i/>
          <w:sz w:val="24"/>
          <w:szCs w:val="24"/>
        </w:rPr>
        <w:t xml:space="preserve"> the contestant’s claims on which the contestant has the burden of proof and of which there is sufficient evidence, e.g., “the </w:t>
      </w:r>
      <w:r w:rsidR="009B3307" w:rsidRPr="00D80F3B">
        <w:rPr>
          <w:rFonts w:eastAsia="Times New Roman"/>
          <w:i/>
          <w:sz w:val="24"/>
          <w:szCs w:val="24"/>
        </w:rPr>
        <w:t>W</w:t>
      </w:r>
      <w:r w:rsidRPr="00D80F3B">
        <w:rPr>
          <w:rFonts w:eastAsia="Times New Roman"/>
          <w:i/>
          <w:sz w:val="24"/>
          <w:szCs w:val="24"/>
        </w:rPr>
        <w:t xml:space="preserve">ill was not properly executed because [name of testator] did not sign it, nor was it signed by another </w:t>
      </w:r>
      <w:r w:rsidR="00FA6FF1" w:rsidRPr="00D80F3B">
        <w:rPr>
          <w:rFonts w:eastAsia="Times New Roman"/>
          <w:i/>
          <w:sz w:val="24"/>
          <w:szCs w:val="24"/>
        </w:rPr>
        <w:t xml:space="preserve">person </w:t>
      </w:r>
      <w:r w:rsidRPr="00D80F3B">
        <w:rPr>
          <w:rFonts w:eastAsia="Times New Roman"/>
          <w:i/>
          <w:sz w:val="24"/>
          <w:szCs w:val="24"/>
        </w:rPr>
        <w:t xml:space="preserve">at </w:t>
      </w:r>
      <w:r w:rsidR="009616DF" w:rsidRPr="00D80F3B">
        <w:rPr>
          <w:rFonts w:eastAsia="Times New Roman"/>
          <w:bCs/>
          <w:i/>
          <w:iCs/>
          <w:sz w:val="24"/>
          <w:szCs w:val="24"/>
        </w:rPr>
        <w:t>[</w:t>
      </w:r>
      <w:r w:rsidR="00BE3B7A" w:rsidRPr="00D80F3B">
        <w:rPr>
          <w:rFonts w:eastAsia="Times New Roman"/>
          <w:bCs/>
          <w:i/>
          <w:iCs/>
          <w:sz w:val="24"/>
          <w:szCs w:val="24"/>
        </w:rPr>
        <w:t>name of testator</w:t>
      </w:r>
      <w:r w:rsidR="009616DF" w:rsidRPr="00D80F3B">
        <w:rPr>
          <w:rFonts w:eastAsia="Times New Roman"/>
          <w:bCs/>
          <w:i/>
          <w:iCs/>
          <w:sz w:val="24"/>
          <w:szCs w:val="24"/>
        </w:rPr>
        <w:t>]</w:t>
      </w:r>
      <w:r w:rsidR="00BE3B7A" w:rsidRPr="00D80F3B">
        <w:rPr>
          <w:rFonts w:eastAsia="Times New Roman"/>
          <w:bCs/>
          <w:i/>
          <w:iCs/>
          <w:sz w:val="24"/>
          <w:szCs w:val="24"/>
        </w:rPr>
        <w:t>’s</w:t>
      </w:r>
      <w:r w:rsidRPr="00D80F3B">
        <w:rPr>
          <w:rFonts w:eastAsia="Times New Roman"/>
          <w:i/>
          <w:sz w:val="24"/>
          <w:szCs w:val="24"/>
        </w:rPr>
        <w:t xml:space="preserve"> direction,” “[name of testator] was not of sound mind at the time the </w:t>
      </w:r>
      <w:r w:rsidR="005A4776" w:rsidRPr="00D80F3B">
        <w:rPr>
          <w:rFonts w:eastAsia="Times New Roman"/>
          <w:i/>
          <w:sz w:val="24"/>
          <w:szCs w:val="24"/>
        </w:rPr>
        <w:t>Will was signed</w:t>
      </w:r>
      <w:r w:rsidRPr="00D80F3B">
        <w:rPr>
          <w:rFonts w:eastAsia="Times New Roman"/>
          <w:i/>
          <w:sz w:val="24"/>
          <w:szCs w:val="24"/>
        </w:rPr>
        <w:t>,” etc.)</w:t>
      </w:r>
      <w:r w:rsidRPr="00D80F3B">
        <w:rPr>
          <w:rFonts w:eastAsia="Times New Roman"/>
          <w:b/>
          <w:sz w:val="24"/>
          <w:szCs w:val="24"/>
        </w:rPr>
        <w:t xml:space="preserve">, by a preponderance of the evidence, your verdict must be for the contestant, </w:t>
      </w:r>
      <w:r w:rsidRPr="00D80F3B">
        <w:rPr>
          <w:rFonts w:eastAsia="Times New Roman"/>
          <w:i/>
          <w:sz w:val="24"/>
          <w:szCs w:val="24"/>
        </w:rPr>
        <w:t>(name)</w:t>
      </w:r>
      <w:r w:rsidRPr="00D80F3B">
        <w:rPr>
          <w:rFonts w:eastAsia="Times New Roman"/>
          <w:b/>
          <w:sz w:val="24"/>
          <w:szCs w:val="24"/>
        </w:rPr>
        <w:t>.</w:t>
      </w:r>
    </w:p>
    <w:p w14:paraId="211C5D86" w14:textId="40EF0530" w:rsidR="00F94E0B" w:rsidRPr="00F94E0B" w:rsidRDefault="00F94E0B" w:rsidP="00F94E0B">
      <w:pPr>
        <w:spacing w:after="240"/>
        <w:ind w:firstLine="720"/>
        <w:rPr>
          <w:rFonts w:eastAsia="Times New Roman"/>
          <w:b/>
          <w:sz w:val="24"/>
          <w:szCs w:val="24"/>
        </w:rPr>
      </w:pPr>
      <w:r w:rsidRPr="00D80F3B">
        <w:rPr>
          <w:rFonts w:eastAsia="Times New Roman"/>
          <w:b/>
          <w:sz w:val="24"/>
          <w:szCs w:val="24"/>
        </w:rPr>
        <w:t>On the other hand, if you find that the contestant has not proven the claim</w:t>
      </w:r>
      <w:r w:rsidR="00BE3B7A" w:rsidRPr="00D80F3B">
        <w:rPr>
          <w:rFonts w:eastAsia="Times New Roman"/>
          <w:b/>
          <w:sz w:val="24"/>
          <w:szCs w:val="24"/>
        </w:rPr>
        <w:t>(s)</w:t>
      </w:r>
      <w:r w:rsidRPr="00D80F3B">
        <w:rPr>
          <w:rFonts w:eastAsia="Times New Roman"/>
          <w:b/>
          <w:sz w:val="24"/>
          <w:szCs w:val="24"/>
        </w:rPr>
        <w:t xml:space="preserve"> of</w:t>
      </w:r>
      <w:r w:rsidRPr="00D80F3B">
        <w:rPr>
          <w:rFonts w:eastAsia="Times New Roman"/>
          <w:i/>
          <w:sz w:val="24"/>
          <w:szCs w:val="24"/>
        </w:rPr>
        <w:t xml:space="preserve"> </w:t>
      </w:r>
      <w:r w:rsidR="00BE3B7A" w:rsidRPr="00D80F3B">
        <w:rPr>
          <w:rFonts w:eastAsia="Times New Roman"/>
          <w:i/>
          <w:sz w:val="24"/>
          <w:szCs w:val="24"/>
        </w:rPr>
        <w:t>(</w:t>
      </w:r>
      <w:r w:rsidRPr="00D80F3B">
        <w:rPr>
          <w:rFonts w:eastAsia="Times New Roman"/>
          <w:i/>
          <w:sz w:val="24"/>
          <w:szCs w:val="24"/>
        </w:rPr>
        <w:t>descri</w:t>
      </w:r>
      <w:r w:rsidR="00BE3B7A" w:rsidRPr="00D80F3B">
        <w:rPr>
          <w:rFonts w:eastAsia="Times New Roman"/>
          <w:i/>
          <w:sz w:val="24"/>
          <w:szCs w:val="24"/>
        </w:rPr>
        <w:t>be</w:t>
      </w:r>
      <w:r w:rsidRPr="00D80F3B">
        <w:rPr>
          <w:rFonts w:eastAsia="Times New Roman"/>
          <w:i/>
          <w:sz w:val="24"/>
          <w:szCs w:val="24"/>
        </w:rPr>
        <w:t xml:space="preserve"> the contestant’s claims on which the contestant has the burden of proof and of which there is sufficient evidence, e.g., “the </w:t>
      </w:r>
      <w:r w:rsidR="009B3307" w:rsidRPr="00D80F3B">
        <w:rPr>
          <w:rFonts w:eastAsia="Times New Roman"/>
          <w:i/>
          <w:sz w:val="24"/>
          <w:szCs w:val="24"/>
        </w:rPr>
        <w:t>W</w:t>
      </w:r>
      <w:r w:rsidRPr="00D80F3B">
        <w:rPr>
          <w:rFonts w:eastAsia="Times New Roman"/>
          <w:i/>
          <w:sz w:val="24"/>
          <w:szCs w:val="24"/>
        </w:rPr>
        <w:t>ill was not properly executed because [name of testator] did not sign it, nor was it signed by another</w:t>
      </w:r>
      <w:r w:rsidR="00FA6FF1" w:rsidRPr="00D80F3B">
        <w:rPr>
          <w:rFonts w:eastAsia="Times New Roman"/>
          <w:i/>
          <w:sz w:val="24"/>
          <w:szCs w:val="24"/>
        </w:rPr>
        <w:t xml:space="preserve"> person</w:t>
      </w:r>
      <w:r w:rsidRPr="00D80F3B">
        <w:rPr>
          <w:rFonts w:eastAsia="Times New Roman"/>
          <w:i/>
          <w:sz w:val="24"/>
          <w:szCs w:val="24"/>
        </w:rPr>
        <w:t xml:space="preserve"> at </w:t>
      </w:r>
      <w:r w:rsidR="009616DF" w:rsidRPr="00D80F3B">
        <w:rPr>
          <w:rFonts w:eastAsia="Times New Roman"/>
          <w:bCs/>
          <w:i/>
          <w:iCs/>
          <w:sz w:val="24"/>
          <w:szCs w:val="24"/>
        </w:rPr>
        <w:t>[</w:t>
      </w:r>
      <w:r w:rsidR="00BE3B7A" w:rsidRPr="00D80F3B">
        <w:rPr>
          <w:rFonts w:eastAsia="Times New Roman"/>
          <w:bCs/>
          <w:i/>
          <w:iCs/>
          <w:sz w:val="24"/>
          <w:szCs w:val="24"/>
        </w:rPr>
        <w:t>name of testator</w:t>
      </w:r>
      <w:r w:rsidR="005A4776" w:rsidRPr="00D80F3B">
        <w:rPr>
          <w:rFonts w:eastAsia="Times New Roman"/>
          <w:bCs/>
          <w:i/>
          <w:iCs/>
          <w:sz w:val="24"/>
          <w:szCs w:val="24"/>
        </w:rPr>
        <w:t>]</w:t>
      </w:r>
      <w:r w:rsidR="00BE3B7A" w:rsidRPr="00D80F3B">
        <w:rPr>
          <w:rFonts w:eastAsia="Times New Roman"/>
          <w:bCs/>
          <w:i/>
          <w:iCs/>
          <w:sz w:val="24"/>
          <w:szCs w:val="24"/>
        </w:rPr>
        <w:t>’s</w:t>
      </w:r>
      <w:r w:rsidRPr="00D80F3B">
        <w:rPr>
          <w:rFonts w:eastAsia="Times New Roman"/>
          <w:i/>
          <w:sz w:val="24"/>
          <w:szCs w:val="24"/>
        </w:rPr>
        <w:t xml:space="preserve"> direction,” “[name of testator] was not of sound mind at the time the </w:t>
      </w:r>
      <w:r w:rsidR="005A4776" w:rsidRPr="00D80F3B">
        <w:rPr>
          <w:rFonts w:eastAsia="Times New Roman"/>
          <w:i/>
          <w:sz w:val="24"/>
          <w:szCs w:val="24"/>
        </w:rPr>
        <w:t>Will was signed</w:t>
      </w:r>
      <w:r w:rsidRPr="00D80F3B">
        <w:rPr>
          <w:rFonts w:eastAsia="Times New Roman"/>
          <w:i/>
          <w:sz w:val="24"/>
          <w:szCs w:val="24"/>
        </w:rPr>
        <w:t>,” etc.)</w:t>
      </w:r>
      <w:r w:rsidRPr="00D80F3B">
        <w:rPr>
          <w:rFonts w:eastAsia="Times New Roman"/>
          <w:b/>
          <w:sz w:val="24"/>
          <w:szCs w:val="24"/>
        </w:rPr>
        <w:t xml:space="preserve">, </w:t>
      </w:r>
      <w:r w:rsidR="00040971" w:rsidRPr="00D80F3B">
        <w:rPr>
          <w:rFonts w:eastAsia="Times New Roman"/>
          <w:b/>
          <w:sz w:val="24"/>
          <w:szCs w:val="24"/>
        </w:rPr>
        <w:t xml:space="preserve">by a preponderance of the evidence, </w:t>
      </w:r>
      <w:r w:rsidRPr="00D80F3B">
        <w:rPr>
          <w:rFonts w:eastAsia="Times New Roman"/>
          <w:b/>
          <w:sz w:val="24"/>
          <w:szCs w:val="24"/>
        </w:rPr>
        <w:t>your verdict must be for the proponent.</w:t>
      </w:r>
    </w:p>
    <w:bookmarkEnd w:id="10"/>
    <w:p w14:paraId="583C9E0B" w14:textId="77777777" w:rsidR="00F94E0B" w:rsidRDefault="00F94E0B" w:rsidP="00F94E0B">
      <w:pPr>
        <w:jc w:val="center"/>
        <w:rPr>
          <w:rFonts w:eastAsia="Times New Roman"/>
          <w:sz w:val="24"/>
          <w:szCs w:val="24"/>
        </w:rPr>
      </w:pPr>
    </w:p>
    <w:p w14:paraId="2887E6F6" w14:textId="77777777"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14:paraId="00B4327A"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 xml:space="preserve">1. If the court determines as a preliminary evidentiary matter that the offered will does not meet the requirements of a self-proved will under section 15-11-504, C.R.S., the will may nonetheless be entitled to probate as a regularly executed or foreign will, in which case Instruction 34:2 should be used rather than this instruction. Similarly, should it appear “the material provisions” or that “material portions” of the offered will were handwritten by the testator, the will may be entitled to probate as a holographic will. § 15-11-502(2), C.R.S.; </w:t>
      </w:r>
      <w:r w:rsidRPr="00F94E0B">
        <w:rPr>
          <w:rFonts w:eastAsia="Times New Roman"/>
          <w:i/>
          <w:sz w:val="24"/>
          <w:szCs w:val="24"/>
        </w:rPr>
        <w:t>see</w:t>
      </w:r>
      <w:r w:rsidRPr="00F94E0B">
        <w:rPr>
          <w:rFonts w:eastAsia="Times New Roman"/>
          <w:sz w:val="24"/>
          <w:szCs w:val="24"/>
        </w:rPr>
        <w:t xml:space="preserve"> Instruction 34:6.</w:t>
      </w:r>
    </w:p>
    <w:p w14:paraId="1C013442"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2. As with other wills, a self-proved will may be invalid because of “lack of testamentary intent or capacity, undue influence, fraud, duress, mistake, or revocation,” but the burden of proving such matters is on the contestant. § 15-12-407, C.R.S.</w:t>
      </w:r>
    </w:p>
    <w:p w14:paraId="753E9BD2"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3. Under section 15-11-504(3), relating to the making of a self-proved will, “[a] signature affixed to a self-proving affidavit attached to a will is considered a signature affixed to the will if necessary to prove the will’s due execution.”</w:t>
      </w:r>
    </w:p>
    <w:p w14:paraId="7DECB671"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4. In all cases involving a self-proved will, section 15-12-406(1)(a), C.R.S., provides:</w:t>
      </w:r>
    </w:p>
    <w:p w14:paraId="7D200BE7" w14:textId="77777777" w:rsidR="00F94E0B" w:rsidRPr="00F94E0B" w:rsidRDefault="00F94E0B" w:rsidP="00081B09">
      <w:pPr>
        <w:spacing w:after="240"/>
        <w:ind w:left="720"/>
        <w:rPr>
          <w:rFonts w:eastAsia="Times New Roman"/>
          <w:sz w:val="24"/>
          <w:szCs w:val="24"/>
        </w:rPr>
      </w:pPr>
      <w:r w:rsidRPr="00F94E0B">
        <w:rPr>
          <w:rFonts w:eastAsia="Times New Roman"/>
          <w:sz w:val="24"/>
          <w:szCs w:val="24"/>
        </w:rPr>
        <w:t>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14:paraId="51758AB0" w14:textId="529E720A" w:rsidR="00F94E0B" w:rsidRPr="00F94E0B" w:rsidRDefault="00F94E0B" w:rsidP="00F94E0B">
      <w:pPr>
        <w:spacing w:after="240"/>
        <w:ind w:firstLine="720"/>
        <w:rPr>
          <w:rFonts w:eastAsia="Times New Roman"/>
          <w:sz w:val="24"/>
          <w:szCs w:val="24"/>
        </w:rPr>
      </w:pPr>
      <w:r w:rsidRPr="00F94E0B">
        <w:rPr>
          <w:rFonts w:eastAsia="Times New Roman"/>
          <w:sz w:val="24"/>
          <w:szCs w:val="24"/>
        </w:rPr>
        <w:t xml:space="preserve">5. The conclusive presumption of due execution of a self-proved will created by the acknowledgment of the testator and affidavits of witnesses to “an attested will” does not apply if </w:t>
      </w:r>
      <w:r w:rsidRPr="00F94E0B">
        <w:rPr>
          <w:rFonts w:eastAsia="Times New Roman"/>
          <w:sz w:val="24"/>
          <w:szCs w:val="24"/>
        </w:rPr>
        <w:lastRenderedPageBreak/>
        <w:t xml:space="preserve">there “is evidence of fraud or forgery affecting the acknowledgment or affidavit.” </w:t>
      </w:r>
      <w:r w:rsidR="008A5133">
        <w:rPr>
          <w:rFonts w:eastAsia="Times New Roman"/>
          <w:sz w:val="24"/>
          <w:szCs w:val="24"/>
        </w:rPr>
        <w:t>§</w:t>
      </w:r>
      <w:r w:rsidRPr="00F94E0B">
        <w:rPr>
          <w:rFonts w:eastAsia="Times New Roman"/>
          <w:sz w:val="24"/>
          <w:szCs w:val="24"/>
        </w:rPr>
        <w:t xml:space="preserve"> 15-12-406(1)(a). Although section 15-12-406(1)(a) is not explicit, it is assumed the burden of proving such fraud or forgery is on the contestant. C.R.C.P. 8(c). If there is sufficient evidence of such fraud or forgery, this instruction </w:t>
      </w:r>
      <w:r w:rsidR="00285CB9">
        <w:rPr>
          <w:rFonts w:eastAsia="Times New Roman"/>
          <w:sz w:val="24"/>
          <w:szCs w:val="24"/>
        </w:rPr>
        <w:t>should</w:t>
      </w:r>
      <w:r w:rsidRPr="00F94E0B">
        <w:rPr>
          <w:rFonts w:eastAsia="Times New Roman"/>
          <w:sz w:val="24"/>
          <w:szCs w:val="24"/>
        </w:rPr>
        <w:t xml:space="preserve"> be appropriately modified.</w:t>
      </w:r>
    </w:p>
    <w:p w14:paraId="25565FD3"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6. Also, while the acknowledgment of the testator or the affidavits of the witnesses may be invalid because of fraud or forgery, the “attested will” may itself have been validly executed, for example, at an earlier time. Likewise, it is possible that, at an earlier time, the will had been validly executed as a holographic will. If there is sufficient evidence supporting such conflicting claims, the basic provisions of this instruction should be combined in an appropriate manner with the basic provisions of either Instruction 34:2 or Instruction 34:6.</w:t>
      </w:r>
    </w:p>
    <w:p w14:paraId="7DA6EBFA"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7. For cases that do not involve evidence of fraud or forgery, the statutory presumption is conclusive. Consequently, neither CRE 301 nor Instruction 3:5 applies to this instruction. When there is sufficient rebutting evidence of a ground that would invalidate the execution of the will, that ground should be appropriately described in the second paragraph of the instruction.</w:t>
      </w:r>
    </w:p>
    <w:p w14:paraId="07B7DD38" w14:textId="3FC800C5" w:rsidR="00F94E0B" w:rsidRPr="00F94E0B" w:rsidRDefault="00F94E0B" w:rsidP="00F94E0B">
      <w:pPr>
        <w:spacing w:after="240"/>
        <w:ind w:firstLine="720"/>
        <w:rPr>
          <w:rFonts w:eastAsia="Times New Roman"/>
          <w:sz w:val="24"/>
          <w:szCs w:val="24"/>
        </w:rPr>
      </w:pPr>
      <w:r w:rsidRPr="00F94E0B">
        <w:rPr>
          <w:rFonts w:eastAsia="Times New Roman"/>
          <w:sz w:val="24"/>
          <w:szCs w:val="24"/>
        </w:rPr>
        <w:t>8. This instruction should not be used when it is claimed only a part, as opposed to the entire will, is invalid because of fraud</w:t>
      </w:r>
      <w:r w:rsidR="00D80F3B">
        <w:rPr>
          <w:rFonts w:eastAsia="Times New Roman"/>
          <w:sz w:val="24"/>
          <w:szCs w:val="24"/>
        </w:rPr>
        <w:t>,</w:t>
      </w:r>
      <w:r w:rsidR="008A5133">
        <w:rPr>
          <w:rFonts w:eastAsia="Times New Roman"/>
          <w:sz w:val="24"/>
          <w:szCs w:val="24"/>
        </w:rPr>
        <w:t xml:space="preserve"> forgery</w:t>
      </w:r>
      <w:r w:rsidRPr="00F94E0B">
        <w:rPr>
          <w:rFonts w:eastAsia="Times New Roman"/>
          <w:sz w:val="24"/>
          <w:szCs w:val="24"/>
        </w:rPr>
        <w:t>,</w:t>
      </w:r>
      <w:r w:rsidR="00913442">
        <w:rPr>
          <w:rFonts w:eastAsia="Times New Roman"/>
          <w:sz w:val="24"/>
          <w:szCs w:val="24"/>
        </w:rPr>
        <w:t xml:space="preserve"> lack of capacity, undue influence, or insane delusion.</w:t>
      </w:r>
    </w:p>
    <w:p w14:paraId="33AE6983"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9. If the contest relates only to a codicil or to a will with one or more codicils, appropriate modifications should be made in this instruction.</w:t>
      </w:r>
    </w:p>
    <w:p w14:paraId="45129AF6"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10. Such other instructions in this chapter which are appropriate to the particular case should be given with this instruction.</w:t>
      </w:r>
    </w:p>
    <w:p w14:paraId="75CF9712" w14:textId="77777777" w:rsidR="00F94E0B" w:rsidRPr="00824DD3" w:rsidRDefault="00F94E0B" w:rsidP="00F94E0B">
      <w:pPr>
        <w:spacing w:after="240"/>
        <w:ind w:firstLine="720"/>
        <w:rPr>
          <w:rFonts w:eastAsia="Times New Roman"/>
          <w:sz w:val="24"/>
          <w:szCs w:val="24"/>
        </w:rPr>
      </w:pPr>
      <w:r w:rsidRPr="00F94E0B">
        <w:rPr>
          <w:rFonts w:eastAsia="Times New Roman"/>
          <w:sz w:val="24"/>
          <w:szCs w:val="24"/>
        </w:rPr>
        <w:t xml:space="preserve">11. This instruction may not be used for a lost will, even though the lost will would otherwise have qualified as a self-proved will. The presumption of valid execution requires filing of the will and the </w:t>
      </w:r>
      <w:r w:rsidRPr="00824DD3">
        <w:rPr>
          <w:rFonts w:eastAsia="Times New Roman"/>
          <w:sz w:val="24"/>
          <w:szCs w:val="24"/>
        </w:rPr>
        <w:t>acknowledgment and affidavits annexed or affixed to it.</w:t>
      </w:r>
    </w:p>
    <w:p w14:paraId="085F51FA" w14:textId="05C96641" w:rsidR="00DB5F0B" w:rsidRPr="00824DD3" w:rsidRDefault="00D80F3B" w:rsidP="00F94E0B">
      <w:pPr>
        <w:spacing w:after="240"/>
        <w:ind w:firstLine="720"/>
        <w:rPr>
          <w:rFonts w:eastAsia="Times New Roman"/>
          <w:sz w:val="24"/>
          <w:szCs w:val="24"/>
        </w:rPr>
      </w:pPr>
      <w:r w:rsidRPr="00824DD3">
        <w:rPr>
          <w:sz w:val="24"/>
          <w:szCs w:val="24"/>
        </w:rPr>
        <w:t xml:space="preserve">12. </w:t>
      </w:r>
      <w:r w:rsidR="00DB5F0B" w:rsidRPr="00824DD3">
        <w:rPr>
          <w:sz w:val="24"/>
          <w:szCs w:val="24"/>
        </w:rPr>
        <w:t xml:space="preserve">This instruction </w:t>
      </w:r>
      <w:r w:rsidR="0010214A">
        <w:rPr>
          <w:sz w:val="24"/>
          <w:szCs w:val="24"/>
        </w:rPr>
        <w:t>should</w:t>
      </w:r>
      <w:r w:rsidR="00DB5F0B" w:rsidRPr="00824DD3">
        <w:rPr>
          <w:sz w:val="24"/>
          <w:szCs w:val="24"/>
        </w:rPr>
        <w:t xml:space="preserve"> be modified if the will at issue purports to be a will executed, or revoked, in compliance with the Colorado Uniform Electronic Wills Act</w:t>
      </w:r>
      <w:r w:rsidRPr="00824DD3">
        <w:rPr>
          <w:sz w:val="24"/>
          <w:szCs w:val="24"/>
        </w:rPr>
        <w:t xml:space="preserve">, </w:t>
      </w:r>
      <w:r w:rsidR="00DB5F0B" w:rsidRPr="00824DD3">
        <w:rPr>
          <w:sz w:val="24"/>
          <w:szCs w:val="24"/>
        </w:rPr>
        <w:t>§§ 15-11-1301</w:t>
      </w:r>
      <w:r w:rsidRPr="00824DD3">
        <w:rPr>
          <w:sz w:val="24"/>
          <w:szCs w:val="24"/>
        </w:rPr>
        <w:t xml:space="preserve"> to </w:t>
      </w:r>
      <w:r w:rsidR="00DB5F0B" w:rsidRPr="00824DD3">
        <w:rPr>
          <w:sz w:val="24"/>
          <w:szCs w:val="24"/>
        </w:rPr>
        <w:t>-11</w:t>
      </w:r>
      <w:r w:rsidRPr="00824DD3">
        <w:rPr>
          <w:sz w:val="24"/>
          <w:szCs w:val="24"/>
        </w:rPr>
        <w:t>, C.R.S.,</w:t>
      </w:r>
      <w:r w:rsidR="00DB5F0B" w:rsidRPr="00824DD3">
        <w:rPr>
          <w:sz w:val="24"/>
          <w:szCs w:val="24"/>
        </w:rPr>
        <w:t xml:space="preserve"> or a will executed in compliance with C.R.P.P. 92</w:t>
      </w:r>
      <w:r w:rsidR="00553DD7" w:rsidRPr="00824DD3">
        <w:rPr>
          <w:sz w:val="24"/>
          <w:szCs w:val="24"/>
        </w:rPr>
        <w:t>.</w:t>
      </w:r>
    </w:p>
    <w:p w14:paraId="37E38739" w14:textId="77777777"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14:paraId="2EC76EF3" w14:textId="197C6121"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sections 15-11-504, 15-12-406(1)(a), and 15-12-407</w:t>
      </w:r>
      <w:r w:rsidR="00B27C0D">
        <w:rPr>
          <w:rFonts w:eastAsia="Times New Roman"/>
          <w:sz w:val="24"/>
          <w:szCs w:val="24"/>
        </w:rPr>
        <w:t>, C.R.S</w:t>
      </w:r>
      <w:r w:rsidRPr="00F94E0B">
        <w:rPr>
          <w:rFonts w:eastAsia="Times New Roman"/>
          <w:sz w:val="24"/>
          <w:szCs w:val="24"/>
        </w:rPr>
        <w:t>.</w:t>
      </w:r>
    </w:p>
    <w:p w14:paraId="33F82091" w14:textId="77777777" w:rsidR="00081B09" w:rsidRDefault="00081B09">
      <w:pPr>
        <w:rPr>
          <w:rFonts w:eastAsia="Times New Roman"/>
          <w:sz w:val="24"/>
          <w:szCs w:val="24"/>
        </w:rPr>
      </w:pPr>
      <w:r>
        <w:rPr>
          <w:rFonts w:eastAsia="Times New Roman"/>
          <w:sz w:val="24"/>
          <w:szCs w:val="24"/>
        </w:rPr>
        <w:br w:type="page"/>
      </w:r>
    </w:p>
    <w:p w14:paraId="51062EAB" w14:textId="77777777" w:rsidR="00081B09" w:rsidRPr="009E3DA4" w:rsidRDefault="00081B09" w:rsidP="00081B09">
      <w:pPr>
        <w:spacing w:after="240"/>
        <w:ind w:left="720" w:hanging="720"/>
        <w:rPr>
          <w:rFonts w:eastAsia="Times New Roman"/>
          <w:b/>
          <w:sz w:val="24"/>
          <w:szCs w:val="24"/>
        </w:rPr>
      </w:pPr>
      <w:bookmarkStart w:id="11" w:name="a34_06"/>
      <w:bookmarkEnd w:id="11"/>
      <w:r w:rsidRPr="00081B09">
        <w:rPr>
          <w:rFonts w:eastAsia="Times New Roman"/>
          <w:b/>
          <w:sz w:val="24"/>
          <w:szCs w:val="24"/>
        </w:rPr>
        <w:lastRenderedPageBreak/>
        <w:t xml:space="preserve">34:6 </w:t>
      </w:r>
      <w:r w:rsidRPr="00081B09">
        <w:rPr>
          <w:rFonts w:eastAsia="Times New Roman"/>
          <w:b/>
          <w:sz w:val="24"/>
          <w:szCs w:val="24"/>
        </w:rPr>
        <w:tab/>
      </w:r>
      <w:r w:rsidRPr="00081B09">
        <w:rPr>
          <w:rFonts w:ascii="Times New Roman Bold" w:eastAsia="Times New Roman" w:hAnsi="Times New Roman Bold"/>
          <w:b/>
          <w:caps/>
          <w:sz w:val="24"/>
          <w:szCs w:val="24"/>
        </w:rPr>
        <w:t>Elements of Proof of Properly Executed WilL — Holographic Will</w:t>
      </w:r>
    </w:p>
    <w:p w14:paraId="753947B6" w14:textId="511A9337" w:rsidR="00081B09" w:rsidRPr="00DB1393" w:rsidRDefault="00081B09" w:rsidP="00081B09">
      <w:pPr>
        <w:spacing w:after="240"/>
        <w:ind w:firstLine="720"/>
        <w:rPr>
          <w:rFonts w:eastAsia="Times New Roman"/>
          <w:b/>
          <w:sz w:val="24"/>
          <w:szCs w:val="24"/>
        </w:rPr>
      </w:pPr>
      <w:bookmarkStart w:id="12" w:name="_Hlk146444046"/>
      <w:r w:rsidRPr="00081B09">
        <w:rPr>
          <w:rFonts w:eastAsia="Times New Roman"/>
          <w:b/>
          <w:sz w:val="24"/>
          <w:szCs w:val="24"/>
        </w:rPr>
        <w:t xml:space="preserve">For the proponent, </w:t>
      </w:r>
      <w:r w:rsidRPr="00081B09">
        <w:rPr>
          <w:rFonts w:eastAsia="Times New Roman"/>
          <w:i/>
          <w:sz w:val="24"/>
          <w:szCs w:val="24"/>
        </w:rPr>
        <w:t>(name)</w:t>
      </w:r>
      <w:r w:rsidRPr="00081B09">
        <w:rPr>
          <w:rFonts w:eastAsia="Times New Roman"/>
          <w:b/>
          <w:sz w:val="24"/>
          <w:szCs w:val="24"/>
        </w:rPr>
        <w:t xml:space="preserve">, to have the writing that has been admitted into evidence and identified as </w:t>
      </w:r>
      <w:r w:rsidRPr="00081B09">
        <w:rPr>
          <w:rFonts w:eastAsia="Times New Roman"/>
          <w:i/>
          <w:sz w:val="24"/>
          <w:szCs w:val="24"/>
        </w:rPr>
        <w:t>(insert appropriate description)</w:t>
      </w:r>
      <w:r w:rsidRPr="00081B09">
        <w:rPr>
          <w:rFonts w:eastAsia="Times New Roman"/>
          <w:b/>
          <w:sz w:val="24"/>
          <w:szCs w:val="24"/>
        </w:rPr>
        <w:t xml:space="preserve"> admitted to probate as the holographic </w:t>
      </w:r>
      <w:r w:rsidR="00DC707D">
        <w:rPr>
          <w:rFonts w:eastAsia="Times New Roman"/>
          <w:b/>
          <w:sz w:val="24"/>
          <w:szCs w:val="24"/>
        </w:rPr>
        <w:t>W</w:t>
      </w:r>
      <w:r w:rsidRPr="00081B09">
        <w:rPr>
          <w:rFonts w:eastAsia="Times New Roman"/>
          <w:b/>
          <w:sz w:val="24"/>
          <w:szCs w:val="24"/>
        </w:rPr>
        <w:t xml:space="preserve">ill of </w:t>
      </w:r>
      <w:r w:rsidRPr="00DB1393">
        <w:rPr>
          <w:rFonts w:eastAsia="Times New Roman"/>
          <w:b/>
          <w:sz w:val="24"/>
          <w:szCs w:val="24"/>
        </w:rPr>
        <w:t xml:space="preserve">the testator, </w:t>
      </w:r>
      <w:r w:rsidRPr="00DB1393">
        <w:rPr>
          <w:rFonts w:eastAsia="Times New Roman"/>
          <w:i/>
          <w:sz w:val="24"/>
          <w:szCs w:val="24"/>
        </w:rPr>
        <w:t>(insert name of testator)</w:t>
      </w:r>
      <w:r w:rsidRPr="00DB1393">
        <w:rPr>
          <w:rFonts w:eastAsia="Times New Roman"/>
          <w:b/>
          <w:sz w:val="24"/>
          <w:szCs w:val="24"/>
        </w:rPr>
        <w:t xml:space="preserve">, you must find </w:t>
      </w:r>
      <w:r w:rsidR="00040971" w:rsidRPr="00DB1393">
        <w:rPr>
          <w:rFonts w:eastAsia="Times New Roman"/>
          <w:b/>
          <w:sz w:val="24"/>
          <w:szCs w:val="24"/>
        </w:rPr>
        <w:t>both</w:t>
      </w:r>
      <w:r w:rsidR="00B7528C" w:rsidRPr="00DB1393">
        <w:rPr>
          <w:rFonts w:eastAsia="Times New Roman"/>
          <w:b/>
          <w:sz w:val="24"/>
          <w:szCs w:val="24"/>
        </w:rPr>
        <w:t xml:space="preserve"> of</w:t>
      </w:r>
      <w:r w:rsidR="00040971" w:rsidRPr="00DB1393">
        <w:rPr>
          <w:rFonts w:eastAsia="Times New Roman"/>
          <w:b/>
          <w:sz w:val="24"/>
          <w:szCs w:val="24"/>
        </w:rPr>
        <w:t xml:space="preserve"> </w:t>
      </w:r>
      <w:r w:rsidRPr="00DB1393">
        <w:rPr>
          <w:rFonts w:eastAsia="Times New Roman"/>
          <w:b/>
          <w:sz w:val="24"/>
          <w:szCs w:val="24"/>
        </w:rPr>
        <w:t>the following have been proved by a preponderance of the evidence:</w:t>
      </w:r>
    </w:p>
    <w:p w14:paraId="3180F90B" w14:textId="15CCD167" w:rsidR="00081B09" w:rsidRPr="00DB1393" w:rsidRDefault="00081B09" w:rsidP="00081B09">
      <w:pPr>
        <w:spacing w:after="240"/>
        <w:ind w:firstLine="720"/>
        <w:rPr>
          <w:rFonts w:eastAsia="Times New Roman"/>
          <w:b/>
          <w:sz w:val="24"/>
          <w:szCs w:val="24"/>
        </w:rPr>
      </w:pPr>
      <w:r w:rsidRPr="00DB1393">
        <w:rPr>
          <w:rFonts w:eastAsia="Times New Roman"/>
          <w:b/>
          <w:sz w:val="24"/>
          <w:szCs w:val="24"/>
        </w:rPr>
        <w:t xml:space="preserve">1. The writing </w:t>
      </w:r>
      <w:r w:rsidRPr="00DB1393">
        <w:rPr>
          <w:rFonts w:eastAsia="Times New Roman"/>
          <w:i/>
          <w:sz w:val="24"/>
          <w:szCs w:val="24"/>
        </w:rPr>
        <w:t>(insert appropriate description)</w:t>
      </w:r>
      <w:r w:rsidRPr="00DB1393">
        <w:rPr>
          <w:rFonts w:eastAsia="Times New Roman"/>
          <w:b/>
          <w:sz w:val="24"/>
          <w:szCs w:val="24"/>
        </w:rPr>
        <w:t xml:space="preserve">, whether witnessed or not, was signed by the testator, </w:t>
      </w:r>
      <w:r w:rsidRPr="00DB1393">
        <w:rPr>
          <w:rFonts w:eastAsia="Times New Roman"/>
          <w:i/>
          <w:sz w:val="24"/>
          <w:szCs w:val="24"/>
        </w:rPr>
        <w:t>(name)</w:t>
      </w:r>
      <w:r w:rsidRPr="00DB1393">
        <w:rPr>
          <w:rFonts w:eastAsia="Times New Roman"/>
          <w:b/>
          <w:sz w:val="24"/>
          <w:szCs w:val="24"/>
        </w:rPr>
        <w:t xml:space="preserve">, in </w:t>
      </w:r>
      <w:r w:rsidR="005A4776" w:rsidRPr="00DB1393">
        <w:rPr>
          <w:rFonts w:eastAsia="Times New Roman"/>
          <w:bCs/>
          <w:i/>
          <w:iCs/>
          <w:sz w:val="24"/>
          <w:szCs w:val="24"/>
        </w:rPr>
        <w:t>(</w:t>
      </w:r>
      <w:r w:rsidR="009616DF" w:rsidRPr="00DB1393">
        <w:rPr>
          <w:rFonts w:eastAsia="Times New Roman"/>
          <w:bCs/>
          <w:i/>
          <w:iCs/>
          <w:sz w:val="24"/>
          <w:szCs w:val="24"/>
        </w:rPr>
        <w:t xml:space="preserve">insert </w:t>
      </w:r>
      <w:r w:rsidR="00423710" w:rsidRPr="00DB1393">
        <w:rPr>
          <w:rFonts w:eastAsia="Times New Roman"/>
          <w:bCs/>
          <w:i/>
          <w:iCs/>
          <w:sz w:val="24"/>
          <w:szCs w:val="24"/>
        </w:rPr>
        <w:t xml:space="preserve">applicable </w:t>
      </w:r>
      <w:r w:rsidR="009616DF" w:rsidRPr="00DB1393">
        <w:rPr>
          <w:rFonts w:eastAsia="Times New Roman"/>
          <w:bCs/>
          <w:i/>
          <w:iCs/>
          <w:sz w:val="24"/>
          <w:szCs w:val="24"/>
        </w:rPr>
        <w:t>pronoun</w:t>
      </w:r>
      <w:r w:rsidR="005A4776" w:rsidRPr="00DB1393">
        <w:rPr>
          <w:rFonts w:eastAsia="Times New Roman"/>
          <w:bCs/>
          <w:i/>
          <w:iCs/>
          <w:sz w:val="24"/>
          <w:szCs w:val="24"/>
        </w:rPr>
        <w:t>)</w:t>
      </w:r>
      <w:r w:rsidRPr="00DB1393">
        <w:rPr>
          <w:rFonts w:eastAsia="Times New Roman"/>
          <w:b/>
          <w:sz w:val="24"/>
          <w:szCs w:val="24"/>
        </w:rPr>
        <w:t xml:space="preserve"> own handwriting; and</w:t>
      </w:r>
    </w:p>
    <w:p w14:paraId="3BDEF270" w14:textId="20548C65" w:rsidR="00081B09" w:rsidRPr="00DB1393" w:rsidRDefault="00081B09" w:rsidP="00081B09">
      <w:pPr>
        <w:spacing w:after="240"/>
        <w:ind w:firstLine="720"/>
        <w:rPr>
          <w:rFonts w:eastAsia="Times New Roman"/>
          <w:b/>
          <w:sz w:val="24"/>
          <w:szCs w:val="24"/>
        </w:rPr>
      </w:pPr>
      <w:r w:rsidRPr="00DB1393">
        <w:rPr>
          <w:rFonts w:eastAsia="Times New Roman"/>
          <w:b/>
          <w:sz w:val="24"/>
          <w:szCs w:val="24"/>
        </w:rPr>
        <w:t xml:space="preserve">2. Material portions of the writing </w:t>
      </w:r>
      <w:r w:rsidR="00040971" w:rsidRPr="00DB1393">
        <w:rPr>
          <w:rFonts w:eastAsia="Times New Roman"/>
          <w:b/>
          <w:sz w:val="24"/>
          <w:szCs w:val="24"/>
        </w:rPr>
        <w:t>are in the testator’s</w:t>
      </w:r>
      <w:r w:rsidRPr="00DB1393">
        <w:rPr>
          <w:rFonts w:eastAsia="Times New Roman"/>
          <w:b/>
          <w:sz w:val="24"/>
          <w:szCs w:val="24"/>
        </w:rPr>
        <w:t xml:space="preserve"> handwrit</w:t>
      </w:r>
      <w:r w:rsidR="00040971" w:rsidRPr="00DB1393">
        <w:rPr>
          <w:rFonts w:eastAsia="Times New Roman"/>
          <w:b/>
          <w:sz w:val="24"/>
          <w:szCs w:val="24"/>
        </w:rPr>
        <w:t>ing</w:t>
      </w:r>
      <w:r w:rsidRPr="00DB1393">
        <w:rPr>
          <w:rFonts w:eastAsia="Times New Roman"/>
          <w:b/>
          <w:sz w:val="24"/>
          <w:szCs w:val="24"/>
        </w:rPr>
        <w:t>.</w:t>
      </w:r>
    </w:p>
    <w:p w14:paraId="73078B8D" w14:textId="3CCE4C15" w:rsidR="00081B09" w:rsidRPr="00DB1393" w:rsidRDefault="00081B09" w:rsidP="00081B09">
      <w:pPr>
        <w:spacing w:after="240"/>
        <w:ind w:firstLine="720"/>
        <w:rPr>
          <w:rFonts w:eastAsia="Times New Roman"/>
          <w:b/>
          <w:sz w:val="24"/>
          <w:szCs w:val="24"/>
        </w:rPr>
      </w:pPr>
      <w:r w:rsidRPr="00DB1393">
        <w:rPr>
          <w:rFonts w:eastAsia="Times New Roman"/>
          <w:b/>
          <w:sz w:val="24"/>
          <w:szCs w:val="24"/>
        </w:rPr>
        <w:t xml:space="preserve">If you find that either 1 or 2 has not been proved by a preponderance of the evidence, then your verdict must be for the contestant, </w:t>
      </w:r>
      <w:r w:rsidRPr="00DB1393">
        <w:rPr>
          <w:rFonts w:eastAsia="Times New Roman"/>
          <w:i/>
          <w:sz w:val="24"/>
          <w:szCs w:val="24"/>
        </w:rPr>
        <w:t>(name)</w:t>
      </w:r>
      <w:r w:rsidRPr="00DB1393">
        <w:rPr>
          <w:rFonts w:eastAsia="Times New Roman"/>
          <w:b/>
          <w:sz w:val="24"/>
          <w:szCs w:val="24"/>
        </w:rPr>
        <w:t>.</w:t>
      </w:r>
    </w:p>
    <w:p w14:paraId="03818A66" w14:textId="6B5BDE59" w:rsidR="00081B09" w:rsidRPr="00DB1393" w:rsidRDefault="00081B09" w:rsidP="00081B09">
      <w:pPr>
        <w:spacing w:after="240"/>
        <w:ind w:firstLine="720"/>
        <w:rPr>
          <w:rFonts w:eastAsia="Times New Roman"/>
          <w:b/>
          <w:sz w:val="24"/>
          <w:szCs w:val="24"/>
        </w:rPr>
      </w:pPr>
      <w:r w:rsidRPr="00DB1393">
        <w:rPr>
          <w:rFonts w:eastAsia="Times New Roman"/>
          <w:b/>
          <w:sz w:val="24"/>
          <w:szCs w:val="24"/>
        </w:rPr>
        <w:t xml:space="preserve">On the other hand, if you find that both 1 and 2 have been proved, (then your verdict must be for the proponent) (then you must consider the contestant’s claim[s] that </w:t>
      </w:r>
      <w:r w:rsidRPr="00DB1393">
        <w:rPr>
          <w:rFonts w:eastAsia="Times New Roman"/>
          <w:i/>
          <w:sz w:val="24"/>
          <w:szCs w:val="24"/>
        </w:rPr>
        <w:t xml:space="preserve">[insert an appropriate description of any of the contestant’s claims on which the contestant has the burden of proof, e.g., “that (name of testator) was not of sound mind at the time </w:t>
      </w:r>
      <w:r w:rsidR="00895739" w:rsidRPr="00DB1393">
        <w:rPr>
          <w:rFonts w:eastAsia="Times New Roman"/>
          <w:bCs/>
          <w:i/>
          <w:iCs/>
          <w:sz w:val="24"/>
          <w:szCs w:val="24"/>
        </w:rPr>
        <w:t xml:space="preserve">[insert </w:t>
      </w:r>
      <w:r w:rsidR="00423710" w:rsidRPr="00DB1393">
        <w:rPr>
          <w:rFonts w:eastAsia="Times New Roman"/>
          <w:bCs/>
          <w:i/>
          <w:iCs/>
          <w:sz w:val="24"/>
          <w:szCs w:val="24"/>
        </w:rPr>
        <w:t xml:space="preserve">applicable </w:t>
      </w:r>
      <w:r w:rsidR="00895739" w:rsidRPr="00DB1393">
        <w:rPr>
          <w:rFonts w:eastAsia="Times New Roman"/>
          <w:bCs/>
          <w:i/>
          <w:iCs/>
          <w:sz w:val="24"/>
          <w:szCs w:val="24"/>
        </w:rPr>
        <w:t>pronoun]</w:t>
      </w:r>
      <w:r w:rsidRPr="00DB1393">
        <w:rPr>
          <w:rFonts w:eastAsia="Times New Roman"/>
          <w:i/>
          <w:sz w:val="24"/>
          <w:szCs w:val="24"/>
        </w:rPr>
        <w:t xml:space="preserve"> signed the </w:t>
      </w:r>
      <w:r w:rsidR="00DC707D" w:rsidRPr="00DB1393">
        <w:rPr>
          <w:rFonts w:eastAsia="Times New Roman"/>
          <w:i/>
          <w:sz w:val="24"/>
          <w:szCs w:val="24"/>
        </w:rPr>
        <w:t>W</w:t>
      </w:r>
      <w:r w:rsidRPr="00DB1393">
        <w:rPr>
          <w:rFonts w:eastAsia="Times New Roman"/>
          <w:i/>
          <w:sz w:val="24"/>
          <w:szCs w:val="24"/>
        </w:rPr>
        <w:t>ill”]</w:t>
      </w:r>
      <w:r w:rsidRPr="00DB1393">
        <w:rPr>
          <w:rFonts w:eastAsia="Times New Roman"/>
          <w:b/>
          <w:sz w:val="24"/>
          <w:szCs w:val="24"/>
        </w:rPr>
        <w:t>).</w:t>
      </w:r>
    </w:p>
    <w:p w14:paraId="1BA72D5E" w14:textId="77777777" w:rsidR="00081B09" w:rsidRPr="00DB1393" w:rsidRDefault="00081B09" w:rsidP="00081B09">
      <w:pPr>
        <w:spacing w:after="240"/>
        <w:ind w:firstLine="720"/>
        <w:rPr>
          <w:rFonts w:eastAsia="Times New Roman"/>
          <w:b/>
          <w:sz w:val="24"/>
          <w:szCs w:val="24"/>
        </w:rPr>
      </w:pPr>
      <w:r w:rsidRPr="00DB1393">
        <w:rPr>
          <w:rFonts w:eastAsia="Times New Roman"/>
          <w:b/>
          <w:sz w:val="24"/>
          <w:szCs w:val="24"/>
        </w:rPr>
        <w:t>If you find that (this claim has) (any one or more of these claims have) been proved by a preponderance of the evidence, then your verdict must be for the contestant.</w:t>
      </w:r>
    </w:p>
    <w:p w14:paraId="77843F78" w14:textId="2CB64D77" w:rsidR="00081B09" w:rsidRPr="00081B09" w:rsidRDefault="00081B09" w:rsidP="00081B09">
      <w:pPr>
        <w:spacing w:after="240"/>
        <w:ind w:firstLine="720"/>
        <w:rPr>
          <w:rFonts w:eastAsia="Times New Roman"/>
          <w:b/>
          <w:sz w:val="24"/>
          <w:szCs w:val="24"/>
        </w:rPr>
      </w:pPr>
      <w:r w:rsidRPr="00DB1393">
        <w:rPr>
          <w:rFonts w:eastAsia="Times New Roman"/>
          <w:b/>
          <w:sz w:val="24"/>
          <w:szCs w:val="24"/>
        </w:rPr>
        <w:t>However, if you find that (this claim has not) (none of these claims ha</w:t>
      </w:r>
      <w:r w:rsidR="009A7A43" w:rsidRPr="00DB1393">
        <w:rPr>
          <w:rFonts w:eastAsia="Times New Roman"/>
          <w:b/>
          <w:sz w:val="24"/>
          <w:szCs w:val="24"/>
        </w:rPr>
        <w:t>s</w:t>
      </w:r>
      <w:r w:rsidRPr="00DB1393">
        <w:rPr>
          <w:rFonts w:eastAsia="Times New Roman"/>
          <w:b/>
          <w:sz w:val="24"/>
          <w:szCs w:val="24"/>
        </w:rPr>
        <w:t>) been proved</w:t>
      </w:r>
      <w:r w:rsidR="00040971" w:rsidRPr="00DB1393">
        <w:rPr>
          <w:rFonts w:eastAsia="Times New Roman"/>
          <w:b/>
          <w:sz w:val="24"/>
          <w:szCs w:val="24"/>
        </w:rPr>
        <w:t xml:space="preserve"> by a preponderance of the evidence</w:t>
      </w:r>
      <w:r w:rsidRPr="00DB1393">
        <w:rPr>
          <w:rFonts w:eastAsia="Times New Roman"/>
          <w:b/>
          <w:sz w:val="24"/>
          <w:szCs w:val="24"/>
        </w:rPr>
        <w:t>,</w:t>
      </w:r>
      <w:r w:rsidRPr="00081B09">
        <w:rPr>
          <w:rFonts w:eastAsia="Times New Roman"/>
          <w:b/>
          <w:sz w:val="24"/>
          <w:szCs w:val="24"/>
        </w:rPr>
        <w:t xml:space="preserve"> then your verdict must be for the proponent.</w:t>
      </w:r>
    </w:p>
    <w:bookmarkEnd w:id="12"/>
    <w:p w14:paraId="2783D402" w14:textId="77777777" w:rsidR="00081B09" w:rsidRDefault="00081B09" w:rsidP="00081B09">
      <w:pPr>
        <w:jc w:val="center"/>
        <w:rPr>
          <w:rFonts w:eastAsia="Times New Roman"/>
          <w:sz w:val="24"/>
          <w:szCs w:val="24"/>
        </w:rPr>
      </w:pPr>
    </w:p>
    <w:p w14:paraId="07691C7C" w14:textId="77777777" w:rsidR="00081B09" w:rsidRPr="0054263B" w:rsidRDefault="00081B09" w:rsidP="00081B09">
      <w:pPr>
        <w:keepNext/>
        <w:spacing w:after="240"/>
        <w:jc w:val="center"/>
        <w:rPr>
          <w:rFonts w:eastAsia="Times New Roman"/>
          <w:b/>
          <w:sz w:val="24"/>
          <w:szCs w:val="24"/>
        </w:rPr>
      </w:pPr>
      <w:r w:rsidRPr="0054263B">
        <w:rPr>
          <w:rFonts w:eastAsia="Times New Roman"/>
          <w:b/>
          <w:sz w:val="24"/>
          <w:szCs w:val="24"/>
        </w:rPr>
        <w:t>Notes on Use</w:t>
      </w:r>
    </w:p>
    <w:p w14:paraId="7E1EF8EA" w14:textId="799F5D78" w:rsidR="00D54163" w:rsidRDefault="00081B09" w:rsidP="00081B09">
      <w:pPr>
        <w:spacing w:after="240"/>
        <w:ind w:firstLine="720"/>
        <w:rPr>
          <w:rFonts w:eastAsia="Times New Roman"/>
          <w:sz w:val="24"/>
          <w:szCs w:val="24"/>
        </w:rPr>
      </w:pPr>
      <w:r w:rsidRPr="00081B09">
        <w:rPr>
          <w:rFonts w:eastAsia="Times New Roman"/>
          <w:sz w:val="24"/>
          <w:szCs w:val="24"/>
        </w:rPr>
        <w:t xml:space="preserve">1. </w:t>
      </w:r>
      <w:r w:rsidR="00D54163">
        <w:rPr>
          <w:rFonts w:eastAsia="Times New Roman"/>
          <w:sz w:val="24"/>
          <w:szCs w:val="24"/>
        </w:rPr>
        <w:t>T</w:t>
      </w:r>
      <w:r w:rsidR="00D54163" w:rsidRPr="00D54163">
        <w:rPr>
          <w:rFonts w:eastAsia="Times New Roman"/>
          <w:sz w:val="24"/>
          <w:szCs w:val="24"/>
        </w:rPr>
        <w:t>his instruction should be given with Instruction 34:</w:t>
      </w:r>
      <w:r w:rsidR="00151659">
        <w:rPr>
          <w:rFonts w:eastAsia="Times New Roman"/>
          <w:sz w:val="24"/>
          <w:szCs w:val="24"/>
        </w:rPr>
        <w:t>3A</w:t>
      </w:r>
      <w:r w:rsidR="00D54163" w:rsidRPr="00D54163">
        <w:rPr>
          <w:rFonts w:eastAsia="Times New Roman"/>
          <w:sz w:val="24"/>
          <w:szCs w:val="24"/>
        </w:rPr>
        <w:t xml:space="preserve"> (defining testator).</w:t>
      </w:r>
    </w:p>
    <w:p w14:paraId="667666A9" w14:textId="64A10895" w:rsidR="00081B09" w:rsidRPr="00081B09" w:rsidRDefault="00D54163" w:rsidP="00081B09">
      <w:pPr>
        <w:spacing w:after="240"/>
        <w:ind w:firstLine="720"/>
        <w:rPr>
          <w:rFonts w:eastAsia="Times New Roman"/>
          <w:sz w:val="24"/>
          <w:szCs w:val="24"/>
        </w:rPr>
      </w:pPr>
      <w:r>
        <w:rPr>
          <w:rFonts w:eastAsia="Times New Roman"/>
          <w:sz w:val="24"/>
          <w:szCs w:val="24"/>
        </w:rPr>
        <w:t xml:space="preserve">2. </w:t>
      </w:r>
      <w:r w:rsidR="00081B09" w:rsidRPr="00081B09">
        <w:rPr>
          <w:rFonts w:eastAsia="Times New Roman"/>
          <w:sz w:val="24"/>
          <w:szCs w:val="24"/>
        </w:rPr>
        <w:t>This instruction should be used in cases in which there is sufficient evidence for a reasonable jury to find by a preponderance of the evidence that the alleged will was properly executed as a holographic will under section 15-11-502(2), C.R.S.</w:t>
      </w:r>
    </w:p>
    <w:p w14:paraId="674D4246" w14:textId="19E937F7" w:rsidR="00081B09" w:rsidRPr="00081B09" w:rsidRDefault="00D54163" w:rsidP="00081B09">
      <w:pPr>
        <w:spacing w:after="240"/>
        <w:ind w:firstLine="720"/>
        <w:rPr>
          <w:rFonts w:eastAsia="Times New Roman"/>
          <w:sz w:val="24"/>
          <w:szCs w:val="24"/>
        </w:rPr>
      </w:pPr>
      <w:r>
        <w:rPr>
          <w:rFonts w:eastAsia="Times New Roman"/>
          <w:sz w:val="24"/>
          <w:szCs w:val="24"/>
        </w:rPr>
        <w:t>3</w:t>
      </w:r>
      <w:r w:rsidR="00081B09" w:rsidRPr="00081B09">
        <w:rPr>
          <w:rFonts w:eastAsia="Times New Roman"/>
          <w:sz w:val="24"/>
          <w:szCs w:val="24"/>
        </w:rPr>
        <w:t>. The provisions of section 15-11-503, C.R.S., may apply if the evidence is not sufficient for a reasonable jury to find by a preponderance of the evidence that the will was properly executed either as a signed and witnessed will</w:t>
      </w:r>
      <w:r w:rsidR="005E6604">
        <w:rPr>
          <w:rFonts w:eastAsia="Times New Roman"/>
          <w:sz w:val="24"/>
          <w:szCs w:val="24"/>
        </w:rPr>
        <w:t xml:space="preserve"> or notarized</w:t>
      </w:r>
      <w:r w:rsidR="00081B09" w:rsidRPr="00081B09">
        <w:rPr>
          <w:rFonts w:eastAsia="Times New Roman"/>
          <w:sz w:val="24"/>
          <w:szCs w:val="24"/>
        </w:rPr>
        <w:t xml:space="preserve"> under section 15-11-502(1)(c),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t>
      </w:r>
      <w:r w:rsidR="00081B09" w:rsidRPr="00081B09">
        <w:rPr>
          <w:rFonts w:eastAsia="Times New Roman"/>
          <w:sz w:val="24"/>
          <w:szCs w:val="24"/>
        </w:rPr>
        <w:lastRenderedPageBreak/>
        <w:t xml:space="preserve">will; (b) A partial or completed revocation of the will; (c) An addition to or an alteration of the will; or (d) A partial or complete revival of the decedent’s formerly revoked will or a formerly revoked portion of the will,” § 15-11-503(1). </w:t>
      </w:r>
      <w:r w:rsidR="00081B09" w:rsidRPr="00081B09">
        <w:rPr>
          <w:rFonts w:eastAsia="Times New Roman"/>
          <w:i/>
          <w:sz w:val="24"/>
          <w:szCs w:val="24"/>
        </w:rPr>
        <w:t>See also</w:t>
      </w:r>
      <w:r w:rsidR="00081B09" w:rsidRPr="00081B09">
        <w:rPr>
          <w:rFonts w:eastAsia="Times New Roman"/>
          <w:sz w:val="24"/>
          <w:szCs w:val="24"/>
        </w:rPr>
        <w:t xml:space="preserve"> </w:t>
      </w:r>
      <w:r w:rsidR="00081B09" w:rsidRPr="00081B09">
        <w:rPr>
          <w:rFonts w:eastAsia="Times New Roman"/>
          <w:b/>
          <w:sz w:val="24"/>
          <w:szCs w:val="24"/>
        </w:rPr>
        <w:t>In re Estate of Wiltfong</w:t>
      </w:r>
      <w:r w:rsidR="00081B09" w:rsidRPr="00081B09">
        <w:rPr>
          <w:rFonts w:eastAsia="Times New Roman"/>
          <w:sz w:val="24"/>
          <w:szCs w:val="24"/>
        </w:rPr>
        <w:t xml:space="preserve">, 148 P.3d 465 (Colo. App. 2006) (a document acknowledged but not signed may be recognized as a will under this statute); </w:t>
      </w:r>
      <w:r w:rsidR="00081B09" w:rsidRPr="00081B09">
        <w:rPr>
          <w:rFonts w:eastAsia="Times New Roman"/>
          <w:b/>
          <w:sz w:val="24"/>
          <w:szCs w:val="24"/>
        </w:rPr>
        <w:t>In re Estate of Sky Dancer</w:t>
      </w:r>
      <w:r w:rsidR="00081B09" w:rsidRPr="00081B09">
        <w:rPr>
          <w:rFonts w:eastAsia="Times New Roman"/>
          <w:sz w:val="24"/>
          <w:szCs w:val="24"/>
        </w:rPr>
        <w:t>, 13 P.3d 1231 (Colo. App. 2000) (inadequate basis to find a will under this statute).</w:t>
      </w:r>
    </w:p>
    <w:p w14:paraId="19F47251" w14:textId="6635755F" w:rsidR="00081B09" w:rsidRPr="00081B09" w:rsidRDefault="00D54163" w:rsidP="00081B09">
      <w:pPr>
        <w:spacing w:after="240"/>
        <w:ind w:firstLine="720"/>
        <w:rPr>
          <w:rFonts w:eastAsia="Times New Roman"/>
          <w:sz w:val="24"/>
          <w:szCs w:val="24"/>
        </w:rPr>
      </w:pPr>
      <w:r>
        <w:rPr>
          <w:rFonts w:eastAsia="Times New Roman"/>
          <w:sz w:val="24"/>
          <w:szCs w:val="24"/>
        </w:rPr>
        <w:t>4</w:t>
      </w:r>
      <w:r w:rsidR="00081B09" w:rsidRPr="00081B09">
        <w:rPr>
          <w:rFonts w:eastAsia="Times New Roman"/>
          <w:sz w:val="24"/>
          <w:szCs w:val="24"/>
        </w:rPr>
        <w:t>. Use whichever parenthesized words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(for example, “lack of testamentary intent or capacity [insufficient age</w:t>
      </w:r>
      <w:r w:rsidR="00AC59E3">
        <w:rPr>
          <w:rFonts w:eastAsia="Times New Roman"/>
          <w:sz w:val="24"/>
          <w:szCs w:val="24"/>
        </w:rPr>
        <w:t>,</w:t>
      </w:r>
      <w:r w:rsidR="00081B09" w:rsidRPr="00081B09">
        <w:rPr>
          <w:rFonts w:eastAsia="Times New Roman"/>
          <w:sz w:val="24"/>
          <w:szCs w:val="24"/>
        </w:rPr>
        <w:t xml:space="preserve"> unsound mind</w:t>
      </w:r>
      <w:r w:rsidR="00AC59E3">
        <w:rPr>
          <w:rFonts w:eastAsia="Times New Roman"/>
          <w:sz w:val="24"/>
          <w:szCs w:val="24"/>
        </w:rPr>
        <w:t xml:space="preserve">, </w:t>
      </w:r>
      <w:r w:rsidR="00CB63AA">
        <w:rPr>
          <w:rFonts w:eastAsia="Times New Roman"/>
          <w:sz w:val="24"/>
          <w:szCs w:val="24"/>
        </w:rPr>
        <w:t xml:space="preserve">or </w:t>
      </w:r>
      <w:r w:rsidR="00AC59E3">
        <w:rPr>
          <w:rFonts w:eastAsia="Times New Roman"/>
          <w:sz w:val="24"/>
          <w:szCs w:val="24"/>
        </w:rPr>
        <w:t>insane delusion</w:t>
      </w:r>
      <w:r w:rsidR="00081B09" w:rsidRPr="00081B09">
        <w:rPr>
          <w:rFonts w:eastAsia="Times New Roman"/>
          <w:sz w:val="24"/>
          <w:szCs w:val="24"/>
        </w:rPr>
        <w:t>], undue influence, fraud, duress, mistake, or revocation,” § 15-12-407, C.R.S.), or there is insufficient evidence to support a jury finding as to any such matters.</w:t>
      </w:r>
    </w:p>
    <w:p w14:paraId="51D23CB4" w14:textId="2374447D" w:rsidR="00081B09" w:rsidRPr="00081B09" w:rsidRDefault="00D54163" w:rsidP="00081B09">
      <w:pPr>
        <w:spacing w:after="240"/>
        <w:ind w:firstLine="720"/>
        <w:rPr>
          <w:rFonts w:eastAsia="Times New Roman"/>
          <w:sz w:val="24"/>
          <w:szCs w:val="24"/>
        </w:rPr>
      </w:pPr>
      <w:r>
        <w:rPr>
          <w:rFonts w:eastAsia="Times New Roman"/>
          <w:sz w:val="24"/>
          <w:szCs w:val="24"/>
        </w:rPr>
        <w:t>5</w:t>
      </w:r>
      <w:r w:rsidR="00081B09" w:rsidRPr="00081B09">
        <w:rPr>
          <w:rFonts w:eastAsia="Times New Roman"/>
          <w:sz w:val="24"/>
          <w:szCs w:val="24"/>
        </w:rPr>
        <w:t xml:space="preserve">. If the death of the testator is </w:t>
      </w:r>
      <w:r w:rsidR="00B22E58">
        <w:rPr>
          <w:rFonts w:eastAsia="Times New Roman"/>
          <w:sz w:val="24"/>
          <w:szCs w:val="24"/>
        </w:rPr>
        <w:t>at</w:t>
      </w:r>
      <w:r w:rsidR="00081B09" w:rsidRPr="00081B09">
        <w:rPr>
          <w:rFonts w:eastAsia="Times New Roman"/>
          <w:sz w:val="24"/>
          <w:szCs w:val="24"/>
        </w:rPr>
        <w:t xml:space="preserve"> issue, and the proponent of the will in question has the burden of proving death under section 15-12-407, this instruction </w:t>
      </w:r>
      <w:r w:rsidR="00285CB9">
        <w:rPr>
          <w:rFonts w:eastAsia="Times New Roman"/>
          <w:sz w:val="24"/>
          <w:szCs w:val="24"/>
        </w:rPr>
        <w:t>should</w:t>
      </w:r>
      <w:r w:rsidR="00081B09" w:rsidRPr="00081B09">
        <w:rPr>
          <w:rFonts w:eastAsia="Times New Roman"/>
          <w:sz w:val="24"/>
          <w:szCs w:val="24"/>
        </w:rPr>
        <w:t xml:space="preserve"> be appropriately modified.</w:t>
      </w:r>
    </w:p>
    <w:p w14:paraId="096FB6D6" w14:textId="2747B10F" w:rsidR="00081B09" w:rsidRPr="00081B09" w:rsidRDefault="00D54163" w:rsidP="00081B09">
      <w:pPr>
        <w:spacing w:after="240"/>
        <w:ind w:firstLine="720"/>
        <w:rPr>
          <w:rFonts w:eastAsia="Times New Roman"/>
          <w:sz w:val="24"/>
          <w:szCs w:val="24"/>
        </w:rPr>
      </w:pPr>
      <w:r>
        <w:rPr>
          <w:rFonts w:eastAsia="Times New Roman"/>
          <w:sz w:val="24"/>
          <w:szCs w:val="24"/>
        </w:rPr>
        <w:t>6</w:t>
      </w:r>
      <w:r w:rsidR="00081B09" w:rsidRPr="00081B09">
        <w:rPr>
          <w:rFonts w:eastAsia="Times New Roman"/>
          <w:sz w:val="24"/>
          <w:szCs w:val="24"/>
        </w:rPr>
        <w:t xml:space="preserve">. This instruction </w:t>
      </w:r>
      <w:r w:rsidR="000347F3">
        <w:rPr>
          <w:rFonts w:eastAsia="Times New Roman"/>
          <w:sz w:val="24"/>
          <w:szCs w:val="24"/>
        </w:rPr>
        <w:t>should</w:t>
      </w:r>
      <w:r w:rsidR="000347F3" w:rsidRPr="00081B09">
        <w:rPr>
          <w:rFonts w:eastAsia="Times New Roman"/>
          <w:sz w:val="24"/>
          <w:szCs w:val="24"/>
        </w:rPr>
        <w:t xml:space="preserve"> </w:t>
      </w:r>
      <w:r w:rsidR="00081B09" w:rsidRPr="00081B09">
        <w:rPr>
          <w:rFonts w:eastAsia="Times New Roman"/>
          <w:sz w:val="24"/>
          <w:szCs w:val="24"/>
        </w:rPr>
        <w:t>be appropriately modified</w:t>
      </w:r>
      <w:r w:rsidR="00D57A73">
        <w:rPr>
          <w:rFonts w:eastAsia="Times New Roman"/>
          <w:sz w:val="24"/>
          <w:szCs w:val="24"/>
        </w:rPr>
        <w:t xml:space="preserve"> or used with </w:t>
      </w:r>
      <w:r w:rsidR="00264385">
        <w:rPr>
          <w:rFonts w:eastAsia="Times New Roman"/>
          <w:sz w:val="24"/>
          <w:szCs w:val="24"/>
        </w:rPr>
        <w:t>Instruction 34:</w:t>
      </w:r>
      <w:r w:rsidR="00DB1393">
        <w:rPr>
          <w:rFonts w:eastAsia="Times New Roman"/>
          <w:sz w:val="24"/>
          <w:szCs w:val="24"/>
        </w:rPr>
        <w:t xml:space="preserve">8 (defining </w:t>
      </w:r>
      <w:r w:rsidR="007E5CCD">
        <w:rPr>
          <w:rFonts w:eastAsia="Times New Roman"/>
          <w:sz w:val="24"/>
          <w:szCs w:val="24"/>
        </w:rPr>
        <w:t>revocation by burning, tearing, canceling, obliterating, or destroying</w:t>
      </w:r>
      <w:r w:rsidR="00DB1393">
        <w:rPr>
          <w:rFonts w:eastAsia="Times New Roman"/>
          <w:sz w:val="24"/>
          <w:szCs w:val="24"/>
        </w:rPr>
        <w:t>)</w:t>
      </w:r>
      <w:r w:rsidR="00AF63B9">
        <w:rPr>
          <w:rFonts w:eastAsia="Times New Roman"/>
          <w:sz w:val="24"/>
          <w:szCs w:val="24"/>
        </w:rPr>
        <w:t xml:space="preserve"> or </w:t>
      </w:r>
      <w:r w:rsidR="00CE1AC3">
        <w:rPr>
          <w:rFonts w:eastAsia="Times New Roman"/>
          <w:sz w:val="24"/>
          <w:szCs w:val="24"/>
        </w:rPr>
        <w:t>34:</w:t>
      </w:r>
      <w:r w:rsidR="00DB1393">
        <w:rPr>
          <w:rFonts w:eastAsia="Times New Roman"/>
          <w:sz w:val="24"/>
          <w:szCs w:val="24"/>
        </w:rPr>
        <w:t>9 (</w:t>
      </w:r>
      <w:r w:rsidR="007E5CCD">
        <w:rPr>
          <w:rFonts w:eastAsia="Times New Roman"/>
          <w:sz w:val="24"/>
          <w:szCs w:val="24"/>
        </w:rPr>
        <w:t>presumption of revocation of lost or unavailable will</w:t>
      </w:r>
      <w:r w:rsidR="00DB1393">
        <w:rPr>
          <w:rFonts w:eastAsia="Times New Roman"/>
          <w:sz w:val="24"/>
          <w:szCs w:val="24"/>
        </w:rPr>
        <w:t>)</w:t>
      </w:r>
      <w:r w:rsidR="00081B09" w:rsidRPr="00081B09">
        <w:rPr>
          <w:rFonts w:eastAsia="Times New Roman"/>
          <w:sz w:val="24"/>
          <w:szCs w:val="24"/>
        </w:rPr>
        <w:t xml:space="preserve"> if, because the testator’s original will, if any, has been lost, destroyed, or is otherwise unavailable, no writing has been admitted, or the writing referred to in this instruction is a copy. For additional modifications that may also need to be made in this instruction when the will has been lost, destroyed, or is otherwise unavailable, see the discussion following in these Notes on Use.</w:t>
      </w:r>
    </w:p>
    <w:p w14:paraId="1DC5E35F" w14:textId="57A0CF9B" w:rsidR="00081B09" w:rsidRPr="00081B09" w:rsidRDefault="00D54163" w:rsidP="00081B09">
      <w:pPr>
        <w:spacing w:after="240"/>
        <w:ind w:firstLine="720"/>
        <w:rPr>
          <w:rFonts w:eastAsia="Times New Roman"/>
          <w:sz w:val="24"/>
          <w:szCs w:val="24"/>
        </w:rPr>
      </w:pPr>
      <w:r>
        <w:rPr>
          <w:rFonts w:eastAsia="Times New Roman"/>
          <w:sz w:val="24"/>
          <w:szCs w:val="24"/>
        </w:rPr>
        <w:t>7</w:t>
      </w:r>
      <w:r w:rsidR="00081B09" w:rsidRPr="00081B09">
        <w:rPr>
          <w:rFonts w:eastAsia="Times New Roman"/>
          <w:sz w:val="24"/>
          <w:szCs w:val="24"/>
        </w:rPr>
        <w:t>. This instruction should not be used when it is claimed only a part, as opposed to the entire will, is invalid because of fraud,</w:t>
      </w:r>
      <w:r w:rsidR="00A46EEE">
        <w:rPr>
          <w:rFonts w:eastAsia="Times New Roman"/>
          <w:sz w:val="24"/>
          <w:szCs w:val="24"/>
        </w:rPr>
        <w:t xml:space="preserve"> </w:t>
      </w:r>
      <w:r w:rsidR="00913442">
        <w:rPr>
          <w:rFonts w:eastAsia="Times New Roman"/>
          <w:sz w:val="24"/>
          <w:szCs w:val="24"/>
        </w:rPr>
        <w:t>forgery, lack of capacity, undue influence, or insane delusion.</w:t>
      </w:r>
    </w:p>
    <w:p w14:paraId="4BB06CC2" w14:textId="5BFFB663" w:rsidR="00081B09" w:rsidRPr="00081B09" w:rsidRDefault="00D54163" w:rsidP="00081B09">
      <w:pPr>
        <w:spacing w:after="240"/>
        <w:ind w:firstLine="720"/>
        <w:rPr>
          <w:rFonts w:eastAsia="Times New Roman"/>
          <w:sz w:val="24"/>
          <w:szCs w:val="24"/>
        </w:rPr>
      </w:pPr>
      <w:r>
        <w:rPr>
          <w:rFonts w:eastAsia="Times New Roman"/>
          <w:sz w:val="24"/>
          <w:szCs w:val="24"/>
        </w:rPr>
        <w:t>8</w:t>
      </w:r>
      <w:r w:rsidR="00081B09" w:rsidRPr="00081B09">
        <w:rPr>
          <w:rFonts w:eastAsia="Times New Roman"/>
          <w:sz w:val="24"/>
          <w:szCs w:val="24"/>
        </w:rPr>
        <w:t xml:space="preserve">. Omit either numbered paragraph 1 or 2 if the facts are not in dispute, and make such other changes as are necessary in such circumstances. </w:t>
      </w:r>
      <w:r w:rsidR="00081B09" w:rsidRPr="00081B09">
        <w:rPr>
          <w:rFonts w:eastAsia="Times New Roman"/>
          <w:i/>
          <w:sz w:val="24"/>
          <w:szCs w:val="24"/>
        </w:rPr>
        <w:t>See</w:t>
      </w:r>
      <w:r w:rsidR="00081B09" w:rsidRPr="00081B09">
        <w:rPr>
          <w:rFonts w:eastAsia="Times New Roman"/>
          <w:sz w:val="24"/>
          <w:szCs w:val="24"/>
        </w:rPr>
        <w:t xml:space="preserve"> </w:t>
      </w:r>
      <w:r w:rsidR="00081B09" w:rsidRPr="00081B09">
        <w:rPr>
          <w:rFonts w:eastAsia="Times New Roman"/>
          <w:b/>
          <w:sz w:val="24"/>
          <w:szCs w:val="24"/>
        </w:rPr>
        <w:t>O’Brien v. Wallace</w:t>
      </w:r>
      <w:r w:rsidR="00081B09" w:rsidRPr="00081B09">
        <w:rPr>
          <w:rFonts w:eastAsia="Times New Roman"/>
          <w:sz w:val="24"/>
          <w:szCs w:val="24"/>
        </w:rPr>
        <w:t>, 145 Colo. 291, 359 P.2d 1029 (1961) (where proof of due execution has been made, only such issues on which there is contrary evidence should be submitted to the jury).</w:t>
      </w:r>
    </w:p>
    <w:p w14:paraId="4A491FA0" w14:textId="670CCF89" w:rsidR="00081B09" w:rsidRPr="00081B09" w:rsidRDefault="00D54163" w:rsidP="00081B09">
      <w:pPr>
        <w:spacing w:after="240"/>
        <w:ind w:firstLine="720"/>
        <w:rPr>
          <w:rFonts w:eastAsia="Times New Roman"/>
          <w:sz w:val="24"/>
          <w:szCs w:val="24"/>
        </w:rPr>
      </w:pPr>
      <w:r>
        <w:rPr>
          <w:rFonts w:eastAsia="Times New Roman"/>
          <w:sz w:val="24"/>
          <w:szCs w:val="24"/>
        </w:rPr>
        <w:t>9</w:t>
      </w:r>
      <w:r w:rsidR="00081B09" w:rsidRPr="00081B09">
        <w:rPr>
          <w:rFonts w:eastAsia="Times New Roman"/>
          <w:sz w:val="24"/>
          <w:szCs w:val="24"/>
        </w:rPr>
        <w:t>. This instruction may be used, when appropriately modified, in cases involving a written foreign holographic will which the proponent claims was executed in compliance “with section 15-11-502 or 15-11-503 or . . . the law at the time of execution of the place where the will [was] executed, or of the law of the place where, at the time of execution or at the time of death, the testator [was] domiciled, [had] a place of abode, or [was] a national.” § 15-11-506, C.R.S.</w:t>
      </w:r>
    </w:p>
    <w:p w14:paraId="724F0C19" w14:textId="6BF8786A" w:rsidR="00081B09" w:rsidRPr="00081B09" w:rsidRDefault="00D54163" w:rsidP="00081B09">
      <w:pPr>
        <w:spacing w:after="240"/>
        <w:ind w:firstLine="720"/>
        <w:rPr>
          <w:rFonts w:eastAsia="Times New Roman"/>
          <w:sz w:val="24"/>
          <w:szCs w:val="24"/>
        </w:rPr>
      </w:pPr>
      <w:r>
        <w:rPr>
          <w:rFonts w:eastAsia="Times New Roman"/>
          <w:sz w:val="24"/>
          <w:szCs w:val="24"/>
        </w:rPr>
        <w:t>10</w:t>
      </w:r>
      <w:r w:rsidR="00081B09" w:rsidRPr="00081B09">
        <w:rPr>
          <w:rFonts w:eastAsia="Times New Roman"/>
          <w:sz w:val="24"/>
          <w:szCs w:val="24"/>
        </w:rPr>
        <w:t>. When the case involves a separate writing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14:paraId="5D900627" w14:textId="7827D32C" w:rsidR="00081B09" w:rsidRPr="00081B09" w:rsidRDefault="00081B09" w:rsidP="00081B09">
      <w:pPr>
        <w:spacing w:after="240"/>
        <w:ind w:firstLine="720"/>
        <w:rPr>
          <w:rFonts w:eastAsia="Times New Roman"/>
          <w:sz w:val="24"/>
          <w:szCs w:val="24"/>
        </w:rPr>
      </w:pPr>
      <w:r w:rsidRPr="00081B09">
        <w:rPr>
          <w:rFonts w:eastAsia="Times New Roman"/>
          <w:sz w:val="24"/>
          <w:szCs w:val="24"/>
        </w:rPr>
        <w:lastRenderedPageBreak/>
        <w:t>1</w:t>
      </w:r>
      <w:r w:rsidR="00D54163">
        <w:rPr>
          <w:rFonts w:eastAsia="Times New Roman"/>
          <w:sz w:val="24"/>
          <w:szCs w:val="24"/>
        </w:rPr>
        <w:t>1</w:t>
      </w:r>
      <w:r w:rsidRPr="00081B09">
        <w:rPr>
          <w:rFonts w:eastAsia="Times New Roman"/>
          <w:sz w:val="24"/>
          <w:szCs w:val="24"/>
        </w:rPr>
        <w:t xml:space="preserve">. If the contest relates only to a codicil or to a will with one or more codicils, appropriate modifications </w:t>
      </w:r>
      <w:r w:rsidR="00285CB9">
        <w:rPr>
          <w:rFonts w:eastAsia="Times New Roman"/>
          <w:sz w:val="24"/>
          <w:szCs w:val="24"/>
        </w:rPr>
        <w:t>should</w:t>
      </w:r>
      <w:r w:rsidRPr="00081B09">
        <w:rPr>
          <w:rFonts w:eastAsia="Times New Roman"/>
          <w:sz w:val="24"/>
          <w:szCs w:val="24"/>
        </w:rPr>
        <w:t xml:space="preserve"> also be made in this instruction.</w:t>
      </w:r>
    </w:p>
    <w:p w14:paraId="7948F5BC" w14:textId="58227EDE" w:rsidR="00081B09" w:rsidRPr="00081B09" w:rsidRDefault="00081B09" w:rsidP="00081B09">
      <w:pPr>
        <w:spacing w:after="240"/>
        <w:ind w:firstLine="720"/>
        <w:rPr>
          <w:rFonts w:eastAsia="Times New Roman"/>
          <w:sz w:val="24"/>
          <w:szCs w:val="24"/>
        </w:rPr>
      </w:pPr>
      <w:r w:rsidRPr="00081B09">
        <w:rPr>
          <w:rFonts w:eastAsia="Times New Roman"/>
          <w:sz w:val="24"/>
          <w:szCs w:val="24"/>
        </w:rPr>
        <w:t>1</w:t>
      </w:r>
      <w:r w:rsidR="00D54163">
        <w:rPr>
          <w:rFonts w:eastAsia="Times New Roman"/>
          <w:sz w:val="24"/>
          <w:szCs w:val="24"/>
        </w:rPr>
        <w:t>2</w:t>
      </w:r>
      <w:r w:rsidRPr="00081B09">
        <w:rPr>
          <w:rFonts w:eastAsia="Times New Roman"/>
          <w:sz w:val="24"/>
          <w:szCs w:val="24"/>
        </w:rPr>
        <w:t>. When necessary and appropriate to the evidence in the case, Instruction 34:4 (witness having an interest under the will) should be given with this instruction as a cautionary instruction.</w:t>
      </w:r>
    </w:p>
    <w:p w14:paraId="7F0818E4" w14:textId="51554E85" w:rsidR="00081B09" w:rsidRPr="00081B09" w:rsidRDefault="00081B09" w:rsidP="00081B09">
      <w:pPr>
        <w:spacing w:after="240"/>
        <w:ind w:firstLine="720"/>
        <w:rPr>
          <w:rFonts w:eastAsia="Times New Roman"/>
          <w:sz w:val="24"/>
          <w:szCs w:val="24"/>
        </w:rPr>
      </w:pPr>
      <w:r w:rsidRPr="00081B09">
        <w:rPr>
          <w:rFonts w:eastAsia="Times New Roman"/>
          <w:sz w:val="24"/>
          <w:szCs w:val="24"/>
        </w:rPr>
        <w:t>1</w:t>
      </w:r>
      <w:r w:rsidR="00D54163">
        <w:rPr>
          <w:rFonts w:eastAsia="Times New Roman"/>
          <w:sz w:val="24"/>
          <w:szCs w:val="24"/>
        </w:rPr>
        <w:t>3</w:t>
      </w:r>
      <w:r w:rsidRPr="00081B09">
        <w:rPr>
          <w:rFonts w:eastAsia="Times New Roman"/>
          <w:sz w:val="24"/>
          <w:szCs w:val="24"/>
        </w:rPr>
        <w:t xml:space="preserve">. This instruction </w:t>
      </w:r>
      <w:r w:rsidR="000347F3">
        <w:rPr>
          <w:rFonts w:eastAsia="Times New Roman"/>
          <w:sz w:val="24"/>
          <w:szCs w:val="24"/>
        </w:rPr>
        <w:t>should</w:t>
      </w:r>
      <w:r w:rsidR="000347F3" w:rsidRPr="00081B09">
        <w:rPr>
          <w:rFonts w:eastAsia="Times New Roman"/>
          <w:sz w:val="24"/>
          <w:szCs w:val="24"/>
        </w:rPr>
        <w:t xml:space="preserve"> </w:t>
      </w:r>
      <w:r w:rsidRPr="00081B09">
        <w:rPr>
          <w:rFonts w:eastAsia="Times New Roman"/>
          <w:sz w:val="24"/>
          <w:szCs w:val="24"/>
        </w:rPr>
        <w:t xml:space="preserve">be appropriately modified if, because the testator’s original will, if any, has been lost, destroyed, or is otherwise unavailable, no writing has been admitted, or the writing referred to in this instruction is a copy. Under section 15-12-402(3), C.R.S., the burden of proving that a lost, destroyed, or otherwise unavailable will was not revoked is on the proponent. Consequently, where the will has been lost, destroyed, or for any other reason is unavailable, this instruction </w:t>
      </w:r>
      <w:r w:rsidR="00CD7ECB">
        <w:rPr>
          <w:rFonts w:eastAsia="Times New Roman"/>
          <w:sz w:val="24"/>
          <w:szCs w:val="24"/>
        </w:rPr>
        <w:t>should also be given with Instruction 34:9.</w:t>
      </w:r>
      <w:r w:rsidRPr="00081B09">
        <w:rPr>
          <w:rFonts w:eastAsia="Times New Roman"/>
          <w:sz w:val="24"/>
          <w:szCs w:val="24"/>
        </w:rPr>
        <w:t xml:space="preserve">” </w:t>
      </w:r>
      <w:r w:rsidR="00133A03" w:rsidRPr="00DB1393">
        <w:rPr>
          <w:b/>
          <w:bCs/>
          <w:sz w:val="24"/>
          <w:szCs w:val="24"/>
        </w:rPr>
        <w:t>Hoff v. Armbruster</w:t>
      </w:r>
      <w:r w:rsidR="00133A03" w:rsidRPr="00DB1393">
        <w:rPr>
          <w:sz w:val="24"/>
          <w:szCs w:val="24"/>
        </w:rPr>
        <w:t xml:space="preserve">, </w:t>
      </w:r>
      <w:r w:rsidR="00DB1393" w:rsidRPr="00504833">
        <w:rPr>
          <w:sz w:val="24"/>
          <w:szCs w:val="24"/>
        </w:rPr>
        <w:t xml:space="preserve">122 Colo. 563, 568, </w:t>
      </w:r>
      <w:r w:rsidR="00133A03" w:rsidRPr="00DB1393">
        <w:rPr>
          <w:sz w:val="24"/>
          <w:szCs w:val="24"/>
        </w:rPr>
        <w:t>226 P.2d 312</w:t>
      </w:r>
      <w:r w:rsidR="00DB1393">
        <w:rPr>
          <w:sz w:val="24"/>
          <w:szCs w:val="24"/>
        </w:rPr>
        <w:t>, 314</w:t>
      </w:r>
      <w:r w:rsidR="00133A03" w:rsidRPr="00DB1393">
        <w:rPr>
          <w:sz w:val="24"/>
          <w:szCs w:val="24"/>
        </w:rPr>
        <w:t xml:space="preserve"> (1950) (</w:t>
      </w:r>
      <w:r w:rsidR="00DB1393">
        <w:rPr>
          <w:sz w:val="24"/>
          <w:szCs w:val="24"/>
        </w:rPr>
        <w:t>“W</w:t>
      </w:r>
      <w:r w:rsidR="00133A03" w:rsidRPr="00DB1393">
        <w:rPr>
          <w:sz w:val="24"/>
          <w:szCs w:val="24"/>
        </w:rPr>
        <w:t xml:space="preserve">here a will which cannot be found following the death of the testator is shown to have been in his possession when last seen, the presumption is, in the absence of other evidence, that he destroyed it </w:t>
      </w:r>
      <w:r w:rsidR="00133A03" w:rsidRPr="00DB1393">
        <w:rPr>
          <w:i/>
          <w:iCs/>
          <w:sz w:val="24"/>
          <w:szCs w:val="24"/>
        </w:rPr>
        <w:t>animo revocandi</w:t>
      </w:r>
      <w:r w:rsidR="00DB1393">
        <w:rPr>
          <w:sz w:val="24"/>
          <w:szCs w:val="24"/>
        </w:rPr>
        <w:t>.</w:t>
      </w:r>
      <w:r w:rsidR="0001364B">
        <w:rPr>
          <w:sz w:val="24"/>
          <w:szCs w:val="24"/>
        </w:rPr>
        <w:t>”</w:t>
      </w:r>
      <w:r w:rsidR="00DB1393">
        <w:rPr>
          <w:sz w:val="24"/>
          <w:szCs w:val="24"/>
        </w:rPr>
        <w:t xml:space="preserve"> </w:t>
      </w:r>
      <w:r w:rsidR="00DB1393" w:rsidRPr="00504833">
        <w:rPr>
          <w:sz w:val="24"/>
          <w:szCs w:val="24"/>
        </w:rPr>
        <w:t xml:space="preserve">(quoting 57 </w:t>
      </w:r>
      <w:r w:rsidR="00DB1393" w:rsidRPr="00504833">
        <w:rPr>
          <w:smallCaps/>
          <w:sz w:val="24"/>
          <w:szCs w:val="24"/>
        </w:rPr>
        <w:t>Am. Jur.</w:t>
      </w:r>
      <w:r w:rsidR="00DB1393" w:rsidRPr="00504833">
        <w:rPr>
          <w:sz w:val="24"/>
          <w:szCs w:val="24"/>
        </w:rPr>
        <w:t xml:space="preserve"> </w:t>
      </w:r>
      <w:r w:rsidR="00DB1393" w:rsidRPr="00504833">
        <w:rPr>
          <w:i/>
          <w:iCs/>
          <w:sz w:val="24"/>
          <w:szCs w:val="24"/>
        </w:rPr>
        <w:t>Wills</w:t>
      </w:r>
      <w:r w:rsidR="00DB1393" w:rsidRPr="00504833">
        <w:rPr>
          <w:sz w:val="24"/>
          <w:szCs w:val="24"/>
        </w:rPr>
        <w:t xml:space="preserve"> § 549)</w:t>
      </w:r>
      <w:r w:rsidR="00133A03" w:rsidRPr="00DB1393">
        <w:rPr>
          <w:sz w:val="24"/>
          <w:szCs w:val="24"/>
        </w:rPr>
        <w:t>).</w:t>
      </w:r>
    </w:p>
    <w:p w14:paraId="74AFDCBC" w14:textId="79B6CBD1" w:rsidR="00081B09" w:rsidRPr="00081B09" w:rsidRDefault="00081B09" w:rsidP="00081B09">
      <w:pPr>
        <w:spacing w:after="240"/>
        <w:ind w:firstLine="720"/>
        <w:rPr>
          <w:rFonts w:eastAsia="Times New Roman"/>
          <w:sz w:val="24"/>
          <w:szCs w:val="24"/>
        </w:rPr>
      </w:pPr>
      <w:r w:rsidRPr="00081B09">
        <w:rPr>
          <w:rFonts w:eastAsia="Times New Roman"/>
          <w:sz w:val="24"/>
          <w:szCs w:val="24"/>
        </w:rPr>
        <w:t>1</w:t>
      </w:r>
      <w:r w:rsidR="00D54163">
        <w:rPr>
          <w:rFonts w:eastAsia="Times New Roman"/>
          <w:sz w:val="24"/>
          <w:szCs w:val="24"/>
        </w:rPr>
        <w:t>4</w:t>
      </w:r>
      <w:r w:rsidRPr="00081B09">
        <w:rPr>
          <w:rFonts w:eastAsia="Times New Roman"/>
          <w:sz w:val="24"/>
          <w:szCs w:val="24"/>
        </w:rPr>
        <w:t xml:space="preserve">. Section 15-12-402(3), refers to satisfying “the court” that an “unavailable” will has not been revoked </w:t>
      </w:r>
      <w:r w:rsidR="008D2B34">
        <w:rPr>
          <w:rFonts w:eastAsia="Times New Roman"/>
          <w:sz w:val="24"/>
          <w:szCs w:val="24"/>
        </w:rPr>
        <w:t>therefore the court must find that there is legally sufficient evidence to rebut the presumption of revocation of a lost, destroyed, or otherwise unavailable will. If the court finds that the presumption of revocation has been sufficiently rebutted then the matter may be submitted to the jury, to determine whether the proponent has proved by a preponderance of the evidence that it was unrevoked</w:t>
      </w:r>
      <w:r w:rsidR="008D2B34" w:rsidRPr="006F7B49">
        <w:rPr>
          <w:rFonts w:eastAsia="Times New Roman"/>
          <w:sz w:val="24"/>
          <w:szCs w:val="24"/>
        </w:rPr>
        <w:t>.</w:t>
      </w:r>
      <w:r w:rsidR="008D2B34">
        <w:rPr>
          <w:rFonts w:eastAsia="Times New Roman"/>
          <w:sz w:val="24"/>
          <w:szCs w:val="24"/>
        </w:rPr>
        <w:t xml:space="preserve"> </w:t>
      </w:r>
      <w:r w:rsidR="0001364B">
        <w:rPr>
          <w:rFonts w:eastAsia="Times New Roman"/>
          <w:sz w:val="24"/>
          <w:szCs w:val="24"/>
        </w:rPr>
        <w:t>§</w:t>
      </w:r>
      <w:r w:rsidR="008D2B34" w:rsidRPr="006F7B49">
        <w:rPr>
          <w:rFonts w:eastAsia="Times New Roman"/>
          <w:sz w:val="24"/>
          <w:szCs w:val="24"/>
        </w:rPr>
        <w:t xml:space="preserve"> </w:t>
      </w:r>
      <w:r w:rsidR="008D2B34">
        <w:rPr>
          <w:rFonts w:eastAsia="Times New Roman"/>
          <w:sz w:val="24"/>
          <w:szCs w:val="24"/>
        </w:rPr>
        <w:t>15-10-306(1)</w:t>
      </w:r>
      <w:r w:rsidR="0001364B">
        <w:rPr>
          <w:rFonts w:eastAsia="Times New Roman"/>
          <w:sz w:val="24"/>
          <w:szCs w:val="24"/>
        </w:rPr>
        <w:t>, C.R.S</w:t>
      </w:r>
      <w:r w:rsidR="008D2B34">
        <w:rPr>
          <w:rFonts w:eastAsia="Times New Roman"/>
          <w:sz w:val="24"/>
          <w:szCs w:val="24"/>
        </w:rPr>
        <w:t>.</w:t>
      </w:r>
      <w:r w:rsidR="0001364B">
        <w:rPr>
          <w:rFonts w:eastAsia="Times New Roman"/>
          <w:sz w:val="24"/>
          <w:szCs w:val="24"/>
        </w:rPr>
        <w:t>;</w:t>
      </w:r>
      <w:r w:rsidR="008D2B34">
        <w:rPr>
          <w:rFonts w:eastAsia="Times New Roman"/>
          <w:sz w:val="24"/>
          <w:szCs w:val="24"/>
        </w:rPr>
        <w:t xml:space="preserve"> </w:t>
      </w:r>
      <w:r w:rsidR="0001364B" w:rsidRPr="0001364B">
        <w:rPr>
          <w:rFonts w:eastAsia="Times New Roman"/>
          <w:i/>
          <w:iCs/>
          <w:sz w:val="24"/>
          <w:szCs w:val="24"/>
        </w:rPr>
        <w:t>s</w:t>
      </w:r>
      <w:r w:rsidR="008D2B34" w:rsidRPr="00D81D01">
        <w:rPr>
          <w:rFonts w:eastAsia="Times New Roman"/>
          <w:i/>
          <w:sz w:val="24"/>
          <w:szCs w:val="24"/>
        </w:rPr>
        <w:t>ee</w:t>
      </w:r>
      <w:r w:rsidR="008D2B34" w:rsidRPr="00D81D01">
        <w:rPr>
          <w:rFonts w:eastAsia="Times New Roman"/>
          <w:sz w:val="24"/>
          <w:szCs w:val="24"/>
        </w:rPr>
        <w:t xml:space="preserve"> </w:t>
      </w:r>
      <w:r w:rsidR="008D2B34" w:rsidRPr="00D81D01">
        <w:rPr>
          <w:rFonts w:eastAsia="Times New Roman"/>
          <w:b/>
          <w:sz w:val="24"/>
          <w:szCs w:val="24"/>
        </w:rPr>
        <w:t>Krueger v. Ary</w:t>
      </w:r>
      <w:r w:rsidR="008D2B34" w:rsidRPr="00D81D01">
        <w:rPr>
          <w:rFonts w:eastAsia="Times New Roman"/>
          <w:sz w:val="24"/>
          <w:szCs w:val="24"/>
        </w:rPr>
        <w:t>, 205 P.3d 1150 (Colo. 2009)</w:t>
      </w:r>
      <w:r w:rsidR="008D2B34">
        <w:rPr>
          <w:rFonts w:eastAsia="Times New Roman"/>
          <w:sz w:val="24"/>
          <w:szCs w:val="24"/>
        </w:rPr>
        <w:t>.</w:t>
      </w:r>
    </w:p>
    <w:p w14:paraId="19B40685" w14:textId="6439E3B6" w:rsidR="00081B09" w:rsidRDefault="00081B09" w:rsidP="00081B09">
      <w:pPr>
        <w:spacing w:after="240"/>
        <w:ind w:firstLine="720"/>
        <w:rPr>
          <w:rFonts w:eastAsia="Times New Roman"/>
          <w:sz w:val="24"/>
          <w:szCs w:val="24"/>
        </w:rPr>
      </w:pPr>
      <w:r w:rsidRPr="00081B09">
        <w:rPr>
          <w:rFonts w:eastAsia="Times New Roman"/>
          <w:sz w:val="24"/>
          <w:szCs w:val="24"/>
        </w:rPr>
        <w:t>1</w:t>
      </w:r>
      <w:r w:rsidR="00D54163">
        <w:rPr>
          <w:rFonts w:eastAsia="Times New Roman"/>
          <w:sz w:val="24"/>
          <w:szCs w:val="24"/>
        </w:rPr>
        <w:t>5</w:t>
      </w:r>
      <w:r w:rsidRPr="00081B09">
        <w:rPr>
          <w:rFonts w:eastAsia="Times New Roman"/>
          <w:sz w:val="24"/>
          <w:szCs w:val="24"/>
        </w:rPr>
        <w:t>. If a will has n</w:t>
      </w:r>
      <w:r w:rsidR="00FE5D48">
        <w:rPr>
          <w:rFonts w:eastAsia="Times New Roman"/>
          <w:sz w:val="24"/>
          <w:szCs w:val="24"/>
        </w:rPr>
        <w:t>o</w:t>
      </w:r>
      <w:r w:rsidRPr="00081B09">
        <w:rPr>
          <w:rFonts w:eastAsia="Times New Roman"/>
          <w:sz w:val="24"/>
          <w:szCs w:val="24"/>
        </w:rPr>
        <w:t xml:space="preserve">t been destroyed </w:t>
      </w:r>
      <w:r w:rsidR="00F27C90">
        <w:rPr>
          <w:rFonts w:eastAsia="Times New Roman"/>
          <w:sz w:val="24"/>
          <w:szCs w:val="24"/>
        </w:rPr>
        <w:t xml:space="preserve">in its entirety </w:t>
      </w:r>
      <w:r w:rsidRPr="00081B09">
        <w:rPr>
          <w:rFonts w:eastAsia="Times New Roman"/>
          <w:sz w:val="24"/>
          <w:szCs w:val="24"/>
        </w:rPr>
        <w:t>and is, therefore, still “available,” but is found burned, torn, canceled, obliterated,</w:t>
      </w:r>
      <w:r w:rsidR="00F27C90">
        <w:rPr>
          <w:rFonts w:eastAsia="Times New Roman"/>
          <w:sz w:val="24"/>
          <w:szCs w:val="24"/>
        </w:rPr>
        <w:t xml:space="preserve"> or partially destroyed,</w:t>
      </w:r>
      <w:r w:rsidRPr="00081B09">
        <w:rPr>
          <w:rFonts w:eastAsia="Times New Roman"/>
          <w:sz w:val="24"/>
          <w:szCs w:val="24"/>
        </w:rPr>
        <w:t xml:space="preserve"> then the burden of proving revocation is with the contestant under section 15-12-407. The issue should be set out as the contestant’s claim in the third to the last unnumbered paragraph of this instruction, and Instruction 34:8 and 34:9 should also be given.</w:t>
      </w:r>
    </w:p>
    <w:p w14:paraId="0F1A1394" w14:textId="63C7186B" w:rsidR="00553DD7" w:rsidRPr="0001364B" w:rsidRDefault="0001364B" w:rsidP="00081B09">
      <w:pPr>
        <w:spacing w:after="240"/>
        <w:ind w:firstLine="720"/>
        <w:rPr>
          <w:rFonts w:eastAsia="Times New Roman"/>
          <w:sz w:val="24"/>
          <w:szCs w:val="24"/>
        </w:rPr>
      </w:pPr>
      <w:r w:rsidRPr="0001364B">
        <w:rPr>
          <w:sz w:val="24"/>
          <w:szCs w:val="24"/>
        </w:rPr>
        <w:t>1</w:t>
      </w:r>
      <w:r w:rsidR="00D54163">
        <w:rPr>
          <w:sz w:val="24"/>
          <w:szCs w:val="24"/>
        </w:rPr>
        <w:t>6</w:t>
      </w:r>
      <w:r w:rsidRPr="0001364B">
        <w:rPr>
          <w:sz w:val="24"/>
          <w:szCs w:val="24"/>
        </w:rPr>
        <w:t xml:space="preserve">. </w:t>
      </w:r>
      <w:r w:rsidR="00553DD7" w:rsidRPr="0001364B">
        <w:rPr>
          <w:sz w:val="24"/>
          <w:szCs w:val="24"/>
        </w:rPr>
        <w:t xml:space="preserve">This instruction </w:t>
      </w:r>
      <w:r w:rsidR="000347F3">
        <w:rPr>
          <w:sz w:val="24"/>
          <w:szCs w:val="24"/>
        </w:rPr>
        <w:t>should</w:t>
      </w:r>
      <w:r w:rsidR="00553DD7" w:rsidRPr="0001364B">
        <w:rPr>
          <w:sz w:val="24"/>
          <w:szCs w:val="24"/>
        </w:rPr>
        <w:t xml:space="preserve"> be modified if the will at issue purports to be a will executed, or revoked, in compliance with the Colorado Uniform Electronic Wills Act</w:t>
      </w:r>
      <w:r>
        <w:rPr>
          <w:sz w:val="24"/>
          <w:szCs w:val="24"/>
        </w:rPr>
        <w:t>,</w:t>
      </w:r>
      <w:r w:rsidR="00553DD7" w:rsidRPr="0001364B">
        <w:rPr>
          <w:sz w:val="24"/>
          <w:szCs w:val="24"/>
        </w:rPr>
        <w:t xml:space="preserve"> §§ 15-11-1301</w:t>
      </w:r>
      <w:r>
        <w:rPr>
          <w:sz w:val="24"/>
          <w:szCs w:val="24"/>
        </w:rPr>
        <w:t xml:space="preserve"> to </w:t>
      </w:r>
      <w:r w:rsidR="00553DD7" w:rsidRPr="0001364B">
        <w:rPr>
          <w:sz w:val="24"/>
          <w:szCs w:val="24"/>
        </w:rPr>
        <w:t>-11</w:t>
      </w:r>
      <w:r>
        <w:rPr>
          <w:sz w:val="24"/>
          <w:szCs w:val="24"/>
        </w:rPr>
        <w:t>, C.R.S.,</w:t>
      </w:r>
      <w:r w:rsidR="00553DD7" w:rsidRPr="0001364B">
        <w:rPr>
          <w:sz w:val="24"/>
          <w:szCs w:val="24"/>
        </w:rPr>
        <w:t xml:space="preserve"> or a will executed in compliance with C.R.P.P. 92</w:t>
      </w:r>
      <w:r w:rsidR="00DA72A0" w:rsidRPr="0001364B">
        <w:rPr>
          <w:sz w:val="24"/>
          <w:szCs w:val="24"/>
        </w:rPr>
        <w:t>.</w:t>
      </w:r>
    </w:p>
    <w:p w14:paraId="65A85283" w14:textId="77777777" w:rsidR="00081B09" w:rsidRPr="0054263B" w:rsidRDefault="00081B09" w:rsidP="00081B09">
      <w:pPr>
        <w:keepNext/>
        <w:spacing w:after="240"/>
        <w:jc w:val="center"/>
        <w:rPr>
          <w:rFonts w:eastAsia="Times New Roman"/>
          <w:b/>
          <w:sz w:val="24"/>
          <w:szCs w:val="24"/>
        </w:rPr>
      </w:pPr>
      <w:r>
        <w:rPr>
          <w:rFonts w:eastAsia="Times New Roman"/>
          <w:b/>
          <w:sz w:val="24"/>
          <w:szCs w:val="24"/>
        </w:rPr>
        <w:t>Source and Authority</w:t>
      </w:r>
    </w:p>
    <w:p w14:paraId="05726A5F" w14:textId="03B30E84" w:rsidR="00081B09" w:rsidRPr="00081B09" w:rsidRDefault="00081B09" w:rsidP="00081B09">
      <w:pPr>
        <w:spacing w:after="240"/>
        <w:ind w:firstLine="720"/>
        <w:rPr>
          <w:rFonts w:eastAsia="Times New Roman"/>
          <w:sz w:val="24"/>
          <w:szCs w:val="24"/>
        </w:rPr>
      </w:pPr>
      <w:r w:rsidRPr="00081B09">
        <w:rPr>
          <w:rFonts w:eastAsia="Times New Roman"/>
          <w:sz w:val="24"/>
          <w:szCs w:val="24"/>
        </w:rPr>
        <w:t>1. The two numbered paragraphs of this instruction are supported by section 15-11-502(2)</w:t>
      </w:r>
      <w:r w:rsidR="00B30F3A">
        <w:rPr>
          <w:rFonts w:eastAsia="Times New Roman"/>
          <w:sz w:val="24"/>
          <w:szCs w:val="24"/>
        </w:rPr>
        <w:t>, C.R.S</w:t>
      </w:r>
      <w:r w:rsidRPr="00081B09">
        <w:rPr>
          <w:rFonts w:eastAsia="Times New Roman"/>
          <w:sz w:val="24"/>
          <w:szCs w:val="24"/>
        </w:rPr>
        <w:t>.</w:t>
      </w:r>
    </w:p>
    <w:p w14:paraId="5DE59049" w14:textId="6E7D4249" w:rsidR="00FA4F9E" w:rsidRDefault="00081B09" w:rsidP="00081B09">
      <w:pPr>
        <w:spacing w:after="240"/>
        <w:ind w:firstLine="720"/>
        <w:rPr>
          <w:rFonts w:eastAsia="Times New Roman"/>
          <w:sz w:val="24"/>
          <w:szCs w:val="24"/>
        </w:rPr>
      </w:pPr>
      <w:r w:rsidRPr="00081B09">
        <w:rPr>
          <w:rFonts w:eastAsia="Times New Roman"/>
          <w:sz w:val="24"/>
          <w:szCs w:val="24"/>
        </w:rPr>
        <w:t xml:space="preserve">2. This instruction is also </w:t>
      </w:r>
      <w:r w:rsidR="008A5133">
        <w:rPr>
          <w:rFonts w:eastAsia="Times New Roman"/>
          <w:sz w:val="24"/>
          <w:szCs w:val="24"/>
        </w:rPr>
        <w:t>supported by</w:t>
      </w:r>
      <w:r w:rsidRPr="00081B09">
        <w:rPr>
          <w:rFonts w:eastAsia="Times New Roman"/>
          <w:sz w:val="24"/>
          <w:szCs w:val="24"/>
        </w:rPr>
        <w:t xml:space="preserve"> section 15-12-407, </w:t>
      </w:r>
      <w:r w:rsidR="00B30F3A">
        <w:rPr>
          <w:rFonts w:eastAsia="Times New Roman"/>
          <w:sz w:val="24"/>
          <w:szCs w:val="24"/>
        </w:rPr>
        <w:t xml:space="preserve">C.R.S., </w:t>
      </w:r>
      <w:r w:rsidRPr="00081B09">
        <w:rPr>
          <w:rFonts w:eastAsia="Times New Roman"/>
          <w:sz w:val="24"/>
          <w:szCs w:val="24"/>
        </w:rPr>
        <w:t>which provides that “[p]roponents of a will have the burden of establishing prima facie proof of due execution in all cases. . . .”</w:t>
      </w:r>
    </w:p>
    <w:p w14:paraId="11677EE1" w14:textId="358362DC" w:rsidR="00081B09" w:rsidRDefault="00FA4F9E" w:rsidP="00081B09">
      <w:pPr>
        <w:spacing w:after="240"/>
        <w:ind w:firstLine="720"/>
        <w:rPr>
          <w:rFonts w:eastAsia="Times New Roman"/>
          <w:sz w:val="24"/>
          <w:szCs w:val="24"/>
        </w:rPr>
      </w:pPr>
      <w:r>
        <w:rPr>
          <w:rFonts w:eastAsia="Times New Roman"/>
          <w:sz w:val="24"/>
          <w:szCs w:val="24"/>
        </w:rPr>
        <w:t>3. T</w:t>
      </w:r>
      <w:r w:rsidR="00081B09" w:rsidRPr="00081B09">
        <w:rPr>
          <w:rFonts w:eastAsia="Times New Roman"/>
          <w:sz w:val="24"/>
          <w:szCs w:val="24"/>
        </w:rPr>
        <w:t xml:space="preserve">he proponent’s burden of proof </w:t>
      </w:r>
      <w:r>
        <w:rPr>
          <w:rFonts w:eastAsia="Times New Roman"/>
          <w:sz w:val="24"/>
          <w:szCs w:val="24"/>
        </w:rPr>
        <w:t>for</w:t>
      </w:r>
      <w:r w:rsidR="00081B09" w:rsidRPr="00081B09">
        <w:rPr>
          <w:rFonts w:eastAsia="Times New Roman"/>
          <w:sz w:val="24"/>
          <w:szCs w:val="24"/>
        </w:rPr>
        <w:t xml:space="preserve"> numbered paragraphs 1 and 2 is by a preponderance of the evidence.</w:t>
      </w:r>
      <w:r>
        <w:rPr>
          <w:rFonts w:eastAsia="Times New Roman"/>
          <w:sz w:val="24"/>
          <w:szCs w:val="24"/>
        </w:rPr>
        <w:t xml:space="preserve"> </w:t>
      </w:r>
      <w:r w:rsidRPr="00FA4F9E">
        <w:rPr>
          <w:rFonts w:eastAsia="Times New Roman"/>
          <w:i/>
          <w:iCs/>
          <w:sz w:val="24"/>
          <w:szCs w:val="24"/>
        </w:rPr>
        <w:t>See</w:t>
      </w:r>
      <w:r>
        <w:rPr>
          <w:rFonts w:eastAsia="Times New Roman"/>
          <w:sz w:val="24"/>
          <w:szCs w:val="24"/>
        </w:rPr>
        <w:t xml:space="preserve"> §</w:t>
      </w:r>
      <w:r w:rsidRPr="00081B09">
        <w:rPr>
          <w:rFonts w:eastAsia="Times New Roman"/>
          <w:sz w:val="24"/>
          <w:szCs w:val="24"/>
        </w:rPr>
        <w:t xml:space="preserve"> 13-25-127(1), C.R.S.</w:t>
      </w:r>
    </w:p>
    <w:p w14:paraId="55D059CB" w14:textId="2934F734" w:rsidR="000C4F59" w:rsidRPr="00081B09" w:rsidRDefault="00A46818" w:rsidP="000C4F59">
      <w:pPr>
        <w:spacing w:after="240"/>
        <w:ind w:firstLine="720"/>
        <w:rPr>
          <w:rFonts w:eastAsia="Times New Roman"/>
          <w:sz w:val="24"/>
          <w:szCs w:val="24"/>
        </w:rPr>
      </w:pPr>
      <w:r>
        <w:rPr>
          <w:rFonts w:eastAsia="Times New Roman"/>
          <w:sz w:val="24"/>
          <w:szCs w:val="24"/>
        </w:rPr>
        <w:lastRenderedPageBreak/>
        <w:t>4</w:t>
      </w:r>
      <w:r w:rsidR="000C4F59" w:rsidRPr="00081B09">
        <w:rPr>
          <w:rFonts w:eastAsia="Times New Roman"/>
          <w:sz w:val="24"/>
          <w:szCs w:val="24"/>
        </w:rPr>
        <w:t>. There need be no witnesses to holographic wills. § 15-11-502(2)</w:t>
      </w:r>
      <w:r w:rsidR="000C4F59">
        <w:rPr>
          <w:rFonts w:eastAsia="Times New Roman"/>
          <w:sz w:val="24"/>
          <w:szCs w:val="24"/>
        </w:rPr>
        <w:t>, C.R.S</w:t>
      </w:r>
      <w:r w:rsidR="000C4F59" w:rsidRPr="00081B09">
        <w:rPr>
          <w:rFonts w:eastAsia="Times New Roman"/>
          <w:sz w:val="24"/>
          <w:szCs w:val="24"/>
        </w:rPr>
        <w:t>.</w:t>
      </w:r>
    </w:p>
    <w:p w14:paraId="3511A1DB" w14:textId="09CFBFBC" w:rsidR="000C4F59" w:rsidRPr="00081B09" w:rsidRDefault="00A46818" w:rsidP="000C4F59">
      <w:pPr>
        <w:spacing w:after="240"/>
        <w:ind w:firstLine="720"/>
        <w:rPr>
          <w:rFonts w:eastAsia="Times New Roman"/>
          <w:sz w:val="24"/>
          <w:szCs w:val="24"/>
        </w:rPr>
      </w:pPr>
      <w:r>
        <w:rPr>
          <w:rFonts w:eastAsia="Times New Roman"/>
          <w:sz w:val="24"/>
          <w:szCs w:val="24"/>
        </w:rPr>
        <w:t>5</w:t>
      </w:r>
      <w:r w:rsidR="000C4F59" w:rsidRPr="00081B09">
        <w:rPr>
          <w:rFonts w:eastAsia="Times New Roman"/>
          <w:sz w:val="24"/>
          <w:szCs w:val="24"/>
        </w:rPr>
        <w:t xml:space="preserve">. A holographic will may be valid even though immaterial parts such as date or introductory wording are printed or stamped. The fact that immaterial portions of a holographic will (for example, date of execution) may be illegible or difficult to read does not justify denying the admission of an otherwise admissible holographic will to probate. Moreover, as to material portions which may be difficult to read, “it is the court’s duty to ascertain and give effect to the testator’s intent.” </w:t>
      </w:r>
      <w:r w:rsidR="000C4F59" w:rsidRPr="00081B09">
        <w:rPr>
          <w:rFonts w:eastAsia="Times New Roman"/>
          <w:b/>
          <w:sz w:val="24"/>
          <w:szCs w:val="24"/>
        </w:rPr>
        <w:t>Nunez v. Jersin</w:t>
      </w:r>
      <w:r w:rsidR="000C4F59" w:rsidRPr="00081B09">
        <w:rPr>
          <w:rFonts w:eastAsia="Times New Roman"/>
          <w:sz w:val="24"/>
          <w:szCs w:val="24"/>
        </w:rPr>
        <w:t>, 635 P.2d 231, 233 (Colo. App. 1981).</w:t>
      </w:r>
    </w:p>
    <w:p w14:paraId="007B11A0" w14:textId="44CDA5C5" w:rsidR="000C4F59" w:rsidRPr="00081B09" w:rsidRDefault="00A46818" w:rsidP="000C4F59">
      <w:pPr>
        <w:spacing w:after="240"/>
        <w:ind w:firstLine="720"/>
        <w:rPr>
          <w:rFonts w:eastAsia="Times New Roman"/>
          <w:sz w:val="24"/>
          <w:szCs w:val="24"/>
        </w:rPr>
      </w:pPr>
      <w:r>
        <w:rPr>
          <w:rFonts w:eastAsia="Times New Roman"/>
          <w:sz w:val="24"/>
          <w:szCs w:val="24"/>
        </w:rPr>
        <w:t>6</w:t>
      </w:r>
      <w:r w:rsidR="000C4F59" w:rsidRPr="00081B09">
        <w:rPr>
          <w:rFonts w:eastAsia="Times New Roman"/>
          <w:sz w:val="24"/>
          <w:szCs w:val="24"/>
        </w:rPr>
        <w:t xml:space="preserve">. For a writing to constitute a holographic will, the “instrument must have been executed . . . with testamentary intent, [that is, t]he writing, together with such extrinsic evidence as may be admissible, must establish that the decedent intended the writing itself to make a testamentary disposition of decedent’s property.” </w:t>
      </w:r>
      <w:r w:rsidR="000C4F59" w:rsidRPr="00081B09">
        <w:rPr>
          <w:rFonts w:eastAsia="Times New Roman"/>
          <w:b/>
          <w:sz w:val="24"/>
          <w:szCs w:val="24"/>
        </w:rPr>
        <w:t>In re Estate of Olschansky</w:t>
      </w:r>
      <w:r w:rsidR="000C4F59" w:rsidRPr="00081B09">
        <w:rPr>
          <w:rFonts w:eastAsia="Times New Roman"/>
          <w:sz w:val="24"/>
          <w:szCs w:val="24"/>
        </w:rPr>
        <w:t>, 735 P.2d 927, 929 (Colo. App. 1987).</w:t>
      </w:r>
    </w:p>
    <w:p w14:paraId="0C5FCA0C" w14:textId="2D56B942" w:rsidR="000C4F59" w:rsidRPr="00081B09" w:rsidRDefault="00A46818" w:rsidP="000C4F59">
      <w:pPr>
        <w:spacing w:after="240"/>
        <w:ind w:firstLine="720"/>
        <w:rPr>
          <w:rFonts w:eastAsia="Times New Roman"/>
          <w:sz w:val="24"/>
          <w:szCs w:val="24"/>
        </w:rPr>
      </w:pPr>
      <w:r>
        <w:rPr>
          <w:rFonts w:eastAsia="Times New Roman"/>
          <w:sz w:val="24"/>
          <w:szCs w:val="24"/>
        </w:rPr>
        <w:t>7</w:t>
      </w:r>
      <w:r w:rsidR="000C4F59" w:rsidRPr="00081B09">
        <w:rPr>
          <w:rFonts w:eastAsia="Times New Roman"/>
          <w:sz w:val="24"/>
          <w:szCs w:val="24"/>
        </w:rPr>
        <w:t xml:space="preserve">. “[T]he intent of the testator and not the location of his [signed] name is the crucial factor in determining whether a holographic will has been signed within the meaning of” the statute. </w:t>
      </w:r>
      <w:r w:rsidR="000C4F59" w:rsidRPr="00081B09">
        <w:rPr>
          <w:rFonts w:eastAsia="Times New Roman"/>
          <w:b/>
          <w:sz w:val="24"/>
          <w:szCs w:val="24"/>
        </w:rPr>
        <w:t>In re Estate of Fegley</w:t>
      </w:r>
      <w:r w:rsidR="000C4F59" w:rsidRPr="00081B09">
        <w:rPr>
          <w:rFonts w:eastAsia="Times New Roman"/>
          <w:sz w:val="24"/>
          <w:szCs w:val="24"/>
        </w:rPr>
        <w:t>,</w:t>
      </w:r>
      <w:r w:rsidR="000C4F59" w:rsidRPr="00081B09">
        <w:rPr>
          <w:rFonts w:eastAsia="Times New Roman"/>
          <w:b/>
          <w:sz w:val="24"/>
          <w:szCs w:val="24"/>
        </w:rPr>
        <w:t xml:space="preserve"> </w:t>
      </w:r>
      <w:r w:rsidR="000C4F59" w:rsidRPr="00081B09">
        <w:rPr>
          <w:rFonts w:eastAsia="Times New Roman"/>
          <w:sz w:val="24"/>
          <w:szCs w:val="24"/>
        </w:rPr>
        <w:t>42 Colo. App. 47, 48, 589 P.2d 80, 81 (1978).</w:t>
      </w:r>
    </w:p>
    <w:p w14:paraId="51D6D433" w14:textId="248C694E" w:rsidR="000C4F59" w:rsidRPr="00081B09" w:rsidRDefault="00A46818" w:rsidP="000C4F59">
      <w:pPr>
        <w:spacing w:after="240"/>
        <w:ind w:firstLine="720"/>
        <w:rPr>
          <w:rFonts w:eastAsia="Times New Roman"/>
          <w:sz w:val="24"/>
          <w:szCs w:val="24"/>
        </w:rPr>
      </w:pPr>
      <w:r>
        <w:rPr>
          <w:rFonts w:eastAsia="Times New Roman"/>
          <w:sz w:val="24"/>
          <w:szCs w:val="24"/>
        </w:rPr>
        <w:t>8</w:t>
      </w:r>
      <w:r w:rsidR="000C4F59" w:rsidRPr="00081B09">
        <w:rPr>
          <w:rFonts w:eastAsia="Times New Roman"/>
          <w:sz w:val="24"/>
          <w:szCs w:val="24"/>
        </w:rPr>
        <w:t>. The “[i]ntent that [a] document constitute the testator’s will can be established by extrinsic evidence, including, for holographic wills, portions of the document that are not in the testator’s handwriting.” § 15-11-502(3)</w:t>
      </w:r>
      <w:r w:rsidR="000C4F59">
        <w:rPr>
          <w:rFonts w:eastAsia="Times New Roman"/>
          <w:sz w:val="24"/>
          <w:szCs w:val="24"/>
        </w:rPr>
        <w:t>, C.R.S</w:t>
      </w:r>
      <w:r w:rsidR="000C4F59" w:rsidRPr="00081B09">
        <w:rPr>
          <w:rFonts w:eastAsia="Times New Roman"/>
          <w:sz w:val="24"/>
          <w:szCs w:val="24"/>
        </w:rPr>
        <w:t>.</w:t>
      </w:r>
    </w:p>
    <w:p w14:paraId="39978374" w14:textId="7D4208B3" w:rsidR="000C4F59" w:rsidRPr="00081B09" w:rsidRDefault="00A46818" w:rsidP="000C4F59">
      <w:pPr>
        <w:spacing w:after="240"/>
        <w:ind w:firstLine="720"/>
        <w:rPr>
          <w:rFonts w:eastAsia="Times New Roman"/>
          <w:sz w:val="24"/>
          <w:szCs w:val="24"/>
        </w:rPr>
      </w:pPr>
      <w:r>
        <w:rPr>
          <w:rFonts w:eastAsia="Times New Roman"/>
          <w:sz w:val="24"/>
          <w:szCs w:val="24"/>
        </w:rPr>
        <w:t>9</w:t>
      </w:r>
      <w:r w:rsidR="000C4F59" w:rsidRPr="00081B09">
        <w:rPr>
          <w:rFonts w:eastAsia="Times New Roman"/>
          <w:sz w:val="24"/>
          <w:szCs w:val="24"/>
        </w:rPr>
        <w:t xml:space="preserve">. Under a previous version of the Probate Code, “the material provisions” of the offered will must have been in the handwriting of the testator. </w:t>
      </w:r>
      <w:r w:rsidR="000C4F59" w:rsidRPr="00081B09">
        <w:rPr>
          <w:rFonts w:eastAsia="Times New Roman"/>
          <w:i/>
          <w:sz w:val="24"/>
          <w:szCs w:val="24"/>
        </w:rPr>
        <w:t>See</w:t>
      </w:r>
      <w:r w:rsidR="000C4F59" w:rsidRPr="00081B09">
        <w:rPr>
          <w:rFonts w:eastAsia="Times New Roman"/>
          <w:sz w:val="24"/>
          <w:szCs w:val="24"/>
        </w:rPr>
        <w:t xml:space="preserve"> Ch. 451, sec. 1, § 153-2-503, 1973 Colo. Sess. Laws 1555-56. Under the present version, § 15-11-502(2), the word “provisions” was changed to “portions” and the “the” before “provisions” was deleted. </w:t>
      </w:r>
      <w:r w:rsidR="000C4F59" w:rsidRPr="00081B09">
        <w:rPr>
          <w:rFonts w:eastAsia="Times New Roman"/>
          <w:i/>
          <w:sz w:val="24"/>
          <w:szCs w:val="24"/>
        </w:rPr>
        <w:t>See</w:t>
      </w:r>
      <w:r w:rsidR="000C4F59" w:rsidRPr="00081B09">
        <w:rPr>
          <w:rFonts w:eastAsia="Times New Roman"/>
          <w:sz w:val="24"/>
          <w:szCs w:val="24"/>
        </w:rPr>
        <w:t xml:space="preserve"> Ch. 178, sec. 3, § 15-11-502(2), 1994 Colo. Sess. Laws 997. The relevant language now, therefore, is “and material portions of the document are in the testator’s handwriting.” § 15-11-502(2). The omission of the “the” before “portions” suggests that a holographic will is sufficient as long as some material portions are in the handwriting of the testator. The use of the word “the” before “provisions” in the original language suggested that all material “provisions” had to be in the testator’s handwriting. Also, the change in language from “provisions” to “portions” suggests that some change in meaning, however slight, was intended. However, none of the comments prepared by the Joint Editorial Board of the ABA and the National Conference of Commissioners on Uniform State Laws for the Uniform Probate Code indicate what changes in legal effect, if any, these changes in language were intended to make. </w:t>
      </w:r>
      <w:r w:rsidR="000C4F59" w:rsidRPr="00081B09">
        <w:rPr>
          <w:rFonts w:eastAsia="Times New Roman"/>
          <w:i/>
          <w:sz w:val="24"/>
          <w:szCs w:val="24"/>
        </w:rPr>
        <w:t>See</w:t>
      </w:r>
      <w:r w:rsidR="000C4F59" w:rsidRPr="00081B09">
        <w:rPr>
          <w:rFonts w:eastAsia="Times New Roman"/>
          <w:sz w:val="24"/>
          <w:szCs w:val="24"/>
        </w:rPr>
        <w:t xml:space="preserve"> </w:t>
      </w:r>
      <w:r w:rsidR="000C4F59" w:rsidRPr="00081B09">
        <w:rPr>
          <w:rFonts w:eastAsia="Times New Roman"/>
          <w:smallCaps/>
          <w:sz w:val="24"/>
          <w:szCs w:val="24"/>
        </w:rPr>
        <w:t>Unif. Probate Code</w:t>
      </w:r>
      <w:r w:rsidR="000C4F59" w:rsidRPr="00081B09">
        <w:rPr>
          <w:rFonts w:eastAsia="Times New Roman"/>
          <w:sz w:val="24"/>
          <w:szCs w:val="24"/>
        </w:rPr>
        <w:t xml:space="preserve"> § 2-502(b) cmt. (amended 2010).</w:t>
      </w:r>
    </w:p>
    <w:p w14:paraId="4A7B3256" w14:textId="77777777" w:rsidR="00907A8A" w:rsidRDefault="00907A8A">
      <w:pPr>
        <w:rPr>
          <w:rFonts w:eastAsia="Times New Roman"/>
          <w:sz w:val="24"/>
          <w:szCs w:val="24"/>
        </w:rPr>
      </w:pPr>
      <w:r>
        <w:rPr>
          <w:rFonts w:eastAsia="Times New Roman"/>
          <w:sz w:val="24"/>
          <w:szCs w:val="24"/>
        </w:rPr>
        <w:br w:type="page"/>
      </w:r>
    </w:p>
    <w:p w14:paraId="7346FAB6" w14:textId="77777777" w:rsidR="00907A8A" w:rsidRPr="009E3DA4" w:rsidRDefault="00907A8A" w:rsidP="00907A8A">
      <w:pPr>
        <w:spacing w:after="240"/>
        <w:ind w:left="720" w:hanging="720"/>
        <w:rPr>
          <w:rFonts w:eastAsia="Times New Roman"/>
          <w:b/>
          <w:sz w:val="24"/>
          <w:szCs w:val="24"/>
        </w:rPr>
      </w:pPr>
      <w:bookmarkStart w:id="13" w:name="a34_07"/>
      <w:bookmarkEnd w:id="13"/>
      <w:r w:rsidRPr="00907A8A">
        <w:rPr>
          <w:rFonts w:eastAsia="Times New Roman"/>
          <w:b/>
          <w:sz w:val="24"/>
          <w:szCs w:val="24"/>
        </w:rPr>
        <w:lastRenderedPageBreak/>
        <w:t xml:space="preserve">34:7 </w:t>
      </w:r>
      <w:r w:rsidRPr="00907A8A">
        <w:rPr>
          <w:rFonts w:eastAsia="Times New Roman"/>
          <w:b/>
          <w:sz w:val="24"/>
          <w:szCs w:val="24"/>
        </w:rPr>
        <w:tab/>
      </w:r>
      <w:r w:rsidRPr="00907A8A">
        <w:rPr>
          <w:rFonts w:ascii="Times New Roman Bold" w:eastAsia="Times New Roman" w:hAnsi="Times New Roman Bold"/>
          <w:b/>
          <w:caps/>
          <w:sz w:val="24"/>
          <w:szCs w:val="24"/>
        </w:rPr>
        <w:t>Testamentary Intent — Defined</w:t>
      </w:r>
    </w:p>
    <w:p w14:paraId="050D006C" w14:textId="7885D035" w:rsidR="00907A8A" w:rsidRPr="00907A8A" w:rsidRDefault="00907A8A" w:rsidP="00907A8A">
      <w:pPr>
        <w:spacing w:after="240"/>
        <w:ind w:firstLine="720"/>
        <w:rPr>
          <w:rFonts w:eastAsia="Times New Roman"/>
          <w:b/>
          <w:sz w:val="24"/>
          <w:szCs w:val="24"/>
        </w:rPr>
      </w:pPr>
      <w:bookmarkStart w:id="14" w:name="_Hlk179365783"/>
      <w:r w:rsidRPr="00907A8A">
        <w:rPr>
          <w:rFonts w:eastAsia="Times New Roman"/>
          <w:b/>
          <w:sz w:val="24"/>
          <w:szCs w:val="24"/>
        </w:rPr>
        <w:t xml:space="preserve">Testamentary intent means </w:t>
      </w:r>
      <w:r w:rsidR="000347F3">
        <w:rPr>
          <w:rFonts w:eastAsia="Times New Roman"/>
          <w:b/>
          <w:sz w:val="24"/>
          <w:szCs w:val="24"/>
        </w:rPr>
        <w:t xml:space="preserve">a person’s </w:t>
      </w:r>
      <w:r w:rsidRPr="00907A8A">
        <w:rPr>
          <w:rFonts w:eastAsia="Times New Roman"/>
          <w:b/>
          <w:sz w:val="24"/>
          <w:szCs w:val="24"/>
        </w:rPr>
        <w:t>intent to direct how some or all of</w:t>
      </w:r>
      <w:r w:rsidR="000347F3">
        <w:rPr>
          <w:rFonts w:eastAsia="Times New Roman"/>
          <w:b/>
          <w:sz w:val="24"/>
          <w:szCs w:val="24"/>
        </w:rPr>
        <w:t xml:space="preserve"> that person’s</w:t>
      </w:r>
      <w:r w:rsidRPr="00907A8A">
        <w:rPr>
          <w:rFonts w:eastAsia="Times New Roman"/>
          <w:b/>
          <w:sz w:val="24"/>
          <w:szCs w:val="24"/>
        </w:rPr>
        <w:t xml:space="preserve"> property is to be disposed of after </w:t>
      </w:r>
      <w:r w:rsidR="000347F3">
        <w:rPr>
          <w:rFonts w:eastAsia="Times New Roman"/>
          <w:b/>
          <w:sz w:val="24"/>
          <w:szCs w:val="24"/>
        </w:rPr>
        <w:t xml:space="preserve">that person’s </w:t>
      </w:r>
      <w:r w:rsidRPr="00907A8A">
        <w:rPr>
          <w:rFonts w:eastAsia="Times New Roman"/>
          <w:b/>
          <w:sz w:val="24"/>
          <w:szCs w:val="24"/>
        </w:rPr>
        <w:t xml:space="preserve">death. </w:t>
      </w:r>
      <w:r w:rsidR="00F108C7">
        <w:rPr>
          <w:rFonts w:eastAsia="Times New Roman"/>
          <w:b/>
          <w:sz w:val="24"/>
          <w:szCs w:val="24"/>
        </w:rPr>
        <w:t xml:space="preserve">That </w:t>
      </w:r>
      <w:r w:rsidRPr="00907A8A">
        <w:rPr>
          <w:rFonts w:eastAsia="Times New Roman"/>
          <w:b/>
          <w:sz w:val="24"/>
          <w:szCs w:val="24"/>
        </w:rPr>
        <w:t xml:space="preserve">person </w:t>
      </w:r>
      <w:r w:rsidR="00F108C7">
        <w:rPr>
          <w:rFonts w:eastAsia="Times New Roman"/>
          <w:b/>
          <w:sz w:val="24"/>
          <w:szCs w:val="24"/>
        </w:rPr>
        <w:t xml:space="preserve">is not required to </w:t>
      </w:r>
      <w:r w:rsidRPr="00907A8A">
        <w:rPr>
          <w:rFonts w:eastAsia="Times New Roman"/>
          <w:b/>
          <w:sz w:val="24"/>
          <w:szCs w:val="24"/>
        </w:rPr>
        <w:t>express that intent by stating that a writing is</w:t>
      </w:r>
      <w:r w:rsidR="00F108C7">
        <w:rPr>
          <w:rFonts w:eastAsia="Times New Roman"/>
          <w:b/>
          <w:sz w:val="24"/>
          <w:szCs w:val="24"/>
        </w:rPr>
        <w:t xml:space="preserve"> the person’s</w:t>
      </w:r>
      <w:r w:rsidRPr="00907A8A">
        <w:rPr>
          <w:rFonts w:eastAsia="Times New Roman"/>
          <w:b/>
          <w:sz w:val="24"/>
          <w:szCs w:val="24"/>
        </w:rPr>
        <w:t xml:space="preserve"> </w:t>
      </w:r>
      <w:r w:rsidR="00895739">
        <w:rPr>
          <w:rFonts w:eastAsia="Times New Roman"/>
          <w:b/>
          <w:sz w:val="24"/>
          <w:szCs w:val="24"/>
        </w:rPr>
        <w:t>W</w:t>
      </w:r>
      <w:r w:rsidRPr="00907A8A">
        <w:rPr>
          <w:rFonts w:eastAsia="Times New Roman"/>
          <w:b/>
          <w:sz w:val="24"/>
          <w:szCs w:val="24"/>
        </w:rPr>
        <w:t>ill. The intent may b</w:t>
      </w:r>
      <w:r>
        <w:rPr>
          <w:rFonts w:eastAsia="Times New Roman"/>
          <w:b/>
          <w:sz w:val="24"/>
          <w:szCs w:val="24"/>
        </w:rPr>
        <w:t>e shown by other words or acts.</w:t>
      </w:r>
    </w:p>
    <w:bookmarkEnd w:id="14"/>
    <w:p w14:paraId="5ED5DCB7" w14:textId="77777777" w:rsidR="00907A8A" w:rsidRDefault="00907A8A" w:rsidP="00907A8A">
      <w:pPr>
        <w:jc w:val="center"/>
        <w:rPr>
          <w:rFonts w:eastAsia="Times New Roman"/>
          <w:sz w:val="24"/>
          <w:szCs w:val="24"/>
        </w:rPr>
      </w:pPr>
    </w:p>
    <w:p w14:paraId="4D813C22" w14:textId="77777777" w:rsidR="00907A8A" w:rsidRPr="0054263B" w:rsidRDefault="00907A8A" w:rsidP="00907A8A">
      <w:pPr>
        <w:keepNext/>
        <w:spacing w:after="240"/>
        <w:jc w:val="center"/>
        <w:rPr>
          <w:rFonts w:eastAsia="Times New Roman"/>
          <w:b/>
          <w:sz w:val="24"/>
          <w:szCs w:val="24"/>
        </w:rPr>
      </w:pPr>
      <w:r w:rsidRPr="0054263B">
        <w:rPr>
          <w:rFonts w:eastAsia="Times New Roman"/>
          <w:b/>
          <w:sz w:val="24"/>
          <w:szCs w:val="24"/>
        </w:rPr>
        <w:t>Notes on Use</w:t>
      </w:r>
    </w:p>
    <w:p w14:paraId="5D69C062" w14:textId="38E06F18" w:rsidR="006906EC" w:rsidRPr="0001364B" w:rsidRDefault="00907A8A" w:rsidP="0001364B">
      <w:pPr>
        <w:spacing w:after="160" w:line="259" w:lineRule="auto"/>
        <w:ind w:firstLine="720"/>
        <w:rPr>
          <w:sz w:val="24"/>
          <w:szCs w:val="24"/>
        </w:rPr>
      </w:pPr>
      <w:r w:rsidRPr="0001364B">
        <w:rPr>
          <w:rFonts w:eastAsia="Times New Roman"/>
          <w:sz w:val="24"/>
          <w:szCs w:val="24"/>
        </w:rPr>
        <w:t xml:space="preserve">1. Because the burden of proving lack of testamentary intent is on the contestant, </w:t>
      </w:r>
      <w:r w:rsidR="00FA4F9E" w:rsidRPr="0001364B">
        <w:rPr>
          <w:rFonts w:eastAsia="Times New Roman"/>
          <w:sz w:val="24"/>
          <w:szCs w:val="24"/>
        </w:rPr>
        <w:t>§</w:t>
      </w:r>
      <w:r w:rsidRPr="0001364B">
        <w:rPr>
          <w:rFonts w:eastAsia="Times New Roman"/>
          <w:sz w:val="24"/>
          <w:szCs w:val="24"/>
        </w:rPr>
        <w:t xml:space="preserve"> 15-12-407, C.R.S., this instruction should only be used with Instruction 34:2, 34:5, or 34:6, when the contestant has raised lack of testamentary intent as an affirmative defense. </w:t>
      </w:r>
      <w:r w:rsidRPr="0001364B">
        <w:rPr>
          <w:rFonts w:eastAsia="Times New Roman"/>
          <w:i/>
          <w:sz w:val="24"/>
          <w:szCs w:val="24"/>
        </w:rPr>
        <w:t xml:space="preserve">See </w:t>
      </w:r>
      <w:r w:rsidRPr="0001364B">
        <w:rPr>
          <w:rFonts w:eastAsia="Times New Roman"/>
          <w:b/>
          <w:sz w:val="24"/>
          <w:szCs w:val="24"/>
        </w:rPr>
        <w:t>In re Estate of Grobman</w:t>
      </w:r>
      <w:r w:rsidRPr="0001364B">
        <w:rPr>
          <w:rFonts w:eastAsia="Times New Roman"/>
          <w:sz w:val="24"/>
          <w:szCs w:val="24"/>
        </w:rPr>
        <w:t>, 635 P.2d 231 (Colo. App. 1981) (burden of proving lack of testamentary intent on the contestant of holographic will)</w:t>
      </w:r>
      <w:r w:rsidR="00714483">
        <w:rPr>
          <w:rFonts w:eastAsia="Times New Roman"/>
          <w:sz w:val="24"/>
          <w:szCs w:val="24"/>
        </w:rPr>
        <w:t>;</w:t>
      </w:r>
      <w:r w:rsidR="006741ED" w:rsidRPr="0001364B">
        <w:rPr>
          <w:rFonts w:eastAsia="Times New Roman"/>
          <w:sz w:val="24"/>
          <w:szCs w:val="24"/>
        </w:rPr>
        <w:t xml:space="preserve"> </w:t>
      </w:r>
      <w:r w:rsidR="00714483" w:rsidRPr="00714483">
        <w:rPr>
          <w:rFonts w:eastAsia="Times New Roman"/>
          <w:i/>
          <w:iCs/>
          <w:sz w:val="24"/>
          <w:szCs w:val="24"/>
        </w:rPr>
        <w:t>s</w:t>
      </w:r>
      <w:r w:rsidR="00CB1B5F" w:rsidRPr="0001364B">
        <w:rPr>
          <w:rFonts w:eastAsia="Times New Roman"/>
          <w:i/>
          <w:iCs/>
          <w:sz w:val="24"/>
          <w:szCs w:val="24"/>
        </w:rPr>
        <w:t>ee also</w:t>
      </w:r>
      <w:r w:rsidR="00CB1B5F" w:rsidRPr="0001364B">
        <w:rPr>
          <w:rFonts w:eastAsia="Times New Roman"/>
          <w:sz w:val="24"/>
          <w:szCs w:val="24"/>
        </w:rPr>
        <w:t xml:space="preserve"> </w:t>
      </w:r>
      <w:r w:rsidR="00714483" w:rsidRPr="0001364B">
        <w:rPr>
          <w:b/>
          <w:bCs/>
          <w:sz w:val="24"/>
          <w:szCs w:val="24"/>
        </w:rPr>
        <w:t>In re Estate of Breeden</w:t>
      </w:r>
      <w:r w:rsidR="00714483" w:rsidRPr="0001364B">
        <w:rPr>
          <w:sz w:val="24"/>
          <w:szCs w:val="24"/>
        </w:rPr>
        <w:t>, 992 P.2d 1167 (Colo. 2000)</w:t>
      </w:r>
      <w:r w:rsidR="00714483">
        <w:rPr>
          <w:sz w:val="24"/>
          <w:szCs w:val="24"/>
        </w:rPr>
        <w:t xml:space="preserve">; </w:t>
      </w:r>
      <w:r w:rsidR="00165B66" w:rsidRPr="0001364B">
        <w:rPr>
          <w:b/>
          <w:bCs/>
          <w:sz w:val="24"/>
          <w:szCs w:val="24"/>
        </w:rPr>
        <w:t>In re Estate of Hope</w:t>
      </w:r>
      <w:r w:rsidR="00165B66" w:rsidRPr="0001364B">
        <w:rPr>
          <w:sz w:val="24"/>
          <w:szCs w:val="24"/>
        </w:rPr>
        <w:t xml:space="preserve">, 223 P.3d 119 (Colo. App. 2007); </w:t>
      </w:r>
      <w:r w:rsidR="00165B66" w:rsidRPr="0001364B">
        <w:rPr>
          <w:b/>
          <w:bCs/>
          <w:sz w:val="24"/>
          <w:szCs w:val="24"/>
        </w:rPr>
        <w:t>In re Estate of Shuler</w:t>
      </w:r>
      <w:r w:rsidR="00165B66" w:rsidRPr="0001364B">
        <w:rPr>
          <w:sz w:val="24"/>
          <w:szCs w:val="24"/>
        </w:rPr>
        <w:t xml:space="preserve">, 981 P.2d 1109 (Colo. App. 1999); </w:t>
      </w:r>
      <w:r w:rsidR="00165B66" w:rsidRPr="0001364B">
        <w:rPr>
          <w:b/>
          <w:bCs/>
          <w:sz w:val="24"/>
          <w:szCs w:val="24"/>
        </w:rPr>
        <w:t>In re Estate of Olschansky</w:t>
      </w:r>
      <w:r w:rsidR="00165B66" w:rsidRPr="0001364B">
        <w:rPr>
          <w:sz w:val="24"/>
          <w:szCs w:val="24"/>
        </w:rPr>
        <w:t>, 735 P.2d 927 (Colo. App. 1987)</w:t>
      </w:r>
      <w:r w:rsidR="005C3257" w:rsidRPr="0001364B">
        <w:rPr>
          <w:sz w:val="24"/>
          <w:szCs w:val="24"/>
        </w:rPr>
        <w:t>.</w:t>
      </w:r>
    </w:p>
    <w:p w14:paraId="25A1C8EF" w14:textId="0BF9DFF1" w:rsidR="00907A8A" w:rsidRPr="00907A8A" w:rsidRDefault="00907A8A" w:rsidP="00907A8A">
      <w:pPr>
        <w:spacing w:after="240"/>
        <w:ind w:firstLine="720"/>
        <w:rPr>
          <w:rFonts w:eastAsia="Times New Roman"/>
          <w:sz w:val="24"/>
          <w:szCs w:val="24"/>
        </w:rPr>
      </w:pPr>
      <w:r w:rsidRPr="0001364B">
        <w:rPr>
          <w:rFonts w:eastAsia="Times New Roman"/>
          <w:sz w:val="24"/>
          <w:szCs w:val="24"/>
        </w:rPr>
        <w:t>2. Modification in the language of this instruction</w:t>
      </w:r>
      <w:r w:rsidRPr="00907A8A">
        <w:rPr>
          <w:rFonts w:eastAsia="Times New Roman"/>
          <w:sz w:val="24"/>
          <w:szCs w:val="24"/>
        </w:rPr>
        <w:t xml:space="preserve"> may be required or advisable in cases involving (1) powers of appointment and other similar interests (2) codicils (3) related testamentary documents or instruments, for example, a separate writing identifying a bequest of tangible property permitted under section 15-11-513, C.R.S. </w:t>
      </w:r>
      <w:r w:rsidRPr="00907A8A">
        <w:rPr>
          <w:rFonts w:eastAsia="Times New Roman"/>
          <w:i/>
          <w:sz w:val="24"/>
          <w:szCs w:val="24"/>
        </w:rPr>
        <w:t>See, e.g.</w:t>
      </w:r>
      <w:r w:rsidRPr="00907A8A">
        <w:rPr>
          <w:rFonts w:eastAsia="Times New Roman"/>
          <w:sz w:val="24"/>
          <w:szCs w:val="24"/>
        </w:rPr>
        <w:t xml:space="preserve">, </w:t>
      </w:r>
      <w:r w:rsidRPr="00907A8A">
        <w:rPr>
          <w:rFonts w:eastAsia="Times New Roman"/>
          <w:b/>
          <w:sz w:val="24"/>
          <w:szCs w:val="24"/>
        </w:rPr>
        <w:t>In re Estate of Harrington</w:t>
      </w:r>
      <w:r w:rsidRPr="00907A8A">
        <w:rPr>
          <w:rFonts w:eastAsia="Times New Roman"/>
          <w:sz w:val="24"/>
          <w:szCs w:val="24"/>
        </w:rPr>
        <w:t>,</w:t>
      </w:r>
      <w:r w:rsidRPr="00907A8A">
        <w:rPr>
          <w:rFonts w:eastAsia="Times New Roman"/>
          <w:b/>
          <w:sz w:val="24"/>
          <w:szCs w:val="24"/>
        </w:rPr>
        <w:t xml:space="preserve"> </w:t>
      </w:r>
      <w:r w:rsidRPr="00907A8A">
        <w:rPr>
          <w:rFonts w:eastAsia="Times New Roman"/>
          <w:sz w:val="24"/>
          <w:szCs w:val="24"/>
        </w:rPr>
        <w:t>850 P.2d 158 (Colo. App. 1993) (although decedent had necessary testamentary intent, she intended that her “writings” operate as tangible personal property memoranda under section 15-11-513, rather than as a codicil to her will).</w:t>
      </w:r>
    </w:p>
    <w:p w14:paraId="4AA651C4" w14:textId="77777777" w:rsidR="00907A8A" w:rsidRPr="0054263B" w:rsidRDefault="00907A8A" w:rsidP="00907A8A">
      <w:pPr>
        <w:keepNext/>
        <w:spacing w:after="240"/>
        <w:jc w:val="center"/>
        <w:rPr>
          <w:rFonts w:eastAsia="Times New Roman"/>
          <w:b/>
          <w:sz w:val="24"/>
          <w:szCs w:val="24"/>
        </w:rPr>
      </w:pPr>
      <w:r>
        <w:rPr>
          <w:rFonts w:eastAsia="Times New Roman"/>
          <w:b/>
          <w:sz w:val="24"/>
          <w:szCs w:val="24"/>
        </w:rPr>
        <w:t>Source and Authority</w:t>
      </w:r>
    </w:p>
    <w:p w14:paraId="699B96FB" w14:textId="77777777" w:rsidR="00907A8A" w:rsidRPr="00907A8A" w:rsidRDefault="00907A8A" w:rsidP="00907A8A">
      <w:pPr>
        <w:spacing w:after="240"/>
        <w:ind w:firstLine="720"/>
        <w:rPr>
          <w:rFonts w:eastAsia="Times New Roman"/>
          <w:sz w:val="24"/>
          <w:szCs w:val="24"/>
        </w:rPr>
      </w:pPr>
      <w:r w:rsidRPr="00907A8A">
        <w:rPr>
          <w:rFonts w:eastAsia="Times New Roman"/>
          <w:sz w:val="24"/>
          <w:szCs w:val="24"/>
        </w:rPr>
        <w:t>1. This instruction is supported by sections 15-12-407, and 15-11-502(3), C.R.S.</w:t>
      </w:r>
    </w:p>
    <w:p w14:paraId="39364D4F" w14:textId="77FBEF5F" w:rsidR="00824DD3" w:rsidRPr="00B83CCD" w:rsidRDefault="00907A8A" w:rsidP="00824DD3">
      <w:pPr>
        <w:pStyle w:val="NormalWeb"/>
        <w:spacing w:before="0" w:beforeAutospacing="0" w:after="0" w:afterAutospacing="0"/>
        <w:ind w:firstLine="720"/>
        <w:textAlignment w:val="baseline"/>
        <w:rPr>
          <w:color w:val="212121"/>
          <w:sz w:val="21"/>
          <w:szCs w:val="21"/>
        </w:rPr>
      </w:pPr>
      <w:r w:rsidRPr="00907A8A">
        <w:t xml:space="preserve">2. It is also </w:t>
      </w:r>
      <w:r w:rsidR="003F7564">
        <w:t>supported by</w:t>
      </w:r>
      <w:r w:rsidRPr="00907A8A">
        <w:t xml:space="preserve"> the following cases, which, though they were decided prior to the statutory change shifting the burden of proving the lack of testamentary intent to the contestant, would appear to be applicable: </w:t>
      </w:r>
      <w:r w:rsidR="00AB051E" w:rsidRPr="001A1479">
        <w:rPr>
          <w:b/>
          <w:bCs/>
        </w:rPr>
        <w:t>Gehm v. Brown</w:t>
      </w:r>
      <w:r w:rsidR="00AB051E" w:rsidRPr="00714483">
        <w:t xml:space="preserve">, </w:t>
      </w:r>
      <w:r w:rsidR="00AB051E">
        <w:t xml:space="preserve">125 Colo. 555, 562, </w:t>
      </w:r>
      <w:r w:rsidR="00AB051E" w:rsidRPr="00714483">
        <w:t>245 P.2d 865</w:t>
      </w:r>
      <w:r w:rsidR="00AB051E">
        <w:t>, 869</w:t>
      </w:r>
      <w:r w:rsidR="00AB051E" w:rsidRPr="00714483">
        <w:t xml:space="preserve"> (1952)</w:t>
      </w:r>
      <w:r w:rsidR="00AB051E">
        <w:t xml:space="preserve"> (“</w:t>
      </w:r>
      <w:r w:rsidR="00AB051E" w:rsidRPr="00AB051E">
        <w:t>the beneficiary must satisfy the conscience of the court that the testator had knowledge of the contents of the will, and voluntarily executed it</w:t>
      </w:r>
      <w:r w:rsidR="00AB051E">
        <w:t xml:space="preserve">”); </w:t>
      </w:r>
      <w:r w:rsidRPr="00907A8A">
        <w:rPr>
          <w:b/>
        </w:rPr>
        <w:t>In re Estate of Maikka</w:t>
      </w:r>
      <w:r w:rsidRPr="00907A8A">
        <w:t xml:space="preserve">, 110 Colo. 433, 134 P.2d 723 (1942) (testator’s clear indication that instrument is the testator’s last will and testament is sufficient, and testator may authorize or ratify another’s request that witnesses act as such); and </w:t>
      </w:r>
      <w:r w:rsidRPr="00907A8A">
        <w:rPr>
          <w:b/>
        </w:rPr>
        <w:t>Aquilini v. Chamblin</w:t>
      </w:r>
      <w:r w:rsidRPr="00907A8A">
        <w:t xml:space="preserve">, 94 Colo. 367, 30 P.2d 325 (1934) (A testator need not use </w:t>
      </w:r>
      <w:r w:rsidR="009616DF">
        <w:t xml:space="preserve">the </w:t>
      </w:r>
      <w:r w:rsidRPr="00907A8A">
        <w:t xml:space="preserve">exact </w:t>
      </w:r>
      <w:r w:rsidR="009616DF">
        <w:t xml:space="preserve">statutory </w:t>
      </w:r>
      <w:r w:rsidRPr="00907A8A">
        <w:t xml:space="preserve">words in </w:t>
      </w:r>
      <w:r w:rsidRPr="00714483">
        <w:t>publishing a will; words, signs, motions, or conduct clearly indicating the instrument is</w:t>
      </w:r>
      <w:r w:rsidR="009616DF" w:rsidRPr="00714483">
        <w:t xml:space="preserve"> testator’s</w:t>
      </w:r>
      <w:r w:rsidRPr="00714483">
        <w:t xml:space="preserve"> last will and testament are sufficient</w:t>
      </w:r>
      <w:r w:rsidR="009616DF" w:rsidRPr="00714483">
        <w:t>.</w:t>
      </w:r>
      <w:r w:rsidRPr="00714483">
        <w:t>).</w:t>
      </w:r>
      <w:r w:rsidR="007D164A" w:rsidRPr="00714483">
        <w:t xml:space="preserve"> </w:t>
      </w:r>
      <w:r w:rsidR="007D164A" w:rsidRPr="00714483">
        <w:rPr>
          <w:i/>
          <w:iCs/>
        </w:rPr>
        <w:t xml:space="preserve">See also </w:t>
      </w:r>
      <w:r w:rsidR="007D164A" w:rsidRPr="00714483">
        <w:rPr>
          <w:b/>
          <w:bCs/>
        </w:rPr>
        <w:t>In re Piercen’s Estate</w:t>
      </w:r>
      <w:r w:rsidR="007D164A" w:rsidRPr="00714483">
        <w:t xml:space="preserve">, </w:t>
      </w:r>
      <w:r w:rsidR="00714483">
        <w:t xml:space="preserve">118 Colo. 264, </w:t>
      </w:r>
      <w:r w:rsidR="007D164A" w:rsidRPr="00714483">
        <w:t xml:space="preserve">195 P.2d 725 (1948); </w:t>
      </w:r>
      <w:r w:rsidR="00874AC6" w:rsidRPr="00714483">
        <w:rPr>
          <w:b/>
          <w:bCs/>
        </w:rPr>
        <w:t>Scott v. Leonard</w:t>
      </w:r>
      <w:r w:rsidR="00874AC6" w:rsidRPr="00714483">
        <w:t xml:space="preserve">, </w:t>
      </w:r>
      <w:r w:rsidR="001A1479">
        <w:t xml:space="preserve">117 Colo. 54, </w:t>
      </w:r>
      <w:r w:rsidR="00874AC6" w:rsidRPr="00714483">
        <w:t xml:space="preserve">184 P.2d 138 (1947); </w:t>
      </w:r>
      <w:r w:rsidR="000471EB" w:rsidRPr="00714483">
        <w:rPr>
          <w:b/>
          <w:bCs/>
        </w:rPr>
        <w:t>In re Estate of Grimes</w:t>
      </w:r>
      <w:r w:rsidR="000471EB" w:rsidRPr="00714483">
        <w:t>, 500 P.2d 169 (Colo. App. 1972)</w:t>
      </w:r>
      <w:r w:rsidR="001A1479">
        <w:t xml:space="preserve"> (not published pursuant to C.A.R. 35(f))</w:t>
      </w:r>
      <w:r w:rsidR="000471EB" w:rsidRPr="00714483">
        <w:t>.</w:t>
      </w:r>
    </w:p>
    <w:p w14:paraId="455D1CAD" w14:textId="77777777" w:rsidR="0076589E" w:rsidRDefault="0076589E" w:rsidP="0076589E">
      <w:pPr>
        <w:ind w:firstLine="720"/>
        <w:rPr>
          <w:rFonts w:eastAsia="Times New Roman"/>
          <w:sz w:val="24"/>
          <w:szCs w:val="24"/>
        </w:rPr>
      </w:pPr>
    </w:p>
    <w:p w14:paraId="2E8BE67D" w14:textId="38770BCF" w:rsidR="00907A8A" w:rsidRPr="00714483" w:rsidRDefault="00907A8A" w:rsidP="00714483">
      <w:pPr>
        <w:spacing w:after="160" w:line="256" w:lineRule="auto"/>
        <w:ind w:firstLine="720"/>
        <w:rPr>
          <w:rFonts w:eastAsia="Times New Roman"/>
          <w:sz w:val="24"/>
          <w:szCs w:val="24"/>
        </w:rPr>
      </w:pPr>
      <w:r w:rsidRPr="00714483">
        <w:rPr>
          <w:rFonts w:eastAsia="Times New Roman"/>
          <w:sz w:val="24"/>
          <w:szCs w:val="24"/>
        </w:rPr>
        <w:t xml:space="preserve">3. “The term testamentary intent can only mean that the testator’s frame of mind or intent is that the instrument or disposition of property which he makes shall pass no interest in the </w:t>
      </w:r>
      <w:r w:rsidRPr="00714483">
        <w:rPr>
          <w:rFonts w:eastAsia="Times New Roman"/>
          <w:sz w:val="24"/>
          <w:szCs w:val="24"/>
        </w:rPr>
        <w:lastRenderedPageBreak/>
        <w:t xml:space="preserve">property until his death and that the act or instrument shall take effect only upon his death.” 1 </w:t>
      </w:r>
      <w:r w:rsidRPr="00714483">
        <w:rPr>
          <w:rFonts w:eastAsia="Times New Roman"/>
          <w:smallCaps/>
          <w:sz w:val="24"/>
          <w:szCs w:val="24"/>
        </w:rPr>
        <w:t>W. Bowe &amp; D. Parker, Page on the Law of Wills</w:t>
      </w:r>
      <w:r w:rsidRPr="00714483">
        <w:rPr>
          <w:rFonts w:eastAsia="Times New Roman"/>
          <w:sz w:val="24"/>
          <w:szCs w:val="24"/>
        </w:rPr>
        <w:t xml:space="preserve"> § 5.6, at 178 (rev. ed. 2003).</w:t>
      </w:r>
    </w:p>
    <w:p w14:paraId="4816190F" w14:textId="77777777" w:rsidR="00896032" w:rsidRDefault="00896032">
      <w:pPr>
        <w:rPr>
          <w:rFonts w:eastAsia="Times New Roman"/>
          <w:sz w:val="24"/>
          <w:szCs w:val="24"/>
        </w:rPr>
      </w:pPr>
      <w:r>
        <w:rPr>
          <w:rFonts w:eastAsia="Times New Roman"/>
          <w:sz w:val="24"/>
          <w:szCs w:val="24"/>
        </w:rPr>
        <w:br w:type="page"/>
      </w:r>
    </w:p>
    <w:p w14:paraId="12CC3183" w14:textId="1AF9072B" w:rsidR="00896032" w:rsidRPr="00492E1C" w:rsidRDefault="00896032" w:rsidP="00896032">
      <w:pPr>
        <w:spacing w:after="240"/>
        <w:ind w:left="720" w:hanging="720"/>
        <w:rPr>
          <w:rFonts w:eastAsia="Times New Roman"/>
          <w:b/>
          <w:sz w:val="24"/>
          <w:szCs w:val="24"/>
        </w:rPr>
      </w:pPr>
      <w:bookmarkStart w:id="15" w:name="a34_08"/>
      <w:bookmarkEnd w:id="15"/>
      <w:r w:rsidRPr="00896032">
        <w:rPr>
          <w:rFonts w:eastAsia="Times New Roman"/>
          <w:b/>
          <w:sz w:val="24"/>
          <w:szCs w:val="24"/>
        </w:rPr>
        <w:lastRenderedPageBreak/>
        <w:t xml:space="preserve">34:8 </w:t>
      </w:r>
      <w:r w:rsidRPr="00896032">
        <w:rPr>
          <w:rFonts w:eastAsia="Times New Roman"/>
          <w:b/>
          <w:sz w:val="24"/>
          <w:szCs w:val="24"/>
        </w:rPr>
        <w:tab/>
      </w:r>
      <w:r w:rsidRPr="00896032">
        <w:rPr>
          <w:rFonts w:ascii="Times New Roman Bold" w:eastAsia="Times New Roman" w:hAnsi="Times New Roman Bold"/>
          <w:b/>
          <w:caps/>
          <w:sz w:val="24"/>
          <w:szCs w:val="24"/>
        </w:rPr>
        <w:t xml:space="preserve">Revocation by Burning, Tearing, Canceling, Obliterating, </w:t>
      </w:r>
      <w:r w:rsidRPr="00492E1C">
        <w:rPr>
          <w:rFonts w:ascii="Times New Roman Bold" w:eastAsia="Times New Roman" w:hAnsi="Times New Roman Bold"/>
          <w:b/>
          <w:caps/>
          <w:sz w:val="24"/>
          <w:szCs w:val="24"/>
        </w:rPr>
        <w:t>or Destroying — Defined</w:t>
      </w:r>
    </w:p>
    <w:p w14:paraId="3E9438FE" w14:textId="4B094C13" w:rsidR="00896032" w:rsidRPr="00492E1C" w:rsidRDefault="00896032" w:rsidP="00896032">
      <w:pPr>
        <w:spacing w:after="240"/>
        <w:ind w:firstLine="720"/>
        <w:rPr>
          <w:rFonts w:eastAsia="Times New Roman"/>
          <w:b/>
          <w:sz w:val="24"/>
          <w:szCs w:val="24"/>
        </w:rPr>
      </w:pPr>
      <w:bookmarkStart w:id="16" w:name="_Hlk146444467"/>
      <w:r w:rsidRPr="00492E1C">
        <w:rPr>
          <w:rFonts w:eastAsia="Times New Roman"/>
          <w:b/>
          <w:sz w:val="24"/>
          <w:szCs w:val="24"/>
        </w:rPr>
        <w:t xml:space="preserve">A </w:t>
      </w:r>
      <w:r w:rsidR="00A77C63" w:rsidRPr="00492E1C">
        <w:rPr>
          <w:rFonts w:eastAsia="Times New Roman"/>
          <w:b/>
          <w:sz w:val="24"/>
          <w:szCs w:val="24"/>
        </w:rPr>
        <w:t xml:space="preserve">testator </w:t>
      </w:r>
      <w:r w:rsidRPr="00492E1C">
        <w:rPr>
          <w:rFonts w:eastAsia="Times New Roman"/>
          <w:b/>
          <w:sz w:val="24"/>
          <w:szCs w:val="24"/>
        </w:rPr>
        <w:t xml:space="preserve">who has made a </w:t>
      </w:r>
      <w:r w:rsidR="00DC707D" w:rsidRPr="00492E1C">
        <w:rPr>
          <w:rFonts w:eastAsia="Times New Roman"/>
          <w:b/>
          <w:sz w:val="24"/>
          <w:szCs w:val="24"/>
        </w:rPr>
        <w:t>W</w:t>
      </w:r>
      <w:r w:rsidRPr="00492E1C">
        <w:rPr>
          <w:rFonts w:eastAsia="Times New Roman"/>
          <w:b/>
          <w:sz w:val="24"/>
          <w:szCs w:val="24"/>
        </w:rPr>
        <w:t xml:space="preserve">ill may revoke that </w:t>
      </w:r>
      <w:r w:rsidR="00DC707D" w:rsidRPr="00492E1C">
        <w:rPr>
          <w:rFonts w:eastAsia="Times New Roman"/>
          <w:b/>
          <w:sz w:val="24"/>
          <w:szCs w:val="24"/>
        </w:rPr>
        <w:t>W</w:t>
      </w:r>
      <w:r w:rsidRPr="00492E1C">
        <w:rPr>
          <w:rFonts w:eastAsia="Times New Roman"/>
          <w:b/>
          <w:sz w:val="24"/>
          <w:szCs w:val="24"/>
        </w:rPr>
        <w:t xml:space="preserve">ill or any part of that </w:t>
      </w:r>
      <w:r w:rsidR="00DC707D" w:rsidRPr="00492E1C">
        <w:rPr>
          <w:rFonts w:eastAsia="Times New Roman"/>
          <w:b/>
          <w:sz w:val="24"/>
          <w:szCs w:val="24"/>
        </w:rPr>
        <w:t>W</w:t>
      </w:r>
      <w:r w:rsidRPr="00492E1C">
        <w:rPr>
          <w:rFonts w:eastAsia="Times New Roman"/>
          <w:b/>
          <w:sz w:val="24"/>
          <w:szCs w:val="24"/>
        </w:rPr>
        <w:t>ill by performing an act of revocation o</w:t>
      </w:r>
      <w:r w:rsidR="00415B36">
        <w:rPr>
          <w:rFonts w:eastAsia="Times New Roman"/>
          <w:b/>
          <w:sz w:val="24"/>
          <w:szCs w:val="24"/>
        </w:rPr>
        <w:t>f</w:t>
      </w:r>
      <w:r w:rsidRPr="00492E1C">
        <w:rPr>
          <w:rFonts w:eastAsia="Times New Roman"/>
          <w:b/>
          <w:sz w:val="24"/>
          <w:szCs w:val="24"/>
        </w:rPr>
        <w:t xml:space="preserve"> the </w:t>
      </w:r>
      <w:r w:rsidR="00DC707D" w:rsidRPr="00492E1C">
        <w:rPr>
          <w:rFonts w:eastAsia="Times New Roman"/>
          <w:b/>
          <w:sz w:val="24"/>
          <w:szCs w:val="24"/>
        </w:rPr>
        <w:t>W</w:t>
      </w:r>
      <w:r w:rsidRPr="00492E1C">
        <w:rPr>
          <w:rFonts w:eastAsia="Times New Roman"/>
          <w:b/>
          <w:sz w:val="24"/>
          <w:szCs w:val="24"/>
        </w:rPr>
        <w:t xml:space="preserve">ill with the intent to revoke it or part of it. A </w:t>
      </w:r>
      <w:r w:rsidR="00A77C63" w:rsidRPr="00492E1C">
        <w:rPr>
          <w:rFonts w:eastAsia="Times New Roman"/>
          <w:b/>
          <w:sz w:val="24"/>
          <w:szCs w:val="24"/>
        </w:rPr>
        <w:t>testator</w:t>
      </w:r>
      <w:r w:rsidRPr="00492E1C">
        <w:rPr>
          <w:rFonts w:eastAsia="Times New Roman"/>
          <w:b/>
          <w:sz w:val="24"/>
          <w:szCs w:val="24"/>
        </w:rPr>
        <w:t xml:space="preserve"> may also revoke a </w:t>
      </w:r>
      <w:r w:rsidR="00DC707D" w:rsidRPr="00492E1C">
        <w:rPr>
          <w:rFonts w:eastAsia="Times New Roman"/>
          <w:b/>
          <w:sz w:val="24"/>
          <w:szCs w:val="24"/>
        </w:rPr>
        <w:t>W</w:t>
      </w:r>
      <w:r w:rsidRPr="00492E1C">
        <w:rPr>
          <w:rFonts w:eastAsia="Times New Roman"/>
          <w:b/>
          <w:sz w:val="24"/>
          <w:szCs w:val="24"/>
        </w:rPr>
        <w:t xml:space="preserve">ill by directing another person to perform an act of revocation if that other person performs the act of revocation in the conscious presence of the </w:t>
      </w:r>
      <w:r w:rsidR="00A77C63" w:rsidRPr="00492E1C">
        <w:rPr>
          <w:rFonts w:eastAsia="Times New Roman"/>
          <w:b/>
          <w:sz w:val="24"/>
          <w:szCs w:val="24"/>
        </w:rPr>
        <w:t>testator</w:t>
      </w:r>
      <w:r w:rsidRPr="00492E1C">
        <w:rPr>
          <w:rFonts w:eastAsia="Times New Roman"/>
          <w:b/>
          <w:sz w:val="24"/>
          <w:szCs w:val="24"/>
        </w:rPr>
        <w:t>.</w:t>
      </w:r>
    </w:p>
    <w:p w14:paraId="575B5046" w14:textId="783B3AA0" w:rsidR="00896032" w:rsidRPr="00492E1C" w:rsidRDefault="00896032" w:rsidP="00896032">
      <w:pPr>
        <w:spacing w:after="240"/>
        <w:ind w:firstLine="720"/>
        <w:rPr>
          <w:rFonts w:eastAsia="Times New Roman"/>
          <w:b/>
          <w:sz w:val="24"/>
          <w:szCs w:val="24"/>
        </w:rPr>
      </w:pPr>
      <w:r w:rsidRPr="00492E1C">
        <w:rPr>
          <w:rFonts w:eastAsia="Times New Roman"/>
          <w:b/>
          <w:sz w:val="24"/>
          <w:szCs w:val="24"/>
        </w:rPr>
        <w:t>An act of revocation o</w:t>
      </w:r>
      <w:r w:rsidR="00415B36">
        <w:rPr>
          <w:rFonts w:eastAsia="Times New Roman"/>
          <w:b/>
          <w:sz w:val="24"/>
          <w:szCs w:val="24"/>
        </w:rPr>
        <w:t>f</w:t>
      </w:r>
      <w:r w:rsidRPr="00492E1C">
        <w:rPr>
          <w:rFonts w:eastAsia="Times New Roman"/>
          <w:b/>
          <w:sz w:val="24"/>
          <w:szCs w:val="24"/>
        </w:rPr>
        <w:t xml:space="preserve"> a </w:t>
      </w:r>
      <w:r w:rsidR="00DC707D" w:rsidRPr="00492E1C">
        <w:rPr>
          <w:rFonts w:eastAsia="Times New Roman"/>
          <w:b/>
          <w:sz w:val="24"/>
          <w:szCs w:val="24"/>
        </w:rPr>
        <w:t>W</w:t>
      </w:r>
      <w:r w:rsidRPr="00492E1C">
        <w:rPr>
          <w:rFonts w:eastAsia="Times New Roman"/>
          <w:b/>
          <w:sz w:val="24"/>
          <w:szCs w:val="24"/>
        </w:rPr>
        <w:t xml:space="preserve">ill or any part of a </w:t>
      </w:r>
      <w:r w:rsidR="00DC707D" w:rsidRPr="00492E1C">
        <w:rPr>
          <w:rFonts w:eastAsia="Times New Roman"/>
          <w:b/>
          <w:sz w:val="24"/>
          <w:szCs w:val="24"/>
        </w:rPr>
        <w:t>W</w:t>
      </w:r>
      <w:r w:rsidRPr="00492E1C">
        <w:rPr>
          <w:rFonts w:eastAsia="Times New Roman"/>
          <w:b/>
          <w:sz w:val="24"/>
          <w:szCs w:val="24"/>
        </w:rPr>
        <w:t xml:space="preserve">ill includes </w:t>
      </w:r>
      <w:r w:rsidR="00A77C63" w:rsidRPr="00492E1C">
        <w:rPr>
          <w:rFonts w:eastAsia="Times New Roman"/>
          <w:b/>
          <w:sz w:val="24"/>
          <w:szCs w:val="24"/>
        </w:rPr>
        <w:t xml:space="preserve">but is not limited to </w:t>
      </w:r>
      <w:r w:rsidRPr="00492E1C">
        <w:rPr>
          <w:rFonts w:eastAsia="Times New Roman"/>
          <w:b/>
          <w:sz w:val="24"/>
          <w:szCs w:val="24"/>
        </w:rPr>
        <w:t xml:space="preserve">burning, tearing, canceling, obliterating, or destroying the </w:t>
      </w:r>
      <w:r w:rsidR="00DC707D" w:rsidRPr="00492E1C">
        <w:rPr>
          <w:rFonts w:eastAsia="Times New Roman"/>
          <w:b/>
          <w:sz w:val="24"/>
          <w:szCs w:val="24"/>
        </w:rPr>
        <w:t>W</w:t>
      </w:r>
      <w:r w:rsidRPr="00492E1C">
        <w:rPr>
          <w:rFonts w:eastAsia="Times New Roman"/>
          <w:b/>
          <w:sz w:val="24"/>
          <w:szCs w:val="24"/>
        </w:rPr>
        <w:t xml:space="preserve">ill or part of the </w:t>
      </w:r>
      <w:r w:rsidR="00DC707D" w:rsidRPr="00492E1C">
        <w:rPr>
          <w:rFonts w:eastAsia="Times New Roman"/>
          <w:b/>
          <w:sz w:val="24"/>
          <w:szCs w:val="24"/>
        </w:rPr>
        <w:t>W</w:t>
      </w:r>
      <w:r w:rsidRPr="00492E1C">
        <w:rPr>
          <w:rFonts w:eastAsia="Times New Roman"/>
          <w:b/>
          <w:sz w:val="24"/>
          <w:szCs w:val="24"/>
        </w:rPr>
        <w:t>ill. For a burning, tearing, canceling</w:t>
      </w:r>
      <w:r w:rsidR="00415B36">
        <w:rPr>
          <w:rFonts w:eastAsia="Times New Roman"/>
          <w:b/>
          <w:sz w:val="24"/>
          <w:szCs w:val="24"/>
        </w:rPr>
        <w:t>, or other act</w:t>
      </w:r>
      <w:r w:rsidRPr="00492E1C">
        <w:rPr>
          <w:rFonts w:eastAsia="Times New Roman"/>
          <w:b/>
          <w:sz w:val="24"/>
          <w:szCs w:val="24"/>
        </w:rPr>
        <w:t xml:space="preserve"> to be </w:t>
      </w:r>
      <w:r w:rsidR="00415B36">
        <w:rPr>
          <w:rFonts w:eastAsia="Times New Roman"/>
          <w:b/>
          <w:sz w:val="24"/>
          <w:szCs w:val="24"/>
        </w:rPr>
        <w:t>a</w:t>
      </w:r>
      <w:r w:rsidRPr="00492E1C">
        <w:rPr>
          <w:rFonts w:eastAsia="Times New Roman"/>
          <w:b/>
          <w:sz w:val="24"/>
          <w:szCs w:val="24"/>
        </w:rPr>
        <w:t xml:space="preserve"> revocation o</w:t>
      </w:r>
      <w:r w:rsidR="00415B36">
        <w:rPr>
          <w:rFonts w:eastAsia="Times New Roman"/>
          <w:b/>
          <w:sz w:val="24"/>
          <w:szCs w:val="24"/>
        </w:rPr>
        <w:t>f</w:t>
      </w:r>
      <w:r w:rsidRPr="00492E1C">
        <w:rPr>
          <w:rFonts w:eastAsia="Times New Roman"/>
          <w:b/>
          <w:sz w:val="24"/>
          <w:szCs w:val="24"/>
        </w:rPr>
        <w:t xml:space="preserve"> the </w:t>
      </w:r>
      <w:r w:rsidR="00DC707D" w:rsidRPr="00492E1C">
        <w:rPr>
          <w:rFonts w:eastAsia="Times New Roman"/>
          <w:b/>
          <w:sz w:val="24"/>
          <w:szCs w:val="24"/>
        </w:rPr>
        <w:t>W</w:t>
      </w:r>
      <w:r w:rsidRPr="00492E1C">
        <w:rPr>
          <w:rFonts w:eastAsia="Times New Roman"/>
          <w:b/>
          <w:sz w:val="24"/>
          <w:szCs w:val="24"/>
        </w:rPr>
        <w:t>ill, it is not necessary that the burn, tear, cancellation</w:t>
      </w:r>
      <w:r w:rsidR="00415B36">
        <w:rPr>
          <w:rFonts w:eastAsia="Times New Roman"/>
          <w:b/>
          <w:sz w:val="24"/>
          <w:szCs w:val="24"/>
        </w:rPr>
        <w:t>, or other act</w:t>
      </w:r>
      <w:r w:rsidRPr="00492E1C">
        <w:rPr>
          <w:rFonts w:eastAsia="Times New Roman"/>
          <w:b/>
          <w:sz w:val="24"/>
          <w:szCs w:val="24"/>
        </w:rPr>
        <w:t xml:space="preserve"> have touched any of the words on the </w:t>
      </w:r>
      <w:r w:rsidR="00DC707D" w:rsidRPr="00492E1C">
        <w:rPr>
          <w:rFonts w:eastAsia="Times New Roman"/>
          <w:b/>
          <w:sz w:val="24"/>
          <w:szCs w:val="24"/>
        </w:rPr>
        <w:t>W</w:t>
      </w:r>
      <w:r w:rsidRPr="00492E1C">
        <w:rPr>
          <w:rFonts w:eastAsia="Times New Roman"/>
          <w:b/>
          <w:sz w:val="24"/>
          <w:szCs w:val="24"/>
        </w:rPr>
        <w:t>ill.</w:t>
      </w:r>
    </w:p>
    <w:p w14:paraId="65236BC3" w14:textId="1213BC1E" w:rsidR="00896032" w:rsidRPr="00896032" w:rsidRDefault="00896032" w:rsidP="00896032">
      <w:pPr>
        <w:spacing w:after="240"/>
        <w:ind w:firstLine="720"/>
        <w:rPr>
          <w:rFonts w:eastAsia="Times New Roman"/>
          <w:b/>
          <w:sz w:val="24"/>
          <w:szCs w:val="24"/>
        </w:rPr>
      </w:pPr>
      <w:r w:rsidRPr="00492E1C">
        <w:rPr>
          <w:rFonts w:eastAsia="Times New Roman"/>
          <w:b/>
          <w:sz w:val="24"/>
          <w:szCs w:val="24"/>
        </w:rPr>
        <w:t xml:space="preserve">(“Conscious” means that the </w:t>
      </w:r>
      <w:r w:rsidR="00A77C63" w:rsidRPr="00492E1C">
        <w:rPr>
          <w:rFonts w:eastAsia="Times New Roman"/>
          <w:b/>
          <w:sz w:val="24"/>
          <w:szCs w:val="24"/>
        </w:rPr>
        <w:t>testator</w:t>
      </w:r>
      <w:r w:rsidRPr="00492E1C">
        <w:rPr>
          <w:rFonts w:eastAsia="Times New Roman"/>
          <w:b/>
          <w:sz w:val="24"/>
          <w:szCs w:val="24"/>
        </w:rPr>
        <w:t xml:space="preserve"> was aware through one or more of </w:t>
      </w:r>
      <w:r w:rsidR="00415B36">
        <w:rPr>
          <w:rFonts w:eastAsia="Times New Roman"/>
          <w:b/>
          <w:sz w:val="24"/>
          <w:szCs w:val="24"/>
        </w:rPr>
        <w:t xml:space="preserve">the </w:t>
      </w:r>
      <w:r w:rsidR="00A77C63" w:rsidRPr="00492E1C">
        <w:rPr>
          <w:rFonts w:eastAsia="Times New Roman"/>
          <w:b/>
          <w:sz w:val="24"/>
          <w:szCs w:val="24"/>
        </w:rPr>
        <w:t xml:space="preserve">testator’s </w:t>
      </w:r>
      <w:r w:rsidRPr="00492E1C">
        <w:rPr>
          <w:rFonts w:eastAsia="Times New Roman"/>
          <w:b/>
          <w:sz w:val="24"/>
          <w:szCs w:val="24"/>
        </w:rPr>
        <w:t xml:space="preserve">senses that the act of revocation was being performed by the other person. “Presence” requires that the other person was physically near the </w:t>
      </w:r>
      <w:r w:rsidR="00A77C63">
        <w:rPr>
          <w:rFonts w:eastAsia="Times New Roman"/>
          <w:b/>
          <w:sz w:val="24"/>
          <w:szCs w:val="24"/>
        </w:rPr>
        <w:t>testator</w:t>
      </w:r>
      <w:r w:rsidRPr="00896032">
        <w:rPr>
          <w:rFonts w:eastAsia="Times New Roman"/>
          <w:b/>
          <w:sz w:val="24"/>
          <w:szCs w:val="24"/>
        </w:rPr>
        <w:t xml:space="preserve">, though not necessarily within </w:t>
      </w:r>
      <w:r w:rsidR="00415B36">
        <w:rPr>
          <w:rFonts w:eastAsia="Times New Roman"/>
          <w:b/>
          <w:sz w:val="24"/>
          <w:szCs w:val="24"/>
        </w:rPr>
        <w:t xml:space="preserve">the </w:t>
      </w:r>
      <w:r w:rsidR="00A77C63">
        <w:rPr>
          <w:rFonts w:eastAsia="Times New Roman"/>
          <w:b/>
          <w:sz w:val="24"/>
          <w:szCs w:val="24"/>
        </w:rPr>
        <w:t xml:space="preserve">testator’s </w:t>
      </w:r>
      <w:r w:rsidRPr="00896032">
        <w:rPr>
          <w:rFonts w:eastAsia="Times New Roman"/>
          <w:b/>
          <w:sz w:val="24"/>
          <w:szCs w:val="24"/>
        </w:rPr>
        <w:t>line of sight.)</w:t>
      </w:r>
    </w:p>
    <w:p w14:paraId="1AEA0BFB" w14:textId="77777777" w:rsidR="00896032" w:rsidRDefault="00896032" w:rsidP="00896032">
      <w:pPr>
        <w:jc w:val="center"/>
        <w:rPr>
          <w:rFonts w:eastAsia="Times New Roman"/>
          <w:sz w:val="24"/>
          <w:szCs w:val="24"/>
        </w:rPr>
      </w:pPr>
    </w:p>
    <w:bookmarkEnd w:id="16"/>
    <w:p w14:paraId="1FDA647E"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6704E83D" w14:textId="2E49BA7E" w:rsidR="00FC1F10" w:rsidRDefault="00896032" w:rsidP="005A5A57">
      <w:pPr>
        <w:pStyle w:val="ListParagraph"/>
        <w:spacing w:after="240"/>
        <w:contextualSpacing w:val="0"/>
        <w:rPr>
          <w:rFonts w:eastAsia="Times New Roman"/>
          <w:sz w:val="24"/>
          <w:szCs w:val="24"/>
        </w:rPr>
      </w:pPr>
      <w:r w:rsidRPr="00492E1C">
        <w:rPr>
          <w:rFonts w:eastAsia="Times New Roman"/>
          <w:sz w:val="24"/>
          <w:szCs w:val="24"/>
        </w:rPr>
        <w:t>1. This instruction should be given when appropriate to the evidence in the case.</w:t>
      </w:r>
    </w:p>
    <w:p w14:paraId="52DB2519" w14:textId="47FD7080" w:rsidR="009B36AF" w:rsidRDefault="00492E1C" w:rsidP="005A5A57">
      <w:pPr>
        <w:pStyle w:val="ListParagraph"/>
        <w:spacing w:after="240"/>
        <w:ind w:left="0" w:firstLine="720"/>
        <w:contextualSpacing w:val="0"/>
        <w:rPr>
          <w:rFonts w:eastAsia="Times New Roman"/>
          <w:sz w:val="24"/>
          <w:szCs w:val="24"/>
        </w:rPr>
      </w:pPr>
      <w:r>
        <w:rPr>
          <w:rFonts w:eastAsia="Times New Roman"/>
          <w:sz w:val="24"/>
          <w:szCs w:val="24"/>
        </w:rPr>
        <w:t xml:space="preserve">2. </w:t>
      </w:r>
      <w:r w:rsidR="00FC1F10" w:rsidRPr="00414BE8">
        <w:rPr>
          <w:rFonts w:eastAsia="Times New Roman"/>
          <w:sz w:val="24"/>
          <w:szCs w:val="24"/>
        </w:rPr>
        <w:t>This instruction should be given in cases where the will has not been destroyed in its entirety and is, therefore, still “available,” but is found burned, torn, canceled, obliterated, or partially destroyed, then the burden of proving revocation is with the contestant under section 15-12-407</w:t>
      </w:r>
      <w:r w:rsidR="00F00B64">
        <w:rPr>
          <w:rFonts w:eastAsia="Times New Roman"/>
          <w:sz w:val="24"/>
          <w:szCs w:val="24"/>
        </w:rPr>
        <w:t>(1)(b)</w:t>
      </w:r>
      <w:r w:rsidR="00FC1F10" w:rsidRPr="00414BE8">
        <w:rPr>
          <w:rFonts w:eastAsia="Times New Roman"/>
          <w:sz w:val="24"/>
          <w:szCs w:val="24"/>
        </w:rPr>
        <w:t>.</w:t>
      </w:r>
    </w:p>
    <w:p w14:paraId="6636572E" w14:textId="435190F4" w:rsidR="009B36AF" w:rsidRDefault="00492E1C" w:rsidP="005A5A57">
      <w:pPr>
        <w:pStyle w:val="ListParagraph"/>
        <w:spacing w:after="240"/>
        <w:contextualSpacing w:val="0"/>
        <w:rPr>
          <w:rFonts w:eastAsia="Times New Roman"/>
          <w:sz w:val="24"/>
          <w:szCs w:val="24"/>
        </w:rPr>
      </w:pPr>
      <w:r>
        <w:rPr>
          <w:rFonts w:eastAsia="Times New Roman"/>
          <w:sz w:val="24"/>
          <w:szCs w:val="24"/>
        </w:rPr>
        <w:t xml:space="preserve">3. </w:t>
      </w:r>
      <w:r w:rsidR="009B36AF" w:rsidRPr="009B36AF">
        <w:rPr>
          <w:rFonts w:eastAsia="Times New Roman"/>
          <w:sz w:val="24"/>
          <w:szCs w:val="24"/>
        </w:rPr>
        <w:t>This instruction should be given with Instruction 34:</w:t>
      </w:r>
      <w:r w:rsidR="00846D9B">
        <w:rPr>
          <w:rFonts w:eastAsia="Times New Roman"/>
          <w:sz w:val="24"/>
          <w:szCs w:val="24"/>
        </w:rPr>
        <w:t>3A</w:t>
      </w:r>
      <w:r w:rsidR="009B36AF" w:rsidRPr="009B36AF">
        <w:rPr>
          <w:rFonts w:eastAsia="Times New Roman"/>
          <w:sz w:val="24"/>
          <w:szCs w:val="24"/>
        </w:rPr>
        <w:t xml:space="preserve"> </w:t>
      </w:r>
      <w:r>
        <w:rPr>
          <w:rFonts w:eastAsia="Times New Roman"/>
          <w:sz w:val="24"/>
          <w:szCs w:val="24"/>
        </w:rPr>
        <w:t>(</w:t>
      </w:r>
      <w:r w:rsidR="009B36AF" w:rsidRPr="009B36AF">
        <w:rPr>
          <w:rFonts w:eastAsia="Times New Roman"/>
          <w:sz w:val="24"/>
          <w:szCs w:val="24"/>
        </w:rPr>
        <w:t>defining testator</w:t>
      </w:r>
      <w:r>
        <w:rPr>
          <w:rFonts w:eastAsia="Times New Roman"/>
          <w:sz w:val="24"/>
          <w:szCs w:val="24"/>
        </w:rPr>
        <w:t>)</w:t>
      </w:r>
      <w:r w:rsidR="009B36AF" w:rsidRPr="009B36AF">
        <w:rPr>
          <w:rFonts w:eastAsia="Times New Roman"/>
          <w:sz w:val="24"/>
          <w:szCs w:val="24"/>
        </w:rPr>
        <w:t>.</w:t>
      </w:r>
    </w:p>
    <w:p w14:paraId="425C6557" w14:textId="320CED34" w:rsidR="00B342E6" w:rsidRDefault="00492E1C" w:rsidP="005A5A57">
      <w:pPr>
        <w:pStyle w:val="ListParagraph"/>
        <w:spacing w:after="240"/>
        <w:ind w:left="0" w:firstLine="720"/>
        <w:contextualSpacing w:val="0"/>
        <w:rPr>
          <w:rFonts w:eastAsia="Times New Roman"/>
          <w:sz w:val="24"/>
          <w:szCs w:val="24"/>
        </w:rPr>
      </w:pPr>
      <w:r>
        <w:rPr>
          <w:rFonts w:eastAsia="Times New Roman"/>
          <w:sz w:val="24"/>
          <w:szCs w:val="24"/>
        </w:rPr>
        <w:t>4.</w:t>
      </w:r>
      <w:r w:rsidR="00896032" w:rsidRPr="00492E1C">
        <w:rPr>
          <w:rFonts w:eastAsia="Times New Roman"/>
          <w:sz w:val="24"/>
          <w:szCs w:val="24"/>
        </w:rPr>
        <w:t xml:space="preserve"> Omit any portions of this instruction, whether parenthesized or not, which are not relevant to, or supported by, the evidence in the case.</w:t>
      </w:r>
    </w:p>
    <w:p w14:paraId="1B43568F" w14:textId="1A4E15DE" w:rsidR="001D69CC" w:rsidRPr="005A5A57" w:rsidRDefault="000A5F91" w:rsidP="005A5A57">
      <w:pPr>
        <w:pStyle w:val="ListParagraph"/>
        <w:spacing w:after="240"/>
        <w:ind w:left="0" w:firstLine="720"/>
        <w:contextualSpacing w:val="0"/>
        <w:rPr>
          <w:rFonts w:eastAsia="Times New Roman"/>
          <w:sz w:val="24"/>
          <w:szCs w:val="24"/>
        </w:rPr>
      </w:pPr>
      <w:r>
        <w:rPr>
          <w:rFonts w:eastAsia="Times New Roman"/>
          <w:sz w:val="24"/>
          <w:szCs w:val="24"/>
        </w:rPr>
        <w:t>5</w:t>
      </w:r>
      <w:r w:rsidR="00492E1C">
        <w:rPr>
          <w:rFonts w:eastAsia="Times New Roman"/>
          <w:sz w:val="24"/>
          <w:szCs w:val="24"/>
        </w:rPr>
        <w:t>.</w:t>
      </w:r>
      <w:r w:rsidR="00896032" w:rsidRPr="00492E1C">
        <w:rPr>
          <w:rFonts w:eastAsia="Times New Roman"/>
          <w:sz w:val="24"/>
          <w:szCs w:val="24"/>
        </w:rPr>
        <w:t xml:space="preserve"> When appropriate to the evidence, </w:t>
      </w:r>
      <w:r w:rsidR="00B83611">
        <w:rPr>
          <w:rFonts w:eastAsia="Times New Roman"/>
          <w:sz w:val="24"/>
          <w:szCs w:val="24"/>
        </w:rPr>
        <w:t>this instruction should be modified to address the presumption that if the properly executed will which contains tears</w:t>
      </w:r>
      <w:r w:rsidR="00E6239A">
        <w:rPr>
          <w:rFonts w:eastAsia="Times New Roman"/>
          <w:sz w:val="24"/>
          <w:szCs w:val="24"/>
        </w:rPr>
        <w:t>,</w:t>
      </w:r>
      <w:r w:rsidR="00B83611">
        <w:rPr>
          <w:rFonts w:eastAsia="Times New Roman"/>
          <w:sz w:val="24"/>
          <w:szCs w:val="24"/>
        </w:rPr>
        <w:t xml:space="preserve"> cancellations, </w:t>
      </w:r>
      <w:r w:rsidR="00E6239A">
        <w:rPr>
          <w:rFonts w:eastAsia="Times New Roman"/>
          <w:sz w:val="24"/>
          <w:szCs w:val="24"/>
        </w:rPr>
        <w:t xml:space="preserve">or cross-outs was in the control or possession of the testator, it is presumed that the testator did such act with the intent to revoke part or all of the will. </w:t>
      </w:r>
      <w:r w:rsidR="004A5A18">
        <w:rPr>
          <w:rFonts w:eastAsia="Times New Roman"/>
          <w:i/>
          <w:iCs/>
          <w:sz w:val="24"/>
          <w:szCs w:val="24"/>
        </w:rPr>
        <w:t xml:space="preserve">See </w:t>
      </w:r>
      <w:r>
        <w:rPr>
          <w:rFonts w:eastAsia="Times New Roman"/>
          <w:sz w:val="24"/>
          <w:szCs w:val="24"/>
        </w:rPr>
        <w:t xml:space="preserve">§ 15-11-507, </w:t>
      </w:r>
      <w:r w:rsidR="004A5A18" w:rsidRPr="00896032">
        <w:rPr>
          <w:rFonts w:eastAsia="Times New Roman"/>
          <w:sz w:val="24"/>
          <w:szCs w:val="24"/>
        </w:rPr>
        <w:t xml:space="preserve">C.R.S.; </w:t>
      </w:r>
      <w:r w:rsidR="004A5A18" w:rsidRPr="00896032">
        <w:rPr>
          <w:rFonts w:eastAsia="Times New Roman"/>
          <w:b/>
          <w:sz w:val="24"/>
          <w:szCs w:val="24"/>
        </w:rPr>
        <w:t>In re Estate of Schumacher</w:t>
      </w:r>
      <w:r w:rsidR="004A5A18" w:rsidRPr="00896032">
        <w:rPr>
          <w:rFonts w:eastAsia="Times New Roman"/>
          <w:sz w:val="24"/>
          <w:szCs w:val="24"/>
        </w:rPr>
        <w:t>, 253 P.3d 1280 (Colo. App. 2011)</w:t>
      </w:r>
      <w:r w:rsidR="004A5A18">
        <w:rPr>
          <w:rFonts w:eastAsia="Times New Roman"/>
          <w:sz w:val="24"/>
          <w:szCs w:val="24"/>
        </w:rPr>
        <w:t>.</w:t>
      </w:r>
    </w:p>
    <w:p w14:paraId="4BE63741" w14:textId="20A13C89" w:rsidR="00896032" w:rsidRPr="00896032" w:rsidRDefault="000A5F91" w:rsidP="005A5A57">
      <w:pPr>
        <w:spacing w:after="240"/>
        <w:ind w:firstLine="720"/>
        <w:rPr>
          <w:rFonts w:eastAsia="Times New Roman"/>
          <w:sz w:val="24"/>
          <w:szCs w:val="24"/>
        </w:rPr>
      </w:pPr>
      <w:r>
        <w:rPr>
          <w:rFonts w:eastAsia="Times New Roman"/>
          <w:sz w:val="24"/>
          <w:szCs w:val="24"/>
        </w:rPr>
        <w:t>6</w:t>
      </w:r>
      <w:r w:rsidR="00896032" w:rsidRPr="00896032">
        <w:rPr>
          <w:rFonts w:eastAsia="Times New Roman"/>
          <w:sz w:val="24"/>
          <w:szCs w:val="24"/>
        </w:rPr>
        <w:t>. There are two ways to revoke a will</w:t>
      </w:r>
      <w:r w:rsidR="00984936">
        <w:rPr>
          <w:rFonts w:eastAsia="Times New Roman"/>
          <w:sz w:val="24"/>
          <w:szCs w:val="24"/>
        </w:rPr>
        <w:t xml:space="preserve"> or any part thereof</w:t>
      </w:r>
      <w:r w:rsidR="00896032" w:rsidRPr="00896032">
        <w:rPr>
          <w:rFonts w:eastAsia="Times New Roman"/>
          <w:sz w:val="24"/>
          <w:szCs w:val="24"/>
        </w:rPr>
        <w:t>: (1) executing a subsequent will</w:t>
      </w:r>
      <w:r w:rsidR="00984936" w:rsidRPr="00984936">
        <w:rPr>
          <w:rFonts w:eastAsia="Times New Roman"/>
          <w:sz w:val="24"/>
          <w:szCs w:val="24"/>
        </w:rPr>
        <w:t xml:space="preserve"> </w:t>
      </w:r>
      <w:r w:rsidR="00984936">
        <w:rPr>
          <w:rFonts w:eastAsia="Times New Roman"/>
          <w:sz w:val="24"/>
          <w:szCs w:val="24"/>
        </w:rPr>
        <w:t>that revokes the previous will or part expressly or by inconsistency</w:t>
      </w:r>
      <w:r w:rsidR="00896032" w:rsidRPr="00896032">
        <w:rPr>
          <w:rFonts w:eastAsia="Times New Roman"/>
          <w:sz w:val="24"/>
          <w:szCs w:val="24"/>
        </w:rPr>
        <w:t xml:space="preserve">, or (2) </w:t>
      </w:r>
      <w:r w:rsidR="00984936">
        <w:rPr>
          <w:rFonts w:eastAsia="Times New Roman"/>
          <w:sz w:val="24"/>
          <w:szCs w:val="24"/>
        </w:rPr>
        <w:t>by performing a revocatory act on the will</w:t>
      </w:r>
      <w:r w:rsidR="00896032" w:rsidRPr="00896032">
        <w:rPr>
          <w:rFonts w:eastAsia="Times New Roman"/>
          <w:sz w:val="24"/>
          <w:szCs w:val="24"/>
        </w:rPr>
        <w:t xml:space="preserve">. § 15-11-507(1); </w:t>
      </w:r>
      <w:r w:rsidR="00896032" w:rsidRPr="00896032">
        <w:rPr>
          <w:rFonts w:eastAsia="Times New Roman"/>
          <w:b/>
          <w:sz w:val="24"/>
          <w:szCs w:val="24"/>
        </w:rPr>
        <w:t>In re Estate of Schumacher</w:t>
      </w:r>
      <w:r w:rsidR="00896032" w:rsidRPr="00896032">
        <w:rPr>
          <w:rFonts w:eastAsia="Times New Roman"/>
          <w:sz w:val="24"/>
          <w:szCs w:val="24"/>
        </w:rPr>
        <w:t xml:space="preserve">, 253 P.3d </w:t>
      </w:r>
      <w:r w:rsidR="007516AB">
        <w:rPr>
          <w:rFonts w:eastAsia="Times New Roman"/>
          <w:sz w:val="24"/>
          <w:szCs w:val="24"/>
        </w:rPr>
        <w:t>at</w:t>
      </w:r>
      <w:r w:rsidR="00896032" w:rsidRPr="00896032">
        <w:rPr>
          <w:rFonts w:eastAsia="Times New Roman"/>
          <w:sz w:val="24"/>
          <w:szCs w:val="24"/>
        </w:rPr>
        <w:t xml:space="preserve"> 1282 (“A will can be revoked only in the manner provided by statute, and the statutory provisions for revocation of wills must be strictly construed.”). Under section 15-11-507(1)(b), </w:t>
      </w:r>
      <w:r w:rsidR="00F71286">
        <w:rPr>
          <w:rFonts w:eastAsia="Times New Roman"/>
          <w:sz w:val="24"/>
          <w:szCs w:val="24"/>
        </w:rPr>
        <w:t>a “revocatory act on the will” includes</w:t>
      </w:r>
      <w:r w:rsidR="00F71286" w:rsidRPr="00896032">
        <w:rPr>
          <w:rFonts w:eastAsia="Times New Roman"/>
          <w:sz w:val="24"/>
          <w:szCs w:val="24"/>
        </w:rPr>
        <w:t xml:space="preserve"> </w:t>
      </w:r>
      <w:r w:rsidR="00896032" w:rsidRPr="00896032">
        <w:rPr>
          <w:rFonts w:eastAsia="Times New Roman"/>
          <w:sz w:val="24"/>
          <w:szCs w:val="24"/>
        </w:rPr>
        <w:t xml:space="preserve">“burning, tearing, canceling, obliterating, or destroying the will or any part of it.” Prior to the 1979 amendment to section 15-12-402(3), C.R.S., the burden of proving revocation was on the contestant in all cases. </w:t>
      </w:r>
      <w:r w:rsidR="00896032" w:rsidRPr="00896032">
        <w:rPr>
          <w:rFonts w:eastAsia="Times New Roman"/>
          <w:i/>
          <w:sz w:val="24"/>
          <w:szCs w:val="24"/>
        </w:rPr>
        <w:t>See</w:t>
      </w:r>
      <w:r w:rsidR="00896032" w:rsidRPr="00896032">
        <w:rPr>
          <w:rFonts w:eastAsia="Times New Roman"/>
          <w:sz w:val="24"/>
          <w:szCs w:val="24"/>
        </w:rPr>
        <w:t xml:space="preserve"> Ch. 152, sec. 8, § 15-12-402, 1979 Colo. Sess. Laws 649. However, under the 1979 amendment to section 15-12-402(3), the burden of proving </w:t>
      </w:r>
      <w:r w:rsidR="00896032" w:rsidRPr="00896032">
        <w:rPr>
          <w:rFonts w:eastAsia="Times New Roman"/>
          <w:sz w:val="24"/>
          <w:szCs w:val="24"/>
        </w:rPr>
        <w:lastRenderedPageBreak/>
        <w:t>that a lost, destroyed, or otherwise unavailable will was not revoked is on the proponent. Consequently, where the will has been lost, destroyed, or for any other reason is unavailable, Instruction 34:</w:t>
      </w:r>
      <w:r w:rsidR="00F70743">
        <w:rPr>
          <w:rFonts w:eastAsia="Times New Roman"/>
          <w:sz w:val="24"/>
          <w:szCs w:val="24"/>
        </w:rPr>
        <w:t>9</w:t>
      </w:r>
      <w:r w:rsidR="00FF04E5">
        <w:rPr>
          <w:rFonts w:eastAsia="Times New Roman"/>
          <w:sz w:val="24"/>
          <w:szCs w:val="24"/>
        </w:rPr>
        <w:t xml:space="preserve"> should be given with Instructions 34:2</w:t>
      </w:r>
      <w:r w:rsidR="00781B5A">
        <w:rPr>
          <w:rFonts w:eastAsia="Times New Roman"/>
          <w:sz w:val="24"/>
          <w:szCs w:val="24"/>
        </w:rPr>
        <w:t xml:space="preserve"> or 34:6.</w:t>
      </w:r>
    </w:p>
    <w:p w14:paraId="59E283F4" w14:textId="3D86B1C6" w:rsidR="00896032" w:rsidRPr="00896032" w:rsidRDefault="000A5F91" w:rsidP="005A5A57">
      <w:pPr>
        <w:spacing w:after="240"/>
        <w:ind w:firstLine="720"/>
        <w:rPr>
          <w:rFonts w:eastAsia="Times New Roman"/>
          <w:sz w:val="24"/>
          <w:szCs w:val="24"/>
        </w:rPr>
      </w:pPr>
      <w:r>
        <w:rPr>
          <w:rFonts w:eastAsia="Times New Roman"/>
          <w:sz w:val="24"/>
          <w:szCs w:val="24"/>
        </w:rPr>
        <w:t>7</w:t>
      </w:r>
      <w:r w:rsidR="00896032" w:rsidRPr="00896032">
        <w:rPr>
          <w:rFonts w:eastAsia="Times New Roman"/>
          <w:sz w:val="24"/>
          <w:szCs w:val="24"/>
        </w:rPr>
        <w:t xml:space="preserve">. On the other hand, if the will has not been destroyed </w:t>
      </w:r>
      <w:r w:rsidR="00190CFA">
        <w:rPr>
          <w:rFonts w:eastAsia="Times New Roman"/>
          <w:sz w:val="24"/>
          <w:szCs w:val="24"/>
        </w:rPr>
        <w:t xml:space="preserve">in its entirety </w:t>
      </w:r>
      <w:r w:rsidR="00896032" w:rsidRPr="00896032">
        <w:rPr>
          <w:rFonts w:eastAsia="Times New Roman"/>
          <w:sz w:val="24"/>
          <w:szCs w:val="24"/>
        </w:rPr>
        <w:t>and is, therefore, still “available,” but is found burned, torn, canceled or obliterated, then the burden of proving revocation remains on the contestant, and that question of fact should be set out as a contestant’s claim in the third to the last unnumbered paragraph of Instruction 34:2 or 34:6, whichever is appropriate.</w:t>
      </w:r>
    </w:p>
    <w:p w14:paraId="0FEB1B2F" w14:textId="77C06B03" w:rsidR="00BA137D" w:rsidRPr="007E5CCD" w:rsidRDefault="000A5F91" w:rsidP="005A5A57">
      <w:pPr>
        <w:spacing w:after="240"/>
        <w:ind w:firstLine="720"/>
        <w:rPr>
          <w:rFonts w:eastAsia="Times New Roman"/>
          <w:sz w:val="24"/>
          <w:szCs w:val="24"/>
        </w:rPr>
      </w:pPr>
      <w:r>
        <w:rPr>
          <w:rFonts w:eastAsia="Times New Roman"/>
          <w:sz w:val="24"/>
          <w:szCs w:val="24"/>
        </w:rPr>
        <w:t>8</w:t>
      </w:r>
      <w:r w:rsidR="00896032" w:rsidRPr="00896032">
        <w:rPr>
          <w:rFonts w:eastAsia="Times New Roman"/>
          <w:sz w:val="24"/>
          <w:szCs w:val="24"/>
        </w:rPr>
        <w:t xml:space="preserve">. If other rules relating to revocation would be relevant in light of the evidence in the case and would require the resolution of one or more disputed facts by the jury, an appropriate instruction </w:t>
      </w:r>
      <w:r w:rsidR="00285CB9">
        <w:rPr>
          <w:rFonts w:eastAsia="Times New Roman"/>
          <w:sz w:val="24"/>
          <w:szCs w:val="24"/>
        </w:rPr>
        <w:t>should</w:t>
      </w:r>
      <w:r w:rsidR="00896032" w:rsidRPr="00896032">
        <w:rPr>
          <w:rFonts w:eastAsia="Times New Roman"/>
          <w:sz w:val="24"/>
          <w:szCs w:val="24"/>
        </w:rPr>
        <w:t xml:space="preserve"> be given. </w:t>
      </w:r>
      <w:r w:rsidR="00896032" w:rsidRPr="00896032">
        <w:rPr>
          <w:rFonts w:eastAsia="Times New Roman"/>
          <w:i/>
          <w:sz w:val="24"/>
          <w:szCs w:val="24"/>
        </w:rPr>
        <w:t>See, e.g.</w:t>
      </w:r>
      <w:r w:rsidR="00896032" w:rsidRPr="00896032">
        <w:rPr>
          <w:rFonts w:eastAsia="Times New Roman"/>
          <w:sz w:val="24"/>
          <w:szCs w:val="24"/>
        </w:rPr>
        <w:t xml:space="preserve">, § 15-11-507(1)(a) (revocation by execution of subsequent will); § 15-11-508, C.R.S. (revocation by change of circumstances); § 15-11-509, C.R.S. (revival of </w:t>
      </w:r>
      <w:r w:rsidR="00896032" w:rsidRPr="007E5CCD">
        <w:rPr>
          <w:rFonts w:eastAsia="Times New Roman"/>
          <w:sz w:val="24"/>
          <w:szCs w:val="24"/>
        </w:rPr>
        <w:t>revoked will).</w:t>
      </w:r>
    </w:p>
    <w:p w14:paraId="6A2E821C" w14:textId="5512A7B9" w:rsidR="00DA72A0" w:rsidRPr="007E5CCD" w:rsidRDefault="000A5F91" w:rsidP="005A5A57">
      <w:pPr>
        <w:spacing w:after="240"/>
        <w:ind w:firstLine="720"/>
        <w:rPr>
          <w:rFonts w:eastAsia="Times New Roman"/>
          <w:sz w:val="24"/>
          <w:szCs w:val="24"/>
        </w:rPr>
      </w:pPr>
      <w:r>
        <w:rPr>
          <w:sz w:val="24"/>
          <w:szCs w:val="24"/>
        </w:rPr>
        <w:t>9</w:t>
      </w:r>
      <w:r w:rsidR="007516AB" w:rsidRPr="007E5CCD">
        <w:rPr>
          <w:sz w:val="24"/>
          <w:szCs w:val="24"/>
        </w:rPr>
        <w:t xml:space="preserve">. </w:t>
      </w:r>
      <w:r w:rsidR="00DA72A0" w:rsidRPr="007E5CCD">
        <w:rPr>
          <w:sz w:val="24"/>
          <w:szCs w:val="24"/>
        </w:rPr>
        <w:t xml:space="preserve">This instruction </w:t>
      </w:r>
      <w:r w:rsidR="00285CB9">
        <w:rPr>
          <w:sz w:val="24"/>
          <w:szCs w:val="24"/>
        </w:rPr>
        <w:t>should</w:t>
      </w:r>
      <w:r w:rsidR="00DA72A0" w:rsidRPr="007E5CCD">
        <w:rPr>
          <w:sz w:val="24"/>
          <w:szCs w:val="24"/>
        </w:rPr>
        <w:t xml:space="preserve"> be modified if the will at issue purports to be a will executed, or revoked, in compliance with the Colorado Uniform Electronic Wills Act</w:t>
      </w:r>
      <w:r w:rsidR="007516AB" w:rsidRPr="007E5CCD">
        <w:rPr>
          <w:sz w:val="24"/>
          <w:szCs w:val="24"/>
        </w:rPr>
        <w:t>,</w:t>
      </w:r>
      <w:r w:rsidR="00DA72A0" w:rsidRPr="007E5CCD">
        <w:rPr>
          <w:sz w:val="24"/>
          <w:szCs w:val="24"/>
        </w:rPr>
        <w:t xml:space="preserve"> §§ 15-11-1301</w:t>
      </w:r>
      <w:r w:rsidR="007516AB" w:rsidRPr="007E5CCD">
        <w:rPr>
          <w:sz w:val="24"/>
          <w:szCs w:val="24"/>
        </w:rPr>
        <w:t xml:space="preserve"> to </w:t>
      </w:r>
      <w:r w:rsidR="00DA72A0" w:rsidRPr="007E5CCD">
        <w:rPr>
          <w:sz w:val="24"/>
          <w:szCs w:val="24"/>
        </w:rPr>
        <w:t>-11</w:t>
      </w:r>
      <w:r w:rsidR="007516AB" w:rsidRPr="007E5CCD">
        <w:rPr>
          <w:sz w:val="24"/>
          <w:szCs w:val="24"/>
        </w:rPr>
        <w:t>, C.R.S.,</w:t>
      </w:r>
      <w:r w:rsidR="00DA72A0" w:rsidRPr="007E5CCD">
        <w:rPr>
          <w:sz w:val="24"/>
          <w:szCs w:val="24"/>
        </w:rPr>
        <w:t xml:space="preserve"> or a will executed in compliance with C.R.P.P. 92.</w:t>
      </w:r>
    </w:p>
    <w:p w14:paraId="39E6BC51"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14:paraId="63D3363B" w14:textId="408B8E15" w:rsidR="00896032" w:rsidRPr="00896032" w:rsidRDefault="00896032" w:rsidP="00896032">
      <w:pPr>
        <w:spacing w:after="240"/>
        <w:ind w:firstLine="720"/>
        <w:rPr>
          <w:rFonts w:eastAsia="Times New Roman"/>
          <w:sz w:val="24"/>
          <w:szCs w:val="24"/>
        </w:rPr>
      </w:pPr>
      <w:r w:rsidRPr="00896032">
        <w:rPr>
          <w:rFonts w:eastAsia="Times New Roman"/>
          <w:sz w:val="24"/>
          <w:szCs w:val="24"/>
        </w:rPr>
        <w:t>1. The first and second paragraphs of this instruction are supported by the provisions of section 15-11-507(1)(b</w:t>
      </w:r>
      <w:r w:rsidRPr="0040195E">
        <w:rPr>
          <w:rFonts w:eastAsia="Times New Roman"/>
          <w:sz w:val="24"/>
          <w:szCs w:val="24"/>
        </w:rPr>
        <w:t>).</w:t>
      </w:r>
      <w:r w:rsidR="00D54163" w:rsidRPr="0040195E">
        <w:rPr>
          <w:sz w:val="24"/>
          <w:szCs w:val="24"/>
        </w:rPr>
        <w:t xml:space="preserve"> This instruction is supported by </w:t>
      </w:r>
      <w:hyperlink r:id="rId8" w:history="1">
        <w:r w:rsidR="00D54163" w:rsidRPr="00A371BB">
          <w:rPr>
            <w:rStyle w:val="Hyperlink"/>
            <w:b/>
            <w:bCs/>
            <w:color w:val="auto"/>
            <w:sz w:val="24"/>
            <w:szCs w:val="24"/>
            <w:u w:val="none"/>
            <w:bdr w:val="none" w:sz="0" w:space="0" w:color="auto" w:frame="1"/>
          </w:rPr>
          <w:t>Bailey v. Kennedy</w:t>
        </w:r>
        <w:r w:rsidR="00D54163" w:rsidRPr="00A371BB">
          <w:rPr>
            <w:rStyle w:val="Hyperlink"/>
            <w:color w:val="auto"/>
            <w:sz w:val="24"/>
            <w:szCs w:val="24"/>
            <w:u w:val="none"/>
            <w:bdr w:val="none" w:sz="0" w:space="0" w:color="auto" w:frame="1"/>
          </w:rPr>
          <w:t xml:space="preserve">, 162 Colo. 135, </w:t>
        </w:r>
      </w:hyperlink>
      <w:r w:rsidR="00D54163" w:rsidRPr="00A371BB">
        <w:rPr>
          <w:sz w:val="24"/>
          <w:szCs w:val="24"/>
        </w:rPr>
        <w:t>4</w:t>
      </w:r>
      <w:r w:rsidR="00D54163" w:rsidRPr="0040195E">
        <w:rPr>
          <w:sz w:val="24"/>
          <w:szCs w:val="24"/>
        </w:rPr>
        <w:t>25 P.2d 304 (1967) (finding that the lost will doctrine did not apply where there was undisputed evidence that the decedent tore up her 1963 will).</w:t>
      </w:r>
    </w:p>
    <w:p w14:paraId="38D46839" w14:textId="77777777" w:rsidR="00896032" w:rsidRDefault="00896032" w:rsidP="00896032">
      <w:pPr>
        <w:spacing w:after="240"/>
        <w:ind w:firstLine="720"/>
        <w:rPr>
          <w:rFonts w:eastAsia="Times New Roman"/>
          <w:sz w:val="24"/>
          <w:szCs w:val="24"/>
        </w:rPr>
      </w:pPr>
      <w:r w:rsidRPr="00896032">
        <w:rPr>
          <w:rFonts w:eastAsia="Times New Roman"/>
          <w:sz w:val="24"/>
          <w:szCs w:val="24"/>
        </w:rPr>
        <w:t>2. For the third paragraph, see the Source and Authority to Instruction 34:3 (defining conscious presence).</w:t>
      </w:r>
    </w:p>
    <w:p w14:paraId="382CC608" w14:textId="4BE1F106" w:rsidR="00A46818" w:rsidRPr="00896032" w:rsidRDefault="00A46818" w:rsidP="00A46818">
      <w:pPr>
        <w:spacing w:after="240"/>
        <w:ind w:firstLine="720"/>
        <w:rPr>
          <w:rFonts w:eastAsia="Times New Roman"/>
          <w:sz w:val="24"/>
          <w:szCs w:val="24"/>
        </w:rPr>
      </w:pPr>
      <w:r>
        <w:rPr>
          <w:rFonts w:eastAsia="Times New Roman"/>
          <w:sz w:val="24"/>
          <w:szCs w:val="24"/>
        </w:rPr>
        <w:t>3</w:t>
      </w:r>
      <w:r w:rsidRPr="00896032">
        <w:rPr>
          <w:rFonts w:eastAsia="Times New Roman"/>
          <w:sz w:val="24"/>
          <w:szCs w:val="24"/>
        </w:rPr>
        <w:t xml:space="preserve">. “Although a will does not become operable until the testator’s death . . . the effectiveness of [acts causing a] revocation is dependent on the law in force,” governing such acts at the time of the acts. </w:t>
      </w:r>
      <w:r w:rsidRPr="00896032">
        <w:rPr>
          <w:rFonts w:eastAsia="Times New Roman"/>
          <w:b/>
          <w:sz w:val="24"/>
          <w:szCs w:val="24"/>
        </w:rPr>
        <w:t>In re Estate of Ralston</w:t>
      </w:r>
      <w:r w:rsidRPr="00896032">
        <w:rPr>
          <w:rFonts w:eastAsia="Times New Roman"/>
          <w:sz w:val="24"/>
          <w:szCs w:val="24"/>
        </w:rPr>
        <w:t xml:space="preserve">, 674 P.2d 1001, 1003 (Colo. App. 1983). </w:t>
      </w:r>
    </w:p>
    <w:p w14:paraId="28B5FAF9" w14:textId="0F0E874C" w:rsidR="00A46818" w:rsidRPr="00896032" w:rsidRDefault="00A46818" w:rsidP="00A46818">
      <w:pPr>
        <w:spacing w:after="240"/>
        <w:ind w:firstLine="720"/>
        <w:rPr>
          <w:rFonts w:eastAsia="Times New Roman"/>
          <w:sz w:val="24"/>
          <w:szCs w:val="24"/>
        </w:rPr>
      </w:pPr>
      <w:r>
        <w:rPr>
          <w:rFonts w:eastAsia="Times New Roman"/>
          <w:sz w:val="24"/>
          <w:szCs w:val="24"/>
        </w:rPr>
        <w:t>4</w:t>
      </w:r>
      <w:r w:rsidRPr="00896032">
        <w:rPr>
          <w:rFonts w:eastAsia="Times New Roman"/>
          <w:sz w:val="24"/>
          <w:szCs w:val="24"/>
        </w:rPr>
        <w:t xml:space="preserve">. Direct evidence that the decedent himself made the cross-outs in a will is not always required. </w:t>
      </w:r>
      <w:r w:rsidRPr="00896032">
        <w:rPr>
          <w:rFonts w:eastAsia="Times New Roman"/>
          <w:b/>
          <w:sz w:val="24"/>
          <w:szCs w:val="24"/>
        </w:rPr>
        <w:t>In re Estate of Schumacher</w:t>
      </w:r>
      <w:r w:rsidRPr="00896032">
        <w:rPr>
          <w:rFonts w:eastAsia="Times New Roman"/>
          <w:sz w:val="24"/>
          <w:szCs w:val="24"/>
        </w:rPr>
        <w:t>, 253 P.3d at 1283-84 (lawyer’s testimony that decedent showed him a will with the cross-outs and explained the reason for the cross-outs adequate to support conclusion decedent himself made the cross-outs).</w:t>
      </w:r>
    </w:p>
    <w:p w14:paraId="6869E2AB" w14:textId="1C2C5472" w:rsidR="00A46818" w:rsidRPr="00896032" w:rsidRDefault="00A46818" w:rsidP="00A46818">
      <w:pPr>
        <w:spacing w:after="240"/>
        <w:ind w:firstLine="720"/>
        <w:rPr>
          <w:rFonts w:eastAsia="Times New Roman"/>
          <w:sz w:val="24"/>
          <w:szCs w:val="24"/>
        </w:rPr>
      </w:pPr>
      <w:r>
        <w:rPr>
          <w:rFonts w:eastAsia="Times New Roman"/>
          <w:sz w:val="24"/>
          <w:szCs w:val="24"/>
        </w:rPr>
        <w:t xml:space="preserve">5. </w:t>
      </w:r>
      <w:r w:rsidRPr="00896032">
        <w:rPr>
          <w:rFonts w:eastAsia="Times New Roman"/>
          <w:sz w:val="24"/>
          <w:szCs w:val="24"/>
        </w:rPr>
        <w:t xml:space="preserve">Doctrines such as the presumptive revocation of a will when a trust is revoked, equity, and mistake do not supersede statutory authority regarding will revocation. </w:t>
      </w:r>
      <w:r w:rsidRPr="00896032">
        <w:rPr>
          <w:rFonts w:eastAsia="Times New Roman"/>
          <w:b/>
          <w:sz w:val="24"/>
          <w:szCs w:val="24"/>
        </w:rPr>
        <w:t>In re Estate of Sandstead</w:t>
      </w:r>
      <w:r w:rsidRPr="00896032">
        <w:rPr>
          <w:rFonts w:eastAsia="Times New Roman"/>
          <w:sz w:val="24"/>
          <w:szCs w:val="24"/>
        </w:rPr>
        <w:t>, 2016 COA 49, ¶ 71</w:t>
      </w:r>
      <w:r w:rsidRPr="00F71286">
        <w:rPr>
          <w:rFonts w:eastAsia="Times New Roman"/>
          <w:sz w:val="24"/>
          <w:szCs w:val="24"/>
        </w:rPr>
        <w:t xml:space="preserve">, </w:t>
      </w:r>
      <w:r>
        <w:rPr>
          <w:rFonts w:eastAsia="Times New Roman"/>
          <w:sz w:val="24"/>
          <w:szCs w:val="24"/>
        </w:rPr>
        <w:t xml:space="preserve">412 P.3d 799, </w:t>
      </w:r>
      <w:r w:rsidRPr="00F71286">
        <w:rPr>
          <w:rFonts w:eastAsia="Times New Roman"/>
          <w:i/>
          <w:sz w:val="24"/>
          <w:szCs w:val="24"/>
        </w:rPr>
        <w:t>rev’d on other grounds sub nom.</w:t>
      </w:r>
      <w:r w:rsidRPr="00F71286">
        <w:rPr>
          <w:rFonts w:eastAsia="Times New Roman"/>
          <w:sz w:val="24"/>
          <w:szCs w:val="24"/>
        </w:rPr>
        <w:t xml:space="preserve"> </w:t>
      </w:r>
      <w:r w:rsidRPr="00F71286">
        <w:rPr>
          <w:rFonts w:eastAsia="Times New Roman"/>
          <w:b/>
          <w:sz w:val="24"/>
          <w:szCs w:val="24"/>
        </w:rPr>
        <w:t>Sandstead-Corona v. Sandstead</w:t>
      </w:r>
      <w:r w:rsidRPr="00F71286">
        <w:rPr>
          <w:rFonts w:eastAsia="Times New Roman"/>
          <w:sz w:val="24"/>
          <w:szCs w:val="24"/>
        </w:rPr>
        <w:t>, 2018 CO 26</w:t>
      </w:r>
      <w:r>
        <w:rPr>
          <w:rFonts w:eastAsia="Times New Roman"/>
          <w:sz w:val="24"/>
          <w:szCs w:val="24"/>
        </w:rPr>
        <w:t>, 415 P.3d 310</w:t>
      </w:r>
      <w:r w:rsidRPr="00F71286">
        <w:rPr>
          <w:rFonts w:eastAsia="Times New Roman"/>
          <w:sz w:val="24"/>
          <w:szCs w:val="24"/>
        </w:rPr>
        <w:t xml:space="preserve">; </w:t>
      </w:r>
      <w:r>
        <w:rPr>
          <w:rFonts w:eastAsia="Times New Roman"/>
          <w:sz w:val="24"/>
          <w:szCs w:val="24"/>
        </w:rPr>
        <w:t>s</w:t>
      </w:r>
      <w:r w:rsidRPr="00F71286">
        <w:rPr>
          <w:rFonts w:eastAsia="Times New Roman"/>
          <w:i/>
          <w:sz w:val="24"/>
          <w:szCs w:val="24"/>
        </w:rPr>
        <w:t xml:space="preserve">ee </w:t>
      </w:r>
      <w:r w:rsidRPr="00F71286">
        <w:rPr>
          <w:rFonts w:eastAsia="Times New Roman"/>
          <w:b/>
          <w:sz w:val="24"/>
          <w:szCs w:val="24"/>
        </w:rPr>
        <w:t>In re Estate of Schumacher</w:t>
      </w:r>
      <w:r w:rsidRPr="00F71286">
        <w:rPr>
          <w:rFonts w:eastAsia="Times New Roman"/>
          <w:sz w:val="24"/>
          <w:szCs w:val="24"/>
        </w:rPr>
        <w:t xml:space="preserve">, 253 P.3d </w:t>
      </w:r>
      <w:r>
        <w:rPr>
          <w:rFonts w:eastAsia="Times New Roman"/>
          <w:sz w:val="24"/>
          <w:szCs w:val="24"/>
        </w:rPr>
        <w:t>at</w:t>
      </w:r>
      <w:r w:rsidRPr="00F71286">
        <w:rPr>
          <w:rFonts w:eastAsia="Times New Roman"/>
          <w:sz w:val="24"/>
          <w:szCs w:val="24"/>
        </w:rPr>
        <w:t xml:space="preserve"> 1282; </w:t>
      </w:r>
      <w:r>
        <w:rPr>
          <w:rFonts w:eastAsia="Times New Roman"/>
          <w:b/>
          <w:sz w:val="24"/>
          <w:szCs w:val="24"/>
        </w:rPr>
        <w:t>In re Estate of</w:t>
      </w:r>
      <w:r w:rsidRPr="00F71286">
        <w:rPr>
          <w:rFonts w:eastAsia="Times New Roman"/>
          <w:b/>
          <w:sz w:val="24"/>
          <w:szCs w:val="24"/>
        </w:rPr>
        <w:t xml:space="preserve"> Haurin</w:t>
      </w:r>
      <w:r w:rsidRPr="00F71286">
        <w:rPr>
          <w:rFonts w:eastAsia="Times New Roman"/>
          <w:sz w:val="24"/>
          <w:szCs w:val="24"/>
        </w:rPr>
        <w:t xml:space="preserve">, </w:t>
      </w:r>
      <w:r w:rsidRPr="00F71286">
        <w:rPr>
          <w:bCs/>
          <w:color w:val="252525"/>
          <w:sz w:val="24"/>
          <w:szCs w:val="24"/>
        </w:rPr>
        <w:t>43 Colo. App. 296, 605 P.2d 65 (1979)</w:t>
      </w:r>
      <w:r w:rsidRPr="00896032">
        <w:rPr>
          <w:rFonts w:eastAsia="Times New Roman"/>
          <w:sz w:val="24"/>
          <w:szCs w:val="24"/>
        </w:rPr>
        <w:t>.</w:t>
      </w:r>
    </w:p>
    <w:p w14:paraId="45E28472" w14:textId="77777777" w:rsidR="00A46818" w:rsidRPr="00896032" w:rsidRDefault="00A46818" w:rsidP="00896032">
      <w:pPr>
        <w:spacing w:after="240"/>
        <w:ind w:firstLine="720"/>
        <w:rPr>
          <w:rFonts w:eastAsia="Times New Roman"/>
          <w:sz w:val="24"/>
          <w:szCs w:val="24"/>
        </w:rPr>
      </w:pPr>
    </w:p>
    <w:p w14:paraId="47AF3709" w14:textId="77777777" w:rsidR="00896032" w:rsidRDefault="00896032">
      <w:pPr>
        <w:rPr>
          <w:rFonts w:eastAsia="Times New Roman"/>
          <w:sz w:val="24"/>
          <w:szCs w:val="24"/>
        </w:rPr>
      </w:pPr>
      <w:r>
        <w:rPr>
          <w:rFonts w:eastAsia="Times New Roman"/>
          <w:sz w:val="24"/>
          <w:szCs w:val="24"/>
        </w:rPr>
        <w:br w:type="page"/>
      </w:r>
    </w:p>
    <w:p w14:paraId="27DF366D" w14:textId="331D10CB" w:rsidR="00896032" w:rsidRPr="009E3DA4" w:rsidRDefault="00896032" w:rsidP="00896032">
      <w:pPr>
        <w:spacing w:after="240"/>
        <w:ind w:left="720" w:hanging="720"/>
        <w:rPr>
          <w:rFonts w:eastAsia="Times New Roman"/>
          <w:b/>
          <w:sz w:val="24"/>
          <w:szCs w:val="24"/>
        </w:rPr>
      </w:pPr>
      <w:bookmarkStart w:id="17" w:name="a34_09"/>
      <w:bookmarkEnd w:id="17"/>
      <w:r w:rsidRPr="00896032">
        <w:rPr>
          <w:rFonts w:eastAsia="Times New Roman"/>
          <w:b/>
          <w:sz w:val="24"/>
          <w:szCs w:val="24"/>
        </w:rPr>
        <w:lastRenderedPageBreak/>
        <w:t xml:space="preserve">34:9 </w:t>
      </w:r>
      <w:r w:rsidRPr="00896032">
        <w:rPr>
          <w:rFonts w:eastAsia="Times New Roman"/>
          <w:b/>
          <w:sz w:val="24"/>
          <w:szCs w:val="24"/>
        </w:rPr>
        <w:tab/>
      </w:r>
      <w:r w:rsidRPr="00896032">
        <w:rPr>
          <w:rFonts w:ascii="Times New Roman Bold" w:eastAsia="Times New Roman" w:hAnsi="Times New Roman Bold"/>
          <w:b/>
          <w:caps/>
          <w:sz w:val="24"/>
          <w:szCs w:val="24"/>
        </w:rPr>
        <w:t xml:space="preserve">Presumption of Revocation of Lost Will or </w:t>
      </w:r>
      <w:r w:rsidR="005B277D">
        <w:rPr>
          <w:rFonts w:ascii="Times New Roman Bold" w:eastAsia="Times New Roman" w:hAnsi="Times New Roman Bold"/>
          <w:b/>
          <w:caps/>
          <w:sz w:val="24"/>
          <w:szCs w:val="24"/>
        </w:rPr>
        <w:t>unavailable will</w:t>
      </w:r>
    </w:p>
    <w:p w14:paraId="028B71C7" w14:textId="4A013F1C" w:rsidR="007E1ADE" w:rsidRDefault="0040195E" w:rsidP="007E1ADE">
      <w:pPr>
        <w:spacing w:after="240"/>
        <w:ind w:firstLine="720"/>
        <w:rPr>
          <w:b/>
          <w:sz w:val="24"/>
          <w:szCs w:val="24"/>
        </w:rPr>
      </w:pPr>
      <w:r>
        <w:rPr>
          <w:b/>
          <w:sz w:val="24"/>
          <w:szCs w:val="24"/>
        </w:rPr>
        <w:t xml:space="preserve">To have a lost or unavailable Will admitted to probate as the testator’s Will, </w:t>
      </w:r>
      <w:r w:rsidR="00565A37">
        <w:rPr>
          <w:b/>
          <w:sz w:val="24"/>
          <w:szCs w:val="24"/>
        </w:rPr>
        <w:t>you must find that the following have been proved by a preponderance of the evidence:</w:t>
      </w:r>
    </w:p>
    <w:p w14:paraId="47ABC2E1" w14:textId="16D42AD9" w:rsidR="007E1ADE" w:rsidRDefault="007E1ADE" w:rsidP="007E1ADE">
      <w:pPr>
        <w:spacing w:after="240"/>
        <w:ind w:left="720"/>
        <w:rPr>
          <w:b/>
          <w:sz w:val="24"/>
          <w:szCs w:val="24"/>
        </w:rPr>
      </w:pPr>
      <w:r w:rsidRPr="007E1ADE">
        <w:rPr>
          <w:b/>
          <w:sz w:val="24"/>
          <w:szCs w:val="24"/>
        </w:rPr>
        <w:t>1</w:t>
      </w:r>
      <w:r>
        <w:rPr>
          <w:b/>
          <w:sz w:val="24"/>
          <w:szCs w:val="24"/>
        </w:rPr>
        <w:t xml:space="preserve">. </w:t>
      </w:r>
      <w:r w:rsidR="00565A37" w:rsidRPr="00A839C0">
        <w:rPr>
          <w:b/>
          <w:sz w:val="24"/>
          <w:szCs w:val="24"/>
        </w:rPr>
        <w:t xml:space="preserve">The </w:t>
      </w:r>
      <w:r w:rsidR="0040195E">
        <w:rPr>
          <w:b/>
          <w:sz w:val="24"/>
          <w:szCs w:val="24"/>
        </w:rPr>
        <w:t xml:space="preserve">testator executed the </w:t>
      </w:r>
      <w:r w:rsidR="00565A37" w:rsidRPr="00A839C0">
        <w:rPr>
          <w:b/>
          <w:sz w:val="24"/>
          <w:szCs w:val="24"/>
        </w:rPr>
        <w:t xml:space="preserve">Will; </w:t>
      </w:r>
    </w:p>
    <w:p w14:paraId="647A754C" w14:textId="57763EF5" w:rsidR="00565A37" w:rsidRDefault="007E1ADE" w:rsidP="00A839C0">
      <w:pPr>
        <w:spacing w:after="240"/>
        <w:ind w:left="720"/>
        <w:rPr>
          <w:b/>
          <w:sz w:val="24"/>
          <w:szCs w:val="24"/>
        </w:rPr>
      </w:pPr>
      <w:r>
        <w:rPr>
          <w:b/>
          <w:sz w:val="24"/>
          <w:szCs w:val="24"/>
        </w:rPr>
        <w:t xml:space="preserve">2. </w:t>
      </w:r>
      <w:r w:rsidR="00565A37">
        <w:rPr>
          <w:b/>
          <w:sz w:val="24"/>
          <w:szCs w:val="24"/>
        </w:rPr>
        <w:t xml:space="preserve">The terms of </w:t>
      </w:r>
      <w:r w:rsidR="0040195E">
        <w:rPr>
          <w:b/>
          <w:sz w:val="24"/>
          <w:szCs w:val="24"/>
        </w:rPr>
        <w:t>that</w:t>
      </w:r>
      <w:r w:rsidR="003577C6">
        <w:rPr>
          <w:b/>
          <w:sz w:val="24"/>
          <w:szCs w:val="24"/>
        </w:rPr>
        <w:t xml:space="preserve"> </w:t>
      </w:r>
      <w:r w:rsidR="00565A37">
        <w:rPr>
          <w:b/>
          <w:sz w:val="24"/>
          <w:szCs w:val="24"/>
        </w:rPr>
        <w:t>Will have been established;</w:t>
      </w:r>
      <w:r w:rsidR="007671D1">
        <w:rPr>
          <w:b/>
          <w:sz w:val="24"/>
          <w:szCs w:val="24"/>
        </w:rPr>
        <w:t xml:space="preserve"> and</w:t>
      </w:r>
    </w:p>
    <w:p w14:paraId="48F2C6C4" w14:textId="12EC53DC" w:rsidR="00565A37" w:rsidRDefault="007E1ADE" w:rsidP="00A839C0">
      <w:pPr>
        <w:pStyle w:val="ListParagraph"/>
        <w:spacing w:after="240"/>
        <w:rPr>
          <w:b/>
          <w:sz w:val="24"/>
          <w:szCs w:val="24"/>
        </w:rPr>
      </w:pPr>
      <w:r>
        <w:rPr>
          <w:b/>
          <w:sz w:val="24"/>
          <w:szCs w:val="24"/>
        </w:rPr>
        <w:t xml:space="preserve">3. </w:t>
      </w:r>
      <w:r w:rsidR="00565A37">
        <w:rPr>
          <w:b/>
          <w:sz w:val="24"/>
          <w:szCs w:val="24"/>
        </w:rPr>
        <w:t xml:space="preserve">The </w:t>
      </w:r>
      <w:r w:rsidR="0040195E">
        <w:rPr>
          <w:b/>
          <w:sz w:val="24"/>
          <w:szCs w:val="24"/>
        </w:rPr>
        <w:t xml:space="preserve">testator did not revoke the </w:t>
      </w:r>
      <w:r w:rsidR="00565A37">
        <w:rPr>
          <w:b/>
          <w:sz w:val="24"/>
          <w:szCs w:val="24"/>
        </w:rPr>
        <w:t xml:space="preserve">Will. </w:t>
      </w:r>
    </w:p>
    <w:p w14:paraId="467DDB4B" w14:textId="77777777" w:rsidR="007E1ADE" w:rsidRDefault="007E1ADE" w:rsidP="007E1ADE">
      <w:pPr>
        <w:pStyle w:val="ListParagraph"/>
        <w:spacing w:after="240"/>
        <w:ind w:left="0" w:firstLine="720"/>
        <w:rPr>
          <w:b/>
          <w:sz w:val="24"/>
          <w:szCs w:val="24"/>
        </w:rPr>
      </w:pPr>
    </w:p>
    <w:p w14:paraId="0612438B" w14:textId="74CF0EF6" w:rsidR="003577C6" w:rsidRPr="003577C6" w:rsidRDefault="003577C6" w:rsidP="00A839C0">
      <w:pPr>
        <w:pStyle w:val="ListParagraph"/>
        <w:spacing w:after="240"/>
        <w:ind w:left="0" w:firstLine="720"/>
        <w:rPr>
          <w:b/>
          <w:sz w:val="24"/>
          <w:szCs w:val="24"/>
        </w:rPr>
      </w:pPr>
      <w:r w:rsidRPr="003577C6">
        <w:rPr>
          <w:b/>
          <w:sz w:val="24"/>
          <w:szCs w:val="24"/>
        </w:rPr>
        <w:t xml:space="preserve">(If you find that the </w:t>
      </w:r>
      <w:r>
        <w:rPr>
          <w:b/>
          <w:sz w:val="24"/>
          <w:szCs w:val="24"/>
        </w:rPr>
        <w:t>Will was last seen in the control or possession of the testator and the Will cannot be found following the testator’s death then</w:t>
      </w:r>
      <w:r w:rsidRPr="003577C6">
        <w:rPr>
          <w:b/>
          <w:sz w:val="24"/>
          <w:szCs w:val="24"/>
        </w:rPr>
        <w:t xml:space="preserve"> the law presumes that the testator destroyed the Will</w:t>
      </w:r>
      <w:r>
        <w:rPr>
          <w:b/>
          <w:sz w:val="24"/>
          <w:szCs w:val="24"/>
        </w:rPr>
        <w:t xml:space="preserve"> with the intent to revoke it.)</w:t>
      </w:r>
    </w:p>
    <w:p w14:paraId="0435378C" w14:textId="77777777" w:rsidR="00896032" w:rsidRDefault="00896032" w:rsidP="00896032">
      <w:pPr>
        <w:jc w:val="center"/>
        <w:rPr>
          <w:rFonts w:eastAsia="Times New Roman"/>
          <w:sz w:val="24"/>
          <w:szCs w:val="24"/>
        </w:rPr>
      </w:pPr>
    </w:p>
    <w:p w14:paraId="08A09A21"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28600EA2" w14:textId="274F2B40" w:rsidR="00D54163" w:rsidRDefault="00DC6506" w:rsidP="00BE0428">
      <w:pPr>
        <w:spacing w:after="240"/>
        <w:ind w:firstLine="720"/>
        <w:rPr>
          <w:rFonts w:eastAsia="Times New Roman"/>
          <w:sz w:val="24"/>
          <w:szCs w:val="24"/>
        </w:rPr>
      </w:pPr>
      <w:r w:rsidRPr="00432BF9">
        <w:rPr>
          <w:rFonts w:eastAsia="Times New Roman"/>
          <w:sz w:val="24"/>
          <w:szCs w:val="24"/>
        </w:rPr>
        <w:t xml:space="preserve">1. </w:t>
      </w:r>
      <w:r w:rsidR="00D54163" w:rsidRPr="00D54163">
        <w:rPr>
          <w:rFonts w:eastAsia="Times New Roman"/>
          <w:sz w:val="24"/>
          <w:szCs w:val="24"/>
        </w:rPr>
        <w:t>This instruction should be given with Instruction 34:</w:t>
      </w:r>
      <w:r w:rsidR="00846D9B">
        <w:rPr>
          <w:rFonts w:eastAsia="Times New Roman"/>
          <w:sz w:val="24"/>
          <w:szCs w:val="24"/>
        </w:rPr>
        <w:t>3A</w:t>
      </w:r>
      <w:r w:rsidR="00D54163" w:rsidRPr="00D54163">
        <w:rPr>
          <w:rFonts w:eastAsia="Times New Roman"/>
          <w:sz w:val="24"/>
          <w:szCs w:val="24"/>
        </w:rPr>
        <w:t xml:space="preserve"> (defining testator).</w:t>
      </w:r>
    </w:p>
    <w:p w14:paraId="052A882B" w14:textId="17BEE1E1" w:rsidR="005E075C" w:rsidRPr="00432BF9" w:rsidRDefault="00D54163" w:rsidP="00BE0428">
      <w:pPr>
        <w:spacing w:after="240"/>
        <w:ind w:firstLine="720"/>
        <w:rPr>
          <w:rFonts w:eastAsia="Times New Roman"/>
          <w:sz w:val="24"/>
          <w:szCs w:val="24"/>
        </w:rPr>
      </w:pPr>
      <w:r>
        <w:rPr>
          <w:rFonts w:eastAsia="Times New Roman"/>
          <w:sz w:val="24"/>
          <w:szCs w:val="24"/>
        </w:rPr>
        <w:t xml:space="preserve">2. </w:t>
      </w:r>
      <w:r w:rsidR="008A2906" w:rsidRPr="00432BF9">
        <w:rPr>
          <w:rFonts w:eastAsia="Times New Roman"/>
          <w:sz w:val="24"/>
          <w:szCs w:val="24"/>
        </w:rPr>
        <w:t>Use this instruction when the will that is offered for probate is lost, destroyed in its entirety</w:t>
      </w:r>
      <w:r w:rsidR="005E075C" w:rsidRPr="00432BF9">
        <w:rPr>
          <w:rFonts w:eastAsia="Times New Roman"/>
          <w:sz w:val="24"/>
          <w:szCs w:val="24"/>
        </w:rPr>
        <w:t>, or otherwise unavailable. The burden to prove that a lost, destroyed, or otherwise unavailable will was not revoke</w:t>
      </w:r>
      <w:r w:rsidR="007516AB">
        <w:rPr>
          <w:rFonts w:eastAsia="Times New Roman"/>
          <w:sz w:val="24"/>
          <w:szCs w:val="24"/>
        </w:rPr>
        <w:t>d</w:t>
      </w:r>
      <w:r w:rsidR="005E075C" w:rsidRPr="00432BF9">
        <w:rPr>
          <w:rFonts w:eastAsia="Times New Roman"/>
          <w:sz w:val="24"/>
          <w:szCs w:val="24"/>
        </w:rPr>
        <w:t xml:space="preserve"> is on the proponent because the proponent has the burden of proof as to due execution </w:t>
      </w:r>
      <w:r w:rsidR="008A4899" w:rsidRPr="00432BF9">
        <w:rPr>
          <w:rFonts w:eastAsia="Times New Roman"/>
          <w:sz w:val="24"/>
          <w:szCs w:val="24"/>
        </w:rPr>
        <w:t>in all instances.</w:t>
      </w:r>
    </w:p>
    <w:p w14:paraId="261F1942" w14:textId="2E38CF9F" w:rsidR="00DC6506" w:rsidRPr="00BE2E53" w:rsidRDefault="00D54163" w:rsidP="00BE0428">
      <w:pPr>
        <w:spacing w:after="240"/>
        <w:ind w:firstLine="720"/>
        <w:rPr>
          <w:sz w:val="24"/>
          <w:szCs w:val="24"/>
        </w:rPr>
      </w:pPr>
      <w:r w:rsidRPr="00BE2E53">
        <w:rPr>
          <w:bCs/>
          <w:sz w:val="24"/>
          <w:szCs w:val="24"/>
        </w:rPr>
        <w:t>3</w:t>
      </w:r>
      <w:r w:rsidR="006C29D2" w:rsidRPr="00BE2E53">
        <w:rPr>
          <w:bCs/>
          <w:sz w:val="24"/>
          <w:szCs w:val="24"/>
        </w:rPr>
        <w:t xml:space="preserve">. </w:t>
      </w:r>
      <w:r w:rsidR="00DC6506" w:rsidRPr="00BE2E53">
        <w:rPr>
          <w:bCs/>
          <w:sz w:val="24"/>
          <w:szCs w:val="24"/>
        </w:rPr>
        <w:t>There is a rebuttable presumption that the testator destroyed the will with the intent to revoke it if the will was last seen in the control or possession of the testator and cannot be found following the testator’s death. The proponent of the will may rebut such presumption by proving by a preponderance of the evidence that the will was not in the testator’s control or possession, or that the will was in existence at</w:t>
      </w:r>
      <w:r w:rsidR="005212D0">
        <w:rPr>
          <w:bCs/>
          <w:sz w:val="24"/>
          <w:szCs w:val="24"/>
        </w:rPr>
        <w:t xml:space="preserve"> the</w:t>
      </w:r>
      <w:r w:rsidR="00DC6506" w:rsidRPr="00BE2E53">
        <w:rPr>
          <w:bCs/>
          <w:sz w:val="24"/>
          <w:szCs w:val="24"/>
        </w:rPr>
        <w:t xml:space="preserve"> testator’s death and was later lost or made unavailable.</w:t>
      </w:r>
      <w:r w:rsidR="006C29D2" w:rsidRPr="00BE2E53">
        <w:rPr>
          <w:bCs/>
          <w:sz w:val="24"/>
          <w:szCs w:val="24"/>
        </w:rPr>
        <w:t xml:space="preserve"> </w:t>
      </w:r>
      <w:r w:rsidR="00E757AA" w:rsidRPr="00BE2E53">
        <w:rPr>
          <w:rFonts w:eastAsia="Times New Roman"/>
          <w:i/>
          <w:iCs/>
          <w:sz w:val="24"/>
          <w:szCs w:val="24"/>
        </w:rPr>
        <w:t xml:space="preserve">See </w:t>
      </w:r>
      <w:r w:rsidR="00E757AA" w:rsidRPr="00BE2E53">
        <w:rPr>
          <w:sz w:val="24"/>
          <w:szCs w:val="24"/>
        </w:rPr>
        <w:br/>
      </w:r>
      <w:r w:rsidR="00E757AA" w:rsidRPr="00BE2E53">
        <w:rPr>
          <w:b/>
          <w:bCs/>
          <w:sz w:val="24"/>
          <w:szCs w:val="24"/>
          <w:bdr w:val="none" w:sz="0" w:space="0" w:color="auto" w:frame="1"/>
        </w:rPr>
        <w:t>In re Estate of Varnum</w:t>
      </w:r>
      <w:r w:rsidR="00E757AA" w:rsidRPr="00BE2E53">
        <w:rPr>
          <w:sz w:val="24"/>
          <w:szCs w:val="24"/>
          <w:bdr w:val="none" w:sz="0" w:space="0" w:color="auto" w:frame="1"/>
        </w:rPr>
        <w:t>, 144 Colo. 422</w:t>
      </w:r>
      <w:r w:rsidR="006C29D2" w:rsidRPr="00BE2E53">
        <w:rPr>
          <w:sz w:val="24"/>
          <w:szCs w:val="24"/>
          <w:bdr w:val="none" w:sz="0" w:space="0" w:color="auto" w:frame="1"/>
        </w:rPr>
        <w:t>, 357 P.2d 370 (1960)</w:t>
      </w:r>
      <w:r w:rsidR="00E757AA" w:rsidRPr="00BE2E53">
        <w:rPr>
          <w:sz w:val="24"/>
          <w:szCs w:val="24"/>
        </w:rPr>
        <w:t xml:space="preserve"> (upholding the denial of the will to probate where there was no proof that the alleged will was in existence at the time of the testator’s death, and no evidence of the contents of the will that had been attested to by the witnesses)</w:t>
      </w:r>
      <w:r w:rsidR="006C29D2" w:rsidRPr="00BE2E53">
        <w:rPr>
          <w:sz w:val="24"/>
          <w:szCs w:val="24"/>
        </w:rPr>
        <w:t>;</w:t>
      </w:r>
      <w:r w:rsidR="00E757AA" w:rsidRPr="00BE2E53">
        <w:rPr>
          <w:sz w:val="24"/>
          <w:szCs w:val="24"/>
        </w:rPr>
        <w:t xml:space="preserve"> </w:t>
      </w:r>
      <w:r w:rsidR="006C29D2" w:rsidRPr="00BE2E53">
        <w:rPr>
          <w:b/>
          <w:bCs/>
          <w:sz w:val="24"/>
          <w:szCs w:val="24"/>
        </w:rPr>
        <w:t>In re Eder’s Estate</w:t>
      </w:r>
      <w:r w:rsidR="006C29D2" w:rsidRPr="00BE2E53">
        <w:rPr>
          <w:sz w:val="24"/>
          <w:szCs w:val="24"/>
        </w:rPr>
        <w:t xml:space="preserve">, 94 Colo. 173, </w:t>
      </w:r>
      <w:r w:rsidR="006305A9" w:rsidRPr="00BE2E53">
        <w:rPr>
          <w:sz w:val="24"/>
          <w:szCs w:val="24"/>
        </w:rPr>
        <w:t xml:space="preserve">185, </w:t>
      </w:r>
      <w:r w:rsidR="006C29D2" w:rsidRPr="00BE2E53">
        <w:rPr>
          <w:sz w:val="24"/>
          <w:szCs w:val="24"/>
        </w:rPr>
        <w:t>29 P.2d 631</w:t>
      </w:r>
      <w:r w:rsidR="006305A9" w:rsidRPr="00BE2E53">
        <w:rPr>
          <w:sz w:val="24"/>
          <w:szCs w:val="24"/>
        </w:rPr>
        <w:t>, 636</w:t>
      </w:r>
      <w:r w:rsidR="006C29D2" w:rsidRPr="00BE2E53">
        <w:rPr>
          <w:sz w:val="24"/>
          <w:szCs w:val="24"/>
        </w:rPr>
        <w:t xml:space="preserve"> (1934) </w:t>
      </w:r>
      <w:r w:rsidR="00F850EA" w:rsidRPr="00BE2E53">
        <w:rPr>
          <w:sz w:val="24"/>
          <w:szCs w:val="24"/>
        </w:rPr>
        <w:t>(</w:t>
      </w:r>
      <w:r w:rsidR="00C5083A" w:rsidRPr="00BE2E53">
        <w:rPr>
          <w:sz w:val="24"/>
          <w:szCs w:val="24"/>
        </w:rPr>
        <w:t>recognizing that the “universally recognized presumption that a will that may have been in the testator</w:t>
      </w:r>
      <w:r w:rsidR="006C29D2" w:rsidRPr="00BE2E53">
        <w:rPr>
          <w:sz w:val="24"/>
          <w:szCs w:val="24"/>
        </w:rPr>
        <w:t>’</w:t>
      </w:r>
      <w:r w:rsidR="00C5083A" w:rsidRPr="00BE2E53">
        <w:rPr>
          <w:sz w:val="24"/>
          <w:szCs w:val="24"/>
        </w:rPr>
        <w:t xml:space="preserve">s possession and cannot be found at his death was destroyed </w:t>
      </w:r>
      <w:r w:rsidR="00C5083A" w:rsidRPr="00BE2E53">
        <w:rPr>
          <w:i/>
          <w:iCs/>
          <w:sz w:val="24"/>
          <w:szCs w:val="24"/>
        </w:rPr>
        <w:t>animo revocandi</w:t>
      </w:r>
      <w:r w:rsidR="00C5083A" w:rsidRPr="00BE2E53">
        <w:rPr>
          <w:sz w:val="24"/>
          <w:szCs w:val="24"/>
        </w:rPr>
        <w:t xml:space="preserve"> may be rebutted by evidence of his declarations tending to prove he believed the will to be in existence unrevoked, and that the loss or destruction of the will without the knowledge or consent of the testator may be inferred from such declarations without positive proof of loss or destruction, when diligent search and inquiry ha</w:t>
      </w:r>
      <w:r w:rsidR="006305A9" w:rsidRPr="00BE2E53">
        <w:rPr>
          <w:sz w:val="24"/>
          <w:szCs w:val="24"/>
        </w:rPr>
        <w:t>s</w:t>
      </w:r>
      <w:r w:rsidR="00C5083A" w:rsidRPr="00BE2E53">
        <w:rPr>
          <w:sz w:val="24"/>
          <w:szCs w:val="24"/>
        </w:rPr>
        <w:t xml:space="preserve"> failed to locate it in the places where it would most probably have been found if in physical existence”)</w:t>
      </w:r>
      <w:r w:rsidR="006305A9" w:rsidRPr="00BE2E53">
        <w:rPr>
          <w:sz w:val="24"/>
          <w:szCs w:val="24"/>
        </w:rPr>
        <w:t>.</w:t>
      </w:r>
    </w:p>
    <w:p w14:paraId="0D4E5B9E" w14:textId="15EAFF53" w:rsidR="00B55C41" w:rsidRPr="00432BF9" w:rsidRDefault="00D54163" w:rsidP="00BE0428">
      <w:pPr>
        <w:spacing w:after="240"/>
        <w:ind w:firstLine="720"/>
        <w:rPr>
          <w:rFonts w:eastAsia="Times New Roman"/>
          <w:sz w:val="24"/>
          <w:szCs w:val="24"/>
        </w:rPr>
      </w:pPr>
      <w:r>
        <w:rPr>
          <w:rFonts w:eastAsia="Times New Roman"/>
          <w:sz w:val="24"/>
          <w:szCs w:val="24"/>
        </w:rPr>
        <w:t>4</w:t>
      </w:r>
      <w:r w:rsidR="00DC6506" w:rsidRPr="00432BF9">
        <w:rPr>
          <w:rFonts w:eastAsia="Times New Roman"/>
          <w:sz w:val="24"/>
          <w:szCs w:val="24"/>
        </w:rPr>
        <w:t xml:space="preserve">. </w:t>
      </w:r>
      <w:r w:rsidR="00266280" w:rsidRPr="00432BF9">
        <w:rPr>
          <w:rFonts w:eastAsia="Times New Roman"/>
          <w:sz w:val="24"/>
          <w:szCs w:val="24"/>
        </w:rPr>
        <w:t>This instruction should not be given if only part of the will has been burned, torn, canceled, obliterated, or destroyed. Rather, Instruction 34:8 should be used</w:t>
      </w:r>
      <w:r w:rsidR="002B56CF" w:rsidRPr="00432BF9">
        <w:rPr>
          <w:rFonts w:eastAsia="Times New Roman"/>
          <w:sz w:val="24"/>
          <w:szCs w:val="24"/>
        </w:rPr>
        <w:t xml:space="preserve"> and the burden of proof as to revocation of the will in whole, or in part, is on the contestant</w:t>
      </w:r>
      <w:r w:rsidR="00266280" w:rsidRPr="00432BF9">
        <w:rPr>
          <w:rFonts w:eastAsia="Times New Roman"/>
          <w:sz w:val="24"/>
          <w:szCs w:val="24"/>
        </w:rPr>
        <w:t xml:space="preserve">. </w:t>
      </w:r>
      <w:r w:rsidR="006305A9">
        <w:rPr>
          <w:rFonts w:eastAsia="Times New Roman"/>
          <w:sz w:val="24"/>
          <w:szCs w:val="24"/>
        </w:rPr>
        <w:t xml:space="preserve">§ </w:t>
      </w:r>
      <w:r w:rsidR="00266280" w:rsidRPr="00432BF9">
        <w:rPr>
          <w:rFonts w:eastAsia="Times New Roman"/>
          <w:sz w:val="24"/>
          <w:szCs w:val="24"/>
        </w:rPr>
        <w:t>15-11-</w:t>
      </w:r>
      <w:r w:rsidR="00C006FB">
        <w:rPr>
          <w:rFonts w:eastAsia="Times New Roman"/>
          <w:sz w:val="24"/>
          <w:szCs w:val="24"/>
        </w:rPr>
        <w:t>5</w:t>
      </w:r>
      <w:r w:rsidR="00266280" w:rsidRPr="00432BF9">
        <w:rPr>
          <w:rFonts w:eastAsia="Times New Roman"/>
          <w:sz w:val="24"/>
          <w:szCs w:val="24"/>
        </w:rPr>
        <w:t>07, C.R.S.</w:t>
      </w:r>
    </w:p>
    <w:p w14:paraId="4C520798" w14:textId="4D86E333" w:rsidR="00896032" w:rsidRPr="00432BF9" w:rsidRDefault="00D54163" w:rsidP="00BE0428">
      <w:pPr>
        <w:spacing w:after="240"/>
        <w:ind w:firstLine="720"/>
        <w:rPr>
          <w:rFonts w:eastAsia="Times New Roman"/>
          <w:sz w:val="24"/>
          <w:szCs w:val="24"/>
        </w:rPr>
      </w:pPr>
      <w:r>
        <w:rPr>
          <w:rFonts w:eastAsia="Times New Roman"/>
          <w:sz w:val="24"/>
          <w:szCs w:val="24"/>
        </w:rPr>
        <w:lastRenderedPageBreak/>
        <w:t>5</w:t>
      </w:r>
      <w:r w:rsidR="00B55C41" w:rsidRPr="00432BF9">
        <w:rPr>
          <w:rFonts w:eastAsia="Times New Roman"/>
          <w:sz w:val="24"/>
          <w:szCs w:val="24"/>
        </w:rPr>
        <w:t xml:space="preserve">. </w:t>
      </w:r>
      <w:r w:rsidR="00896032" w:rsidRPr="00432BF9">
        <w:rPr>
          <w:rFonts w:eastAsia="Times New Roman"/>
          <w:sz w:val="24"/>
          <w:szCs w:val="24"/>
        </w:rPr>
        <w:t>This instruction should not be given unless there is sufficient evidence from which a reasonable jury could reasonably find the basic facts of the presumption, for example, possession by the testator, to be proved.</w:t>
      </w:r>
    </w:p>
    <w:p w14:paraId="01FA211F" w14:textId="620559BD" w:rsidR="00896032" w:rsidRPr="00432BF9" w:rsidRDefault="00D54163" w:rsidP="00BE0428">
      <w:pPr>
        <w:pStyle w:val="ListParagraph"/>
        <w:spacing w:after="240"/>
        <w:ind w:left="0" w:firstLine="720"/>
        <w:contextualSpacing w:val="0"/>
        <w:rPr>
          <w:rFonts w:eastAsia="Times New Roman"/>
          <w:sz w:val="24"/>
          <w:szCs w:val="24"/>
        </w:rPr>
      </w:pPr>
      <w:r>
        <w:rPr>
          <w:rFonts w:eastAsia="Times New Roman"/>
          <w:sz w:val="24"/>
          <w:szCs w:val="24"/>
        </w:rPr>
        <w:t>6</w:t>
      </w:r>
      <w:r w:rsidR="00896032" w:rsidRPr="006305A9">
        <w:rPr>
          <w:rFonts w:eastAsia="Times New Roman"/>
          <w:sz w:val="24"/>
          <w:szCs w:val="24"/>
        </w:rPr>
        <w:t xml:space="preserve">. See the Notes on Use to Instruction 3:5 (permissible inference arising from rebuttable presumption). As explained there, if there is evidence to support the basic facts of the presumption, but there is no or insufficient evidence rebutting the presumed fact, then the parenthesized clause, “and you must find,” in the second paragraph </w:t>
      </w:r>
      <w:r w:rsidR="00285CB9">
        <w:rPr>
          <w:rFonts w:eastAsia="Times New Roman"/>
          <w:sz w:val="24"/>
          <w:szCs w:val="24"/>
        </w:rPr>
        <w:t>should</w:t>
      </w:r>
      <w:r w:rsidR="00896032" w:rsidRPr="006305A9">
        <w:rPr>
          <w:rFonts w:eastAsia="Times New Roman"/>
          <w:sz w:val="24"/>
          <w:szCs w:val="24"/>
        </w:rPr>
        <w:t xml:space="preserve"> be given and the parenthesized third paragraph must be omitted. On the other hand, if there is sufficient rebutting evidence (and assuming the presumption covered by this instruction is one that stays in the case as “some evidence,” even when rebutted, see the Notes on Use to Instruction 3:5), the parenthesized clause, “and you must find,” should be omitted, and the parenthesized third paragraph </w:t>
      </w:r>
      <w:r w:rsidR="00285CB9">
        <w:rPr>
          <w:rFonts w:eastAsia="Times New Roman"/>
          <w:sz w:val="24"/>
          <w:szCs w:val="24"/>
        </w:rPr>
        <w:t>should</w:t>
      </w:r>
      <w:r w:rsidR="00896032" w:rsidRPr="006305A9">
        <w:rPr>
          <w:rFonts w:eastAsia="Times New Roman"/>
          <w:sz w:val="24"/>
          <w:szCs w:val="24"/>
        </w:rPr>
        <w:t xml:space="preserve"> be given.</w:t>
      </w:r>
    </w:p>
    <w:p w14:paraId="5500A7FA" w14:textId="5EF3D30D" w:rsidR="00B55C41" w:rsidRPr="006305A9" w:rsidRDefault="00D54163" w:rsidP="00BE0428">
      <w:pPr>
        <w:pStyle w:val="ListParagraph"/>
        <w:spacing w:after="240"/>
        <w:ind w:left="0" w:firstLine="720"/>
        <w:contextualSpacing w:val="0"/>
        <w:rPr>
          <w:rFonts w:eastAsia="Times New Roman"/>
          <w:sz w:val="24"/>
          <w:szCs w:val="24"/>
        </w:rPr>
      </w:pPr>
      <w:r>
        <w:rPr>
          <w:bCs/>
          <w:sz w:val="24"/>
          <w:szCs w:val="24"/>
        </w:rPr>
        <w:t>7</w:t>
      </w:r>
      <w:r w:rsidR="00B55C41" w:rsidRPr="00432BF9">
        <w:rPr>
          <w:bCs/>
          <w:sz w:val="24"/>
          <w:szCs w:val="24"/>
        </w:rPr>
        <w:t xml:space="preserve">. If the Court finds that there is legally sufficient evidence to rebut the presumption, then the Court may instruct the jury that they may draw an inference that the Will was revoked by the testator and consider that inference together with all other evidence in the case to determine whether the </w:t>
      </w:r>
      <w:r w:rsidR="00EE1E4B">
        <w:rPr>
          <w:bCs/>
          <w:sz w:val="24"/>
          <w:szCs w:val="24"/>
        </w:rPr>
        <w:t>w</w:t>
      </w:r>
      <w:r w:rsidR="00B55C41" w:rsidRPr="00432BF9">
        <w:rPr>
          <w:bCs/>
          <w:sz w:val="24"/>
          <w:szCs w:val="24"/>
        </w:rPr>
        <w:t xml:space="preserve">ill was unrevoked by the testator at the time of the testator’s death. If the Court finds that there is legally insufficient or no evidence to rebut the presumption that the testator revoked the </w:t>
      </w:r>
      <w:r w:rsidR="00EE1E4B">
        <w:rPr>
          <w:bCs/>
          <w:sz w:val="24"/>
          <w:szCs w:val="24"/>
        </w:rPr>
        <w:t>w</w:t>
      </w:r>
      <w:r w:rsidR="00B55C41" w:rsidRPr="00432BF9">
        <w:rPr>
          <w:bCs/>
          <w:sz w:val="24"/>
          <w:szCs w:val="24"/>
        </w:rPr>
        <w:t xml:space="preserve">ill, then revocation of the </w:t>
      </w:r>
      <w:r w:rsidR="00EE1E4B">
        <w:rPr>
          <w:bCs/>
          <w:sz w:val="24"/>
          <w:szCs w:val="24"/>
        </w:rPr>
        <w:t>w</w:t>
      </w:r>
      <w:r w:rsidR="00B55C41" w:rsidRPr="00432BF9">
        <w:rPr>
          <w:bCs/>
          <w:sz w:val="24"/>
          <w:szCs w:val="24"/>
        </w:rPr>
        <w:t>ill has been established as a matter of law.</w:t>
      </w:r>
    </w:p>
    <w:p w14:paraId="3ECAF585" w14:textId="201D786C" w:rsidR="00B55C41" w:rsidRDefault="00D54163" w:rsidP="00BE0428">
      <w:pPr>
        <w:pStyle w:val="ListParagraph"/>
        <w:spacing w:after="240"/>
        <w:ind w:left="0" w:firstLine="720"/>
        <w:contextualSpacing w:val="0"/>
        <w:rPr>
          <w:rFonts w:eastAsia="Times New Roman"/>
          <w:sz w:val="24"/>
          <w:szCs w:val="24"/>
        </w:rPr>
      </w:pPr>
      <w:r>
        <w:rPr>
          <w:rFonts w:eastAsia="Times New Roman"/>
          <w:sz w:val="24"/>
          <w:szCs w:val="24"/>
        </w:rPr>
        <w:t>8</w:t>
      </w:r>
      <w:r w:rsidR="006305A9">
        <w:rPr>
          <w:rFonts w:eastAsia="Times New Roman"/>
          <w:sz w:val="24"/>
          <w:szCs w:val="24"/>
        </w:rPr>
        <w:t>.</w:t>
      </w:r>
      <w:r w:rsidR="00896032" w:rsidRPr="006305A9">
        <w:rPr>
          <w:rFonts w:eastAsia="Times New Roman"/>
          <w:sz w:val="24"/>
          <w:szCs w:val="24"/>
        </w:rPr>
        <w:t xml:space="preserve"> Under both CRE 301, and section 15-12-407, C.R.S., the presumption set out in this instruction does not shift the burden of disproving the presumed fact to the opponent of the presumption. For a discussion of CRE 301, see the Notes on Use to Instruction 3:5. Under section 15-12-407, a party has “the ultimate burden of persuasion as to matters with respect to which [that party has] the initial burden of proof.”</w:t>
      </w:r>
    </w:p>
    <w:p w14:paraId="21967BC2" w14:textId="7BAD6745" w:rsidR="006B6726" w:rsidRDefault="00D54163" w:rsidP="00BE0428">
      <w:pPr>
        <w:pStyle w:val="ListParagraph"/>
        <w:spacing w:after="240"/>
        <w:ind w:left="0" w:firstLine="720"/>
        <w:contextualSpacing w:val="0"/>
        <w:rPr>
          <w:sz w:val="24"/>
          <w:szCs w:val="24"/>
        </w:rPr>
      </w:pPr>
      <w:r>
        <w:rPr>
          <w:rFonts w:eastAsia="Times New Roman"/>
          <w:sz w:val="24"/>
          <w:szCs w:val="24"/>
        </w:rPr>
        <w:t>9</w:t>
      </w:r>
      <w:r w:rsidR="006305A9">
        <w:rPr>
          <w:rFonts w:eastAsia="Times New Roman"/>
          <w:sz w:val="24"/>
          <w:szCs w:val="24"/>
        </w:rPr>
        <w:t xml:space="preserve">. </w:t>
      </w:r>
      <w:r w:rsidR="006B6726" w:rsidRPr="006305A9">
        <w:rPr>
          <w:rFonts w:eastAsia="Times New Roman"/>
          <w:sz w:val="24"/>
          <w:szCs w:val="24"/>
        </w:rPr>
        <w:t xml:space="preserve">The presumption of revocation of a lost or unavailable will may be overcome by evidence that the will was in the control and possession of the testator but that the testator lacked the requisite mental capacity to revoke the will. </w:t>
      </w:r>
      <w:hyperlink r:id="rId9" w:history="1">
        <w:r w:rsidR="006B6726" w:rsidRPr="00A371BB">
          <w:rPr>
            <w:rStyle w:val="Hyperlink"/>
            <w:b/>
            <w:bCs/>
            <w:color w:val="auto"/>
            <w:sz w:val="24"/>
            <w:szCs w:val="24"/>
            <w:u w:val="none"/>
            <w:bdr w:val="none" w:sz="0" w:space="0" w:color="auto" w:frame="1"/>
          </w:rPr>
          <w:t>In re Estate of Sebben</w:t>
        </w:r>
        <w:r w:rsidR="006B6726" w:rsidRPr="00A371BB">
          <w:rPr>
            <w:rStyle w:val="Hyperlink"/>
            <w:color w:val="auto"/>
            <w:sz w:val="24"/>
            <w:szCs w:val="24"/>
            <w:u w:val="none"/>
            <w:bdr w:val="none" w:sz="0" w:space="0" w:color="auto" w:frame="1"/>
          </w:rPr>
          <w:t>, 151 Colo. 12</w:t>
        </w:r>
      </w:hyperlink>
      <w:r w:rsidR="00B0433C" w:rsidRPr="00A371BB">
        <w:rPr>
          <w:sz w:val="24"/>
          <w:szCs w:val="24"/>
        </w:rPr>
        <w:t xml:space="preserve">, 375 </w:t>
      </w:r>
      <w:r w:rsidR="00B0433C">
        <w:rPr>
          <w:sz w:val="24"/>
          <w:szCs w:val="24"/>
        </w:rPr>
        <w:t>P.2d 516 (1962)</w:t>
      </w:r>
      <w:r w:rsidR="006B6726" w:rsidRPr="006305A9">
        <w:rPr>
          <w:sz w:val="24"/>
          <w:szCs w:val="24"/>
        </w:rPr>
        <w:t xml:space="preserve"> (finding that the presumption of revocation of the lost will was overcome by evidence that the original will was in existence after the testator allegedly lacked the mental capacity to revoke it and that the issue of whether the carbon copy of the will was admissible to probate should have been submitted to the jury for determination)</w:t>
      </w:r>
      <w:r w:rsidR="00B0433C">
        <w:rPr>
          <w:sz w:val="24"/>
          <w:szCs w:val="24"/>
        </w:rPr>
        <w:t>;</w:t>
      </w:r>
      <w:r w:rsidR="00CF690B">
        <w:rPr>
          <w:sz w:val="24"/>
          <w:szCs w:val="24"/>
        </w:rPr>
        <w:t xml:space="preserve"> </w:t>
      </w:r>
      <w:r w:rsidR="00B0433C" w:rsidRPr="00B0433C">
        <w:rPr>
          <w:i/>
          <w:iCs/>
          <w:sz w:val="24"/>
          <w:szCs w:val="24"/>
        </w:rPr>
        <w:t>s</w:t>
      </w:r>
      <w:r w:rsidR="00CF690B">
        <w:rPr>
          <w:i/>
          <w:iCs/>
          <w:sz w:val="24"/>
          <w:szCs w:val="24"/>
        </w:rPr>
        <w:t xml:space="preserve">ee </w:t>
      </w:r>
      <w:r w:rsidR="00CF690B">
        <w:rPr>
          <w:sz w:val="24"/>
          <w:szCs w:val="24"/>
        </w:rPr>
        <w:t>CRE 301.</w:t>
      </w:r>
    </w:p>
    <w:p w14:paraId="5BD0D39E" w14:textId="330737BE" w:rsidR="00896032" w:rsidRDefault="00D54163" w:rsidP="00BE0428">
      <w:pPr>
        <w:pStyle w:val="ListParagraph"/>
        <w:spacing w:after="240"/>
        <w:ind w:left="0" w:firstLine="720"/>
        <w:contextualSpacing w:val="0"/>
        <w:rPr>
          <w:rFonts w:eastAsia="Times New Roman"/>
          <w:sz w:val="24"/>
          <w:szCs w:val="24"/>
        </w:rPr>
      </w:pPr>
      <w:r>
        <w:rPr>
          <w:rFonts w:eastAsia="Times New Roman"/>
          <w:sz w:val="24"/>
          <w:szCs w:val="24"/>
        </w:rPr>
        <w:t>10</w:t>
      </w:r>
      <w:r w:rsidR="006305A9">
        <w:rPr>
          <w:rFonts w:eastAsia="Times New Roman"/>
          <w:sz w:val="24"/>
          <w:szCs w:val="24"/>
        </w:rPr>
        <w:t>.</w:t>
      </w:r>
      <w:r w:rsidR="00896032" w:rsidRPr="00BE0428">
        <w:rPr>
          <w:rFonts w:eastAsia="Times New Roman"/>
          <w:sz w:val="24"/>
          <w:szCs w:val="24"/>
        </w:rPr>
        <w:t xml:space="preserve"> A decedent does not need to have had exclusive possession of the torn or canceled will for this presumption to apply. </w:t>
      </w:r>
      <w:r w:rsidR="00896032" w:rsidRPr="00BE0428">
        <w:rPr>
          <w:rFonts w:eastAsia="Times New Roman"/>
          <w:b/>
          <w:sz w:val="24"/>
          <w:szCs w:val="24"/>
        </w:rPr>
        <w:t>In re Estate of Schumacher</w:t>
      </w:r>
      <w:r w:rsidR="00896032" w:rsidRPr="00BE0428">
        <w:rPr>
          <w:rFonts w:eastAsia="Times New Roman"/>
          <w:sz w:val="24"/>
          <w:szCs w:val="24"/>
        </w:rPr>
        <w:t>, 253 P.3d 1280 (Colo. App. 2011) (will was in decedent’s possession when it was found in a box of personal records decedent sent to his secretary to store in her garage six months before his death).</w:t>
      </w:r>
    </w:p>
    <w:p w14:paraId="632E1F71" w14:textId="201E8DCD" w:rsidR="003577C6" w:rsidRPr="00896032" w:rsidRDefault="006305A9" w:rsidP="00BE0428">
      <w:pPr>
        <w:pStyle w:val="ListParagraph"/>
        <w:spacing w:after="240"/>
        <w:ind w:left="0" w:firstLine="720"/>
        <w:contextualSpacing w:val="0"/>
        <w:rPr>
          <w:rFonts w:eastAsia="Times New Roman"/>
          <w:sz w:val="24"/>
          <w:szCs w:val="24"/>
        </w:rPr>
      </w:pPr>
      <w:r>
        <w:rPr>
          <w:rFonts w:eastAsia="Times New Roman"/>
          <w:sz w:val="24"/>
          <w:szCs w:val="24"/>
        </w:rPr>
        <w:t>1</w:t>
      </w:r>
      <w:r w:rsidR="00D54163">
        <w:rPr>
          <w:rFonts w:eastAsia="Times New Roman"/>
          <w:sz w:val="24"/>
          <w:szCs w:val="24"/>
        </w:rPr>
        <w:t>1</w:t>
      </w:r>
      <w:r>
        <w:rPr>
          <w:rFonts w:eastAsia="Times New Roman"/>
          <w:sz w:val="24"/>
          <w:szCs w:val="24"/>
        </w:rPr>
        <w:t>.</w:t>
      </w:r>
      <w:r w:rsidR="00896032" w:rsidRPr="00BE0428">
        <w:rPr>
          <w:rFonts w:eastAsia="Times New Roman"/>
          <w:sz w:val="24"/>
          <w:szCs w:val="24"/>
        </w:rPr>
        <w:t xml:space="preserve"> “[A] testator’s cancellation of a duplicate original or fully executed carbon copy of a will which is in the testator’s possession at his death raises a presumption that the testator intended to cancel the other duplicate original or the original will in the possession of another. . . . [Such] presumption, as other evidentiary presumptions, may be rebutted by evidence.” </w:t>
      </w:r>
      <w:r w:rsidR="00896032" w:rsidRPr="00BE0428">
        <w:rPr>
          <w:rFonts w:eastAsia="Times New Roman"/>
          <w:b/>
          <w:sz w:val="24"/>
          <w:szCs w:val="24"/>
        </w:rPr>
        <w:t>In re Estate of Tong</w:t>
      </w:r>
      <w:r w:rsidR="00896032" w:rsidRPr="00BE0428">
        <w:rPr>
          <w:rFonts w:eastAsia="Times New Roman"/>
          <w:sz w:val="24"/>
          <w:szCs w:val="24"/>
        </w:rPr>
        <w:t xml:space="preserve">, 619 P.2d 91, 92 (Colo. App. 1980). When the evidence is sufficient to support the application of this rule, this instruction </w:t>
      </w:r>
      <w:r w:rsidR="00285CB9">
        <w:rPr>
          <w:rFonts w:eastAsia="Times New Roman"/>
          <w:sz w:val="24"/>
          <w:szCs w:val="24"/>
        </w:rPr>
        <w:t>should</w:t>
      </w:r>
      <w:r w:rsidR="00896032" w:rsidRPr="00BE0428">
        <w:rPr>
          <w:rFonts w:eastAsia="Times New Roman"/>
          <w:sz w:val="24"/>
          <w:szCs w:val="24"/>
        </w:rPr>
        <w:t xml:space="preserve"> be appropriately modified.</w:t>
      </w:r>
    </w:p>
    <w:p w14:paraId="1263F45F"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lastRenderedPageBreak/>
        <w:t>Source and Authority</w:t>
      </w:r>
    </w:p>
    <w:p w14:paraId="1FA296FD" w14:textId="18CBA9C9"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This instruction is supported by section </w:t>
      </w:r>
      <w:r w:rsidR="007F63FC">
        <w:rPr>
          <w:rFonts w:eastAsia="Times New Roman"/>
          <w:sz w:val="24"/>
          <w:szCs w:val="24"/>
        </w:rPr>
        <w:t>15-12-402(3)</w:t>
      </w:r>
      <w:r w:rsidRPr="00896032">
        <w:rPr>
          <w:rFonts w:eastAsia="Times New Roman"/>
          <w:sz w:val="24"/>
          <w:szCs w:val="24"/>
        </w:rPr>
        <w:t xml:space="preserve">, C.R.S.; </w:t>
      </w:r>
      <w:r w:rsidRPr="00896032">
        <w:rPr>
          <w:rFonts w:eastAsia="Times New Roman"/>
          <w:b/>
          <w:sz w:val="24"/>
          <w:szCs w:val="24"/>
        </w:rPr>
        <w:t>Hoff v. Armbruster</w:t>
      </w:r>
      <w:r w:rsidRPr="00896032">
        <w:rPr>
          <w:rFonts w:eastAsia="Times New Roman"/>
          <w:sz w:val="24"/>
          <w:szCs w:val="24"/>
        </w:rPr>
        <w:t xml:space="preserve">, 122 Colo. 563, 568, 226 P.2d 312, 314 (1950) (“‘Where a will which cannot be found following the death of the testator is shown to have been in his possession when last seen, the presumption is, in the absence of other evidence, that he destroyed it </w:t>
      </w:r>
      <w:r w:rsidRPr="00896032">
        <w:rPr>
          <w:rFonts w:eastAsia="Times New Roman"/>
          <w:i/>
          <w:sz w:val="24"/>
          <w:szCs w:val="24"/>
        </w:rPr>
        <w:t>animo revocandi</w:t>
      </w:r>
      <w:r w:rsidRPr="00896032">
        <w:rPr>
          <w:rFonts w:eastAsia="Times New Roman"/>
          <w:sz w:val="24"/>
          <w:szCs w:val="24"/>
        </w:rPr>
        <w:t xml:space="preserve">.’” (quoting 57 </w:t>
      </w:r>
      <w:r w:rsidRPr="00BE0428">
        <w:rPr>
          <w:rFonts w:eastAsia="Times New Roman"/>
          <w:smallCaps/>
          <w:sz w:val="24"/>
          <w:szCs w:val="24"/>
        </w:rPr>
        <w:t>Am. Jur.</w:t>
      </w:r>
      <w:r w:rsidRPr="00896032">
        <w:rPr>
          <w:rFonts w:eastAsia="Times New Roman"/>
          <w:sz w:val="24"/>
          <w:szCs w:val="24"/>
        </w:rPr>
        <w:t xml:space="preserve"> </w:t>
      </w:r>
      <w:r w:rsidRPr="00896032">
        <w:rPr>
          <w:rFonts w:eastAsia="Times New Roman"/>
          <w:i/>
          <w:sz w:val="24"/>
          <w:szCs w:val="24"/>
        </w:rPr>
        <w:t xml:space="preserve">Wills </w:t>
      </w:r>
      <w:r w:rsidRPr="00896032">
        <w:rPr>
          <w:rFonts w:eastAsia="Times New Roman"/>
          <w:sz w:val="24"/>
          <w:szCs w:val="24"/>
        </w:rPr>
        <w:t xml:space="preserve">§ 549)); and 3 </w:t>
      </w:r>
      <w:r w:rsidRPr="00896032">
        <w:rPr>
          <w:rFonts w:eastAsia="Times New Roman"/>
          <w:smallCaps/>
          <w:sz w:val="24"/>
          <w:szCs w:val="24"/>
        </w:rPr>
        <w:t>W. Bowe &amp; D. Parker, Page on the Law of Wills</w:t>
      </w:r>
      <w:r w:rsidRPr="00896032">
        <w:rPr>
          <w:rFonts w:eastAsia="Times New Roman"/>
          <w:sz w:val="24"/>
          <w:szCs w:val="24"/>
        </w:rPr>
        <w:t xml:space="preserve"> § 29.139 (presumption where will is missing)</w:t>
      </w:r>
      <w:r w:rsidR="002D0BF9">
        <w:rPr>
          <w:rFonts w:eastAsia="Times New Roman"/>
          <w:sz w:val="24"/>
          <w:szCs w:val="24"/>
        </w:rPr>
        <w:t>.</w:t>
      </w:r>
    </w:p>
    <w:p w14:paraId="3B871D69" w14:textId="77777777" w:rsidR="00896032" w:rsidRDefault="00896032">
      <w:pPr>
        <w:rPr>
          <w:rFonts w:eastAsia="Times New Roman"/>
          <w:sz w:val="24"/>
          <w:szCs w:val="24"/>
        </w:rPr>
      </w:pPr>
      <w:r>
        <w:rPr>
          <w:rFonts w:eastAsia="Times New Roman"/>
          <w:sz w:val="24"/>
          <w:szCs w:val="24"/>
        </w:rPr>
        <w:br w:type="page"/>
      </w:r>
    </w:p>
    <w:p w14:paraId="49801325" w14:textId="366A7269" w:rsidR="00896032" w:rsidRPr="009E3DA4" w:rsidRDefault="00896032" w:rsidP="00896032">
      <w:pPr>
        <w:spacing w:after="240"/>
        <w:ind w:left="720" w:hanging="720"/>
        <w:rPr>
          <w:rFonts w:eastAsia="Times New Roman"/>
          <w:b/>
          <w:sz w:val="24"/>
          <w:szCs w:val="24"/>
        </w:rPr>
      </w:pPr>
      <w:bookmarkStart w:id="18" w:name="a34_10"/>
      <w:bookmarkEnd w:id="18"/>
      <w:r>
        <w:rPr>
          <w:rFonts w:eastAsia="Times New Roman"/>
          <w:b/>
          <w:sz w:val="24"/>
          <w:szCs w:val="24"/>
        </w:rPr>
        <w:lastRenderedPageBreak/>
        <w:t>34:10</w:t>
      </w:r>
      <w:r w:rsidRPr="00896032">
        <w:rPr>
          <w:rFonts w:eastAsia="Times New Roman"/>
          <w:b/>
          <w:sz w:val="24"/>
          <w:szCs w:val="24"/>
        </w:rPr>
        <w:tab/>
      </w:r>
      <w:r w:rsidRPr="00B0433C">
        <w:rPr>
          <w:rFonts w:ascii="Times New Roman Bold" w:eastAsia="Times New Roman" w:hAnsi="Times New Roman Bold"/>
          <w:b/>
          <w:caps/>
          <w:sz w:val="24"/>
          <w:szCs w:val="24"/>
        </w:rPr>
        <w:t>Burden of Proof On Issues of Sound Mind</w:t>
      </w:r>
      <w:r w:rsidR="0028751D" w:rsidRPr="00B0433C">
        <w:rPr>
          <w:rFonts w:ascii="Times New Roman Bold" w:eastAsia="Times New Roman" w:hAnsi="Times New Roman Bold"/>
          <w:b/>
          <w:caps/>
          <w:sz w:val="24"/>
          <w:szCs w:val="24"/>
        </w:rPr>
        <w:t>,</w:t>
      </w:r>
      <w:r w:rsidRPr="00B0433C">
        <w:rPr>
          <w:rFonts w:ascii="Times New Roman Bold" w:eastAsia="Times New Roman" w:hAnsi="Times New Roman Bold"/>
          <w:b/>
          <w:caps/>
          <w:sz w:val="24"/>
          <w:szCs w:val="24"/>
        </w:rPr>
        <w:t xml:space="preserve"> Testamentary Capacity</w:t>
      </w:r>
      <w:r w:rsidR="0028751D" w:rsidRPr="00B0433C">
        <w:rPr>
          <w:rFonts w:ascii="Times New Roman Bold" w:eastAsia="Times New Roman" w:hAnsi="Times New Roman Bold"/>
          <w:b/>
          <w:caps/>
          <w:sz w:val="24"/>
          <w:szCs w:val="24"/>
        </w:rPr>
        <w:t>,</w:t>
      </w:r>
      <w:r w:rsidRPr="00B0433C">
        <w:rPr>
          <w:rFonts w:ascii="Times New Roman Bold" w:eastAsia="Times New Roman" w:hAnsi="Times New Roman Bold"/>
          <w:b/>
          <w:caps/>
          <w:sz w:val="24"/>
          <w:szCs w:val="24"/>
        </w:rPr>
        <w:t xml:space="preserve"> Undue Influence</w:t>
      </w:r>
      <w:r w:rsidR="0028751D" w:rsidRPr="00B0433C">
        <w:rPr>
          <w:rFonts w:ascii="Times New Roman Bold" w:eastAsia="Times New Roman" w:hAnsi="Times New Roman Bold"/>
          <w:b/>
          <w:caps/>
          <w:sz w:val="24"/>
          <w:szCs w:val="24"/>
        </w:rPr>
        <w:t>, and insane delusion</w:t>
      </w:r>
    </w:p>
    <w:p w14:paraId="1DC4EAFE" w14:textId="77777777" w:rsidR="009A7292" w:rsidRDefault="009A7292" w:rsidP="00896032">
      <w:pPr>
        <w:keepNext/>
        <w:spacing w:after="240"/>
        <w:jc w:val="center"/>
        <w:rPr>
          <w:rFonts w:eastAsia="Times New Roman"/>
          <w:b/>
          <w:sz w:val="24"/>
          <w:szCs w:val="24"/>
        </w:rPr>
      </w:pPr>
    </w:p>
    <w:p w14:paraId="2E7D367C" w14:textId="48F9447A"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w:t>
      </w:r>
    </w:p>
    <w:p w14:paraId="14A01222" w14:textId="6BCA9189"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Instructions 34:11 </w:t>
      </w:r>
      <w:r w:rsidR="000A5F91">
        <w:rPr>
          <w:rFonts w:eastAsia="Times New Roman"/>
          <w:sz w:val="24"/>
          <w:szCs w:val="24"/>
        </w:rPr>
        <w:t xml:space="preserve">(defining testamentary capacity), 34:12 (defining insane delusion), </w:t>
      </w:r>
      <w:r w:rsidR="00846D9B">
        <w:rPr>
          <w:rFonts w:eastAsia="Times New Roman"/>
          <w:sz w:val="24"/>
          <w:szCs w:val="24"/>
        </w:rPr>
        <w:t xml:space="preserve">34:13 (elements of proof of insane delusion), and </w:t>
      </w:r>
      <w:r w:rsidRPr="00896032">
        <w:rPr>
          <w:rFonts w:eastAsia="Times New Roman"/>
          <w:sz w:val="24"/>
          <w:szCs w:val="24"/>
        </w:rPr>
        <w:t>34:14</w:t>
      </w:r>
      <w:r w:rsidR="000A5F91">
        <w:rPr>
          <w:rFonts w:eastAsia="Times New Roman"/>
          <w:sz w:val="24"/>
          <w:szCs w:val="24"/>
        </w:rPr>
        <w:t xml:space="preserve"> (defining undue influence)</w:t>
      </w:r>
      <w:r w:rsidRPr="00896032">
        <w:rPr>
          <w:rFonts w:eastAsia="Times New Roman"/>
          <w:sz w:val="24"/>
          <w:szCs w:val="24"/>
        </w:rPr>
        <w:t>, when applicable, and the last paragraphs of Instructions 34:2, 34:5, and 34:6, when applicable, adequately inform the jury of the burden of proof with regard to the affirmative defenses of lack of testamentary capacity or the existence of undue influence.</w:t>
      </w:r>
    </w:p>
    <w:p w14:paraId="5BE46915" w14:textId="77777777" w:rsidR="00896032" w:rsidRDefault="00896032">
      <w:pPr>
        <w:rPr>
          <w:rFonts w:eastAsia="Times New Roman"/>
          <w:sz w:val="24"/>
          <w:szCs w:val="24"/>
        </w:rPr>
      </w:pPr>
      <w:r>
        <w:rPr>
          <w:rFonts w:eastAsia="Times New Roman"/>
          <w:sz w:val="24"/>
          <w:szCs w:val="24"/>
        </w:rPr>
        <w:br w:type="page"/>
      </w:r>
    </w:p>
    <w:p w14:paraId="64A03673" w14:textId="77777777" w:rsidR="00896032" w:rsidRPr="009E3DA4" w:rsidRDefault="00896032" w:rsidP="00896032">
      <w:pPr>
        <w:spacing w:after="240"/>
        <w:ind w:left="720" w:hanging="720"/>
        <w:rPr>
          <w:rFonts w:eastAsia="Times New Roman"/>
          <w:b/>
          <w:sz w:val="24"/>
          <w:szCs w:val="24"/>
        </w:rPr>
      </w:pPr>
      <w:bookmarkStart w:id="19" w:name="a34_11"/>
      <w:bookmarkEnd w:id="19"/>
      <w:r w:rsidRPr="00896032">
        <w:rPr>
          <w:rFonts w:eastAsia="Times New Roman"/>
          <w:b/>
          <w:sz w:val="24"/>
          <w:szCs w:val="24"/>
        </w:rPr>
        <w:lastRenderedPageBreak/>
        <w:t xml:space="preserve">34:11 </w:t>
      </w:r>
      <w:r w:rsidRPr="00896032">
        <w:rPr>
          <w:rFonts w:eastAsia="Times New Roman"/>
          <w:b/>
          <w:sz w:val="24"/>
          <w:szCs w:val="24"/>
        </w:rPr>
        <w:tab/>
      </w:r>
      <w:r w:rsidRPr="00896032">
        <w:rPr>
          <w:rFonts w:ascii="Times New Roman Bold" w:eastAsia="Times New Roman" w:hAnsi="Times New Roman Bold"/>
          <w:b/>
          <w:caps/>
          <w:sz w:val="24"/>
          <w:szCs w:val="24"/>
        </w:rPr>
        <w:t>Testamentary Capacity and Sound Mind — Defined</w:t>
      </w:r>
    </w:p>
    <w:p w14:paraId="7155C23A" w14:textId="77877C32" w:rsidR="00896032" w:rsidRPr="00896032" w:rsidRDefault="00896032" w:rsidP="00896032">
      <w:pPr>
        <w:spacing w:after="240"/>
        <w:ind w:firstLine="720"/>
        <w:rPr>
          <w:rFonts w:eastAsia="Times New Roman"/>
          <w:b/>
          <w:sz w:val="24"/>
          <w:szCs w:val="24"/>
        </w:rPr>
      </w:pPr>
      <w:bookmarkStart w:id="20" w:name="_Hlk146459709"/>
      <w:r w:rsidRPr="00896032">
        <w:rPr>
          <w:rFonts w:eastAsia="Times New Roman"/>
          <w:b/>
          <w:sz w:val="24"/>
          <w:szCs w:val="24"/>
        </w:rPr>
        <w:t xml:space="preserve">A </w:t>
      </w:r>
      <w:r w:rsidR="0028751D">
        <w:rPr>
          <w:rFonts w:eastAsia="Times New Roman"/>
          <w:b/>
          <w:sz w:val="24"/>
          <w:szCs w:val="24"/>
        </w:rPr>
        <w:t>W</w:t>
      </w:r>
      <w:r w:rsidRPr="00896032">
        <w:rPr>
          <w:rFonts w:eastAsia="Times New Roman"/>
          <w:b/>
          <w:sz w:val="24"/>
          <w:szCs w:val="24"/>
        </w:rPr>
        <w:t xml:space="preserve">ill that was signed when the </w:t>
      </w:r>
      <w:r w:rsidR="0028751D">
        <w:rPr>
          <w:rFonts w:eastAsia="Times New Roman"/>
          <w:b/>
          <w:sz w:val="24"/>
          <w:szCs w:val="24"/>
        </w:rPr>
        <w:t>testator</w:t>
      </w:r>
      <w:r w:rsidRPr="00896032">
        <w:rPr>
          <w:rFonts w:eastAsia="Times New Roman"/>
          <w:b/>
          <w:sz w:val="24"/>
          <w:szCs w:val="24"/>
        </w:rPr>
        <w:t xml:space="preserve"> did not have testamentary capacity is not valid and may not be admitted to probate. </w:t>
      </w:r>
      <w:r w:rsidRPr="000152DA">
        <w:rPr>
          <w:rFonts w:eastAsia="Times New Roman"/>
          <w:bCs/>
          <w:i/>
          <w:iCs/>
          <w:sz w:val="24"/>
          <w:szCs w:val="24"/>
        </w:rPr>
        <w:t>(</w:t>
      </w:r>
      <w:r w:rsidRPr="00896032">
        <w:rPr>
          <w:rFonts w:eastAsia="Times New Roman"/>
          <w:i/>
          <w:sz w:val="24"/>
          <w:szCs w:val="24"/>
        </w:rPr>
        <w:t>Name of testator)</w:t>
      </w:r>
      <w:r w:rsidRPr="00896032">
        <w:rPr>
          <w:rFonts w:eastAsia="Times New Roman"/>
          <w:b/>
          <w:sz w:val="24"/>
          <w:szCs w:val="24"/>
        </w:rPr>
        <w:t xml:space="preserve"> did not have testamentary capacity if </w:t>
      </w:r>
      <w:r w:rsidR="0028751D">
        <w:rPr>
          <w:rFonts w:eastAsia="Arial"/>
          <w:bCs/>
          <w:i/>
          <w:iCs/>
          <w:color w:val="000000"/>
          <w:sz w:val="24"/>
          <w:szCs w:val="24"/>
        </w:rPr>
        <w:t>(</w:t>
      </w:r>
      <w:r w:rsidR="0028751D" w:rsidRPr="00A839C0">
        <w:rPr>
          <w:rFonts w:eastAsia="Arial"/>
          <w:bCs/>
          <w:i/>
          <w:iCs/>
          <w:color w:val="000000"/>
          <w:sz w:val="24"/>
          <w:szCs w:val="24"/>
        </w:rPr>
        <w:t xml:space="preserve">insert </w:t>
      </w:r>
      <w:r w:rsidR="0028751D">
        <w:rPr>
          <w:rFonts w:eastAsia="Times New Roman"/>
          <w:bCs/>
          <w:i/>
          <w:iCs/>
          <w:sz w:val="24"/>
          <w:szCs w:val="24"/>
        </w:rPr>
        <w:t>applicable</w:t>
      </w:r>
      <w:r w:rsidR="0028751D" w:rsidRPr="00A839C0">
        <w:rPr>
          <w:rFonts w:eastAsia="Arial"/>
          <w:bCs/>
          <w:i/>
          <w:iCs/>
          <w:color w:val="000000"/>
          <w:sz w:val="24"/>
          <w:szCs w:val="24"/>
        </w:rPr>
        <w:t xml:space="preserve"> pronoun</w:t>
      </w:r>
      <w:r w:rsidR="0028751D">
        <w:rPr>
          <w:rFonts w:eastAsia="Arial"/>
          <w:bCs/>
          <w:i/>
          <w:iCs/>
          <w:color w:val="000000"/>
          <w:sz w:val="24"/>
          <w:szCs w:val="24"/>
        </w:rPr>
        <w:t xml:space="preserve">) </w:t>
      </w:r>
      <w:r w:rsidRPr="00896032">
        <w:rPr>
          <w:rFonts w:eastAsia="Times New Roman"/>
          <w:b/>
          <w:sz w:val="24"/>
          <w:szCs w:val="24"/>
        </w:rPr>
        <w:t xml:space="preserve">was not eighteen years of age or older or was not of sound mind when the </w:t>
      </w:r>
      <w:r w:rsidR="0028751D">
        <w:rPr>
          <w:rFonts w:eastAsia="Times New Roman"/>
          <w:b/>
          <w:sz w:val="24"/>
          <w:szCs w:val="24"/>
        </w:rPr>
        <w:t>W</w:t>
      </w:r>
      <w:r w:rsidRPr="00896032">
        <w:rPr>
          <w:rFonts w:eastAsia="Times New Roman"/>
          <w:b/>
          <w:sz w:val="24"/>
          <w:szCs w:val="24"/>
        </w:rPr>
        <w:t>ill was signed.</w:t>
      </w:r>
    </w:p>
    <w:p w14:paraId="02090CDB" w14:textId="3F0F204F" w:rsidR="00896032" w:rsidRDefault="00896032" w:rsidP="00896032">
      <w:pPr>
        <w:spacing w:after="240"/>
        <w:ind w:firstLine="720"/>
        <w:rPr>
          <w:rFonts w:eastAsia="Times New Roman"/>
          <w:b/>
          <w:sz w:val="24"/>
          <w:szCs w:val="24"/>
        </w:rPr>
      </w:pPr>
      <w:r w:rsidRPr="00896032">
        <w:rPr>
          <w:rFonts w:eastAsia="Times New Roman"/>
          <w:b/>
          <w:sz w:val="24"/>
          <w:szCs w:val="24"/>
        </w:rPr>
        <w:t xml:space="preserve">(A person is not of sound mind if, when signing a </w:t>
      </w:r>
      <w:r w:rsidR="009D1A9E">
        <w:rPr>
          <w:rFonts w:eastAsia="Times New Roman"/>
          <w:b/>
          <w:sz w:val="24"/>
          <w:szCs w:val="24"/>
        </w:rPr>
        <w:t>W</w:t>
      </w:r>
      <w:r w:rsidRPr="00896032">
        <w:rPr>
          <w:rFonts w:eastAsia="Times New Roman"/>
          <w:b/>
          <w:sz w:val="24"/>
          <w:szCs w:val="24"/>
        </w:rPr>
        <w:t>ill, [</w:t>
      </w:r>
      <w:r w:rsidR="009D1A9E">
        <w:rPr>
          <w:rFonts w:eastAsia="Arial"/>
          <w:bCs/>
          <w:i/>
          <w:iCs/>
          <w:color w:val="000000"/>
          <w:sz w:val="24"/>
          <w:szCs w:val="24"/>
        </w:rPr>
        <w:t>(</w:t>
      </w:r>
      <w:r w:rsidR="009D1A9E" w:rsidRPr="00A839C0">
        <w:rPr>
          <w:rFonts w:eastAsia="Arial"/>
          <w:bCs/>
          <w:i/>
          <w:iCs/>
          <w:color w:val="000000"/>
          <w:sz w:val="24"/>
          <w:szCs w:val="24"/>
        </w:rPr>
        <w:t xml:space="preserve">insert </w:t>
      </w:r>
      <w:r w:rsidR="009D1A9E">
        <w:rPr>
          <w:rFonts w:eastAsia="Times New Roman"/>
          <w:bCs/>
          <w:i/>
          <w:iCs/>
          <w:sz w:val="24"/>
          <w:szCs w:val="24"/>
        </w:rPr>
        <w:t>applicable</w:t>
      </w:r>
      <w:r w:rsidR="009D1A9E" w:rsidRPr="00A839C0">
        <w:rPr>
          <w:rFonts w:eastAsia="Arial"/>
          <w:bCs/>
          <w:i/>
          <w:iCs/>
          <w:color w:val="000000"/>
          <w:sz w:val="24"/>
          <w:szCs w:val="24"/>
        </w:rPr>
        <w:t xml:space="preserve"> pronoun</w:t>
      </w:r>
      <w:r w:rsidR="009D1A9E">
        <w:rPr>
          <w:rFonts w:eastAsia="Arial"/>
          <w:bCs/>
          <w:i/>
          <w:iCs/>
          <w:color w:val="000000"/>
          <w:sz w:val="24"/>
          <w:szCs w:val="24"/>
        </w:rPr>
        <w:t xml:space="preserve">) </w:t>
      </w:r>
      <w:r w:rsidRPr="00896032">
        <w:rPr>
          <w:rFonts w:eastAsia="Times New Roman"/>
          <w:b/>
          <w:sz w:val="24"/>
          <w:szCs w:val="24"/>
        </w:rPr>
        <w:t xml:space="preserve">was suffering from an insane delusion that affected or influenced </w:t>
      </w:r>
      <w:r w:rsidR="009D1A9E">
        <w:rPr>
          <w:rFonts w:eastAsia="Arial"/>
          <w:bCs/>
          <w:i/>
          <w:iCs/>
          <w:color w:val="000000"/>
          <w:sz w:val="24"/>
          <w:szCs w:val="24"/>
        </w:rPr>
        <w:t>(</w:t>
      </w:r>
      <w:r w:rsidR="009D1A9E" w:rsidRPr="00A839C0">
        <w:rPr>
          <w:rFonts w:eastAsia="Arial"/>
          <w:bCs/>
          <w:i/>
          <w:iCs/>
          <w:color w:val="000000"/>
          <w:sz w:val="24"/>
          <w:szCs w:val="24"/>
        </w:rPr>
        <w:t xml:space="preserve">insert </w:t>
      </w:r>
      <w:r w:rsidR="009D1A9E">
        <w:rPr>
          <w:rFonts w:eastAsia="Times New Roman"/>
          <w:bCs/>
          <w:i/>
          <w:iCs/>
          <w:sz w:val="24"/>
          <w:szCs w:val="24"/>
        </w:rPr>
        <w:t>applicable</w:t>
      </w:r>
      <w:r w:rsidR="009D1A9E" w:rsidRPr="00A839C0">
        <w:rPr>
          <w:rFonts w:eastAsia="Arial"/>
          <w:bCs/>
          <w:i/>
          <w:iCs/>
          <w:color w:val="000000"/>
          <w:sz w:val="24"/>
          <w:szCs w:val="24"/>
        </w:rPr>
        <w:t xml:space="preserve"> pronoun</w:t>
      </w:r>
      <w:r w:rsidR="009D1A9E">
        <w:rPr>
          <w:rFonts w:eastAsia="Arial"/>
          <w:bCs/>
          <w:i/>
          <w:iCs/>
          <w:color w:val="000000"/>
          <w:sz w:val="24"/>
          <w:szCs w:val="24"/>
        </w:rPr>
        <w:t xml:space="preserve">) </w:t>
      </w:r>
      <w:r w:rsidRPr="00896032">
        <w:rPr>
          <w:rFonts w:eastAsia="Times New Roman"/>
          <w:b/>
          <w:sz w:val="24"/>
          <w:szCs w:val="24"/>
        </w:rPr>
        <w:t xml:space="preserve">decisions regarding property included in the </w:t>
      </w:r>
      <w:r w:rsidR="009D1A9E">
        <w:rPr>
          <w:rFonts w:eastAsia="Times New Roman"/>
          <w:b/>
          <w:sz w:val="24"/>
          <w:szCs w:val="24"/>
        </w:rPr>
        <w:t>W</w:t>
      </w:r>
      <w:r w:rsidRPr="00896032">
        <w:rPr>
          <w:rFonts w:eastAsia="Times New Roman"/>
          <w:b/>
          <w:sz w:val="24"/>
          <w:szCs w:val="24"/>
        </w:rPr>
        <w:t>ill] [or] [the person does not understand all of the following:</w:t>
      </w:r>
    </w:p>
    <w:p w14:paraId="303EE2AF" w14:textId="5E6F7FBC"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1. That </w:t>
      </w:r>
      <w:r w:rsidR="0028751D" w:rsidRPr="00A839C0">
        <w:rPr>
          <w:bCs/>
          <w:i/>
          <w:iCs/>
          <w:sz w:val="24"/>
          <w:szCs w:val="24"/>
        </w:rPr>
        <w:t xml:space="preserve">(insert </w:t>
      </w:r>
      <w:r w:rsidR="0028751D">
        <w:rPr>
          <w:rFonts w:eastAsia="Times New Roman"/>
          <w:bCs/>
          <w:i/>
          <w:iCs/>
          <w:sz w:val="24"/>
          <w:szCs w:val="24"/>
        </w:rPr>
        <w:t>applicable</w:t>
      </w:r>
      <w:r w:rsidR="0028751D" w:rsidRPr="00A839C0">
        <w:rPr>
          <w:bCs/>
          <w:i/>
          <w:iCs/>
          <w:sz w:val="24"/>
          <w:szCs w:val="24"/>
        </w:rPr>
        <w:t xml:space="preserve"> pronoun)</w:t>
      </w:r>
      <w:r w:rsidRPr="00896032">
        <w:rPr>
          <w:rFonts w:eastAsia="Times New Roman"/>
          <w:b/>
          <w:sz w:val="24"/>
          <w:szCs w:val="24"/>
        </w:rPr>
        <w:t xml:space="preserve"> is making a </w:t>
      </w:r>
      <w:r w:rsidR="0028751D">
        <w:rPr>
          <w:rFonts w:eastAsia="Times New Roman"/>
          <w:b/>
          <w:sz w:val="24"/>
          <w:szCs w:val="24"/>
        </w:rPr>
        <w:t>W</w:t>
      </w:r>
      <w:r w:rsidRPr="00896032">
        <w:rPr>
          <w:rFonts w:eastAsia="Times New Roman"/>
          <w:b/>
          <w:sz w:val="24"/>
          <w:szCs w:val="24"/>
        </w:rPr>
        <w:t>ill;</w:t>
      </w:r>
    </w:p>
    <w:p w14:paraId="778B2518" w14:textId="61996093"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2. The nature and extent of the property</w:t>
      </w:r>
      <w:r w:rsidR="0028751D">
        <w:rPr>
          <w:rFonts w:eastAsia="Times New Roman"/>
          <w:b/>
          <w:sz w:val="24"/>
          <w:szCs w:val="24"/>
        </w:rPr>
        <w:t xml:space="preserve"> owned by the testator</w:t>
      </w:r>
      <w:r w:rsidRPr="00896032">
        <w:rPr>
          <w:rFonts w:eastAsia="Times New Roman"/>
          <w:b/>
          <w:sz w:val="24"/>
          <w:szCs w:val="24"/>
        </w:rPr>
        <w:t>;</w:t>
      </w:r>
    </w:p>
    <w:p w14:paraId="301B128A" w14:textId="1027AC29"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3. How </w:t>
      </w:r>
      <w:r w:rsidR="0028751D">
        <w:rPr>
          <w:rFonts w:eastAsia="Times New Roman"/>
          <w:b/>
          <w:sz w:val="24"/>
          <w:szCs w:val="24"/>
        </w:rPr>
        <w:t>the testator’s</w:t>
      </w:r>
      <w:r w:rsidRPr="00896032">
        <w:rPr>
          <w:rFonts w:eastAsia="Times New Roman"/>
          <w:b/>
          <w:sz w:val="24"/>
          <w:szCs w:val="24"/>
        </w:rPr>
        <w:t xml:space="preserve"> property will be distributed </w:t>
      </w:r>
      <w:r w:rsidR="0028751D">
        <w:rPr>
          <w:rFonts w:eastAsia="Times New Roman"/>
          <w:b/>
          <w:sz w:val="24"/>
          <w:szCs w:val="24"/>
        </w:rPr>
        <w:t xml:space="preserve">as directed </w:t>
      </w:r>
      <w:r w:rsidRPr="00896032">
        <w:rPr>
          <w:rFonts w:eastAsia="Times New Roman"/>
          <w:b/>
          <w:sz w:val="24"/>
          <w:szCs w:val="24"/>
        </w:rPr>
        <w:t xml:space="preserve">under the </w:t>
      </w:r>
      <w:r w:rsidR="0028751D">
        <w:rPr>
          <w:rFonts w:eastAsia="Times New Roman"/>
          <w:b/>
          <w:sz w:val="24"/>
          <w:szCs w:val="24"/>
        </w:rPr>
        <w:t>terms of the W</w:t>
      </w:r>
      <w:r w:rsidRPr="00896032">
        <w:rPr>
          <w:rFonts w:eastAsia="Times New Roman"/>
          <w:b/>
          <w:sz w:val="24"/>
          <w:szCs w:val="24"/>
        </w:rPr>
        <w:t>ill;</w:t>
      </w:r>
    </w:p>
    <w:p w14:paraId="19A305B0" w14:textId="51B8F525"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4. That the </w:t>
      </w:r>
      <w:r w:rsidR="0028751D">
        <w:rPr>
          <w:rFonts w:eastAsia="Times New Roman"/>
          <w:b/>
          <w:sz w:val="24"/>
          <w:szCs w:val="24"/>
        </w:rPr>
        <w:t>W</w:t>
      </w:r>
      <w:r w:rsidRPr="00896032">
        <w:rPr>
          <w:rFonts w:eastAsia="Times New Roman"/>
          <w:b/>
          <w:sz w:val="24"/>
          <w:szCs w:val="24"/>
        </w:rPr>
        <w:t xml:space="preserve">ill </w:t>
      </w:r>
      <w:r w:rsidR="0028751D">
        <w:rPr>
          <w:rFonts w:eastAsia="Times New Roman"/>
          <w:b/>
          <w:sz w:val="24"/>
          <w:szCs w:val="24"/>
        </w:rPr>
        <w:t xml:space="preserve">directs the </w:t>
      </w:r>
      <w:r w:rsidRPr="00896032">
        <w:rPr>
          <w:rFonts w:eastAsia="Times New Roman"/>
          <w:b/>
          <w:sz w:val="24"/>
          <w:szCs w:val="24"/>
        </w:rPr>
        <w:t>distribut</w:t>
      </w:r>
      <w:r w:rsidR="0028751D">
        <w:rPr>
          <w:rFonts w:eastAsia="Times New Roman"/>
          <w:b/>
          <w:sz w:val="24"/>
          <w:szCs w:val="24"/>
        </w:rPr>
        <w:t>ion</w:t>
      </w:r>
      <w:r w:rsidRPr="00896032">
        <w:rPr>
          <w:rFonts w:eastAsia="Times New Roman"/>
          <w:b/>
          <w:sz w:val="24"/>
          <w:szCs w:val="24"/>
        </w:rPr>
        <w:t xml:space="preserve"> </w:t>
      </w:r>
      <w:r w:rsidR="0028751D">
        <w:rPr>
          <w:rFonts w:eastAsia="Times New Roman"/>
          <w:b/>
          <w:sz w:val="24"/>
          <w:szCs w:val="24"/>
        </w:rPr>
        <w:t xml:space="preserve">of </w:t>
      </w:r>
      <w:r w:rsidRPr="00896032">
        <w:rPr>
          <w:rFonts w:eastAsia="Times New Roman"/>
          <w:b/>
          <w:sz w:val="24"/>
          <w:szCs w:val="24"/>
        </w:rPr>
        <w:t xml:space="preserve">the </w:t>
      </w:r>
      <w:r w:rsidR="0028751D">
        <w:rPr>
          <w:rFonts w:eastAsia="Times New Roman"/>
          <w:b/>
          <w:sz w:val="24"/>
          <w:szCs w:val="24"/>
        </w:rPr>
        <w:t xml:space="preserve">testator’s </w:t>
      </w:r>
      <w:r w:rsidRPr="00896032">
        <w:rPr>
          <w:rFonts w:eastAsia="Times New Roman"/>
          <w:b/>
          <w:sz w:val="24"/>
          <w:szCs w:val="24"/>
        </w:rPr>
        <w:t xml:space="preserve">property as </w:t>
      </w:r>
      <w:r w:rsidR="0028751D">
        <w:rPr>
          <w:rFonts w:eastAsia="Times New Roman"/>
          <w:b/>
          <w:sz w:val="24"/>
          <w:szCs w:val="24"/>
        </w:rPr>
        <w:t>the testator intend</w:t>
      </w:r>
      <w:r w:rsidR="008B770F">
        <w:rPr>
          <w:rFonts w:eastAsia="Times New Roman"/>
          <w:b/>
          <w:sz w:val="24"/>
          <w:szCs w:val="24"/>
        </w:rPr>
        <w:t>s</w:t>
      </w:r>
      <w:r w:rsidRPr="00896032">
        <w:rPr>
          <w:rFonts w:eastAsia="Times New Roman"/>
          <w:b/>
          <w:sz w:val="24"/>
          <w:szCs w:val="24"/>
        </w:rPr>
        <w:t>; and</w:t>
      </w:r>
    </w:p>
    <w:p w14:paraId="74D3CA3D" w14:textId="49625FC6" w:rsidR="00D87972" w:rsidRPr="00A839C0" w:rsidRDefault="0028751D" w:rsidP="0028751D">
      <w:pPr>
        <w:spacing w:before="200" w:line="260" w:lineRule="atLeast"/>
        <w:rPr>
          <w:b/>
          <w:sz w:val="24"/>
          <w:szCs w:val="24"/>
        </w:rPr>
      </w:pPr>
      <w:r>
        <w:rPr>
          <w:rFonts w:eastAsia="Times New Roman"/>
          <w:b/>
          <w:sz w:val="24"/>
          <w:szCs w:val="24"/>
        </w:rPr>
        <w:tab/>
      </w:r>
      <w:r w:rsidR="00896032" w:rsidRPr="00896032">
        <w:rPr>
          <w:rFonts w:eastAsia="Times New Roman"/>
          <w:b/>
          <w:sz w:val="24"/>
          <w:szCs w:val="24"/>
        </w:rPr>
        <w:t>5. Those persons who normally</w:t>
      </w:r>
      <w:r w:rsidR="00067485">
        <w:rPr>
          <w:rFonts w:eastAsia="Times New Roman"/>
          <w:b/>
          <w:sz w:val="24"/>
          <w:szCs w:val="24"/>
        </w:rPr>
        <w:t xml:space="preserve"> would</w:t>
      </w:r>
      <w:r w:rsidR="00896032" w:rsidRPr="00896032">
        <w:rPr>
          <w:rFonts w:eastAsia="Times New Roman"/>
          <w:b/>
          <w:sz w:val="24"/>
          <w:szCs w:val="24"/>
        </w:rPr>
        <w:t xml:space="preserve"> receive </w:t>
      </w:r>
      <w:r>
        <w:rPr>
          <w:rFonts w:eastAsia="Times New Roman"/>
          <w:b/>
          <w:sz w:val="24"/>
          <w:szCs w:val="24"/>
        </w:rPr>
        <w:t xml:space="preserve">the testator’s </w:t>
      </w:r>
      <w:r w:rsidR="00896032" w:rsidRPr="00896032">
        <w:rPr>
          <w:rFonts w:eastAsia="Times New Roman"/>
          <w:b/>
          <w:sz w:val="24"/>
          <w:szCs w:val="24"/>
        </w:rPr>
        <w:t>property</w:t>
      </w:r>
      <w:r>
        <w:rPr>
          <w:rFonts w:eastAsia="Times New Roman"/>
          <w:b/>
          <w:sz w:val="24"/>
          <w:szCs w:val="24"/>
        </w:rPr>
        <w:t xml:space="preserve"> if the testator had no Will</w:t>
      </w:r>
      <w:r w:rsidR="00896032" w:rsidRPr="00896032">
        <w:rPr>
          <w:rFonts w:eastAsia="Times New Roman"/>
          <w:b/>
          <w:sz w:val="24"/>
          <w:szCs w:val="24"/>
        </w:rPr>
        <w:t>.])</w:t>
      </w:r>
      <w:bookmarkEnd w:id="20"/>
    </w:p>
    <w:p w14:paraId="7EDCDD7F" w14:textId="539573E3" w:rsidR="0028751D" w:rsidRDefault="0028751D" w:rsidP="009572C1">
      <w:pPr>
        <w:spacing w:before="200" w:line="260" w:lineRule="atLeast"/>
        <w:rPr>
          <w:rFonts w:eastAsia="Times New Roman"/>
          <w:sz w:val="24"/>
          <w:szCs w:val="24"/>
        </w:rPr>
      </w:pPr>
      <w:r>
        <w:rPr>
          <w:b/>
          <w:sz w:val="24"/>
          <w:szCs w:val="24"/>
        </w:rPr>
        <w:tab/>
      </w:r>
      <w:r w:rsidR="00D87972" w:rsidRPr="00A839C0">
        <w:rPr>
          <w:b/>
          <w:sz w:val="24"/>
          <w:szCs w:val="24"/>
        </w:rPr>
        <w:t xml:space="preserve"> </w:t>
      </w:r>
    </w:p>
    <w:p w14:paraId="1BBEBC36"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7F473177" w14:textId="403F175F" w:rsidR="00896032" w:rsidRDefault="00896032" w:rsidP="009572C1">
      <w:pPr>
        <w:pStyle w:val="ListParagraph"/>
        <w:spacing w:after="240"/>
        <w:ind w:left="0" w:firstLine="720"/>
        <w:contextualSpacing w:val="0"/>
        <w:rPr>
          <w:rFonts w:eastAsia="Times New Roman"/>
          <w:sz w:val="24"/>
          <w:szCs w:val="24"/>
        </w:rPr>
      </w:pPr>
      <w:r w:rsidRPr="00B0433C">
        <w:rPr>
          <w:rFonts w:eastAsia="Times New Roman"/>
          <w:sz w:val="24"/>
          <w:szCs w:val="24"/>
        </w:rPr>
        <w:t>1. When the issue of lack of testamentary capacity has been properly put in issue, this instruction should be given with Instruction 34:2, 34:5, or 34:6.</w:t>
      </w:r>
    </w:p>
    <w:p w14:paraId="410301A2" w14:textId="225E6887" w:rsidR="00AB5CE6" w:rsidRDefault="00B0433C" w:rsidP="009572C1">
      <w:pPr>
        <w:pStyle w:val="ListParagraph"/>
        <w:spacing w:after="240"/>
        <w:ind w:left="0" w:firstLine="720"/>
        <w:contextualSpacing w:val="0"/>
        <w:rPr>
          <w:rFonts w:eastAsia="Times New Roman"/>
          <w:sz w:val="24"/>
          <w:szCs w:val="24"/>
        </w:rPr>
      </w:pPr>
      <w:r>
        <w:rPr>
          <w:rFonts w:eastAsia="Times New Roman"/>
          <w:sz w:val="24"/>
          <w:szCs w:val="24"/>
        </w:rPr>
        <w:t xml:space="preserve">2. </w:t>
      </w:r>
      <w:r w:rsidR="00E919D8" w:rsidRPr="00E919D8">
        <w:rPr>
          <w:rFonts w:eastAsia="Times New Roman"/>
          <w:sz w:val="24"/>
          <w:szCs w:val="24"/>
        </w:rPr>
        <w:t>This instruction should be given with Instruction 34:</w:t>
      </w:r>
      <w:r w:rsidR="00846D9B">
        <w:rPr>
          <w:rFonts w:eastAsia="Times New Roman"/>
          <w:sz w:val="24"/>
          <w:szCs w:val="24"/>
        </w:rPr>
        <w:t>3A</w:t>
      </w:r>
      <w:r w:rsidR="00E919D8" w:rsidRPr="00E919D8">
        <w:rPr>
          <w:rFonts w:eastAsia="Times New Roman"/>
          <w:sz w:val="24"/>
          <w:szCs w:val="24"/>
        </w:rPr>
        <w:t xml:space="preserve"> </w:t>
      </w:r>
      <w:r>
        <w:rPr>
          <w:rFonts w:eastAsia="Times New Roman"/>
          <w:sz w:val="24"/>
          <w:szCs w:val="24"/>
        </w:rPr>
        <w:t>(</w:t>
      </w:r>
      <w:r w:rsidR="00E919D8" w:rsidRPr="00E919D8">
        <w:rPr>
          <w:rFonts w:eastAsia="Times New Roman"/>
          <w:sz w:val="24"/>
          <w:szCs w:val="24"/>
        </w:rPr>
        <w:t>defining testator</w:t>
      </w:r>
      <w:r>
        <w:rPr>
          <w:rFonts w:eastAsia="Times New Roman"/>
          <w:sz w:val="24"/>
          <w:szCs w:val="24"/>
        </w:rPr>
        <w:t>)</w:t>
      </w:r>
      <w:r w:rsidR="008641B9">
        <w:rPr>
          <w:rFonts w:eastAsia="Times New Roman"/>
          <w:sz w:val="24"/>
          <w:szCs w:val="24"/>
        </w:rPr>
        <w:t>. If the parenthesized paragraph is given</w:t>
      </w:r>
      <w:r w:rsidR="00D86602">
        <w:rPr>
          <w:rFonts w:eastAsia="Times New Roman"/>
          <w:sz w:val="24"/>
          <w:szCs w:val="24"/>
        </w:rPr>
        <w:t xml:space="preserve">, </w:t>
      </w:r>
      <w:r w:rsidR="008641B9">
        <w:rPr>
          <w:rFonts w:eastAsia="Times New Roman"/>
          <w:sz w:val="24"/>
          <w:szCs w:val="24"/>
        </w:rPr>
        <w:t>Instruction</w:t>
      </w:r>
      <w:r w:rsidR="00D86602">
        <w:rPr>
          <w:rFonts w:eastAsia="Times New Roman"/>
          <w:sz w:val="24"/>
          <w:szCs w:val="24"/>
        </w:rPr>
        <w:t xml:space="preserve"> 34:12 (defining insane delusion)</w:t>
      </w:r>
      <w:r w:rsidR="008641B9">
        <w:rPr>
          <w:rFonts w:eastAsia="Times New Roman"/>
          <w:sz w:val="24"/>
          <w:szCs w:val="24"/>
        </w:rPr>
        <w:t xml:space="preserve"> should also be given</w:t>
      </w:r>
      <w:r w:rsidR="00E919D8" w:rsidRPr="00E919D8">
        <w:rPr>
          <w:rFonts w:eastAsia="Times New Roman"/>
          <w:sz w:val="24"/>
          <w:szCs w:val="24"/>
        </w:rPr>
        <w:t xml:space="preserve">. </w:t>
      </w:r>
    </w:p>
    <w:p w14:paraId="694197DE" w14:textId="170E2C27" w:rsidR="00896032" w:rsidRPr="00B0433C" w:rsidRDefault="00B0433C" w:rsidP="009572C1">
      <w:pPr>
        <w:pStyle w:val="ListParagraph"/>
        <w:spacing w:after="240"/>
        <w:ind w:left="0" w:firstLine="720"/>
        <w:contextualSpacing w:val="0"/>
        <w:rPr>
          <w:rFonts w:eastAsia="Times New Roman"/>
          <w:sz w:val="24"/>
          <w:szCs w:val="24"/>
        </w:rPr>
      </w:pPr>
      <w:r>
        <w:rPr>
          <w:rFonts w:eastAsia="Times New Roman"/>
          <w:sz w:val="24"/>
          <w:szCs w:val="24"/>
        </w:rPr>
        <w:t xml:space="preserve">3. </w:t>
      </w:r>
      <w:r w:rsidR="00896032" w:rsidRPr="00B0433C">
        <w:rPr>
          <w:rFonts w:eastAsia="Times New Roman"/>
          <w:sz w:val="24"/>
          <w:szCs w:val="24"/>
        </w:rPr>
        <w:t>Use whichever parenthesized and bracketed portions of the instruction are appropriate in light of the evidence in the case.</w:t>
      </w:r>
    </w:p>
    <w:p w14:paraId="0E577630" w14:textId="5523EED6" w:rsidR="00896032" w:rsidRPr="00896032" w:rsidRDefault="00896032" w:rsidP="009572C1">
      <w:pPr>
        <w:spacing w:after="240"/>
        <w:ind w:firstLine="720"/>
        <w:rPr>
          <w:rFonts w:eastAsia="Times New Roman"/>
          <w:sz w:val="24"/>
          <w:szCs w:val="24"/>
        </w:rPr>
      </w:pPr>
      <w:r w:rsidRPr="00896032">
        <w:rPr>
          <w:rFonts w:eastAsia="Times New Roman"/>
          <w:sz w:val="24"/>
          <w:szCs w:val="24"/>
        </w:rPr>
        <w:t xml:space="preserve">4. An objector to a will may challenge a testator’s capacity based on either or both tests for “sound mind” set out in this instruction and in Instruction 34:12.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992 P.2d 1167 (Colo. 2000) (discussing both tests).</w:t>
      </w:r>
    </w:p>
    <w:p w14:paraId="4C5DC6F5" w14:textId="27D08D70" w:rsidR="00896032" w:rsidRDefault="00896032" w:rsidP="009572C1">
      <w:pPr>
        <w:spacing w:after="240"/>
        <w:ind w:firstLine="720"/>
        <w:rPr>
          <w:rFonts w:eastAsia="Times New Roman"/>
          <w:sz w:val="24"/>
          <w:szCs w:val="24"/>
        </w:rPr>
      </w:pPr>
      <w:r w:rsidRPr="00896032">
        <w:rPr>
          <w:rFonts w:eastAsia="Times New Roman"/>
          <w:sz w:val="24"/>
          <w:szCs w:val="24"/>
        </w:rPr>
        <w:t xml:space="preserve">5. For a discussion as to the specific knowledge a testator must have to be deemed to know the “nature and extent” of his or her property, see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126 P.3d 228 (Colo. App. 2005).</w:t>
      </w:r>
    </w:p>
    <w:p w14:paraId="44A695B2"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lastRenderedPageBreak/>
        <w:t>Source and Authority</w:t>
      </w:r>
    </w:p>
    <w:p w14:paraId="653FC51E" w14:textId="57C75C63" w:rsidR="00896032" w:rsidRPr="00896032" w:rsidRDefault="00896032" w:rsidP="00FA4F9E">
      <w:pPr>
        <w:spacing w:after="240"/>
        <w:ind w:firstLine="720"/>
        <w:rPr>
          <w:rFonts w:eastAsia="Times New Roman"/>
          <w:sz w:val="24"/>
          <w:szCs w:val="24"/>
        </w:rPr>
      </w:pPr>
      <w:r w:rsidRPr="00896032">
        <w:rPr>
          <w:rFonts w:eastAsia="Times New Roman"/>
          <w:sz w:val="24"/>
          <w:szCs w:val="24"/>
        </w:rPr>
        <w:t>1. This instruction is supported by section 15-11-501, C.R.S.</w:t>
      </w:r>
      <w:r w:rsidR="00FA4F9E">
        <w:rPr>
          <w:rFonts w:eastAsia="Times New Roman"/>
          <w:sz w:val="24"/>
          <w:szCs w:val="24"/>
        </w:rPr>
        <w:t xml:space="preserve">; </w:t>
      </w:r>
      <w:r w:rsidR="00FA4F9E" w:rsidRPr="00896032">
        <w:rPr>
          <w:rFonts w:eastAsia="Times New Roman"/>
          <w:b/>
          <w:sz w:val="24"/>
          <w:szCs w:val="24"/>
        </w:rPr>
        <w:t>In re Estate of</w:t>
      </w:r>
      <w:r w:rsidR="00FA4F9E" w:rsidRPr="00896032">
        <w:rPr>
          <w:rFonts w:eastAsia="Times New Roman"/>
          <w:sz w:val="24"/>
          <w:szCs w:val="24"/>
        </w:rPr>
        <w:t xml:space="preserve"> </w:t>
      </w:r>
      <w:r w:rsidR="00FA4F9E" w:rsidRPr="00896032">
        <w:rPr>
          <w:rFonts w:eastAsia="Times New Roman"/>
          <w:b/>
          <w:sz w:val="24"/>
          <w:szCs w:val="24"/>
        </w:rPr>
        <w:t>Breeden</w:t>
      </w:r>
      <w:r w:rsidR="00FA4F9E" w:rsidRPr="00896032">
        <w:rPr>
          <w:rFonts w:eastAsia="Times New Roman"/>
          <w:sz w:val="24"/>
          <w:szCs w:val="24"/>
        </w:rPr>
        <w:t>, 992 P.2d</w:t>
      </w:r>
      <w:r w:rsidR="00A46818">
        <w:rPr>
          <w:rFonts w:eastAsia="Times New Roman"/>
          <w:sz w:val="24"/>
          <w:szCs w:val="24"/>
        </w:rPr>
        <w:t xml:space="preserve"> at</w:t>
      </w:r>
      <w:r w:rsidR="00FA4F9E" w:rsidRPr="00896032">
        <w:rPr>
          <w:rFonts w:eastAsia="Times New Roman"/>
          <w:sz w:val="24"/>
          <w:szCs w:val="24"/>
        </w:rPr>
        <w:t xml:space="preserve"> 1170</w:t>
      </w:r>
      <w:r w:rsidR="00FA4F9E">
        <w:rPr>
          <w:rFonts w:eastAsia="Times New Roman"/>
          <w:sz w:val="24"/>
          <w:szCs w:val="24"/>
        </w:rPr>
        <w:t xml:space="preserve">; </w:t>
      </w:r>
      <w:r w:rsidR="00FA4F9E" w:rsidRPr="00896032">
        <w:rPr>
          <w:rFonts w:eastAsia="Times New Roman"/>
          <w:b/>
          <w:sz w:val="24"/>
          <w:szCs w:val="24"/>
        </w:rPr>
        <w:t>Cunningham v. Stender</w:t>
      </w:r>
      <w:r w:rsidR="00FA4F9E" w:rsidRPr="00896032">
        <w:rPr>
          <w:rFonts w:eastAsia="Times New Roman"/>
          <w:sz w:val="24"/>
          <w:szCs w:val="24"/>
        </w:rPr>
        <w:t>, 127 Colo. 293, 255 P.2d 977 (1953)</w:t>
      </w:r>
      <w:r w:rsidR="00FA4F9E">
        <w:rPr>
          <w:rFonts w:eastAsia="Times New Roman"/>
          <w:sz w:val="24"/>
          <w:szCs w:val="24"/>
        </w:rPr>
        <w:t xml:space="preserve">; </w:t>
      </w:r>
      <w:r w:rsidR="00FA4F9E" w:rsidRPr="00C758E1">
        <w:rPr>
          <w:rFonts w:eastAsia="Times New Roman"/>
          <w:b/>
          <w:bCs/>
          <w:sz w:val="24"/>
          <w:szCs w:val="24"/>
        </w:rPr>
        <w:t>In re Estate of Everhart</w:t>
      </w:r>
      <w:r w:rsidR="00FA4F9E" w:rsidRPr="00FA3E0D">
        <w:rPr>
          <w:rFonts w:eastAsia="Times New Roman"/>
          <w:sz w:val="24"/>
          <w:szCs w:val="24"/>
        </w:rPr>
        <w:t>, 2021 COA 63, ¶ 39, 493 P.3d 272</w:t>
      </w:r>
      <w:r w:rsidR="00FA4F9E">
        <w:rPr>
          <w:rFonts w:eastAsia="Times New Roman"/>
          <w:sz w:val="24"/>
          <w:szCs w:val="24"/>
        </w:rPr>
        <w:t>;</w:t>
      </w:r>
      <w:r w:rsidRPr="00896032">
        <w:rPr>
          <w:rFonts w:eastAsia="Times New Roman"/>
          <w:sz w:val="24"/>
          <w:szCs w:val="24"/>
        </w:rPr>
        <w:t xml:space="preserve">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126 P.3d at 230-31; </w:t>
      </w:r>
      <w:r w:rsidRPr="00896032">
        <w:rPr>
          <w:rFonts w:eastAsia="Times New Roman"/>
          <w:b/>
          <w:sz w:val="24"/>
          <w:szCs w:val="24"/>
        </w:rPr>
        <w:t>In re Estate of Scott</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119 P.3d 511 (Colo. App. 2004), </w:t>
      </w:r>
      <w:r w:rsidRPr="00896032">
        <w:rPr>
          <w:rFonts w:eastAsia="Times New Roman"/>
          <w:i/>
          <w:sz w:val="24"/>
          <w:szCs w:val="24"/>
        </w:rPr>
        <w:t xml:space="preserve">aff’d on other grounds sub nom. </w:t>
      </w:r>
      <w:r w:rsidRPr="00896032">
        <w:rPr>
          <w:rFonts w:eastAsia="Times New Roman"/>
          <w:b/>
          <w:sz w:val="24"/>
          <w:szCs w:val="24"/>
        </w:rPr>
        <w:t>Scott v. Scott</w:t>
      </w:r>
      <w:r w:rsidRPr="00896032">
        <w:rPr>
          <w:rFonts w:eastAsia="Times New Roman"/>
          <w:sz w:val="24"/>
          <w:szCs w:val="24"/>
        </w:rPr>
        <w:t>, 136 P.3d 892</w:t>
      </w:r>
      <w:r w:rsidRPr="00896032">
        <w:rPr>
          <w:rFonts w:eastAsia="Times New Roman"/>
          <w:b/>
          <w:sz w:val="24"/>
          <w:szCs w:val="24"/>
        </w:rPr>
        <w:t xml:space="preserve"> </w:t>
      </w:r>
      <w:r w:rsidRPr="00896032">
        <w:rPr>
          <w:rFonts w:eastAsia="Times New Roman"/>
          <w:sz w:val="24"/>
          <w:szCs w:val="24"/>
        </w:rPr>
        <w:t>(Colo. 2006)</w:t>
      </w:r>
      <w:r w:rsidR="00FA4F9E">
        <w:rPr>
          <w:rFonts w:eastAsia="Times New Roman"/>
          <w:sz w:val="24"/>
          <w:szCs w:val="24"/>
        </w:rPr>
        <w:t>; and</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 89 P.3d 521 (Colo. App. 2004).</w:t>
      </w:r>
    </w:p>
    <w:p w14:paraId="5A7A03A9" w14:textId="082FCFC7" w:rsidR="00896032" w:rsidRPr="00896032" w:rsidRDefault="00FA4F9E" w:rsidP="00896032">
      <w:pPr>
        <w:spacing w:after="240"/>
        <w:ind w:firstLine="720"/>
        <w:rPr>
          <w:rFonts w:eastAsia="Times New Roman"/>
          <w:sz w:val="24"/>
          <w:szCs w:val="24"/>
        </w:rPr>
      </w:pPr>
      <w:r>
        <w:rPr>
          <w:rFonts w:eastAsia="Times New Roman"/>
          <w:sz w:val="24"/>
          <w:szCs w:val="24"/>
        </w:rPr>
        <w:t>2</w:t>
      </w:r>
      <w:r w:rsidR="00896032" w:rsidRPr="00896032">
        <w:rPr>
          <w:rFonts w:eastAsia="Times New Roman"/>
          <w:sz w:val="24"/>
          <w:szCs w:val="24"/>
        </w:rPr>
        <w:t>. The burden of proving lack of testamentary capacity is on the contestant. § 15-12-407, C.R.S.</w:t>
      </w:r>
    </w:p>
    <w:p w14:paraId="15EB5C97" w14:textId="77777777" w:rsidR="00896032" w:rsidRDefault="00896032">
      <w:pPr>
        <w:rPr>
          <w:rFonts w:eastAsia="Times New Roman"/>
          <w:sz w:val="24"/>
          <w:szCs w:val="24"/>
        </w:rPr>
      </w:pPr>
      <w:r>
        <w:rPr>
          <w:rFonts w:eastAsia="Times New Roman"/>
          <w:sz w:val="24"/>
          <w:szCs w:val="24"/>
        </w:rPr>
        <w:br w:type="page"/>
      </w:r>
    </w:p>
    <w:p w14:paraId="014BB971" w14:textId="77777777" w:rsidR="00896032" w:rsidRPr="009E3DA4" w:rsidRDefault="00D81D01" w:rsidP="00896032">
      <w:pPr>
        <w:spacing w:after="240"/>
        <w:ind w:left="720" w:hanging="720"/>
        <w:rPr>
          <w:rFonts w:eastAsia="Times New Roman"/>
          <w:b/>
          <w:sz w:val="24"/>
          <w:szCs w:val="24"/>
        </w:rPr>
      </w:pPr>
      <w:bookmarkStart w:id="21" w:name="a34_12"/>
      <w:bookmarkEnd w:id="21"/>
      <w:r w:rsidRPr="00D81D01">
        <w:rPr>
          <w:rFonts w:eastAsia="Times New Roman"/>
          <w:b/>
          <w:sz w:val="24"/>
          <w:szCs w:val="24"/>
        </w:rPr>
        <w:lastRenderedPageBreak/>
        <w:t xml:space="preserve">34:12 </w:t>
      </w:r>
      <w:r w:rsidRPr="00D81D01">
        <w:rPr>
          <w:rFonts w:eastAsia="Times New Roman"/>
          <w:b/>
          <w:sz w:val="24"/>
          <w:szCs w:val="24"/>
        </w:rPr>
        <w:tab/>
      </w:r>
      <w:r w:rsidRPr="00D81D01">
        <w:rPr>
          <w:rFonts w:ascii="Times New Roman Bold" w:eastAsia="Times New Roman" w:hAnsi="Times New Roman Bold"/>
          <w:b/>
          <w:caps/>
          <w:sz w:val="24"/>
          <w:szCs w:val="24"/>
        </w:rPr>
        <w:t>Insane Delusion — Defined</w:t>
      </w:r>
    </w:p>
    <w:p w14:paraId="5115DA73" w14:textId="092DAE05"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An insane delusion is a </w:t>
      </w:r>
      <w:r w:rsidR="004A4130">
        <w:rPr>
          <w:rFonts w:eastAsia="Times New Roman"/>
          <w:b/>
          <w:sz w:val="24"/>
          <w:szCs w:val="24"/>
        </w:rPr>
        <w:t xml:space="preserve">person’s </w:t>
      </w:r>
      <w:r w:rsidRPr="00D81D01">
        <w:rPr>
          <w:rFonts w:eastAsia="Times New Roman"/>
          <w:b/>
          <w:sz w:val="24"/>
          <w:szCs w:val="24"/>
        </w:rPr>
        <w:t>persistent belief,</w:t>
      </w:r>
      <w:r w:rsidR="00493AD2">
        <w:rPr>
          <w:rFonts w:eastAsia="Times New Roman"/>
          <w:b/>
          <w:sz w:val="24"/>
          <w:szCs w:val="24"/>
        </w:rPr>
        <w:t xml:space="preserve"> </w:t>
      </w:r>
      <w:r w:rsidR="004A4130">
        <w:rPr>
          <w:rFonts w:eastAsia="Times New Roman"/>
          <w:b/>
          <w:sz w:val="24"/>
          <w:szCs w:val="24"/>
        </w:rPr>
        <w:t xml:space="preserve">which </w:t>
      </w:r>
      <w:r w:rsidR="00493AD2">
        <w:rPr>
          <w:rFonts w:eastAsia="Times New Roman"/>
          <w:b/>
          <w:sz w:val="24"/>
          <w:szCs w:val="24"/>
        </w:rPr>
        <w:t>may</w:t>
      </w:r>
      <w:r w:rsidRPr="00D81D01">
        <w:rPr>
          <w:rFonts w:eastAsia="Times New Roman"/>
          <w:b/>
          <w:sz w:val="24"/>
          <w:szCs w:val="24"/>
        </w:rPr>
        <w:t xml:space="preserve"> result from illness or disorder,</w:t>
      </w:r>
      <w:r w:rsidR="001330C4">
        <w:rPr>
          <w:rFonts w:eastAsia="Times New Roman"/>
          <w:b/>
          <w:sz w:val="24"/>
          <w:szCs w:val="24"/>
        </w:rPr>
        <w:t xml:space="preserve"> in </w:t>
      </w:r>
      <w:r w:rsidRPr="00D81D01">
        <w:rPr>
          <w:rFonts w:eastAsia="Times New Roman"/>
          <w:b/>
          <w:sz w:val="24"/>
          <w:szCs w:val="24"/>
        </w:rPr>
        <w:t xml:space="preserve">something that </w:t>
      </w:r>
      <w:r w:rsidR="001330C4">
        <w:rPr>
          <w:b/>
          <w:sz w:val="24"/>
          <w:szCs w:val="24"/>
        </w:rPr>
        <w:t>has no existence in fact</w:t>
      </w:r>
      <w:r w:rsidR="005817F7">
        <w:rPr>
          <w:b/>
          <w:sz w:val="24"/>
          <w:szCs w:val="24"/>
        </w:rPr>
        <w:t xml:space="preserve">, </w:t>
      </w:r>
      <w:r w:rsidR="004A4130">
        <w:rPr>
          <w:b/>
          <w:sz w:val="24"/>
          <w:szCs w:val="24"/>
        </w:rPr>
        <w:t xml:space="preserve">and </w:t>
      </w:r>
      <w:r w:rsidR="00D365AE">
        <w:rPr>
          <w:b/>
          <w:sz w:val="24"/>
          <w:szCs w:val="24"/>
        </w:rPr>
        <w:t xml:space="preserve">to which </w:t>
      </w:r>
      <w:r w:rsidR="004A4130">
        <w:rPr>
          <w:b/>
          <w:sz w:val="24"/>
          <w:szCs w:val="24"/>
        </w:rPr>
        <w:t xml:space="preserve">the person adheres </w:t>
      </w:r>
      <w:r w:rsidR="001330C4">
        <w:rPr>
          <w:b/>
          <w:sz w:val="24"/>
          <w:szCs w:val="24"/>
        </w:rPr>
        <w:t xml:space="preserve">in spite of all evidence to the </w:t>
      </w:r>
      <w:r w:rsidRPr="00D81D01">
        <w:rPr>
          <w:rFonts w:eastAsia="Times New Roman"/>
          <w:b/>
          <w:sz w:val="24"/>
          <w:szCs w:val="24"/>
        </w:rPr>
        <w:t>contrary.</w:t>
      </w:r>
    </w:p>
    <w:p w14:paraId="4E6A42AC" w14:textId="77777777" w:rsidR="00896032" w:rsidRDefault="00896032" w:rsidP="00896032">
      <w:pPr>
        <w:jc w:val="center"/>
        <w:rPr>
          <w:rFonts w:eastAsia="Times New Roman"/>
          <w:sz w:val="24"/>
          <w:szCs w:val="24"/>
        </w:rPr>
      </w:pPr>
    </w:p>
    <w:p w14:paraId="5D8C9E11"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7698ED5B" w14:textId="3737ECFE"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When appropriate to the evidence, this instruction should be </w:t>
      </w:r>
      <w:r w:rsidR="002E0334">
        <w:rPr>
          <w:rFonts w:eastAsia="Times New Roman"/>
          <w:sz w:val="24"/>
          <w:szCs w:val="24"/>
        </w:rPr>
        <w:t xml:space="preserve">given </w:t>
      </w:r>
      <w:r w:rsidRPr="00D81D01">
        <w:rPr>
          <w:rFonts w:eastAsia="Times New Roman"/>
          <w:sz w:val="24"/>
          <w:szCs w:val="24"/>
        </w:rPr>
        <w:t>with Instruction 34:11.</w:t>
      </w:r>
    </w:p>
    <w:p w14:paraId="63D6AD93"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A will is not invalid even though the testator suffered from insane delusions at the time of executing the will if these insane delusions did not materially affect or influence the disposition of property set forth in the will. </w:t>
      </w:r>
      <w:r w:rsidRPr="00D81D01">
        <w:rPr>
          <w:rFonts w:eastAsia="Times New Roman"/>
          <w:b/>
          <w:sz w:val="24"/>
          <w:szCs w:val="24"/>
        </w:rPr>
        <w:t>In re Estate of Breeden</w:t>
      </w:r>
      <w:r w:rsidRPr="00D81D01">
        <w:rPr>
          <w:rFonts w:eastAsia="Times New Roman"/>
          <w:sz w:val="24"/>
          <w:szCs w:val="24"/>
        </w:rPr>
        <w:t>, 992 P.2d 1167 (Colo. 2000).</w:t>
      </w:r>
    </w:p>
    <w:p w14:paraId="3DCDC16F"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14:paraId="1982A1C8"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In re Estate of Breeden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992 P.2d 1170-71;</w:t>
      </w:r>
      <w:r w:rsidRPr="00D81D01">
        <w:rPr>
          <w:rFonts w:eastAsia="Times New Roman"/>
          <w:i/>
          <w:sz w:val="24"/>
          <w:szCs w:val="24"/>
        </w:rPr>
        <w:t xml:space="preserve"> </w:t>
      </w:r>
      <w:r w:rsidRPr="00D81D01">
        <w:rPr>
          <w:rFonts w:eastAsia="Times New Roman"/>
          <w:sz w:val="24"/>
          <w:szCs w:val="24"/>
        </w:rPr>
        <w:t xml:space="preserve">and </w:t>
      </w:r>
      <w:r w:rsidRPr="00D81D01">
        <w:rPr>
          <w:rFonts w:eastAsia="Times New Roman"/>
          <w:b/>
          <w:sz w:val="24"/>
          <w:szCs w:val="24"/>
        </w:rPr>
        <w:t>In re Estate of Romero</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126 P.3d 228 (Colo. App. 2005).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In re Estate of McCrone</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106 Colo. 69, 101 P.2d 25 (1940) (an adjudication of mental incompetency is evidence of lack of a sound mind and memory but is not conclusive evidence of incapacity); </w:t>
      </w:r>
      <w:r w:rsidRPr="00D81D01">
        <w:rPr>
          <w:rFonts w:eastAsia="Times New Roman"/>
          <w:b/>
          <w:sz w:val="24"/>
          <w:szCs w:val="24"/>
        </w:rPr>
        <w:t>In re Estate of Cole</w:t>
      </w:r>
      <w:r w:rsidRPr="00D81D01">
        <w:rPr>
          <w:rFonts w:eastAsia="Times New Roman"/>
          <w:sz w:val="24"/>
          <w:szCs w:val="24"/>
        </w:rPr>
        <w:t>, 75 Colo. 264, 226 P. 143 (1924).</w:t>
      </w:r>
    </w:p>
    <w:p w14:paraId="4385430F" w14:textId="77777777" w:rsidR="00D81D01" w:rsidRDefault="00D81D01">
      <w:pPr>
        <w:rPr>
          <w:rFonts w:eastAsia="Times New Roman"/>
          <w:sz w:val="24"/>
          <w:szCs w:val="24"/>
        </w:rPr>
      </w:pPr>
      <w:r>
        <w:rPr>
          <w:rFonts w:eastAsia="Times New Roman"/>
          <w:sz w:val="24"/>
          <w:szCs w:val="24"/>
        </w:rPr>
        <w:br w:type="page"/>
      </w:r>
    </w:p>
    <w:p w14:paraId="6A6A6246" w14:textId="4D204CEE" w:rsidR="00D81D01" w:rsidRPr="009E3DA4" w:rsidRDefault="00D81D01" w:rsidP="00D81D01">
      <w:pPr>
        <w:spacing w:after="240"/>
        <w:ind w:left="720" w:hanging="720"/>
        <w:rPr>
          <w:rFonts w:eastAsia="Times New Roman"/>
          <w:b/>
          <w:sz w:val="24"/>
          <w:szCs w:val="24"/>
        </w:rPr>
      </w:pPr>
      <w:bookmarkStart w:id="22" w:name="a34_13"/>
      <w:bookmarkEnd w:id="22"/>
      <w:r w:rsidRPr="00D81D01">
        <w:rPr>
          <w:rFonts w:eastAsia="Times New Roman"/>
          <w:b/>
          <w:sz w:val="24"/>
          <w:szCs w:val="24"/>
        </w:rPr>
        <w:lastRenderedPageBreak/>
        <w:t xml:space="preserve">34:13 </w:t>
      </w:r>
      <w:r w:rsidRPr="00D81D01">
        <w:rPr>
          <w:rFonts w:eastAsia="Times New Roman"/>
          <w:b/>
          <w:sz w:val="24"/>
          <w:szCs w:val="24"/>
        </w:rPr>
        <w:tab/>
      </w:r>
      <w:r w:rsidR="00BA5852" w:rsidRPr="002402BF">
        <w:rPr>
          <w:rFonts w:eastAsia="Times New Roman"/>
          <w:b/>
          <w:caps/>
          <w:sz w:val="24"/>
          <w:szCs w:val="24"/>
        </w:rPr>
        <w:t>ELEMENTS OF PROOF OF INSANE DELUSION</w:t>
      </w:r>
    </w:p>
    <w:p w14:paraId="01518C0F" w14:textId="77777777" w:rsidR="00BA5852" w:rsidRPr="002402BF" w:rsidRDefault="00BA5852" w:rsidP="00BA5852">
      <w:pPr>
        <w:spacing w:after="240"/>
        <w:ind w:firstLine="720"/>
        <w:rPr>
          <w:b/>
          <w:bCs/>
          <w:sz w:val="24"/>
          <w:szCs w:val="24"/>
        </w:rPr>
      </w:pPr>
      <w:r w:rsidRPr="002402BF">
        <w:rPr>
          <w:b/>
          <w:bCs/>
          <w:sz w:val="24"/>
          <w:szCs w:val="24"/>
        </w:rPr>
        <w:t>For the contestant to prove that the Will, or a part of the Will, is not valid because the testator suffered from an insane delusion, you must find that the following have been proved by a preponderance of the evidence:</w:t>
      </w:r>
    </w:p>
    <w:p w14:paraId="5AD8B5A8" w14:textId="77777777" w:rsidR="00BA5852" w:rsidRPr="002402BF" w:rsidRDefault="00BA5852" w:rsidP="00BA5852">
      <w:pPr>
        <w:spacing w:after="240"/>
        <w:ind w:firstLine="720"/>
        <w:rPr>
          <w:b/>
          <w:bCs/>
          <w:sz w:val="24"/>
          <w:szCs w:val="24"/>
        </w:rPr>
      </w:pPr>
      <w:r w:rsidRPr="002402BF">
        <w:rPr>
          <w:b/>
          <w:bCs/>
          <w:sz w:val="24"/>
          <w:szCs w:val="24"/>
        </w:rPr>
        <w:t xml:space="preserve">1. The testator suffered from an insane delusion as defined in Instruction </w:t>
      </w:r>
      <w:r>
        <w:rPr>
          <w:b/>
          <w:bCs/>
          <w:sz w:val="24"/>
          <w:szCs w:val="24"/>
        </w:rPr>
        <w:t xml:space="preserve">___ </w:t>
      </w:r>
      <w:r>
        <w:rPr>
          <w:i/>
          <w:iCs/>
          <w:sz w:val="24"/>
          <w:szCs w:val="24"/>
        </w:rPr>
        <w:t>(insert the number assigned in the case to the instruction that sets forth Instruction 34:12)</w:t>
      </w:r>
      <w:r w:rsidRPr="002402BF">
        <w:rPr>
          <w:b/>
          <w:bCs/>
          <w:sz w:val="24"/>
          <w:szCs w:val="24"/>
        </w:rPr>
        <w:t xml:space="preserve">; </w:t>
      </w:r>
    </w:p>
    <w:p w14:paraId="79323D03" w14:textId="77777777" w:rsidR="00BA5852" w:rsidRPr="002402BF" w:rsidRDefault="00BA5852" w:rsidP="00BA5852">
      <w:pPr>
        <w:spacing w:after="240"/>
        <w:ind w:firstLine="720"/>
        <w:rPr>
          <w:b/>
          <w:bCs/>
          <w:sz w:val="24"/>
          <w:szCs w:val="24"/>
        </w:rPr>
      </w:pPr>
      <w:r w:rsidRPr="002402BF">
        <w:rPr>
          <w:b/>
          <w:bCs/>
          <w:sz w:val="24"/>
          <w:szCs w:val="24"/>
        </w:rPr>
        <w:t>2. The testator was under the insane delusion at the time of the making of the Will;</w:t>
      </w:r>
    </w:p>
    <w:p w14:paraId="2CD325AC" w14:textId="77777777" w:rsidR="00BA5852" w:rsidRDefault="00BA5852" w:rsidP="00BA5852">
      <w:pPr>
        <w:spacing w:after="240"/>
        <w:ind w:firstLine="720"/>
        <w:rPr>
          <w:b/>
          <w:bCs/>
          <w:sz w:val="24"/>
          <w:szCs w:val="24"/>
        </w:rPr>
      </w:pPr>
      <w:r w:rsidRPr="002402BF">
        <w:rPr>
          <w:b/>
          <w:bCs/>
          <w:sz w:val="24"/>
          <w:szCs w:val="24"/>
        </w:rPr>
        <w:t>3. The testator’s insane delusion materially affected the disposition(s) made in the Will</w:t>
      </w:r>
      <w:r>
        <w:rPr>
          <w:b/>
          <w:bCs/>
          <w:sz w:val="24"/>
          <w:szCs w:val="24"/>
        </w:rPr>
        <w:t>; and</w:t>
      </w:r>
      <w:r w:rsidRPr="002402BF">
        <w:rPr>
          <w:b/>
          <w:bCs/>
          <w:sz w:val="24"/>
          <w:szCs w:val="24"/>
        </w:rPr>
        <w:t xml:space="preserve"> </w:t>
      </w:r>
    </w:p>
    <w:p w14:paraId="60C9E80B" w14:textId="77777777" w:rsidR="00BA5852" w:rsidRPr="002402BF" w:rsidRDefault="00BA5852" w:rsidP="00BA5852">
      <w:pPr>
        <w:spacing w:after="240"/>
        <w:ind w:firstLine="720"/>
        <w:rPr>
          <w:b/>
          <w:bCs/>
          <w:sz w:val="24"/>
          <w:szCs w:val="24"/>
        </w:rPr>
      </w:pPr>
      <w:r>
        <w:rPr>
          <w:b/>
          <w:bCs/>
          <w:sz w:val="24"/>
          <w:szCs w:val="24"/>
        </w:rPr>
        <w:t xml:space="preserve">4. </w:t>
      </w:r>
      <w:r w:rsidRPr="002402BF">
        <w:rPr>
          <w:b/>
          <w:bCs/>
          <w:sz w:val="24"/>
          <w:szCs w:val="24"/>
        </w:rPr>
        <w:t xml:space="preserve">The Will, or part of the Will, was the </w:t>
      </w:r>
      <w:r>
        <w:rPr>
          <w:b/>
          <w:bCs/>
          <w:sz w:val="24"/>
          <w:szCs w:val="24"/>
        </w:rPr>
        <w:t>result</w:t>
      </w:r>
      <w:r w:rsidRPr="002402BF">
        <w:rPr>
          <w:b/>
          <w:bCs/>
          <w:sz w:val="24"/>
          <w:szCs w:val="24"/>
        </w:rPr>
        <w:t xml:space="preserve"> of the insane delusion</w:t>
      </w:r>
      <w:r>
        <w:rPr>
          <w:b/>
          <w:bCs/>
          <w:sz w:val="24"/>
          <w:szCs w:val="24"/>
        </w:rPr>
        <w:t>.</w:t>
      </w:r>
    </w:p>
    <w:p w14:paraId="3CBB52AF" w14:textId="77777777" w:rsidR="00BA5852" w:rsidRDefault="00BA5852" w:rsidP="00BA5852">
      <w:pPr>
        <w:spacing w:after="240"/>
        <w:ind w:firstLine="720"/>
        <w:rPr>
          <w:b/>
          <w:bCs/>
          <w:sz w:val="24"/>
          <w:szCs w:val="24"/>
        </w:rPr>
      </w:pPr>
      <w:r w:rsidRPr="002402BF">
        <w:rPr>
          <w:b/>
          <w:bCs/>
          <w:sz w:val="24"/>
          <w:szCs w:val="24"/>
        </w:rPr>
        <w:t xml:space="preserve"> </w:t>
      </w:r>
      <w:r>
        <w:rPr>
          <w:b/>
          <w:bCs/>
          <w:sz w:val="24"/>
          <w:szCs w:val="24"/>
        </w:rPr>
        <w:t>I</w:t>
      </w:r>
      <w:r w:rsidRPr="002402BF">
        <w:rPr>
          <w:b/>
          <w:bCs/>
          <w:sz w:val="24"/>
          <w:szCs w:val="24"/>
        </w:rPr>
        <w:t xml:space="preserve">f you find that all of these </w:t>
      </w:r>
      <w:r w:rsidRPr="00AE5AEB">
        <w:rPr>
          <w:i/>
          <w:iCs/>
          <w:sz w:val="24"/>
          <w:szCs w:val="24"/>
        </w:rPr>
        <w:t>(number)</w:t>
      </w:r>
      <w:r w:rsidRPr="002402BF">
        <w:rPr>
          <w:b/>
          <w:bCs/>
          <w:sz w:val="24"/>
          <w:szCs w:val="24"/>
        </w:rPr>
        <w:t xml:space="preserve"> statements have been proved by a preponderance of the evidence, then your verdict must be for the contestant.</w:t>
      </w:r>
    </w:p>
    <w:p w14:paraId="6B0EFC16" w14:textId="77777777" w:rsidR="00BA5852" w:rsidRPr="002402BF" w:rsidRDefault="00BA5852" w:rsidP="00BA5852">
      <w:pPr>
        <w:spacing w:after="240"/>
        <w:ind w:firstLine="720"/>
        <w:rPr>
          <w:b/>
          <w:bCs/>
          <w:sz w:val="24"/>
          <w:szCs w:val="24"/>
        </w:rPr>
      </w:pPr>
      <w:r w:rsidRPr="002402BF">
        <w:rPr>
          <w:b/>
          <w:bCs/>
          <w:sz w:val="24"/>
          <w:szCs w:val="24"/>
        </w:rPr>
        <w:t>On the other hand,</w:t>
      </w:r>
      <w:r>
        <w:rPr>
          <w:b/>
          <w:bCs/>
          <w:sz w:val="24"/>
          <w:szCs w:val="24"/>
        </w:rPr>
        <w:t xml:space="preserve"> i</w:t>
      </w:r>
      <w:r w:rsidRPr="002402BF">
        <w:rPr>
          <w:b/>
          <w:bCs/>
          <w:sz w:val="24"/>
          <w:szCs w:val="24"/>
        </w:rPr>
        <w:t xml:space="preserve">f you find that any one or more of these </w:t>
      </w:r>
      <w:r w:rsidRPr="00AE5AEB">
        <w:rPr>
          <w:i/>
          <w:iCs/>
          <w:sz w:val="24"/>
          <w:szCs w:val="24"/>
        </w:rPr>
        <w:t>(number)</w:t>
      </w:r>
      <w:r w:rsidRPr="002402BF">
        <w:rPr>
          <w:b/>
          <w:bCs/>
          <w:sz w:val="24"/>
          <w:szCs w:val="24"/>
        </w:rPr>
        <w:t xml:space="preserve"> statements have not been proved by a preponderance of the evidence, then your verdict must be for the proponent. </w:t>
      </w:r>
    </w:p>
    <w:p w14:paraId="2413FF6C" w14:textId="2C15F137" w:rsidR="00D81D01" w:rsidRDefault="00D81D01" w:rsidP="00D81D01">
      <w:pPr>
        <w:jc w:val="center"/>
        <w:rPr>
          <w:rFonts w:eastAsia="Times New Roman"/>
          <w:sz w:val="24"/>
          <w:szCs w:val="24"/>
        </w:rPr>
      </w:pPr>
    </w:p>
    <w:p w14:paraId="2E3AA721" w14:textId="53B540B4" w:rsidR="00D81D01" w:rsidRPr="0054263B" w:rsidRDefault="00BA5852" w:rsidP="00BA5852">
      <w:pPr>
        <w:keepNext/>
        <w:spacing w:after="240"/>
        <w:jc w:val="center"/>
        <w:rPr>
          <w:rFonts w:eastAsia="Times New Roman"/>
          <w:b/>
          <w:sz w:val="24"/>
          <w:szCs w:val="24"/>
        </w:rPr>
      </w:pPr>
      <w:r w:rsidRPr="002402BF">
        <w:rPr>
          <w:rFonts w:eastAsia="Times New Roman"/>
          <w:b/>
          <w:sz w:val="24"/>
          <w:szCs w:val="24"/>
        </w:rPr>
        <w:t>Notes on Use</w:t>
      </w:r>
    </w:p>
    <w:p w14:paraId="409C0784" w14:textId="77777777" w:rsidR="00BA5852" w:rsidRPr="002311AF" w:rsidRDefault="00BA5852" w:rsidP="00BA5852">
      <w:pPr>
        <w:spacing w:after="240"/>
        <w:ind w:firstLine="720"/>
        <w:rPr>
          <w:rFonts w:eastAsia="Times New Roman"/>
          <w:bCs/>
          <w:sz w:val="24"/>
          <w:szCs w:val="24"/>
        </w:rPr>
      </w:pPr>
      <w:r w:rsidRPr="002311AF">
        <w:rPr>
          <w:rFonts w:eastAsia="Times New Roman"/>
          <w:bCs/>
          <w:sz w:val="24"/>
          <w:szCs w:val="24"/>
        </w:rPr>
        <w:t>1.</w:t>
      </w:r>
      <w:r>
        <w:rPr>
          <w:rFonts w:eastAsia="Times New Roman"/>
          <w:bCs/>
          <w:sz w:val="24"/>
          <w:szCs w:val="24"/>
        </w:rPr>
        <w:t xml:space="preserve"> </w:t>
      </w:r>
      <w:r w:rsidRPr="002311AF">
        <w:rPr>
          <w:rFonts w:eastAsia="Times New Roman"/>
          <w:bCs/>
          <w:sz w:val="24"/>
          <w:szCs w:val="24"/>
        </w:rPr>
        <w:t xml:space="preserve">This instruction should be </w:t>
      </w:r>
      <w:r>
        <w:rPr>
          <w:rFonts w:eastAsia="Times New Roman"/>
          <w:bCs/>
          <w:sz w:val="24"/>
          <w:szCs w:val="24"/>
        </w:rPr>
        <w:t>given</w:t>
      </w:r>
      <w:r w:rsidRPr="002311AF">
        <w:rPr>
          <w:rFonts w:eastAsia="Times New Roman"/>
          <w:bCs/>
          <w:sz w:val="24"/>
          <w:szCs w:val="24"/>
        </w:rPr>
        <w:t xml:space="preserve"> with Instruction 34:11 </w:t>
      </w:r>
      <w:r>
        <w:rPr>
          <w:rFonts w:eastAsia="Times New Roman"/>
          <w:bCs/>
          <w:sz w:val="24"/>
          <w:szCs w:val="24"/>
        </w:rPr>
        <w:t xml:space="preserve">(defining testamentary capacity) </w:t>
      </w:r>
      <w:r w:rsidRPr="002311AF">
        <w:rPr>
          <w:rFonts w:eastAsia="Times New Roman"/>
          <w:bCs/>
          <w:sz w:val="24"/>
          <w:szCs w:val="24"/>
        </w:rPr>
        <w:t>and 34:12</w:t>
      </w:r>
      <w:r>
        <w:rPr>
          <w:rFonts w:eastAsia="Times New Roman"/>
          <w:bCs/>
          <w:sz w:val="24"/>
          <w:szCs w:val="24"/>
        </w:rPr>
        <w:t xml:space="preserve"> (defining insane delusion)</w:t>
      </w:r>
      <w:r w:rsidRPr="002311AF">
        <w:rPr>
          <w:rFonts w:eastAsia="Times New Roman"/>
          <w:bCs/>
          <w:sz w:val="24"/>
          <w:szCs w:val="24"/>
        </w:rPr>
        <w:t>.</w:t>
      </w:r>
    </w:p>
    <w:p w14:paraId="739AEDC7" w14:textId="77777777" w:rsidR="00BA5852" w:rsidRPr="002311AF" w:rsidRDefault="00BA5852" w:rsidP="00BA5852">
      <w:pPr>
        <w:spacing w:after="240"/>
        <w:ind w:firstLine="720"/>
        <w:rPr>
          <w:rFonts w:eastAsia="Times New Roman"/>
          <w:bCs/>
          <w:sz w:val="24"/>
          <w:szCs w:val="24"/>
        </w:rPr>
      </w:pPr>
      <w:r w:rsidRPr="002311AF">
        <w:rPr>
          <w:rFonts w:eastAsia="Times New Roman"/>
          <w:bCs/>
          <w:sz w:val="24"/>
          <w:szCs w:val="24"/>
        </w:rPr>
        <w:t>2.</w:t>
      </w:r>
      <w:r>
        <w:rPr>
          <w:rFonts w:eastAsia="Times New Roman"/>
          <w:bCs/>
          <w:sz w:val="24"/>
          <w:szCs w:val="24"/>
        </w:rPr>
        <w:t xml:space="preserve"> </w:t>
      </w:r>
      <w:r w:rsidRPr="002311AF">
        <w:rPr>
          <w:rFonts w:eastAsia="Times New Roman"/>
          <w:bCs/>
          <w:sz w:val="24"/>
          <w:szCs w:val="24"/>
        </w:rPr>
        <w:t xml:space="preserve">For a discussion as to the relevance of </w:t>
      </w:r>
      <w:r>
        <w:rPr>
          <w:rFonts w:eastAsia="Times New Roman"/>
          <w:bCs/>
          <w:sz w:val="24"/>
          <w:szCs w:val="24"/>
        </w:rPr>
        <w:t xml:space="preserve">numbered </w:t>
      </w:r>
      <w:r w:rsidRPr="002311AF">
        <w:rPr>
          <w:rFonts w:eastAsia="Times New Roman"/>
          <w:bCs/>
          <w:sz w:val="24"/>
          <w:szCs w:val="24"/>
        </w:rPr>
        <w:t xml:space="preserve">paragraph 3, see </w:t>
      </w:r>
      <w:r w:rsidRPr="002311AF">
        <w:rPr>
          <w:rFonts w:eastAsia="Times New Roman"/>
          <w:b/>
          <w:sz w:val="24"/>
          <w:szCs w:val="24"/>
        </w:rPr>
        <w:t>Hanks v. McNeil Coal Corp.</w:t>
      </w:r>
      <w:r w:rsidRPr="002311AF">
        <w:rPr>
          <w:rFonts w:eastAsia="Times New Roman"/>
          <w:bCs/>
          <w:sz w:val="24"/>
          <w:szCs w:val="24"/>
        </w:rPr>
        <w:t xml:space="preserve">, </w:t>
      </w:r>
      <w:r>
        <w:rPr>
          <w:rFonts w:eastAsia="Times New Roman"/>
          <w:bCs/>
          <w:sz w:val="24"/>
          <w:szCs w:val="24"/>
        </w:rPr>
        <w:t xml:space="preserve">114 Colo. 578, </w:t>
      </w:r>
      <w:r w:rsidRPr="002311AF">
        <w:rPr>
          <w:rFonts w:eastAsia="Times New Roman"/>
          <w:bCs/>
          <w:sz w:val="24"/>
          <w:szCs w:val="24"/>
        </w:rPr>
        <w:t>168 P.2d 256 (1946).</w:t>
      </w:r>
    </w:p>
    <w:p w14:paraId="4ABA386F" w14:textId="3BC769B0" w:rsidR="00BA5852" w:rsidRDefault="00BA5852" w:rsidP="00BA5852">
      <w:pPr>
        <w:spacing w:after="240"/>
        <w:ind w:firstLine="720"/>
        <w:rPr>
          <w:rFonts w:eastAsia="Times New Roman"/>
          <w:bCs/>
          <w:sz w:val="24"/>
          <w:szCs w:val="24"/>
        </w:rPr>
      </w:pPr>
      <w:r w:rsidRPr="002311AF">
        <w:rPr>
          <w:rFonts w:eastAsia="Times New Roman"/>
          <w:bCs/>
          <w:sz w:val="24"/>
          <w:szCs w:val="24"/>
        </w:rPr>
        <w:t>3.</w:t>
      </w:r>
      <w:r>
        <w:rPr>
          <w:rFonts w:eastAsia="Times New Roman"/>
          <w:bCs/>
          <w:sz w:val="24"/>
          <w:szCs w:val="24"/>
        </w:rPr>
        <w:t xml:space="preserve"> </w:t>
      </w:r>
      <w:r w:rsidRPr="002311AF">
        <w:rPr>
          <w:rFonts w:eastAsia="Times New Roman"/>
          <w:bCs/>
          <w:sz w:val="24"/>
          <w:szCs w:val="24"/>
        </w:rPr>
        <w:t>The burden of proving lack of testamentary capacity is on the contestant. §</w:t>
      </w:r>
      <w:r>
        <w:rPr>
          <w:rFonts w:eastAsia="Times New Roman"/>
          <w:bCs/>
          <w:sz w:val="24"/>
          <w:szCs w:val="24"/>
        </w:rPr>
        <w:t xml:space="preserve"> </w:t>
      </w:r>
      <w:r w:rsidRPr="002311AF">
        <w:rPr>
          <w:rFonts w:eastAsia="Times New Roman"/>
          <w:bCs/>
          <w:sz w:val="24"/>
          <w:szCs w:val="24"/>
        </w:rPr>
        <w:t>15-12-407, C.R.S.</w:t>
      </w:r>
    </w:p>
    <w:p w14:paraId="6B3E65F8" w14:textId="77777777" w:rsidR="00BA5852" w:rsidRPr="002402BF" w:rsidRDefault="00BA5852" w:rsidP="00BA5852">
      <w:pPr>
        <w:spacing w:after="240"/>
        <w:jc w:val="center"/>
        <w:rPr>
          <w:rFonts w:eastAsia="Times New Roman"/>
          <w:b/>
          <w:sz w:val="24"/>
          <w:szCs w:val="24"/>
        </w:rPr>
      </w:pPr>
      <w:r w:rsidRPr="002402BF">
        <w:rPr>
          <w:rFonts w:eastAsia="Times New Roman"/>
          <w:b/>
          <w:sz w:val="24"/>
          <w:szCs w:val="24"/>
        </w:rPr>
        <w:t>Source and Authority</w:t>
      </w:r>
    </w:p>
    <w:p w14:paraId="0E35A31F" w14:textId="77777777" w:rsidR="00BA5852" w:rsidRPr="002311AF" w:rsidRDefault="00BA5852" w:rsidP="00BA5852">
      <w:pPr>
        <w:spacing w:after="240"/>
        <w:ind w:firstLine="720"/>
        <w:rPr>
          <w:bCs/>
          <w:sz w:val="24"/>
          <w:szCs w:val="24"/>
        </w:rPr>
      </w:pPr>
      <w:r w:rsidRPr="002311AF">
        <w:rPr>
          <w:rFonts w:eastAsia="Times New Roman"/>
          <w:bCs/>
          <w:sz w:val="24"/>
          <w:szCs w:val="24"/>
        </w:rPr>
        <w:t xml:space="preserve">This instruction is supported by </w:t>
      </w:r>
      <w:r w:rsidRPr="002311AF">
        <w:rPr>
          <w:rFonts w:eastAsia="Times New Roman"/>
          <w:b/>
          <w:sz w:val="24"/>
          <w:szCs w:val="24"/>
        </w:rPr>
        <w:t>In re Estate of Breeden</w:t>
      </w:r>
      <w:r w:rsidRPr="002311AF">
        <w:rPr>
          <w:rFonts w:eastAsia="Times New Roman"/>
          <w:bCs/>
          <w:sz w:val="24"/>
          <w:szCs w:val="24"/>
        </w:rPr>
        <w:t xml:space="preserve">, 992 P.2d 1167 (Colo. 2000); </w:t>
      </w:r>
      <w:r w:rsidRPr="002311AF">
        <w:rPr>
          <w:rFonts w:eastAsia="Times New Roman"/>
          <w:b/>
          <w:sz w:val="24"/>
          <w:szCs w:val="24"/>
        </w:rPr>
        <w:t>In re Estate of Romero</w:t>
      </w:r>
      <w:r w:rsidRPr="002311AF">
        <w:rPr>
          <w:rFonts w:eastAsia="Times New Roman"/>
          <w:bCs/>
          <w:sz w:val="24"/>
          <w:szCs w:val="24"/>
        </w:rPr>
        <w:t xml:space="preserve">, 126 P.3d 228 (Colo. App. 2005); and </w:t>
      </w:r>
      <w:r w:rsidRPr="002311AF">
        <w:rPr>
          <w:rFonts w:eastAsia="Times New Roman"/>
          <w:b/>
          <w:sz w:val="24"/>
          <w:szCs w:val="24"/>
        </w:rPr>
        <w:t>In re Estate of Gallavan</w:t>
      </w:r>
      <w:r w:rsidRPr="002311AF">
        <w:rPr>
          <w:rFonts w:eastAsia="Times New Roman"/>
          <w:bCs/>
          <w:sz w:val="24"/>
          <w:szCs w:val="24"/>
        </w:rPr>
        <w:t>, 89 P.3d 521 (Colo. App. 2004).</w:t>
      </w:r>
    </w:p>
    <w:p w14:paraId="45F56202" w14:textId="08CD6577" w:rsidR="00D81D01" w:rsidRPr="00BA5852" w:rsidRDefault="00D81D01" w:rsidP="00BA5852">
      <w:pPr>
        <w:ind w:firstLine="720"/>
        <w:rPr>
          <w:rFonts w:eastAsia="Times New Roman"/>
          <w:bCs/>
          <w:sz w:val="24"/>
          <w:szCs w:val="24"/>
        </w:rPr>
      </w:pPr>
      <w:r>
        <w:br w:type="page"/>
      </w:r>
    </w:p>
    <w:p w14:paraId="71BDC296" w14:textId="77777777" w:rsidR="00D81D01" w:rsidRPr="009E3DA4" w:rsidRDefault="00D81D01" w:rsidP="00D81D01">
      <w:pPr>
        <w:spacing w:after="240"/>
        <w:ind w:left="720" w:hanging="720"/>
        <w:rPr>
          <w:rFonts w:eastAsia="Times New Roman"/>
          <w:b/>
          <w:sz w:val="24"/>
          <w:szCs w:val="24"/>
        </w:rPr>
      </w:pPr>
      <w:bookmarkStart w:id="23" w:name="a34_14"/>
      <w:bookmarkEnd w:id="23"/>
      <w:r w:rsidRPr="00D81D01">
        <w:rPr>
          <w:rFonts w:eastAsia="Times New Roman"/>
          <w:b/>
          <w:sz w:val="24"/>
          <w:szCs w:val="24"/>
        </w:rPr>
        <w:lastRenderedPageBreak/>
        <w:t xml:space="preserve">34:14 </w:t>
      </w:r>
      <w:r w:rsidRPr="00D81D01">
        <w:rPr>
          <w:rFonts w:eastAsia="Times New Roman"/>
          <w:b/>
          <w:sz w:val="24"/>
          <w:szCs w:val="24"/>
        </w:rPr>
        <w:tab/>
      </w:r>
      <w:r w:rsidRPr="00D81D01">
        <w:rPr>
          <w:rFonts w:ascii="Times New Roman Bold" w:eastAsia="Times New Roman" w:hAnsi="Times New Roman Bold"/>
          <w:b/>
          <w:caps/>
          <w:sz w:val="24"/>
          <w:szCs w:val="24"/>
        </w:rPr>
        <w:t>Undue Influence — Defined</w:t>
      </w:r>
    </w:p>
    <w:p w14:paraId="17DEE8DC" w14:textId="6D8DAD4B"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Undue influence means words or conduct, or both, which, at the time of the making </w:t>
      </w:r>
      <w:r w:rsidR="00DC3972">
        <w:rPr>
          <w:rFonts w:eastAsia="Times New Roman"/>
          <w:b/>
          <w:sz w:val="24"/>
          <w:szCs w:val="24"/>
        </w:rPr>
        <w:t xml:space="preserve">or execution </w:t>
      </w:r>
      <w:r w:rsidRPr="00D81D01">
        <w:rPr>
          <w:rFonts w:eastAsia="Times New Roman"/>
          <w:b/>
          <w:sz w:val="24"/>
          <w:szCs w:val="24"/>
        </w:rPr>
        <w:t xml:space="preserve">of a </w:t>
      </w:r>
      <w:r w:rsidR="00895739">
        <w:rPr>
          <w:rFonts w:eastAsia="Times New Roman"/>
          <w:b/>
          <w:sz w:val="24"/>
          <w:szCs w:val="24"/>
        </w:rPr>
        <w:t>W</w:t>
      </w:r>
      <w:r w:rsidRPr="00D81D01">
        <w:rPr>
          <w:rFonts w:eastAsia="Times New Roman"/>
          <w:b/>
          <w:sz w:val="24"/>
          <w:szCs w:val="24"/>
        </w:rPr>
        <w:t>ill:</w:t>
      </w:r>
    </w:p>
    <w:p w14:paraId="5D97F6D8" w14:textId="41DFAF0F"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1. Deprived the </w:t>
      </w:r>
      <w:r w:rsidR="00DC3972">
        <w:rPr>
          <w:rFonts w:eastAsia="Times New Roman"/>
          <w:b/>
          <w:sz w:val="24"/>
          <w:szCs w:val="24"/>
        </w:rPr>
        <w:t>testator</w:t>
      </w:r>
      <w:r w:rsidRPr="00D81D01">
        <w:rPr>
          <w:rFonts w:eastAsia="Times New Roman"/>
          <w:b/>
          <w:sz w:val="24"/>
          <w:szCs w:val="24"/>
        </w:rPr>
        <w:t xml:space="preserve"> of </w:t>
      </w:r>
      <w:r w:rsidR="00DC3972">
        <w:rPr>
          <w:rFonts w:eastAsia="Times New Roman"/>
          <w:b/>
          <w:sz w:val="24"/>
          <w:szCs w:val="24"/>
        </w:rPr>
        <w:t>the testator’s</w:t>
      </w:r>
      <w:r w:rsidRPr="00D81D01">
        <w:rPr>
          <w:rFonts w:eastAsia="Times New Roman"/>
          <w:b/>
          <w:sz w:val="24"/>
          <w:szCs w:val="24"/>
        </w:rPr>
        <w:t xml:space="preserve"> free choice; and</w:t>
      </w:r>
    </w:p>
    <w:p w14:paraId="29E59BC7" w14:textId="6B9851B3" w:rsidR="00D81D01" w:rsidRDefault="00D81D01" w:rsidP="00D81D01">
      <w:pPr>
        <w:spacing w:after="240"/>
        <w:ind w:firstLine="720"/>
        <w:rPr>
          <w:rFonts w:eastAsia="Times New Roman"/>
          <w:b/>
          <w:sz w:val="24"/>
          <w:szCs w:val="24"/>
        </w:rPr>
      </w:pPr>
      <w:r w:rsidRPr="00D81D01">
        <w:rPr>
          <w:rFonts w:eastAsia="Times New Roman"/>
          <w:b/>
          <w:sz w:val="24"/>
          <w:szCs w:val="24"/>
        </w:rPr>
        <w:t xml:space="preserve">2. </w:t>
      </w:r>
      <w:r w:rsidR="00FA0558">
        <w:rPr>
          <w:rFonts w:eastAsia="Times New Roman"/>
          <w:b/>
          <w:sz w:val="24"/>
          <w:szCs w:val="24"/>
        </w:rPr>
        <w:t>As a result t</w:t>
      </w:r>
      <w:r w:rsidRPr="00D81D01">
        <w:rPr>
          <w:rFonts w:eastAsia="Times New Roman"/>
          <w:b/>
          <w:sz w:val="24"/>
          <w:szCs w:val="24"/>
        </w:rPr>
        <w:t xml:space="preserve">he </w:t>
      </w:r>
      <w:r w:rsidR="00DC3972">
        <w:rPr>
          <w:rFonts w:eastAsia="Times New Roman"/>
          <w:b/>
          <w:sz w:val="24"/>
          <w:szCs w:val="24"/>
        </w:rPr>
        <w:t>testator</w:t>
      </w:r>
      <w:r w:rsidRPr="00D81D01">
        <w:rPr>
          <w:rFonts w:eastAsia="Times New Roman"/>
          <w:b/>
          <w:sz w:val="24"/>
          <w:szCs w:val="24"/>
        </w:rPr>
        <w:t xml:space="preserve"> ma</w:t>
      </w:r>
      <w:r w:rsidR="00861ADE">
        <w:rPr>
          <w:rFonts w:eastAsia="Times New Roman"/>
          <w:b/>
          <w:sz w:val="24"/>
          <w:szCs w:val="24"/>
        </w:rPr>
        <w:t>de</w:t>
      </w:r>
      <w:r w:rsidRPr="00D81D01">
        <w:rPr>
          <w:rFonts w:eastAsia="Times New Roman"/>
          <w:b/>
          <w:sz w:val="24"/>
          <w:szCs w:val="24"/>
        </w:rPr>
        <w:t xml:space="preserve"> </w:t>
      </w:r>
      <w:r w:rsidR="00DC3972">
        <w:rPr>
          <w:rFonts w:eastAsia="Times New Roman"/>
          <w:b/>
          <w:sz w:val="24"/>
          <w:szCs w:val="24"/>
        </w:rPr>
        <w:t>the Will</w:t>
      </w:r>
      <w:r w:rsidR="00DC3972" w:rsidRPr="00D81D01">
        <w:rPr>
          <w:rFonts w:eastAsia="Times New Roman"/>
          <w:b/>
          <w:sz w:val="24"/>
          <w:szCs w:val="24"/>
        </w:rPr>
        <w:t xml:space="preserve"> </w:t>
      </w:r>
      <w:r w:rsidRPr="00D81D01">
        <w:rPr>
          <w:rFonts w:eastAsia="Times New Roman"/>
          <w:b/>
          <w:sz w:val="24"/>
          <w:szCs w:val="24"/>
        </w:rPr>
        <w:t>or part of it differently than</w:t>
      </w:r>
      <w:r w:rsidR="007E13B7">
        <w:rPr>
          <w:rFonts w:eastAsia="Times New Roman"/>
          <w:b/>
          <w:sz w:val="24"/>
          <w:szCs w:val="24"/>
        </w:rPr>
        <w:t xml:space="preserve"> the</w:t>
      </w:r>
      <w:r w:rsidRPr="00D81D01">
        <w:rPr>
          <w:rFonts w:eastAsia="Times New Roman"/>
          <w:b/>
          <w:sz w:val="24"/>
          <w:szCs w:val="24"/>
        </w:rPr>
        <w:t xml:space="preserve"> </w:t>
      </w:r>
      <w:r w:rsidR="00DC3972">
        <w:rPr>
          <w:rFonts w:eastAsia="Times New Roman"/>
          <w:b/>
          <w:sz w:val="24"/>
          <w:szCs w:val="24"/>
        </w:rPr>
        <w:t>testator</w:t>
      </w:r>
      <w:r w:rsidRPr="00D81D01">
        <w:rPr>
          <w:rFonts w:eastAsia="Times New Roman"/>
          <w:b/>
          <w:sz w:val="24"/>
          <w:szCs w:val="24"/>
        </w:rPr>
        <w:t xml:space="preserve"> otherwise would have.</w:t>
      </w:r>
    </w:p>
    <w:p w14:paraId="6895FCEE" w14:textId="77777777" w:rsidR="00D81D01" w:rsidRDefault="00D81D01" w:rsidP="00D81D01">
      <w:pPr>
        <w:jc w:val="center"/>
        <w:rPr>
          <w:rFonts w:eastAsia="Times New Roman"/>
          <w:sz w:val="24"/>
          <w:szCs w:val="24"/>
        </w:rPr>
      </w:pPr>
    </w:p>
    <w:p w14:paraId="5D1515EB"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14:paraId="0CF6C1F3"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1. Use whichever parenthesized words are most appropriate.</w:t>
      </w:r>
    </w:p>
    <w:p w14:paraId="670BDEF5" w14:textId="43B27901" w:rsidR="00D86602" w:rsidRDefault="00D81D01" w:rsidP="00D81D01">
      <w:pPr>
        <w:spacing w:after="240"/>
        <w:ind w:firstLine="720"/>
        <w:rPr>
          <w:rFonts w:eastAsia="Times New Roman"/>
          <w:sz w:val="24"/>
          <w:szCs w:val="24"/>
        </w:rPr>
      </w:pPr>
      <w:r w:rsidRPr="00D81D01">
        <w:rPr>
          <w:rFonts w:eastAsia="Times New Roman"/>
          <w:sz w:val="24"/>
          <w:szCs w:val="24"/>
        </w:rPr>
        <w:t>2.</w:t>
      </w:r>
      <w:r w:rsidR="00D86602">
        <w:rPr>
          <w:rFonts w:eastAsia="Times New Roman"/>
          <w:sz w:val="24"/>
          <w:szCs w:val="24"/>
        </w:rPr>
        <w:t xml:space="preserve"> </w:t>
      </w:r>
      <w:r w:rsidR="00D86602" w:rsidRPr="00E919D8">
        <w:rPr>
          <w:rFonts w:eastAsia="Times New Roman"/>
          <w:sz w:val="24"/>
          <w:szCs w:val="24"/>
        </w:rPr>
        <w:t>This instruction should be given with Instruction 34:</w:t>
      </w:r>
      <w:r w:rsidR="00846D9B">
        <w:rPr>
          <w:rFonts w:eastAsia="Times New Roman"/>
          <w:sz w:val="24"/>
          <w:szCs w:val="24"/>
        </w:rPr>
        <w:t>3A</w:t>
      </w:r>
      <w:r w:rsidR="00D86602" w:rsidRPr="00E919D8">
        <w:rPr>
          <w:rFonts w:eastAsia="Times New Roman"/>
          <w:sz w:val="24"/>
          <w:szCs w:val="24"/>
        </w:rPr>
        <w:t xml:space="preserve"> </w:t>
      </w:r>
      <w:r w:rsidR="00D86602">
        <w:rPr>
          <w:rFonts w:eastAsia="Times New Roman"/>
          <w:sz w:val="24"/>
          <w:szCs w:val="24"/>
        </w:rPr>
        <w:t>(</w:t>
      </w:r>
      <w:r w:rsidR="00D86602" w:rsidRPr="00E919D8">
        <w:rPr>
          <w:rFonts w:eastAsia="Times New Roman"/>
          <w:sz w:val="24"/>
          <w:szCs w:val="24"/>
        </w:rPr>
        <w:t>defining testator</w:t>
      </w:r>
      <w:r w:rsidR="00D86602">
        <w:rPr>
          <w:rFonts w:eastAsia="Times New Roman"/>
          <w:sz w:val="24"/>
          <w:szCs w:val="24"/>
        </w:rPr>
        <w:t>).</w:t>
      </w:r>
    </w:p>
    <w:p w14:paraId="717B3821" w14:textId="25F50C0D" w:rsidR="00D81D01" w:rsidRPr="00D81D01" w:rsidRDefault="00D86602" w:rsidP="00D81D01">
      <w:pPr>
        <w:spacing w:after="240"/>
        <w:ind w:firstLine="720"/>
        <w:rPr>
          <w:rFonts w:eastAsia="Times New Roman"/>
          <w:sz w:val="24"/>
          <w:szCs w:val="24"/>
        </w:rPr>
      </w:pPr>
      <w:r>
        <w:rPr>
          <w:rFonts w:eastAsia="Times New Roman"/>
          <w:sz w:val="24"/>
          <w:szCs w:val="24"/>
        </w:rPr>
        <w:t xml:space="preserve">3. </w:t>
      </w:r>
      <w:r w:rsidR="00D81D01" w:rsidRPr="00D81D01">
        <w:rPr>
          <w:rFonts w:eastAsia="Times New Roman"/>
          <w:sz w:val="24"/>
          <w:szCs w:val="24"/>
        </w:rPr>
        <w:t>This instruction should be given with Instruction 34:2, 34:5, or 34:6, whenever it is claimed (and there is sufficient supporting evidence) that the entire will or codicil is invalid because it was executed in its entirety while the testator was under undue influence. This instruction may also be used when only a part of the will is claimed to be invalid because of undue influence.</w:t>
      </w:r>
    </w:p>
    <w:p w14:paraId="1F253450" w14:textId="48955427" w:rsidR="00D81D01" w:rsidRPr="00D81D01" w:rsidRDefault="00D86602" w:rsidP="00D81D01">
      <w:pPr>
        <w:spacing w:after="240"/>
        <w:ind w:firstLine="720"/>
        <w:rPr>
          <w:rFonts w:eastAsia="Times New Roman"/>
          <w:sz w:val="24"/>
          <w:szCs w:val="24"/>
        </w:rPr>
      </w:pPr>
      <w:r>
        <w:rPr>
          <w:rFonts w:eastAsia="Times New Roman"/>
          <w:sz w:val="24"/>
          <w:szCs w:val="24"/>
        </w:rPr>
        <w:t>4</w:t>
      </w:r>
      <w:r w:rsidR="00D81D01" w:rsidRPr="00D81D01">
        <w:rPr>
          <w:rFonts w:eastAsia="Times New Roman"/>
          <w:sz w:val="24"/>
          <w:szCs w:val="24"/>
        </w:rPr>
        <w:t xml:space="preserve">. When this instruction is given, Instruction 34:15 (factors to be considered in determining undue influence) </w:t>
      </w:r>
      <w:r w:rsidR="00285CB9">
        <w:rPr>
          <w:rFonts w:eastAsia="Times New Roman"/>
          <w:sz w:val="24"/>
          <w:szCs w:val="24"/>
        </w:rPr>
        <w:t>should</w:t>
      </w:r>
      <w:r w:rsidR="00D81D01" w:rsidRPr="00D81D01">
        <w:rPr>
          <w:rFonts w:eastAsia="Times New Roman"/>
          <w:sz w:val="24"/>
          <w:szCs w:val="24"/>
        </w:rPr>
        <w:t xml:space="preserve"> be given</w:t>
      </w:r>
      <w:r w:rsidR="00330F00">
        <w:rPr>
          <w:rFonts w:eastAsia="Times New Roman"/>
          <w:sz w:val="24"/>
          <w:szCs w:val="24"/>
        </w:rPr>
        <w:t>.</w:t>
      </w:r>
      <w:r w:rsidR="00D81D01" w:rsidRPr="00D81D01">
        <w:rPr>
          <w:rFonts w:eastAsia="Times New Roman"/>
          <w:sz w:val="24"/>
          <w:szCs w:val="24"/>
        </w:rPr>
        <w:t xml:space="preserve"> Instruction 34:17 (inference of undue influence, when presumption of undue influence is rebutted) may be appropriate. </w:t>
      </w:r>
    </w:p>
    <w:p w14:paraId="7154B14F" w14:textId="2F76E2B6" w:rsidR="00D81D01" w:rsidRPr="00D81D01" w:rsidRDefault="00D86602" w:rsidP="00D81D01">
      <w:pPr>
        <w:spacing w:after="240"/>
        <w:ind w:firstLine="720"/>
        <w:rPr>
          <w:rFonts w:eastAsia="Times New Roman"/>
          <w:sz w:val="24"/>
          <w:szCs w:val="24"/>
        </w:rPr>
      </w:pPr>
      <w:r>
        <w:rPr>
          <w:rFonts w:eastAsia="Times New Roman"/>
          <w:sz w:val="24"/>
          <w:szCs w:val="24"/>
        </w:rPr>
        <w:t>5</w:t>
      </w:r>
      <w:r w:rsidR="00D81D01" w:rsidRPr="00D81D01">
        <w:rPr>
          <w:rFonts w:eastAsia="Times New Roman"/>
          <w:sz w:val="24"/>
          <w:szCs w:val="24"/>
        </w:rPr>
        <w:t>. The burden of proof on the issue of undue influence is on the contestant. § 15-12-407, C.R.S.</w:t>
      </w:r>
    </w:p>
    <w:p w14:paraId="59231224" w14:textId="77777777"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14:paraId="2EE6B0EF" w14:textId="7D40332D" w:rsidR="00F35621" w:rsidRPr="00275EA8" w:rsidRDefault="00D81D01" w:rsidP="00B0433C">
      <w:pPr>
        <w:ind w:firstLine="720"/>
        <w:rPr>
          <w:color w:val="212121"/>
          <w:sz w:val="24"/>
          <w:szCs w:val="24"/>
        </w:rPr>
      </w:pPr>
      <w:r w:rsidRPr="00D81D01">
        <w:rPr>
          <w:rFonts w:eastAsia="Times New Roman"/>
          <w:sz w:val="24"/>
          <w:szCs w:val="24"/>
        </w:rPr>
        <w:t xml:space="preserve">This instruction is supported by </w:t>
      </w:r>
      <w:r w:rsidR="00330F00" w:rsidRPr="00011E27">
        <w:rPr>
          <w:rFonts w:eastAsia="Times New Roman"/>
          <w:b/>
          <w:sz w:val="24"/>
          <w:szCs w:val="24"/>
        </w:rPr>
        <w:t>In re Est</w:t>
      </w:r>
      <w:r w:rsidR="00330F00">
        <w:rPr>
          <w:rFonts w:eastAsia="Times New Roman"/>
          <w:b/>
          <w:sz w:val="24"/>
          <w:szCs w:val="24"/>
        </w:rPr>
        <w:t>ate</w:t>
      </w:r>
      <w:r w:rsidR="00330F00" w:rsidRPr="00011E27">
        <w:rPr>
          <w:rFonts w:eastAsia="Times New Roman"/>
          <w:b/>
          <w:sz w:val="24"/>
          <w:szCs w:val="24"/>
        </w:rPr>
        <w:t xml:space="preserve"> of Everhart</w:t>
      </w:r>
      <w:r w:rsidR="00330F00" w:rsidRPr="00011E27">
        <w:rPr>
          <w:rFonts w:eastAsia="Times New Roman"/>
          <w:sz w:val="24"/>
          <w:szCs w:val="24"/>
        </w:rPr>
        <w:t>, 2021 COA 63, ¶ 33, 493 P.3d 272</w:t>
      </w:r>
      <w:r w:rsidR="00330F00">
        <w:rPr>
          <w:rFonts w:eastAsia="Times New Roman"/>
          <w:sz w:val="24"/>
          <w:szCs w:val="24"/>
        </w:rPr>
        <w:t xml:space="preserve"> (citing this instruction)</w:t>
      </w:r>
      <w:r w:rsidR="00B0433C">
        <w:rPr>
          <w:rFonts w:eastAsia="Times New Roman"/>
          <w:sz w:val="24"/>
          <w:szCs w:val="24"/>
        </w:rPr>
        <w:t>; and</w:t>
      </w:r>
      <w:r w:rsidR="00330F00">
        <w:rPr>
          <w:rFonts w:eastAsia="Times New Roman"/>
          <w:sz w:val="24"/>
          <w:szCs w:val="24"/>
        </w:rPr>
        <w:t xml:space="preserve"> </w:t>
      </w:r>
      <w:r w:rsidRPr="00D81D01">
        <w:rPr>
          <w:rFonts w:eastAsia="Times New Roman"/>
          <w:smallCaps/>
          <w:sz w:val="24"/>
          <w:szCs w:val="24"/>
        </w:rPr>
        <w:t>T. Atkinson, Wills</w:t>
      </w:r>
      <w:r w:rsidRPr="00D81D01">
        <w:rPr>
          <w:rFonts w:eastAsia="Times New Roman"/>
          <w:sz w:val="24"/>
          <w:szCs w:val="24"/>
        </w:rPr>
        <w:t xml:space="preserve"> § 55 (2d ed. 1953).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Scott v. Leonard</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117 Colo. 54, 184 </w:t>
      </w:r>
      <w:r w:rsidRPr="00275EA8">
        <w:rPr>
          <w:rFonts w:eastAsia="Times New Roman"/>
          <w:sz w:val="24"/>
          <w:szCs w:val="24"/>
        </w:rPr>
        <w:t xml:space="preserve">P.2d 138 (1947) (no undue influence found); </w:t>
      </w:r>
      <w:r w:rsidRPr="00275EA8">
        <w:rPr>
          <w:rFonts w:eastAsia="Times New Roman"/>
          <w:b/>
          <w:sz w:val="24"/>
          <w:szCs w:val="24"/>
        </w:rPr>
        <w:t>Snodgrass v. Smith</w:t>
      </w:r>
      <w:r w:rsidRPr="00275EA8">
        <w:rPr>
          <w:rFonts w:eastAsia="Times New Roman"/>
          <w:sz w:val="24"/>
          <w:szCs w:val="24"/>
        </w:rPr>
        <w:t xml:space="preserve">, 42 Colo. 60, 94 P. 312 (1908) (possible to have partially valid will); </w:t>
      </w:r>
      <w:r w:rsidRPr="00275EA8">
        <w:rPr>
          <w:rFonts w:eastAsia="Times New Roman"/>
          <w:b/>
          <w:sz w:val="24"/>
          <w:szCs w:val="24"/>
        </w:rPr>
        <w:t>In re Estate of Shell</w:t>
      </w:r>
      <w:r w:rsidRPr="00275EA8">
        <w:rPr>
          <w:rFonts w:eastAsia="Times New Roman"/>
          <w:sz w:val="24"/>
          <w:szCs w:val="24"/>
        </w:rPr>
        <w:t>,</w:t>
      </w:r>
      <w:r w:rsidRPr="00275EA8">
        <w:rPr>
          <w:rFonts w:eastAsia="Times New Roman"/>
          <w:b/>
          <w:sz w:val="24"/>
          <w:szCs w:val="24"/>
        </w:rPr>
        <w:t xml:space="preserve"> </w:t>
      </w:r>
      <w:r w:rsidRPr="00275EA8">
        <w:rPr>
          <w:rFonts w:eastAsia="Times New Roman"/>
          <w:sz w:val="24"/>
          <w:szCs w:val="24"/>
        </w:rPr>
        <w:t>28 Colo. 167, 63 P. 413 (1900) (no undue influence found)</w:t>
      </w:r>
      <w:r w:rsidR="00B0433C" w:rsidRPr="00275EA8">
        <w:rPr>
          <w:rFonts w:eastAsia="Times New Roman"/>
          <w:sz w:val="24"/>
          <w:szCs w:val="24"/>
        </w:rPr>
        <w:t>;</w:t>
      </w:r>
      <w:r w:rsidR="00F35621" w:rsidRPr="00275EA8">
        <w:rPr>
          <w:rFonts w:eastAsia="Times New Roman"/>
          <w:sz w:val="24"/>
          <w:szCs w:val="24"/>
        </w:rPr>
        <w:t xml:space="preserve"> </w:t>
      </w:r>
      <w:r w:rsidR="00F35621" w:rsidRPr="00275EA8">
        <w:rPr>
          <w:b/>
          <w:bCs/>
          <w:color w:val="212121"/>
          <w:sz w:val="24"/>
          <w:szCs w:val="24"/>
        </w:rPr>
        <w:t>Eads v. Dearing</w:t>
      </w:r>
      <w:r w:rsidR="00F35621" w:rsidRPr="00275EA8">
        <w:rPr>
          <w:color w:val="212121"/>
          <w:sz w:val="24"/>
          <w:szCs w:val="24"/>
        </w:rPr>
        <w:t>, 874 P.2d 474</w:t>
      </w:r>
      <w:r w:rsidR="00275EA8" w:rsidRPr="00275EA8">
        <w:rPr>
          <w:color w:val="212121"/>
          <w:sz w:val="24"/>
          <w:szCs w:val="24"/>
        </w:rPr>
        <w:t>, 477</w:t>
      </w:r>
      <w:r w:rsidR="00F35621" w:rsidRPr="00275EA8">
        <w:rPr>
          <w:color w:val="212121"/>
          <w:sz w:val="24"/>
          <w:szCs w:val="24"/>
        </w:rPr>
        <w:t xml:space="preserve"> (Colo.</w:t>
      </w:r>
      <w:r w:rsidR="00275EA8" w:rsidRPr="00275EA8">
        <w:rPr>
          <w:color w:val="212121"/>
          <w:sz w:val="24"/>
          <w:szCs w:val="24"/>
        </w:rPr>
        <w:t xml:space="preserve"> </w:t>
      </w:r>
      <w:r w:rsidR="00F35621" w:rsidRPr="00275EA8">
        <w:rPr>
          <w:color w:val="212121"/>
          <w:sz w:val="24"/>
          <w:szCs w:val="24"/>
        </w:rPr>
        <w:t xml:space="preserve">App.1993) (undue influence must be such as to overcome the will of the grantor to the extent </w:t>
      </w:r>
      <w:r w:rsidR="00275EA8" w:rsidRPr="00275EA8">
        <w:rPr>
          <w:color w:val="212121"/>
          <w:sz w:val="24"/>
          <w:szCs w:val="24"/>
        </w:rPr>
        <w:t xml:space="preserve">that </w:t>
      </w:r>
      <w:r w:rsidR="00F35621" w:rsidRPr="00275EA8">
        <w:rPr>
          <w:color w:val="212121"/>
          <w:sz w:val="24"/>
          <w:szCs w:val="24"/>
        </w:rPr>
        <w:t xml:space="preserve">he is prevented from voluntary action and </w:t>
      </w:r>
      <w:r w:rsidR="00275EA8" w:rsidRPr="00275EA8">
        <w:rPr>
          <w:color w:val="212121"/>
          <w:sz w:val="24"/>
          <w:szCs w:val="24"/>
        </w:rPr>
        <w:t xml:space="preserve">is </w:t>
      </w:r>
      <w:r w:rsidR="00F35621" w:rsidRPr="00275EA8">
        <w:rPr>
          <w:color w:val="212121"/>
          <w:sz w:val="24"/>
          <w:szCs w:val="24"/>
        </w:rPr>
        <w:t>deprived of free agency</w:t>
      </w:r>
      <w:r w:rsidR="00275EA8" w:rsidRPr="00275EA8">
        <w:rPr>
          <w:color w:val="212121"/>
          <w:sz w:val="24"/>
          <w:szCs w:val="24"/>
        </w:rPr>
        <w:t>”</w:t>
      </w:r>
      <w:r w:rsidR="00275EA8">
        <w:rPr>
          <w:color w:val="212121"/>
          <w:sz w:val="24"/>
          <w:szCs w:val="24"/>
        </w:rPr>
        <w:t>)</w:t>
      </w:r>
      <w:r w:rsidR="00275EA8" w:rsidRPr="00275EA8">
        <w:rPr>
          <w:color w:val="212121"/>
          <w:sz w:val="24"/>
          <w:szCs w:val="24"/>
        </w:rPr>
        <w:t xml:space="preserve"> (quoting </w:t>
      </w:r>
      <w:r w:rsidR="00275EA8" w:rsidRPr="00275EA8">
        <w:rPr>
          <w:b/>
          <w:bCs/>
          <w:color w:val="212121"/>
          <w:sz w:val="24"/>
          <w:szCs w:val="24"/>
        </w:rPr>
        <w:t>Anderson v. Lindgren</w:t>
      </w:r>
      <w:r w:rsidR="00275EA8" w:rsidRPr="00275EA8">
        <w:rPr>
          <w:color w:val="212121"/>
          <w:sz w:val="24"/>
          <w:szCs w:val="24"/>
        </w:rPr>
        <w:t>, 113 Colo. 401, 406, 157 P.2d 687, 689 (1945)</w:t>
      </w:r>
      <w:r w:rsidR="00F35621" w:rsidRPr="00275EA8">
        <w:rPr>
          <w:color w:val="212121"/>
          <w:sz w:val="24"/>
          <w:szCs w:val="24"/>
        </w:rPr>
        <w:t>).</w:t>
      </w:r>
    </w:p>
    <w:p w14:paraId="317BE564" w14:textId="631E975D" w:rsidR="00D81D01" w:rsidRPr="00D81D01" w:rsidRDefault="00D81D01" w:rsidP="00D81D01">
      <w:pPr>
        <w:spacing w:after="240"/>
        <w:ind w:firstLine="720"/>
        <w:rPr>
          <w:rFonts w:eastAsia="Times New Roman"/>
          <w:sz w:val="24"/>
          <w:szCs w:val="24"/>
        </w:rPr>
      </w:pPr>
    </w:p>
    <w:p w14:paraId="791BFFE5" w14:textId="77777777" w:rsidR="00D81D01" w:rsidRDefault="00D81D01">
      <w:pPr>
        <w:rPr>
          <w:rFonts w:eastAsia="Times New Roman"/>
          <w:sz w:val="24"/>
          <w:szCs w:val="24"/>
        </w:rPr>
      </w:pPr>
      <w:r>
        <w:rPr>
          <w:rFonts w:eastAsia="Times New Roman"/>
          <w:sz w:val="24"/>
          <w:szCs w:val="24"/>
        </w:rPr>
        <w:br w:type="page"/>
      </w:r>
    </w:p>
    <w:p w14:paraId="4234FAD6" w14:textId="77777777" w:rsidR="00D81D01" w:rsidRPr="009E3DA4" w:rsidRDefault="00D81D01" w:rsidP="00D81D01">
      <w:pPr>
        <w:spacing w:after="240"/>
        <w:ind w:left="720" w:hanging="720"/>
        <w:rPr>
          <w:rFonts w:eastAsia="Times New Roman"/>
          <w:b/>
          <w:sz w:val="24"/>
          <w:szCs w:val="24"/>
        </w:rPr>
      </w:pPr>
      <w:bookmarkStart w:id="24" w:name="a34_15"/>
      <w:bookmarkEnd w:id="24"/>
      <w:r w:rsidRPr="00D81D01">
        <w:rPr>
          <w:rFonts w:eastAsia="Times New Roman"/>
          <w:b/>
          <w:sz w:val="24"/>
          <w:szCs w:val="24"/>
        </w:rPr>
        <w:lastRenderedPageBreak/>
        <w:t xml:space="preserve">34:15 </w:t>
      </w:r>
      <w:r w:rsidRPr="00D81D01">
        <w:rPr>
          <w:rFonts w:eastAsia="Times New Roman"/>
          <w:b/>
          <w:sz w:val="24"/>
          <w:szCs w:val="24"/>
        </w:rPr>
        <w:tab/>
      </w:r>
      <w:r w:rsidRPr="00D81D01">
        <w:rPr>
          <w:rFonts w:ascii="Times New Roman Bold" w:eastAsia="Times New Roman" w:hAnsi="Times New Roman Bold"/>
          <w:b/>
          <w:caps/>
          <w:sz w:val="24"/>
          <w:szCs w:val="24"/>
        </w:rPr>
        <w:t>Factors to Be Considered in Determining Undue Influence</w:t>
      </w:r>
    </w:p>
    <w:p w14:paraId="30B9FACE" w14:textId="15AFD155" w:rsidR="00DC3972" w:rsidRPr="003830F5" w:rsidRDefault="00D81D01" w:rsidP="003830F5">
      <w:pPr>
        <w:spacing w:after="240"/>
        <w:ind w:firstLine="720"/>
        <w:rPr>
          <w:b/>
          <w:sz w:val="24"/>
          <w:szCs w:val="24"/>
        </w:rPr>
      </w:pPr>
      <w:r w:rsidRPr="00D81D01">
        <w:rPr>
          <w:rFonts w:eastAsia="Times New Roman"/>
          <w:b/>
          <w:sz w:val="24"/>
          <w:szCs w:val="24"/>
        </w:rPr>
        <w:t xml:space="preserve">Undue influence cannot be inferred solely because one or more persons may have had a motive or an opportunity to influence </w:t>
      </w:r>
      <w:r w:rsidRPr="00D81D01">
        <w:rPr>
          <w:rFonts w:eastAsia="Times New Roman"/>
          <w:i/>
          <w:sz w:val="24"/>
          <w:szCs w:val="24"/>
        </w:rPr>
        <w:t>(name of testator)</w:t>
      </w:r>
      <w:r w:rsidRPr="00D81D01">
        <w:rPr>
          <w:rFonts w:eastAsia="Times New Roman"/>
          <w:b/>
          <w:sz w:val="24"/>
          <w:szCs w:val="24"/>
        </w:rPr>
        <w:t xml:space="preserve"> in the making of </w:t>
      </w:r>
      <w:r w:rsidR="00DC3972">
        <w:rPr>
          <w:rFonts w:eastAsia="Times New Roman"/>
          <w:b/>
          <w:sz w:val="24"/>
          <w:szCs w:val="24"/>
        </w:rPr>
        <w:t>testator’s</w:t>
      </w:r>
      <w:r w:rsidR="00895739">
        <w:rPr>
          <w:rFonts w:eastAsia="Times New Roman"/>
          <w:bCs/>
          <w:i/>
          <w:iCs/>
          <w:sz w:val="24"/>
          <w:szCs w:val="24"/>
        </w:rPr>
        <w:t xml:space="preserve"> </w:t>
      </w:r>
      <w:r w:rsidR="00895739">
        <w:rPr>
          <w:rFonts w:eastAsia="Times New Roman"/>
          <w:b/>
          <w:sz w:val="24"/>
          <w:szCs w:val="24"/>
        </w:rPr>
        <w:t>W</w:t>
      </w:r>
      <w:r w:rsidRPr="00D81D01">
        <w:rPr>
          <w:rFonts w:eastAsia="Times New Roman"/>
          <w:b/>
          <w:sz w:val="24"/>
          <w:szCs w:val="24"/>
        </w:rPr>
        <w:t>ill.</w:t>
      </w:r>
    </w:p>
    <w:p w14:paraId="45DC73A4" w14:textId="0E5800A8"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Influence gained by reason of love, affection or kindness, or by appeals to such feelings, is not </w:t>
      </w:r>
      <w:r w:rsidR="00DC3972" w:rsidRPr="00DC3972">
        <w:rPr>
          <w:rFonts w:eastAsia="Times New Roman"/>
          <w:b/>
          <w:sz w:val="24"/>
          <w:szCs w:val="24"/>
        </w:rPr>
        <w:t xml:space="preserve">necessarily </w:t>
      </w:r>
      <w:r w:rsidRPr="00D81D01">
        <w:rPr>
          <w:rFonts w:eastAsia="Times New Roman"/>
          <w:b/>
          <w:sz w:val="24"/>
          <w:szCs w:val="24"/>
        </w:rPr>
        <w:t>undue influence.</w:t>
      </w:r>
    </w:p>
    <w:p w14:paraId="354D44E7" w14:textId="70268284" w:rsidR="00D81D01" w:rsidRDefault="00751F6A" w:rsidP="00D81D01">
      <w:pPr>
        <w:spacing w:after="240"/>
        <w:ind w:firstLine="720"/>
        <w:rPr>
          <w:rFonts w:eastAsia="Times New Roman"/>
          <w:b/>
          <w:sz w:val="24"/>
          <w:szCs w:val="24"/>
        </w:rPr>
      </w:pPr>
      <w:r w:rsidRPr="003830F5">
        <w:rPr>
          <w:rFonts w:eastAsia="Times New Roman"/>
          <w:b/>
          <w:sz w:val="24"/>
          <w:szCs w:val="24"/>
        </w:rPr>
        <w:t xml:space="preserve">In determining whether </w:t>
      </w:r>
      <w:r w:rsidR="0097520C">
        <w:rPr>
          <w:rFonts w:eastAsia="Times New Roman"/>
          <w:b/>
          <w:sz w:val="24"/>
          <w:szCs w:val="24"/>
        </w:rPr>
        <w:t xml:space="preserve">the </w:t>
      </w:r>
      <w:r w:rsidRPr="003830F5">
        <w:rPr>
          <w:rFonts w:eastAsia="Times New Roman"/>
          <w:b/>
          <w:sz w:val="24"/>
          <w:szCs w:val="24"/>
        </w:rPr>
        <w:t xml:space="preserve">testator was acting under undue influence at the time </w:t>
      </w:r>
      <w:r w:rsidR="0097520C">
        <w:rPr>
          <w:rFonts w:eastAsia="Times New Roman"/>
          <w:b/>
          <w:sz w:val="24"/>
          <w:szCs w:val="24"/>
        </w:rPr>
        <w:t xml:space="preserve">the </w:t>
      </w:r>
      <w:r w:rsidRPr="003830F5">
        <w:rPr>
          <w:rFonts w:eastAsia="Times New Roman"/>
          <w:b/>
          <w:sz w:val="24"/>
          <w:szCs w:val="24"/>
        </w:rPr>
        <w:t xml:space="preserve">testator made the Will, </w:t>
      </w:r>
      <w:r>
        <w:rPr>
          <w:rFonts w:eastAsia="Times New Roman"/>
          <w:b/>
          <w:sz w:val="24"/>
          <w:szCs w:val="24"/>
        </w:rPr>
        <w:t>y</w:t>
      </w:r>
      <w:r w:rsidR="00D81D01" w:rsidRPr="00D81D01">
        <w:rPr>
          <w:rFonts w:eastAsia="Times New Roman"/>
          <w:b/>
          <w:sz w:val="24"/>
          <w:szCs w:val="24"/>
        </w:rPr>
        <w:t xml:space="preserve">ou may consider the provisions in the </w:t>
      </w:r>
      <w:r w:rsidR="00895739">
        <w:rPr>
          <w:rFonts w:eastAsia="Times New Roman"/>
          <w:b/>
          <w:sz w:val="24"/>
          <w:szCs w:val="24"/>
        </w:rPr>
        <w:t>W</w:t>
      </w:r>
      <w:r w:rsidR="00D81D01" w:rsidRPr="00D81D01">
        <w:rPr>
          <w:rFonts w:eastAsia="Times New Roman"/>
          <w:b/>
          <w:sz w:val="24"/>
          <w:szCs w:val="24"/>
        </w:rPr>
        <w:t xml:space="preserve">ill </w:t>
      </w:r>
      <w:r>
        <w:rPr>
          <w:rFonts w:eastAsia="Times New Roman"/>
          <w:b/>
          <w:sz w:val="24"/>
          <w:szCs w:val="24"/>
        </w:rPr>
        <w:t xml:space="preserve">and </w:t>
      </w:r>
      <w:r w:rsidRPr="003830F5">
        <w:rPr>
          <w:rFonts w:eastAsia="Times New Roman"/>
          <w:b/>
          <w:sz w:val="24"/>
          <w:szCs w:val="24"/>
        </w:rPr>
        <w:t>the testator’s susceptibility to undue influence</w:t>
      </w:r>
      <w:r>
        <w:rPr>
          <w:rFonts w:eastAsia="Times New Roman"/>
          <w:b/>
          <w:sz w:val="24"/>
          <w:szCs w:val="24"/>
        </w:rPr>
        <w:t>.</w:t>
      </w:r>
      <w:r w:rsidR="00D81D01" w:rsidRPr="00D81D01">
        <w:rPr>
          <w:rFonts w:eastAsia="Times New Roman"/>
          <w:b/>
          <w:sz w:val="24"/>
          <w:szCs w:val="24"/>
        </w:rPr>
        <w:t xml:space="preserve"> However, in considering any particular provision in the </w:t>
      </w:r>
      <w:r w:rsidR="00895739">
        <w:rPr>
          <w:rFonts w:eastAsia="Times New Roman"/>
          <w:b/>
          <w:sz w:val="24"/>
          <w:szCs w:val="24"/>
        </w:rPr>
        <w:t>W</w:t>
      </w:r>
      <w:r w:rsidR="00D81D01" w:rsidRPr="00D81D01">
        <w:rPr>
          <w:rFonts w:eastAsia="Times New Roman"/>
          <w:b/>
          <w:sz w:val="24"/>
          <w:szCs w:val="24"/>
        </w:rPr>
        <w:t xml:space="preserve">ill, you must consider </w:t>
      </w:r>
      <w:r w:rsidR="003830F5">
        <w:rPr>
          <w:rFonts w:eastAsia="Times New Roman"/>
          <w:b/>
          <w:sz w:val="24"/>
          <w:szCs w:val="24"/>
        </w:rPr>
        <w:t>such</w:t>
      </w:r>
      <w:r w:rsidR="00D81D01" w:rsidRPr="00D81D01">
        <w:rPr>
          <w:rFonts w:eastAsia="Times New Roman"/>
          <w:b/>
          <w:sz w:val="24"/>
          <w:szCs w:val="24"/>
        </w:rPr>
        <w:t xml:space="preserve"> other provisions along with </w:t>
      </w:r>
      <w:r w:rsidR="003830F5" w:rsidRPr="00D00FAB">
        <w:rPr>
          <w:b/>
          <w:bCs/>
          <w:sz w:val="24"/>
          <w:szCs w:val="24"/>
        </w:rPr>
        <w:t xml:space="preserve">all the other provisions in the Will and along with </w:t>
      </w:r>
      <w:r w:rsidR="00D81D01" w:rsidRPr="00D81D01">
        <w:rPr>
          <w:rFonts w:eastAsia="Times New Roman"/>
          <w:b/>
          <w:sz w:val="24"/>
          <w:szCs w:val="24"/>
        </w:rPr>
        <w:t xml:space="preserve">all other evidence relating to the making of the </w:t>
      </w:r>
      <w:r w:rsidR="00895739">
        <w:rPr>
          <w:rFonts w:eastAsia="Times New Roman"/>
          <w:b/>
          <w:sz w:val="24"/>
          <w:szCs w:val="24"/>
        </w:rPr>
        <w:t>W</w:t>
      </w:r>
      <w:r w:rsidR="00D81D01" w:rsidRPr="00D81D01">
        <w:rPr>
          <w:rFonts w:eastAsia="Times New Roman"/>
          <w:b/>
          <w:sz w:val="24"/>
          <w:szCs w:val="24"/>
        </w:rPr>
        <w:t>ill.</w:t>
      </w:r>
    </w:p>
    <w:p w14:paraId="41E8BD88" w14:textId="2A525B38" w:rsidR="008D1FD8" w:rsidRDefault="00D81D01" w:rsidP="008F5AEB">
      <w:pPr>
        <w:spacing w:after="240"/>
        <w:ind w:firstLine="720"/>
        <w:rPr>
          <w:rFonts w:eastAsia="Times New Roman"/>
          <w:b/>
          <w:sz w:val="24"/>
          <w:szCs w:val="24"/>
        </w:rPr>
      </w:pPr>
      <w:r w:rsidRPr="00D81D01">
        <w:rPr>
          <w:rFonts w:eastAsia="Times New Roman"/>
          <w:b/>
          <w:sz w:val="24"/>
          <w:szCs w:val="24"/>
        </w:rPr>
        <w:t xml:space="preserve">A </w:t>
      </w:r>
      <w:r w:rsidR="003830F5">
        <w:rPr>
          <w:rFonts w:eastAsia="Times New Roman"/>
          <w:b/>
          <w:sz w:val="24"/>
          <w:szCs w:val="24"/>
        </w:rPr>
        <w:t>testator</w:t>
      </w:r>
      <w:r w:rsidRPr="00D81D01">
        <w:rPr>
          <w:rFonts w:eastAsia="Times New Roman"/>
          <w:b/>
          <w:sz w:val="24"/>
          <w:szCs w:val="24"/>
        </w:rPr>
        <w:t xml:space="preserve"> 18 years or older and of sound mind</w:t>
      </w:r>
      <w:r w:rsidR="00D00FAB">
        <w:rPr>
          <w:rFonts w:eastAsia="Times New Roman"/>
          <w:b/>
          <w:sz w:val="24"/>
          <w:szCs w:val="24"/>
        </w:rPr>
        <w:t>,</w:t>
      </w:r>
      <w:r w:rsidRPr="00D81D01">
        <w:rPr>
          <w:rFonts w:eastAsia="Times New Roman"/>
          <w:b/>
          <w:sz w:val="24"/>
          <w:szCs w:val="24"/>
        </w:rPr>
        <w:t xml:space="preserve"> not acting under undue influence</w:t>
      </w:r>
      <w:r w:rsidR="0097520C">
        <w:rPr>
          <w:rFonts w:eastAsia="Times New Roman"/>
          <w:b/>
          <w:sz w:val="24"/>
          <w:szCs w:val="24"/>
        </w:rPr>
        <w:t>,</w:t>
      </w:r>
      <w:r w:rsidRPr="00D81D01">
        <w:rPr>
          <w:rFonts w:eastAsia="Times New Roman"/>
          <w:b/>
          <w:sz w:val="24"/>
          <w:szCs w:val="24"/>
        </w:rPr>
        <w:t xml:space="preserve"> may </w:t>
      </w:r>
      <w:r w:rsidR="00B554DF">
        <w:rPr>
          <w:rFonts w:eastAsia="Times New Roman"/>
          <w:b/>
          <w:sz w:val="24"/>
          <w:szCs w:val="24"/>
        </w:rPr>
        <w:t xml:space="preserve">direct distribution </w:t>
      </w:r>
      <w:r w:rsidR="003830F5">
        <w:rPr>
          <w:rFonts w:eastAsia="Times New Roman"/>
          <w:b/>
          <w:sz w:val="24"/>
          <w:szCs w:val="24"/>
        </w:rPr>
        <w:t>of</w:t>
      </w:r>
      <w:r w:rsidR="000D7F91">
        <w:rPr>
          <w:rFonts w:eastAsia="Times New Roman"/>
          <w:b/>
          <w:sz w:val="24"/>
          <w:szCs w:val="24"/>
        </w:rPr>
        <w:t xml:space="preserve"> the</w:t>
      </w:r>
      <w:r w:rsidR="003830F5">
        <w:rPr>
          <w:rFonts w:eastAsia="Times New Roman"/>
          <w:b/>
          <w:sz w:val="24"/>
          <w:szCs w:val="24"/>
        </w:rPr>
        <w:t xml:space="preserve"> testator’s</w:t>
      </w:r>
      <w:r w:rsidRPr="00D81D01">
        <w:rPr>
          <w:rFonts w:eastAsia="Times New Roman"/>
          <w:b/>
          <w:sz w:val="24"/>
          <w:szCs w:val="24"/>
        </w:rPr>
        <w:t xml:space="preserve"> property to whomever </w:t>
      </w:r>
      <w:r w:rsidR="000D7F91">
        <w:rPr>
          <w:rFonts w:eastAsia="Times New Roman"/>
          <w:b/>
          <w:sz w:val="24"/>
          <w:szCs w:val="24"/>
        </w:rPr>
        <w:t xml:space="preserve">the </w:t>
      </w:r>
      <w:r w:rsidR="003830F5">
        <w:rPr>
          <w:rFonts w:eastAsia="Times New Roman"/>
          <w:b/>
          <w:sz w:val="24"/>
          <w:szCs w:val="24"/>
        </w:rPr>
        <w:t>testator</w:t>
      </w:r>
      <w:r w:rsidR="00895739">
        <w:rPr>
          <w:rFonts w:eastAsia="Times New Roman"/>
          <w:bCs/>
          <w:i/>
          <w:iCs/>
          <w:sz w:val="24"/>
          <w:szCs w:val="24"/>
        </w:rPr>
        <w:t xml:space="preserve"> </w:t>
      </w:r>
      <w:r w:rsidRPr="00D81D01">
        <w:rPr>
          <w:rFonts w:eastAsia="Times New Roman"/>
          <w:b/>
          <w:sz w:val="24"/>
          <w:szCs w:val="24"/>
        </w:rPr>
        <w:t xml:space="preserve">desires. The fact that </w:t>
      </w:r>
      <w:r w:rsidR="003830F5">
        <w:rPr>
          <w:rFonts w:eastAsia="Times New Roman"/>
          <w:b/>
          <w:sz w:val="24"/>
          <w:szCs w:val="24"/>
        </w:rPr>
        <w:t>the</w:t>
      </w:r>
      <w:r w:rsidRPr="00D81D01">
        <w:rPr>
          <w:rFonts w:eastAsia="Times New Roman"/>
          <w:b/>
          <w:sz w:val="24"/>
          <w:szCs w:val="24"/>
        </w:rPr>
        <w:t xml:space="preserve"> </w:t>
      </w:r>
      <w:r w:rsidR="00895739">
        <w:rPr>
          <w:rFonts w:eastAsia="Times New Roman"/>
          <w:b/>
          <w:sz w:val="24"/>
          <w:szCs w:val="24"/>
        </w:rPr>
        <w:t>W</w:t>
      </w:r>
      <w:r w:rsidRPr="00D81D01">
        <w:rPr>
          <w:rFonts w:eastAsia="Times New Roman"/>
          <w:b/>
          <w:sz w:val="24"/>
          <w:szCs w:val="24"/>
        </w:rPr>
        <w:t xml:space="preserve">ill may </w:t>
      </w:r>
      <w:r w:rsidR="00305908">
        <w:rPr>
          <w:rFonts w:eastAsia="Times New Roman"/>
          <w:b/>
          <w:sz w:val="24"/>
          <w:szCs w:val="24"/>
        </w:rPr>
        <w:t>direct the distribution</w:t>
      </w:r>
      <w:r w:rsidR="003830F5" w:rsidRPr="003830F5">
        <w:rPr>
          <w:rFonts w:eastAsia="Times New Roman"/>
          <w:b/>
          <w:sz w:val="24"/>
          <w:szCs w:val="24"/>
        </w:rPr>
        <w:t xml:space="preserve"> of property in a manner that is different </w:t>
      </w:r>
      <w:r w:rsidRPr="00D81D01">
        <w:rPr>
          <w:rFonts w:eastAsia="Times New Roman"/>
          <w:b/>
          <w:sz w:val="24"/>
          <w:szCs w:val="24"/>
        </w:rPr>
        <w:t xml:space="preserve">from your idea of what would be </w:t>
      </w:r>
      <w:r w:rsidR="003830F5" w:rsidRPr="003830F5">
        <w:rPr>
          <w:rFonts w:eastAsia="Times New Roman"/>
          <w:b/>
          <w:sz w:val="24"/>
          <w:szCs w:val="24"/>
        </w:rPr>
        <w:t xml:space="preserve">fair, kind, or natural </w:t>
      </w:r>
      <w:r w:rsidRPr="00D81D01">
        <w:rPr>
          <w:rFonts w:eastAsia="Times New Roman"/>
          <w:b/>
          <w:sz w:val="24"/>
          <w:szCs w:val="24"/>
        </w:rPr>
        <w:t xml:space="preserve">is not enough to </w:t>
      </w:r>
      <w:r w:rsidR="003830F5">
        <w:rPr>
          <w:rFonts w:eastAsia="Times New Roman"/>
          <w:b/>
          <w:sz w:val="24"/>
          <w:szCs w:val="24"/>
        </w:rPr>
        <w:t xml:space="preserve">find that </w:t>
      </w:r>
      <w:r w:rsidRPr="00D81D01">
        <w:rPr>
          <w:rFonts w:eastAsia="Times New Roman"/>
          <w:b/>
          <w:sz w:val="24"/>
          <w:szCs w:val="24"/>
        </w:rPr>
        <w:t xml:space="preserve">the </w:t>
      </w:r>
      <w:r w:rsidR="00895739">
        <w:rPr>
          <w:rFonts w:eastAsia="Times New Roman"/>
          <w:b/>
          <w:sz w:val="24"/>
          <w:szCs w:val="24"/>
        </w:rPr>
        <w:t>W</w:t>
      </w:r>
      <w:r w:rsidRPr="00D81D01">
        <w:rPr>
          <w:rFonts w:eastAsia="Times New Roman"/>
          <w:b/>
          <w:sz w:val="24"/>
          <w:szCs w:val="24"/>
        </w:rPr>
        <w:t xml:space="preserve">ill </w:t>
      </w:r>
      <w:r w:rsidR="003830F5">
        <w:rPr>
          <w:rFonts w:eastAsia="Times New Roman"/>
          <w:b/>
          <w:sz w:val="24"/>
          <w:szCs w:val="24"/>
        </w:rPr>
        <w:t>is invalid because of</w:t>
      </w:r>
      <w:r w:rsidRPr="00D81D01">
        <w:rPr>
          <w:rFonts w:eastAsia="Times New Roman"/>
          <w:b/>
          <w:sz w:val="24"/>
          <w:szCs w:val="24"/>
        </w:rPr>
        <w:t xml:space="preserve"> undue influence.</w:t>
      </w:r>
    </w:p>
    <w:p w14:paraId="267DB3D5" w14:textId="77777777" w:rsidR="00D81D01" w:rsidRDefault="00D81D01" w:rsidP="00D81D01">
      <w:pPr>
        <w:jc w:val="center"/>
        <w:rPr>
          <w:rFonts w:eastAsia="Times New Roman"/>
          <w:sz w:val="24"/>
          <w:szCs w:val="24"/>
        </w:rPr>
      </w:pPr>
    </w:p>
    <w:p w14:paraId="3F68C660"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14:paraId="67B9BDA0" w14:textId="326FDA36" w:rsidR="00D86602" w:rsidRDefault="00D81D01" w:rsidP="00D81D01">
      <w:pPr>
        <w:spacing w:after="240"/>
        <w:ind w:firstLine="720"/>
        <w:rPr>
          <w:rFonts w:eastAsia="Times New Roman"/>
          <w:sz w:val="24"/>
          <w:szCs w:val="24"/>
        </w:rPr>
      </w:pPr>
      <w:r w:rsidRPr="00D81D01">
        <w:rPr>
          <w:rFonts w:eastAsia="Times New Roman"/>
          <w:sz w:val="24"/>
          <w:szCs w:val="24"/>
        </w:rPr>
        <w:t>1.</w:t>
      </w:r>
      <w:r w:rsidR="00D86602" w:rsidRPr="00D86602">
        <w:rPr>
          <w:rFonts w:eastAsia="Times New Roman"/>
          <w:sz w:val="24"/>
          <w:szCs w:val="24"/>
        </w:rPr>
        <w:t xml:space="preserve"> </w:t>
      </w:r>
      <w:r w:rsidR="00D86602" w:rsidRPr="00E919D8">
        <w:rPr>
          <w:rFonts w:eastAsia="Times New Roman"/>
          <w:sz w:val="24"/>
          <w:szCs w:val="24"/>
        </w:rPr>
        <w:t>This instruction should be given with Instruction 34:</w:t>
      </w:r>
      <w:r w:rsidR="00846D9B">
        <w:rPr>
          <w:rFonts w:eastAsia="Times New Roman"/>
          <w:sz w:val="24"/>
          <w:szCs w:val="24"/>
        </w:rPr>
        <w:t>3A</w:t>
      </w:r>
      <w:r w:rsidR="00D86602" w:rsidRPr="00E919D8">
        <w:rPr>
          <w:rFonts w:eastAsia="Times New Roman"/>
          <w:sz w:val="24"/>
          <w:szCs w:val="24"/>
        </w:rPr>
        <w:t xml:space="preserve"> </w:t>
      </w:r>
      <w:r w:rsidR="00D86602">
        <w:rPr>
          <w:rFonts w:eastAsia="Times New Roman"/>
          <w:sz w:val="24"/>
          <w:szCs w:val="24"/>
        </w:rPr>
        <w:t>(</w:t>
      </w:r>
      <w:r w:rsidR="00D86602" w:rsidRPr="00E919D8">
        <w:rPr>
          <w:rFonts w:eastAsia="Times New Roman"/>
          <w:sz w:val="24"/>
          <w:szCs w:val="24"/>
        </w:rPr>
        <w:t>defining testator</w:t>
      </w:r>
      <w:r w:rsidR="00D86602">
        <w:rPr>
          <w:rFonts w:eastAsia="Times New Roman"/>
          <w:sz w:val="24"/>
          <w:szCs w:val="24"/>
        </w:rPr>
        <w:t>).</w:t>
      </w:r>
    </w:p>
    <w:p w14:paraId="318F1C1B" w14:textId="1E1938B8" w:rsidR="00D81D01" w:rsidRPr="00D81D01" w:rsidRDefault="00D86602" w:rsidP="00D81D01">
      <w:pPr>
        <w:spacing w:after="240"/>
        <w:ind w:firstLine="720"/>
        <w:rPr>
          <w:rFonts w:eastAsia="Times New Roman"/>
          <w:sz w:val="24"/>
          <w:szCs w:val="24"/>
        </w:rPr>
      </w:pPr>
      <w:r>
        <w:rPr>
          <w:rFonts w:eastAsia="Times New Roman"/>
          <w:sz w:val="24"/>
          <w:szCs w:val="24"/>
        </w:rPr>
        <w:t xml:space="preserve">2. </w:t>
      </w:r>
      <w:r w:rsidR="00D81D01" w:rsidRPr="00D81D01">
        <w:rPr>
          <w:rFonts w:eastAsia="Times New Roman"/>
          <w:sz w:val="24"/>
          <w:szCs w:val="24"/>
        </w:rPr>
        <w:t>This cautionary instruction should be given with Instruction 34:14 when undue influence is in issue. Instruction 34:17 (inference of undue influence, when presumption of undue influence is rebutted) may also be appropriate.</w:t>
      </w:r>
      <w:r w:rsidR="009A4A5E">
        <w:rPr>
          <w:rFonts w:eastAsia="Times New Roman"/>
          <w:sz w:val="24"/>
          <w:szCs w:val="24"/>
        </w:rPr>
        <w:t xml:space="preserve"> </w:t>
      </w:r>
      <w:r w:rsidR="00590E0C">
        <w:rPr>
          <w:rFonts w:eastAsia="Times New Roman"/>
          <w:sz w:val="24"/>
          <w:szCs w:val="24"/>
        </w:rPr>
        <w:t xml:space="preserve">Upon </w:t>
      </w:r>
      <w:r w:rsidR="00E75706">
        <w:rPr>
          <w:rFonts w:eastAsia="Times New Roman"/>
          <w:sz w:val="24"/>
          <w:szCs w:val="24"/>
        </w:rPr>
        <w:t xml:space="preserve">jury </w:t>
      </w:r>
      <w:r w:rsidR="00590E0C">
        <w:rPr>
          <w:rFonts w:eastAsia="Times New Roman"/>
          <w:sz w:val="24"/>
          <w:szCs w:val="24"/>
        </w:rPr>
        <w:t xml:space="preserve">consideration of the inference </w:t>
      </w:r>
      <w:r w:rsidR="00E71DDF">
        <w:rPr>
          <w:rFonts w:eastAsia="Times New Roman"/>
          <w:sz w:val="24"/>
          <w:szCs w:val="24"/>
        </w:rPr>
        <w:t>under</w:t>
      </w:r>
      <w:r w:rsidR="00590E0C">
        <w:rPr>
          <w:rFonts w:eastAsia="Times New Roman"/>
          <w:sz w:val="24"/>
          <w:szCs w:val="24"/>
        </w:rPr>
        <w:t xml:space="preserve"> Instruction 34:17, i</w:t>
      </w:r>
      <w:r w:rsidR="009A4A5E">
        <w:rPr>
          <w:rFonts w:eastAsia="Times New Roman"/>
          <w:sz w:val="24"/>
          <w:szCs w:val="24"/>
        </w:rPr>
        <w:t>t may also be appropriate to</w:t>
      </w:r>
      <w:r w:rsidR="000C1714">
        <w:rPr>
          <w:rFonts w:eastAsia="Times New Roman"/>
          <w:sz w:val="24"/>
          <w:szCs w:val="24"/>
        </w:rPr>
        <w:t xml:space="preserve"> supplement</w:t>
      </w:r>
      <w:r w:rsidR="009A4A5E">
        <w:rPr>
          <w:rFonts w:eastAsia="Times New Roman"/>
          <w:sz w:val="24"/>
          <w:szCs w:val="24"/>
        </w:rPr>
        <w:t xml:space="preserve"> 34:15</w:t>
      </w:r>
      <w:r w:rsidR="00596771">
        <w:rPr>
          <w:rFonts w:eastAsia="Times New Roman"/>
          <w:sz w:val="24"/>
          <w:szCs w:val="24"/>
        </w:rPr>
        <w:t xml:space="preserve"> </w:t>
      </w:r>
      <w:r w:rsidR="00D02010">
        <w:rPr>
          <w:rFonts w:eastAsia="Times New Roman"/>
          <w:sz w:val="24"/>
          <w:szCs w:val="24"/>
        </w:rPr>
        <w:t xml:space="preserve">with the instruction that </w:t>
      </w:r>
      <w:r w:rsidR="00E31668">
        <w:rPr>
          <w:rFonts w:eastAsia="Times New Roman"/>
          <w:sz w:val="24"/>
          <w:szCs w:val="24"/>
        </w:rPr>
        <w:t xml:space="preserve">the jury may consider the </w:t>
      </w:r>
      <w:r w:rsidR="00D02010">
        <w:rPr>
          <w:rFonts w:eastAsia="Times New Roman"/>
          <w:sz w:val="24"/>
          <w:szCs w:val="24"/>
        </w:rPr>
        <w:t xml:space="preserve">inference </w:t>
      </w:r>
      <w:r w:rsidR="005530F2">
        <w:rPr>
          <w:rFonts w:eastAsia="Times New Roman"/>
          <w:sz w:val="24"/>
          <w:szCs w:val="24"/>
        </w:rPr>
        <w:t xml:space="preserve">itself </w:t>
      </w:r>
      <w:r w:rsidR="00D02010">
        <w:rPr>
          <w:rFonts w:eastAsia="Times New Roman"/>
          <w:sz w:val="24"/>
          <w:szCs w:val="24"/>
        </w:rPr>
        <w:t>as a factor.</w:t>
      </w:r>
    </w:p>
    <w:p w14:paraId="5A35F95F" w14:textId="520BE4A2" w:rsidR="00D81D01" w:rsidRPr="00D81D01" w:rsidRDefault="00D86602" w:rsidP="00D81D01">
      <w:pPr>
        <w:spacing w:after="240"/>
        <w:ind w:firstLine="720"/>
        <w:rPr>
          <w:rFonts w:eastAsia="Times New Roman"/>
          <w:sz w:val="24"/>
          <w:szCs w:val="24"/>
        </w:rPr>
      </w:pPr>
      <w:r>
        <w:rPr>
          <w:rFonts w:eastAsia="Times New Roman"/>
          <w:sz w:val="24"/>
          <w:szCs w:val="24"/>
        </w:rPr>
        <w:t>3</w:t>
      </w:r>
      <w:r w:rsidR="00D81D01" w:rsidRPr="00D81D01">
        <w:rPr>
          <w:rFonts w:eastAsia="Times New Roman"/>
          <w:sz w:val="24"/>
          <w:szCs w:val="24"/>
        </w:rPr>
        <w:t>. The second paragraph should be omitted if there is no evidence in the case relating to the matters covered by it.</w:t>
      </w:r>
    </w:p>
    <w:p w14:paraId="63AC88E0" w14:textId="472A03A2" w:rsidR="00D81D01" w:rsidRPr="00D81D01" w:rsidRDefault="00D86602" w:rsidP="00D81D01">
      <w:pPr>
        <w:spacing w:after="240"/>
        <w:ind w:firstLine="720"/>
        <w:rPr>
          <w:rFonts w:eastAsia="Times New Roman"/>
          <w:sz w:val="24"/>
          <w:szCs w:val="24"/>
        </w:rPr>
      </w:pPr>
      <w:r>
        <w:rPr>
          <w:rFonts w:eastAsia="Times New Roman"/>
          <w:sz w:val="24"/>
          <w:szCs w:val="24"/>
        </w:rPr>
        <w:t>4</w:t>
      </w:r>
      <w:r w:rsidR="00D81D01" w:rsidRPr="00D81D01">
        <w:rPr>
          <w:rFonts w:eastAsia="Times New Roman"/>
          <w:sz w:val="24"/>
          <w:szCs w:val="24"/>
        </w:rPr>
        <w:t>. Omit the parenthesized word “claimed” if the only dispute going to the validity of the will is undue influence.</w:t>
      </w:r>
    </w:p>
    <w:p w14:paraId="25807627" w14:textId="4ECC32FE" w:rsidR="003C6BA0" w:rsidRPr="00D81D01" w:rsidRDefault="00D86602" w:rsidP="00275EA8">
      <w:pPr>
        <w:spacing w:after="240"/>
        <w:ind w:firstLine="720"/>
        <w:rPr>
          <w:rFonts w:eastAsia="Times New Roman"/>
          <w:sz w:val="24"/>
          <w:szCs w:val="24"/>
        </w:rPr>
      </w:pPr>
      <w:r>
        <w:rPr>
          <w:rFonts w:eastAsia="Times New Roman"/>
          <w:sz w:val="24"/>
          <w:szCs w:val="24"/>
        </w:rPr>
        <w:t>5</w:t>
      </w:r>
      <w:r w:rsidR="00D81D01" w:rsidRPr="00D81D01">
        <w:rPr>
          <w:rFonts w:eastAsia="Times New Roman"/>
          <w:sz w:val="24"/>
          <w:szCs w:val="24"/>
        </w:rPr>
        <w:t>. Because the burden of proving lack of testamentary capacity is on the contestant, § 15-12-407, C.R.S., the parenthetical references to testamentary capacity (age and sound mind) in the last paragraph should not be given unless either or both these matters have, in addition to undue influence, been properly put in issue by the contestant. Their inclusion otherwise in this instruction might improperly confuse the jury by suggesting the proponent has the burden of proving those elements of testamentary capacity.</w:t>
      </w:r>
    </w:p>
    <w:p w14:paraId="7E41C224" w14:textId="77777777" w:rsidR="00D81D01" w:rsidRPr="0054263B" w:rsidRDefault="00D81D01" w:rsidP="00D81D01">
      <w:pPr>
        <w:keepNext/>
        <w:spacing w:after="240"/>
        <w:jc w:val="center"/>
        <w:rPr>
          <w:rFonts w:eastAsia="Times New Roman"/>
          <w:b/>
          <w:sz w:val="24"/>
          <w:szCs w:val="24"/>
        </w:rPr>
      </w:pPr>
      <w:r>
        <w:rPr>
          <w:rFonts w:eastAsia="Times New Roman"/>
          <w:b/>
          <w:sz w:val="24"/>
          <w:szCs w:val="24"/>
        </w:rPr>
        <w:lastRenderedPageBreak/>
        <w:t>Source and Authority</w:t>
      </w:r>
    </w:p>
    <w:p w14:paraId="3BC1EDAB" w14:textId="67D11FA0" w:rsidR="00D81D01" w:rsidRPr="00275EA8" w:rsidRDefault="00275EA8" w:rsidP="00D81D01">
      <w:pPr>
        <w:spacing w:after="240"/>
        <w:ind w:firstLine="720"/>
        <w:rPr>
          <w:rFonts w:eastAsia="Times New Roman"/>
          <w:sz w:val="24"/>
          <w:szCs w:val="24"/>
        </w:rPr>
      </w:pPr>
      <w:r>
        <w:rPr>
          <w:rFonts w:eastAsia="Times New Roman"/>
          <w:sz w:val="24"/>
          <w:szCs w:val="24"/>
        </w:rPr>
        <w:t>1.</w:t>
      </w:r>
      <w:r w:rsidR="00D81D01" w:rsidRPr="00D81D01">
        <w:rPr>
          <w:rFonts w:eastAsia="Times New Roman"/>
          <w:sz w:val="24"/>
          <w:szCs w:val="24"/>
        </w:rPr>
        <w:t xml:space="preserve">This instruction is supported by </w:t>
      </w:r>
      <w:r w:rsidR="00D81D01" w:rsidRPr="00D81D01">
        <w:rPr>
          <w:rFonts w:eastAsia="Times New Roman"/>
          <w:b/>
          <w:sz w:val="24"/>
          <w:szCs w:val="24"/>
        </w:rPr>
        <w:t>Scott v. Leonard</w:t>
      </w:r>
      <w:r w:rsidR="00D81D01" w:rsidRPr="00D81D01">
        <w:rPr>
          <w:rFonts w:eastAsia="Times New Roman"/>
          <w:sz w:val="24"/>
          <w:szCs w:val="24"/>
        </w:rPr>
        <w:t xml:space="preserve">, 117 Colo. 54, 184 P.2d 138 (1947) (states the rule set out in the first paragraph); </w:t>
      </w:r>
      <w:r w:rsidR="00D81D01" w:rsidRPr="00D81D01">
        <w:rPr>
          <w:rFonts w:eastAsia="Times New Roman"/>
          <w:b/>
          <w:sz w:val="24"/>
          <w:szCs w:val="24"/>
        </w:rPr>
        <w:t>In re Estate of Rentfro</w:t>
      </w:r>
      <w:r w:rsidR="00D81D01" w:rsidRPr="00D81D01">
        <w:rPr>
          <w:rFonts w:eastAsia="Times New Roman"/>
          <w:sz w:val="24"/>
          <w:szCs w:val="24"/>
        </w:rPr>
        <w:t xml:space="preserve">, 102 Colo. 400, 79 P.2d 1042 (1938) (mere kindness of treatment, or reasonable solicitation, entreaty or persuasion not sufficient to invalidate a will); </w:t>
      </w:r>
      <w:r w:rsidR="00D81D01" w:rsidRPr="00D81D01">
        <w:rPr>
          <w:rFonts w:eastAsia="Times New Roman"/>
          <w:b/>
          <w:sz w:val="24"/>
          <w:szCs w:val="24"/>
        </w:rPr>
        <w:t>Lamborn v. Kirkpatrick</w:t>
      </w:r>
      <w:r w:rsidR="00D81D01" w:rsidRPr="00D81D01">
        <w:rPr>
          <w:rFonts w:eastAsia="Times New Roman"/>
          <w:sz w:val="24"/>
          <w:szCs w:val="24"/>
        </w:rPr>
        <w:t xml:space="preserve">, 97 Colo. 421, 50 P.2d 542 (1935) (if proponent and testator were living in unlawful cohabitation, proponent must show such relationship was not used to influence the will); </w:t>
      </w:r>
      <w:r w:rsidR="00D81D01" w:rsidRPr="00D81D01">
        <w:rPr>
          <w:rFonts w:eastAsia="Times New Roman"/>
          <w:b/>
          <w:sz w:val="24"/>
          <w:szCs w:val="24"/>
        </w:rPr>
        <w:t>Aquilini v. Chamblin</w:t>
      </w:r>
      <w:r w:rsidR="00D81D01" w:rsidRPr="00D81D01">
        <w:rPr>
          <w:rFonts w:eastAsia="Times New Roman"/>
          <w:sz w:val="24"/>
          <w:szCs w:val="24"/>
        </w:rPr>
        <w:t>,</w:t>
      </w:r>
      <w:r w:rsidR="00D81D01" w:rsidRPr="00D81D01">
        <w:rPr>
          <w:rFonts w:eastAsia="Times New Roman"/>
          <w:b/>
          <w:sz w:val="24"/>
          <w:szCs w:val="24"/>
        </w:rPr>
        <w:t xml:space="preserve"> </w:t>
      </w:r>
      <w:r w:rsidR="00D81D01" w:rsidRPr="00D81D01">
        <w:rPr>
          <w:rFonts w:eastAsia="Times New Roman"/>
          <w:sz w:val="24"/>
          <w:szCs w:val="24"/>
        </w:rPr>
        <w:t xml:space="preserve">94 Colo. 367, 30 P.2d 325 (1934) (supports the second and </w:t>
      </w:r>
      <w:r w:rsidR="0097520C">
        <w:rPr>
          <w:rFonts w:eastAsia="Times New Roman"/>
          <w:sz w:val="24"/>
          <w:szCs w:val="24"/>
        </w:rPr>
        <w:t>third</w:t>
      </w:r>
      <w:r w:rsidR="0097520C" w:rsidRPr="00D81D01">
        <w:rPr>
          <w:rFonts w:eastAsia="Times New Roman"/>
          <w:sz w:val="24"/>
          <w:szCs w:val="24"/>
        </w:rPr>
        <w:t xml:space="preserve"> </w:t>
      </w:r>
      <w:r w:rsidR="00D81D01" w:rsidRPr="00D81D01">
        <w:rPr>
          <w:rFonts w:eastAsia="Times New Roman"/>
          <w:sz w:val="24"/>
          <w:szCs w:val="24"/>
        </w:rPr>
        <w:t xml:space="preserve">paragraphs); </w:t>
      </w:r>
      <w:r w:rsidR="00D81D01" w:rsidRPr="00D81D01">
        <w:rPr>
          <w:rFonts w:eastAsia="Times New Roman"/>
          <w:b/>
          <w:sz w:val="24"/>
          <w:szCs w:val="24"/>
        </w:rPr>
        <w:t>Piggott v. Schachet</w:t>
      </w:r>
      <w:r w:rsidR="00D81D01" w:rsidRPr="00D81D01">
        <w:rPr>
          <w:rFonts w:eastAsia="Times New Roman"/>
          <w:sz w:val="24"/>
          <w:szCs w:val="24"/>
        </w:rPr>
        <w:t xml:space="preserve">, 76 Colo. 434, 232 P. 1112 (1925) (states the rule set out in the first paragraph); </w:t>
      </w:r>
      <w:r w:rsidR="00D81D01" w:rsidRPr="00D81D01">
        <w:rPr>
          <w:rFonts w:eastAsia="Times New Roman"/>
          <w:b/>
          <w:sz w:val="24"/>
          <w:szCs w:val="24"/>
        </w:rPr>
        <w:t>Davis v. Davis</w:t>
      </w:r>
      <w:r w:rsidR="00D81D01" w:rsidRPr="00D81D01">
        <w:rPr>
          <w:rFonts w:eastAsia="Times New Roman"/>
          <w:sz w:val="24"/>
          <w:szCs w:val="24"/>
        </w:rPr>
        <w:t xml:space="preserve">, 64 Colo. 62, 170 P. 208 (1917) (supports the </w:t>
      </w:r>
      <w:r w:rsidR="0097520C">
        <w:rPr>
          <w:rFonts w:eastAsia="Times New Roman"/>
          <w:sz w:val="24"/>
          <w:szCs w:val="24"/>
        </w:rPr>
        <w:t>third</w:t>
      </w:r>
      <w:r w:rsidR="0097520C" w:rsidRPr="00D81D01">
        <w:rPr>
          <w:rFonts w:eastAsia="Times New Roman"/>
          <w:sz w:val="24"/>
          <w:szCs w:val="24"/>
        </w:rPr>
        <w:t xml:space="preserve"> </w:t>
      </w:r>
      <w:r w:rsidR="00D81D01" w:rsidRPr="00D81D01">
        <w:rPr>
          <w:rFonts w:eastAsia="Times New Roman"/>
          <w:sz w:val="24"/>
          <w:szCs w:val="24"/>
        </w:rPr>
        <w:t xml:space="preserve">paragraph); </w:t>
      </w:r>
      <w:r w:rsidR="00D81D01" w:rsidRPr="00D81D01">
        <w:rPr>
          <w:rFonts w:eastAsia="Times New Roman"/>
          <w:b/>
          <w:sz w:val="24"/>
          <w:szCs w:val="24"/>
        </w:rPr>
        <w:t>Lehman v. Lindenmeyer</w:t>
      </w:r>
      <w:r w:rsidR="00D81D01" w:rsidRPr="00D81D01">
        <w:rPr>
          <w:rFonts w:eastAsia="Times New Roman"/>
          <w:sz w:val="24"/>
          <w:szCs w:val="24"/>
        </w:rPr>
        <w:t xml:space="preserve">, 48 Colo. 305, 109 P. 956 (1909) (same); </w:t>
      </w:r>
      <w:r w:rsidR="00D81D01" w:rsidRPr="00D81D01">
        <w:rPr>
          <w:rFonts w:eastAsia="Times New Roman"/>
          <w:b/>
          <w:sz w:val="24"/>
          <w:szCs w:val="24"/>
        </w:rPr>
        <w:t>Snodgrass v. Smith</w:t>
      </w:r>
      <w:r w:rsidR="00D81D01" w:rsidRPr="00D81D01">
        <w:rPr>
          <w:rFonts w:eastAsia="Times New Roman"/>
          <w:sz w:val="24"/>
          <w:szCs w:val="24"/>
        </w:rPr>
        <w:t xml:space="preserve">, 42 Colo. 60, 94 P. 312 (1908) (the burden of showing undue influence is on the one who asserts it, and an opportunity to exert undue influence in itself creates no presumption of undue influence); </w:t>
      </w:r>
      <w:r w:rsidR="00D81D01" w:rsidRPr="00D81D01">
        <w:rPr>
          <w:rFonts w:eastAsia="Times New Roman"/>
          <w:b/>
          <w:sz w:val="24"/>
          <w:szCs w:val="24"/>
        </w:rPr>
        <w:t>In re Estate of Shell</w:t>
      </w:r>
      <w:r w:rsidR="00D81D01" w:rsidRPr="00D81D01">
        <w:rPr>
          <w:rFonts w:eastAsia="Times New Roman"/>
          <w:sz w:val="24"/>
          <w:szCs w:val="24"/>
        </w:rPr>
        <w:t>,</w:t>
      </w:r>
      <w:r w:rsidR="00D81D01" w:rsidRPr="00D81D01">
        <w:rPr>
          <w:rFonts w:eastAsia="Times New Roman"/>
          <w:b/>
          <w:sz w:val="24"/>
          <w:szCs w:val="24"/>
        </w:rPr>
        <w:t xml:space="preserve"> </w:t>
      </w:r>
      <w:r w:rsidR="00D81D01" w:rsidRPr="00D81D01">
        <w:rPr>
          <w:rFonts w:eastAsia="Times New Roman"/>
          <w:sz w:val="24"/>
          <w:szCs w:val="24"/>
        </w:rPr>
        <w:t xml:space="preserve">28 Colo. 167, 63 P. 413 (1900) (states the rules set out in the first and </w:t>
      </w:r>
      <w:r w:rsidR="0097520C">
        <w:rPr>
          <w:rFonts w:eastAsia="Times New Roman"/>
          <w:sz w:val="24"/>
          <w:szCs w:val="24"/>
        </w:rPr>
        <w:t>third</w:t>
      </w:r>
      <w:r w:rsidR="0097520C" w:rsidRPr="00D81D01">
        <w:rPr>
          <w:rFonts w:eastAsia="Times New Roman"/>
          <w:sz w:val="24"/>
          <w:szCs w:val="24"/>
        </w:rPr>
        <w:t xml:space="preserve"> </w:t>
      </w:r>
      <w:r w:rsidR="00D81D01" w:rsidRPr="00D81D01">
        <w:rPr>
          <w:rFonts w:eastAsia="Times New Roman"/>
          <w:sz w:val="24"/>
          <w:szCs w:val="24"/>
        </w:rPr>
        <w:t xml:space="preserve">paragraphs); and </w:t>
      </w:r>
      <w:r w:rsidR="00D81D01" w:rsidRPr="00D81D01">
        <w:rPr>
          <w:rFonts w:eastAsia="Times New Roman"/>
          <w:b/>
          <w:sz w:val="24"/>
          <w:szCs w:val="24"/>
        </w:rPr>
        <w:t>Blackman v. Edsall</w:t>
      </w:r>
      <w:r w:rsidR="00D81D01" w:rsidRPr="00D81D01">
        <w:rPr>
          <w:rFonts w:eastAsia="Times New Roman"/>
          <w:sz w:val="24"/>
          <w:szCs w:val="24"/>
        </w:rPr>
        <w:t>,</w:t>
      </w:r>
      <w:r w:rsidR="00D81D01" w:rsidRPr="00D81D01">
        <w:rPr>
          <w:rFonts w:eastAsia="Times New Roman"/>
          <w:b/>
          <w:sz w:val="24"/>
          <w:szCs w:val="24"/>
        </w:rPr>
        <w:t xml:space="preserve"> </w:t>
      </w:r>
      <w:r w:rsidR="00D81D01" w:rsidRPr="00D81D01">
        <w:rPr>
          <w:rFonts w:eastAsia="Times New Roman"/>
          <w:sz w:val="24"/>
          <w:szCs w:val="24"/>
        </w:rPr>
        <w:t xml:space="preserve">17 Colo. App. 429, 68 P. 790 (1902) (supports the second paragraph and lists other matters for jury to </w:t>
      </w:r>
      <w:r w:rsidR="00D81D01" w:rsidRPr="00275EA8">
        <w:rPr>
          <w:rFonts w:eastAsia="Times New Roman"/>
          <w:sz w:val="24"/>
          <w:szCs w:val="24"/>
        </w:rPr>
        <w:t>consider).</w:t>
      </w:r>
    </w:p>
    <w:p w14:paraId="4A9B0B4B" w14:textId="497F6237" w:rsidR="00C93F2B" w:rsidRPr="00C13366" w:rsidRDefault="00275EA8" w:rsidP="00E84806">
      <w:pPr>
        <w:pStyle w:val="NormalWeb"/>
        <w:spacing w:before="0" w:beforeAutospacing="0" w:after="240" w:afterAutospacing="0"/>
        <w:ind w:firstLine="806"/>
        <w:textAlignment w:val="baseline"/>
      </w:pPr>
      <w:r w:rsidRPr="00C13366">
        <w:t xml:space="preserve">2. </w:t>
      </w:r>
      <w:r w:rsidR="00995FD1" w:rsidRPr="00C13366">
        <w:t xml:space="preserve">The </w:t>
      </w:r>
      <w:r w:rsidR="0097520C" w:rsidRPr="00C13366">
        <w:t>third</w:t>
      </w:r>
      <w:r w:rsidR="00CA0D0B" w:rsidRPr="00C13366">
        <w:t xml:space="preserve"> </w:t>
      </w:r>
      <w:r w:rsidR="00995FD1" w:rsidRPr="00C13366">
        <w:t xml:space="preserve">paragraph of the instruction is </w:t>
      </w:r>
      <w:r w:rsidR="00220B91" w:rsidRPr="00C13366">
        <w:t xml:space="preserve">also </w:t>
      </w:r>
      <w:r w:rsidR="00995FD1" w:rsidRPr="00C13366">
        <w:t xml:space="preserve">supported by </w:t>
      </w:r>
      <w:r w:rsidRPr="00C13366">
        <w:rPr>
          <w:b/>
          <w:bCs/>
        </w:rPr>
        <w:t xml:space="preserve">In re </w:t>
      </w:r>
      <w:r w:rsidR="00220B91" w:rsidRPr="00C13366">
        <w:rPr>
          <w:b/>
          <w:bCs/>
        </w:rPr>
        <w:t xml:space="preserve">Estate of </w:t>
      </w:r>
      <w:r w:rsidRPr="00C13366">
        <w:rPr>
          <w:b/>
          <w:bCs/>
        </w:rPr>
        <w:t>Renfro</w:t>
      </w:r>
      <w:r w:rsidRPr="00C13366">
        <w:t>,</w:t>
      </w:r>
      <w:hyperlink r:id="rId10" w:history="1">
        <w:r w:rsidR="00995FD1" w:rsidRPr="00C13366">
          <w:rPr>
            <w:rStyle w:val="Hyperlink"/>
            <w:color w:val="auto"/>
            <w:u w:val="none"/>
            <w:bdr w:val="none" w:sz="0" w:space="0" w:color="auto" w:frame="1"/>
          </w:rPr>
          <w:t xml:space="preserve"> 102 Colo. </w:t>
        </w:r>
        <w:r w:rsidR="00220B91" w:rsidRPr="00C13366">
          <w:rPr>
            <w:rStyle w:val="Hyperlink"/>
            <w:color w:val="auto"/>
            <w:u w:val="none"/>
            <w:bdr w:val="none" w:sz="0" w:space="0" w:color="auto" w:frame="1"/>
          </w:rPr>
          <w:t>at</w:t>
        </w:r>
        <w:r w:rsidR="00995FD1" w:rsidRPr="00C13366">
          <w:rPr>
            <w:rStyle w:val="Hyperlink"/>
            <w:color w:val="auto"/>
            <w:u w:val="none"/>
            <w:bdr w:val="none" w:sz="0" w:space="0" w:color="auto" w:frame="1"/>
          </w:rPr>
          <w:t xml:space="preserve"> 405-406</w:t>
        </w:r>
      </w:hyperlink>
      <w:r w:rsidRPr="00C13366">
        <w:t xml:space="preserve">, 79 P.2d </w:t>
      </w:r>
      <w:r w:rsidR="00220B91" w:rsidRPr="00C13366">
        <w:t>at</w:t>
      </w:r>
      <w:r w:rsidRPr="00C13366">
        <w:t xml:space="preserve"> 1044</w:t>
      </w:r>
      <w:r w:rsidR="00995FD1" w:rsidRPr="00C13366">
        <w:t xml:space="preserve"> (“</w:t>
      </w:r>
      <w:r w:rsidRPr="00C13366">
        <w:t>[U]</w:t>
      </w:r>
      <w:r w:rsidR="00995FD1" w:rsidRPr="00C13366">
        <w:rPr>
          <w:rStyle w:val="sssh"/>
          <w:bdr w:val="none" w:sz="0" w:space="0" w:color="auto" w:frame="1"/>
        </w:rPr>
        <w:t>ndue influence</w:t>
      </w:r>
      <w:r w:rsidR="00995FD1" w:rsidRPr="00C13366">
        <w:t> is not to be measured by its amount or extent, but by its fruits and results. In considering the question, therefore, it is essential to ascertain as far as practicable the power of coercion, domination and control on the one side and the liability or </w:t>
      </w:r>
      <w:r w:rsidR="00995FD1" w:rsidRPr="00C13366">
        <w:rPr>
          <w:rStyle w:val="sssh"/>
          <w:bdr w:val="none" w:sz="0" w:space="0" w:color="auto" w:frame="1"/>
        </w:rPr>
        <w:t>susceptibility</w:t>
      </w:r>
      <w:r w:rsidR="00995FD1" w:rsidRPr="00C13366">
        <w:t> to influence on the other, and whenever, through weakness, ignorance, dependence, or implicit reliance by one on the good faith of another, the latter obtains an ascendancy which prevents the former from exercising an unbiased judgment, </w:t>
      </w:r>
      <w:r w:rsidR="00995FD1" w:rsidRPr="00C13366">
        <w:rPr>
          <w:rStyle w:val="sssh"/>
          <w:bdr w:val="none" w:sz="0" w:space="0" w:color="auto" w:frame="1"/>
        </w:rPr>
        <w:t>undue influence</w:t>
      </w:r>
      <w:r w:rsidR="00995FD1" w:rsidRPr="00C13366">
        <w:t> exists.</w:t>
      </w:r>
      <w:r w:rsidRPr="00C13366">
        <w:t>”</w:t>
      </w:r>
      <w:r w:rsidR="00995FD1" w:rsidRPr="00C13366">
        <w:t>)</w:t>
      </w:r>
      <w:r w:rsidR="00A22E26" w:rsidRPr="00C13366">
        <w:t xml:space="preserve">. </w:t>
      </w:r>
      <w:r w:rsidR="00A22E26" w:rsidRPr="00C13366">
        <w:rPr>
          <w:i/>
          <w:iCs/>
        </w:rPr>
        <w:t xml:space="preserve">See also </w:t>
      </w:r>
      <w:r w:rsidR="00995FD1" w:rsidRPr="00C13366">
        <w:rPr>
          <w:b/>
          <w:bCs/>
          <w:bdr w:val="none" w:sz="0" w:space="0" w:color="auto" w:frame="1"/>
        </w:rPr>
        <w:t>Ofstad v. Sarconi</w:t>
      </w:r>
      <w:r w:rsidR="00995FD1" w:rsidRPr="00C13366">
        <w:rPr>
          <w:bdr w:val="none" w:sz="0" w:space="0" w:color="auto" w:frame="1"/>
        </w:rPr>
        <w:t>, 126 Colo. 565, 56</w:t>
      </w:r>
      <w:r w:rsidR="00220B91" w:rsidRPr="00C13366">
        <w:rPr>
          <w:bdr w:val="none" w:sz="0" w:space="0" w:color="auto" w:frame="1"/>
        </w:rPr>
        <w:t>9</w:t>
      </w:r>
      <w:r w:rsidR="00220B91" w:rsidRPr="00C13366">
        <w:t>, 252 P.2d 94, 96</w:t>
      </w:r>
      <w:r w:rsidR="00085D61" w:rsidRPr="00C13366">
        <w:t xml:space="preserve"> (1952)</w:t>
      </w:r>
      <w:r w:rsidR="00995FD1" w:rsidRPr="00C13366">
        <w:t xml:space="preserve"> (</w:t>
      </w:r>
      <w:r w:rsidR="00C93F2B" w:rsidRPr="00C13366">
        <w:t>“</w:t>
      </w:r>
      <w:r w:rsidR="00220B91" w:rsidRPr="00C13366">
        <w:t>[</w:t>
      </w:r>
      <w:r w:rsidR="00C93F2B" w:rsidRPr="00C13366">
        <w:t>O</w:t>
      </w:r>
      <w:r w:rsidR="00220B91" w:rsidRPr="00C13366">
        <w:t>]</w:t>
      </w:r>
      <w:r w:rsidR="00C93F2B" w:rsidRPr="00C13366">
        <w:t>rdinarily the very nature of </w:t>
      </w:r>
      <w:r w:rsidR="00C93F2B" w:rsidRPr="00C13366">
        <w:rPr>
          <w:rStyle w:val="sssh"/>
          <w:bdr w:val="none" w:sz="0" w:space="0" w:color="auto" w:frame="1"/>
        </w:rPr>
        <w:t>undue influence</w:t>
      </w:r>
      <w:r w:rsidR="00C93F2B" w:rsidRPr="00C13366">
        <w:t> is such that it is rarely susceptible of direct or positive proof, and must therefore rest upon circumstantial evidence.”)</w:t>
      </w:r>
      <w:r w:rsidR="00085D61" w:rsidRPr="00C13366">
        <w:t>;</w:t>
      </w:r>
      <w:r w:rsidR="00CA0D0B" w:rsidRPr="00C13366">
        <w:t xml:space="preserve"> </w:t>
      </w:r>
      <w:r w:rsidR="00CA0D0B" w:rsidRPr="00C13366">
        <w:rPr>
          <w:b/>
        </w:rPr>
        <w:t>Lehman</w:t>
      </w:r>
      <w:r w:rsidR="00CA0D0B" w:rsidRPr="00C13366">
        <w:t xml:space="preserve">, 48 Colo. </w:t>
      </w:r>
      <w:r w:rsidR="00085D61" w:rsidRPr="00C13366">
        <w:t xml:space="preserve">at </w:t>
      </w:r>
      <w:r w:rsidR="00CA0D0B" w:rsidRPr="00C13366">
        <w:t>3</w:t>
      </w:r>
      <w:r w:rsidR="00085D61" w:rsidRPr="00C13366">
        <w:t>13</w:t>
      </w:r>
      <w:r w:rsidR="00CA0D0B" w:rsidRPr="00C13366">
        <w:t xml:space="preserve">, 109 P. </w:t>
      </w:r>
      <w:r w:rsidR="00085D61" w:rsidRPr="00C13366">
        <w:t xml:space="preserve">at </w:t>
      </w:r>
      <w:r w:rsidR="00CA0D0B" w:rsidRPr="00C13366">
        <w:t>95</w:t>
      </w:r>
      <w:r w:rsidR="00085D61" w:rsidRPr="00C13366">
        <w:t>8-59 (court properly instructed jury to consider testator’s age and physical and mental condition as evidence of susceptibility to undue influence)</w:t>
      </w:r>
      <w:r w:rsidR="00D35DE5" w:rsidRPr="00C13366">
        <w:t>.</w:t>
      </w:r>
    </w:p>
    <w:p w14:paraId="19C78613" w14:textId="77777777" w:rsidR="00D81D01" w:rsidRDefault="00D81D01">
      <w:pPr>
        <w:rPr>
          <w:rFonts w:eastAsia="Times New Roman"/>
          <w:sz w:val="24"/>
          <w:szCs w:val="24"/>
        </w:rPr>
      </w:pPr>
      <w:r>
        <w:rPr>
          <w:rFonts w:eastAsia="Times New Roman"/>
          <w:sz w:val="24"/>
          <w:szCs w:val="24"/>
        </w:rPr>
        <w:br w:type="page"/>
      </w:r>
    </w:p>
    <w:p w14:paraId="166F4F49" w14:textId="31A72210" w:rsidR="00D81D01" w:rsidRPr="009E3DA4" w:rsidRDefault="00D81D01" w:rsidP="00D81D01">
      <w:pPr>
        <w:spacing w:after="240"/>
        <w:ind w:left="720" w:hanging="720"/>
        <w:rPr>
          <w:rFonts w:eastAsia="Times New Roman"/>
          <w:b/>
          <w:sz w:val="24"/>
          <w:szCs w:val="24"/>
        </w:rPr>
      </w:pPr>
      <w:bookmarkStart w:id="25" w:name="a34_16"/>
      <w:bookmarkStart w:id="26" w:name="_Hlk176509301"/>
      <w:bookmarkEnd w:id="25"/>
      <w:r w:rsidRPr="00D81D01">
        <w:rPr>
          <w:rFonts w:eastAsia="Times New Roman"/>
          <w:b/>
          <w:sz w:val="24"/>
          <w:szCs w:val="24"/>
        </w:rPr>
        <w:lastRenderedPageBreak/>
        <w:t xml:space="preserve">34:16 </w:t>
      </w:r>
      <w:r w:rsidRPr="00D81D01">
        <w:rPr>
          <w:rFonts w:eastAsia="Times New Roman"/>
          <w:b/>
          <w:sz w:val="24"/>
          <w:szCs w:val="24"/>
        </w:rPr>
        <w:tab/>
        <w:t>UNDUE INFLUENCE — PRESUMPTION WHEN BENEFICIARY IN A CONFIDENTIAL OR FIDUCIARY RELATIONSHIP</w:t>
      </w:r>
    </w:p>
    <w:p w14:paraId="6E139010" w14:textId="11AD8988"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14:paraId="6CBACB70" w14:textId="2F18EAE7" w:rsidR="007A1FAF" w:rsidRDefault="00D81D01" w:rsidP="007A1FAF">
      <w:pPr>
        <w:ind w:firstLine="720"/>
        <w:rPr>
          <w:sz w:val="24"/>
          <w:szCs w:val="24"/>
        </w:rPr>
      </w:pPr>
      <w:r w:rsidRPr="00D81D01">
        <w:rPr>
          <w:rFonts w:eastAsia="Times New Roman"/>
          <w:sz w:val="24"/>
          <w:szCs w:val="24"/>
        </w:rPr>
        <w:t xml:space="preserve">1. </w:t>
      </w:r>
      <w:r w:rsidR="007A1FAF" w:rsidRPr="00CB192A">
        <w:rPr>
          <w:sz w:val="24"/>
          <w:szCs w:val="24"/>
        </w:rPr>
        <w:t xml:space="preserve">This note </w:t>
      </w:r>
      <w:r w:rsidR="007A1FAF">
        <w:rPr>
          <w:sz w:val="24"/>
          <w:szCs w:val="24"/>
        </w:rPr>
        <w:t>may</w:t>
      </w:r>
      <w:r w:rsidR="007A1FAF" w:rsidRPr="00CB192A">
        <w:rPr>
          <w:sz w:val="24"/>
          <w:szCs w:val="24"/>
        </w:rPr>
        <w:t xml:space="preserve"> assist the </w:t>
      </w:r>
      <w:r w:rsidR="007A1FAF">
        <w:rPr>
          <w:sz w:val="24"/>
          <w:szCs w:val="24"/>
        </w:rPr>
        <w:t>trial c</w:t>
      </w:r>
      <w:r w:rsidR="007A1FAF" w:rsidRPr="00CB192A">
        <w:rPr>
          <w:sz w:val="24"/>
          <w:szCs w:val="24"/>
        </w:rPr>
        <w:t xml:space="preserve">ourt in </w:t>
      </w:r>
      <w:r w:rsidR="007A1FAF">
        <w:rPr>
          <w:sz w:val="24"/>
          <w:szCs w:val="24"/>
        </w:rPr>
        <w:t>determining</w:t>
      </w:r>
      <w:r w:rsidR="007A1FAF" w:rsidRPr="00CB192A">
        <w:rPr>
          <w:sz w:val="24"/>
          <w:szCs w:val="24"/>
        </w:rPr>
        <w:t xml:space="preserve"> how and when the presumption of undue influence applies, what is to be decided by the </w:t>
      </w:r>
      <w:r w:rsidR="007A1FAF">
        <w:rPr>
          <w:sz w:val="24"/>
          <w:szCs w:val="24"/>
        </w:rPr>
        <w:t>trial c</w:t>
      </w:r>
      <w:r w:rsidR="007A1FAF" w:rsidRPr="00CB192A">
        <w:rPr>
          <w:sz w:val="24"/>
          <w:szCs w:val="24"/>
        </w:rPr>
        <w:t xml:space="preserve">ourt, and how the </w:t>
      </w:r>
      <w:r w:rsidR="007A1FAF">
        <w:rPr>
          <w:sz w:val="24"/>
          <w:szCs w:val="24"/>
        </w:rPr>
        <w:t>trial c</w:t>
      </w:r>
      <w:r w:rsidR="007A1FAF" w:rsidRPr="00CB192A">
        <w:rPr>
          <w:sz w:val="24"/>
          <w:szCs w:val="24"/>
        </w:rPr>
        <w:t>ourt’s findings affect the determination to be made by the jury.</w:t>
      </w:r>
    </w:p>
    <w:p w14:paraId="551B78E7" w14:textId="77777777" w:rsidR="007A1FAF" w:rsidRDefault="007A1FAF" w:rsidP="007A1FAF">
      <w:pPr>
        <w:ind w:firstLine="720"/>
        <w:rPr>
          <w:sz w:val="24"/>
          <w:szCs w:val="24"/>
        </w:rPr>
      </w:pPr>
    </w:p>
    <w:p w14:paraId="19FA2171" w14:textId="474E40A1" w:rsidR="007A1FAF" w:rsidRPr="00CB192A" w:rsidRDefault="007A1FAF" w:rsidP="007A1FAF">
      <w:pPr>
        <w:ind w:firstLine="720"/>
        <w:rPr>
          <w:sz w:val="24"/>
          <w:szCs w:val="24"/>
        </w:rPr>
      </w:pPr>
      <w:r>
        <w:rPr>
          <w:sz w:val="24"/>
          <w:szCs w:val="24"/>
        </w:rPr>
        <w:t xml:space="preserve">2. </w:t>
      </w:r>
      <w:r w:rsidRPr="00865DA4">
        <w:rPr>
          <w:sz w:val="24"/>
          <w:szCs w:val="24"/>
        </w:rPr>
        <w:t xml:space="preserve">A claim of undue influence presents a mixed question of fact and law. </w:t>
      </w:r>
      <w:r w:rsidRPr="002F77A9">
        <w:rPr>
          <w:b/>
          <w:bCs/>
          <w:sz w:val="24"/>
          <w:szCs w:val="24"/>
        </w:rPr>
        <w:t>Krueger v. Ary</w:t>
      </w:r>
      <w:r w:rsidRPr="00865DA4">
        <w:rPr>
          <w:sz w:val="24"/>
          <w:szCs w:val="24"/>
        </w:rPr>
        <w:t xml:space="preserve">, 205 P.3d 1150, 1156 (Colo. 2009). Whether a presumption of undue influence applies presents a question of law, but the ultimate conclusion of whether undue influence has been established presents a question of fact. </w:t>
      </w:r>
      <w:r w:rsidRPr="002F77A9">
        <w:rPr>
          <w:i/>
          <w:iCs/>
          <w:sz w:val="24"/>
          <w:szCs w:val="24"/>
        </w:rPr>
        <w:t>Id.</w:t>
      </w:r>
    </w:p>
    <w:p w14:paraId="2BE1B8A1" w14:textId="77777777" w:rsidR="007A1FAF" w:rsidRPr="00CB192A" w:rsidRDefault="007A1FAF" w:rsidP="007A1FAF">
      <w:pPr>
        <w:rPr>
          <w:sz w:val="24"/>
          <w:szCs w:val="24"/>
        </w:rPr>
      </w:pPr>
    </w:p>
    <w:p w14:paraId="0D74C465" w14:textId="5481C03B" w:rsidR="007A1FAF" w:rsidRDefault="007A1FAF" w:rsidP="007A1FAF">
      <w:pPr>
        <w:ind w:firstLine="720"/>
        <w:rPr>
          <w:sz w:val="24"/>
          <w:szCs w:val="24"/>
        </w:rPr>
      </w:pPr>
      <w:r>
        <w:rPr>
          <w:sz w:val="24"/>
          <w:szCs w:val="24"/>
        </w:rPr>
        <w:t xml:space="preserve">3. </w:t>
      </w:r>
      <w:r w:rsidRPr="0049060F">
        <w:rPr>
          <w:sz w:val="24"/>
          <w:szCs w:val="24"/>
        </w:rPr>
        <w:t xml:space="preserve">If the </w:t>
      </w:r>
      <w:r>
        <w:rPr>
          <w:sz w:val="24"/>
          <w:szCs w:val="24"/>
        </w:rPr>
        <w:t>trial c</w:t>
      </w:r>
      <w:r w:rsidRPr="0049060F">
        <w:rPr>
          <w:sz w:val="24"/>
          <w:szCs w:val="24"/>
        </w:rPr>
        <w:t xml:space="preserve">ourt finds by a preponderance of the evidence that </w:t>
      </w:r>
      <w:r w:rsidRPr="00CB192A">
        <w:rPr>
          <w:sz w:val="24"/>
          <w:szCs w:val="24"/>
        </w:rPr>
        <w:t>the alleged undue influence</w:t>
      </w:r>
      <w:r>
        <w:rPr>
          <w:sz w:val="24"/>
          <w:szCs w:val="24"/>
        </w:rPr>
        <w:t>r</w:t>
      </w:r>
      <w:r w:rsidRPr="00CB192A">
        <w:rPr>
          <w:sz w:val="24"/>
          <w:szCs w:val="24"/>
        </w:rPr>
        <w:t xml:space="preserve"> was</w:t>
      </w:r>
      <w:r>
        <w:rPr>
          <w:i/>
          <w:iCs/>
          <w:sz w:val="24"/>
          <w:szCs w:val="24"/>
        </w:rPr>
        <w:t xml:space="preserve"> </w:t>
      </w:r>
      <w:r w:rsidRPr="00CB192A">
        <w:rPr>
          <w:sz w:val="24"/>
          <w:szCs w:val="24"/>
        </w:rPr>
        <w:t xml:space="preserve">in a confidential or fiduciary relationship with the testator at the time of the making or execution of the </w:t>
      </w:r>
      <w:r>
        <w:rPr>
          <w:sz w:val="24"/>
          <w:szCs w:val="24"/>
        </w:rPr>
        <w:t>w</w:t>
      </w:r>
      <w:r w:rsidRPr="00CB192A">
        <w:rPr>
          <w:sz w:val="24"/>
          <w:szCs w:val="24"/>
        </w:rPr>
        <w:t xml:space="preserve">ill; </w:t>
      </w:r>
      <w:r>
        <w:rPr>
          <w:sz w:val="24"/>
          <w:szCs w:val="24"/>
        </w:rPr>
        <w:t>w</w:t>
      </w:r>
      <w:r w:rsidRPr="00CB192A">
        <w:rPr>
          <w:sz w:val="24"/>
          <w:szCs w:val="24"/>
        </w:rPr>
        <w:t xml:space="preserve">as actively or directly involved in the making or execution of the </w:t>
      </w:r>
      <w:r>
        <w:rPr>
          <w:sz w:val="24"/>
          <w:szCs w:val="24"/>
        </w:rPr>
        <w:t>w</w:t>
      </w:r>
      <w:r w:rsidRPr="00CB192A">
        <w:rPr>
          <w:sz w:val="24"/>
          <w:szCs w:val="24"/>
        </w:rPr>
        <w:t>ill; an</w:t>
      </w:r>
      <w:r>
        <w:rPr>
          <w:sz w:val="24"/>
          <w:szCs w:val="24"/>
        </w:rPr>
        <w:t>d b</w:t>
      </w:r>
      <w:r w:rsidRPr="00CB192A">
        <w:rPr>
          <w:sz w:val="24"/>
          <w:szCs w:val="24"/>
        </w:rPr>
        <w:t xml:space="preserve">enefited from the terms of the </w:t>
      </w:r>
      <w:r>
        <w:rPr>
          <w:sz w:val="24"/>
          <w:szCs w:val="24"/>
        </w:rPr>
        <w:t>w</w:t>
      </w:r>
      <w:r w:rsidRPr="00CB192A">
        <w:rPr>
          <w:sz w:val="24"/>
          <w:szCs w:val="24"/>
        </w:rPr>
        <w:t>ill</w:t>
      </w:r>
      <w:r>
        <w:rPr>
          <w:sz w:val="24"/>
          <w:szCs w:val="24"/>
        </w:rPr>
        <w:t>, t</w:t>
      </w:r>
      <w:r w:rsidRPr="003B16AA">
        <w:rPr>
          <w:sz w:val="24"/>
          <w:szCs w:val="24"/>
        </w:rPr>
        <w:t>hen there is</w:t>
      </w:r>
      <w:r>
        <w:rPr>
          <w:sz w:val="24"/>
          <w:szCs w:val="24"/>
        </w:rPr>
        <w:t xml:space="preserve"> a</w:t>
      </w:r>
      <w:r w:rsidRPr="003B16AA">
        <w:rPr>
          <w:sz w:val="24"/>
          <w:szCs w:val="24"/>
        </w:rPr>
        <w:t xml:space="preserve"> rebuttable presumption of undue influence upon the testator in the </w:t>
      </w:r>
      <w:r>
        <w:rPr>
          <w:sz w:val="24"/>
          <w:szCs w:val="24"/>
        </w:rPr>
        <w:t>making</w:t>
      </w:r>
      <w:r w:rsidRPr="003B16AA">
        <w:rPr>
          <w:sz w:val="24"/>
          <w:szCs w:val="24"/>
        </w:rPr>
        <w:t xml:space="preserve"> or execution of the </w:t>
      </w:r>
      <w:r>
        <w:rPr>
          <w:sz w:val="24"/>
          <w:szCs w:val="24"/>
        </w:rPr>
        <w:t>will.</w:t>
      </w:r>
    </w:p>
    <w:p w14:paraId="539F0A3E" w14:textId="77777777" w:rsidR="007A1FAF" w:rsidRDefault="007A1FAF" w:rsidP="007A1FAF">
      <w:pPr>
        <w:ind w:firstLine="720"/>
        <w:rPr>
          <w:sz w:val="24"/>
          <w:szCs w:val="24"/>
        </w:rPr>
      </w:pPr>
    </w:p>
    <w:p w14:paraId="079527DB" w14:textId="6FD2C3A1" w:rsidR="00D81D01" w:rsidRPr="00D81D01" w:rsidRDefault="007A1FAF" w:rsidP="007A1FAF">
      <w:pPr>
        <w:spacing w:after="240"/>
        <w:ind w:firstLine="720"/>
        <w:rPr>
          <w:rFonts w:eastAsia="Times New Roman"/>
          <w:sz w:val="24"/>
          <w:szCs w:val="24"/>
        </w:rPr>
      </w:pPr>
      <w:r>
        <w:rPr>
          <w:rFonts w:eastAsia="Times New Roman"/>
          <w:sz w:val="24"/>
          <w:szCs w:val="24"/>
        </w:rPr>
        <w:t>4. A</w:t>
      </w:r>
      <w:r w:rsidR="00D81D01" w:rsidRPr="00D81D01">
        <w:rPr>
          <w:rFonts w:eastAsia="Times New Roman"/>
          <w:sz w:val="24"/>
          <w:szCs w:val="24"/>
        </w:rPr>
        <w:t xml:space="preserve"> rebuttable presumption of undue influence due to a confidential or fiduciary relationship “shifts only the burden of going forward with evidence, and does not shift the entire burden of proof.” </w:t>
      </w:r>
      <w:r w:rsidR="003E0640" w:rsidRPr="002F77A9">
        <w:rPr>
          <w:b/>
          <w:bCs/>
          <w:sz w:val="24"/>
          <w:szCs w:val="24"/>
        </w:rPr>
        <w:t>Krueger</w:t>
      </w:r>
      <w:r w:rsidR="003E0640" w:rsidRPr="003E0640">
        <w:rPr>
          <w:sz w:val="24"/>
          <w:szCs w:val="24"/>
        </w:rPr>
        <w:t xml:space="preserve">, 205 P.3d </w:t>
      </w:r>
      <w:r w:rsidR="00D81D01" w:rsidRPr="00D81D01">
        <w:rPr>
          <w:rFonts w:eastAsia="Times New Roman"/>
          <w:sz w:val="24"/>
          <w:szCs w:val="24"/>
        </w:rPr>
        <w:t xml:space="preserve">at 1154. </w:t>
      </w:r>
      <w:r>
        <w:rPr>
          <w:rFonts w:eastAsia="Times New Roman"/>
          <w:sz w:val="24"/>
          <w:szCs w:val="24"/>
        </w:rPr>
        <w:t xml:space="preserve">If the trial court determines the opponent’s evidence is legally insufficient to rebut the presumption, undue influence is established as a matter of law. </w:t>
      </w:r>
      <w:r w:rsidRPr="00D81D01">
        <w:rPr>
          <w:rFonts w:eastAsia="Times New Roman"/>
          <w:i/>
          <w:sz w:val="24"/>
          <w:szCs w:val="24"/>
        </w:rPr>
        <w:t>Id.</w:t>
      </w:r>
      <w:r w:rsidRPr="00D81D01">
        <w:rPr>
          <w:rFonts w:eastAsia="Times New Roman"/>
          <w:sz w:val="24"/>
          <w:szCs w:val="24"/>
        </w:rPr>
        <w:t xml:space="preserve"> at 115</w:t>
      </w:r>
      <w:r>
        <w:rPr>
          <w:rFonts w:eastAsia="Times New Roman"/>
          <w:sz w:val="24"/>
          <w:szCs w:val="24"/>
        </w:rPr>
        <w:t>6.</w:t>
      </w:r>
      <w:r w:rsidR="00D81D01" w:rsidRPr="00D81D01">
        <w:rPr>
          <w:rFonts w:eastAsia="Times New Roman"/>
          <w:sz w:val="24"/>
          <w:szCs w:val="24"/>
        </w:rPr>
        <w:t xml:space="preserve"> In that event, the proper procedure would be either to direct a verdict in whole or in part or to instruct the jury that the fact of undue influence has been established as a matter of law. </w:t>
      </w:r>
      <w:r w:rsidR="00D81D01" w:rsidRPr="00D81D01">
        <w:rPr>
          <w:rFonts w:eastAsia="Times New Roman"/>
          <w:i/>
          <w:sz w:val="24"/>
          <w:szCs w:val="24"/>
        </w:rPr>
        <w:t>See</w:t>
      </w:r>
      <w:r w:rsidR="00D81D01" w:rsidRPr="00D81D01">
        <w:rPr>
          <w:rFonts w:eastAsia="Times New Roman"/>
          <w:sz w:val="24"/>
          <w:szCs w:val="24"/>
        </w:rPr>
        <w:t xml:space="preserve"> Instruction 2:5 (directed verdict). No jury issue as to the presumed fact would remain. </w:t>
      </w:r>
    </w:p>
    <w:p w14:paraId="3AC6A470" w14:textId="77777777" w:rsidR="007A1FAF" w:rsidRDefault="007A1FAF" w:rsidP="00D81D01">
      <w:pPr>
        <w:spacing w:after="240"/>
        <w:ind w:firstLine="720"/>
        <w:rPr>
          <w:sz w:val="24"/>
          <w:szCs w:val="24"/>
        </w:rPr>
      </w:pPr>
      <w:r>
        <w:rPr>
          <w:rFonts w:eastAsia="Times New Roman"/>
          <w:sz w:val="24"/>
          <w:szCs w:val="24"/>
        </w:rPr>
        <w:t xml:space="preserve">5. If the trial court determines </w:t>
      </w:r>
      <w:r>
        <w:rPr>
          <w:sz w:val="24"/>
          <w:szCs w:val="24"/>
        </w:rPr>
        <w:t xml:space="preserve">legally sufficient evidence exists to rebut the presumption, then undue influence is not shown as a matter of law and “remains disputed, to be determined by a jury.” </w:t>
      </w:r>
      <w:r w:rsidRPr="00336B29">
        <w:rPr>
          <w:i/>
          <w:iCs/>
          <w:sz w:val="24"/>
          <w:szCs w:val="24"/>
        </w:rPr>
        <w:t>Id.</w:t>
      </w:r>
      <w:r>
        <w:rPr>
          <w:sz w:val="24"/>
          <w:szCs w:val="24"/>
        </w:rPr>
        <w:t xml:space="preserve"> In that case, the trial court may, but is not required to, give Instruction 34:17 (permissible inference when presumption of undue influence is rebutted). I</w:t>
      </w:r>
      <w:r w:rsidRPr="003B16AA">
        <w:rPr>
          <w:sz w:val="24"/>
          <w:szCs w:val="24"/>
        </w:rPr>
        <w:t>nstruction 34:15</w:t>
      </w:r>
      <w:r>
        <w:rPr>
          <w:sz w:val="24"/>
          <w:szCs w:val="24"/>
        </w:rPr>
        <w:t xml:space="preserve"> (defining undue influence) should also be given</w:t>
      </w:r>
      <w:r w:rsidRPr="003B16AA">
        <w:rPr>
          <w:sz w:val="24"/>
          <w:szCs w:val="24"/>
        </w:rPr>
        <w:t>.</w:t>
      </w:r>
    </w:p>
    <w:p w14:paraId="0026B6A2" w14:textId="392C152B" w:rsidR="00D81D01" w:rsidRPr="00D81D01" w:rsidRDefault="007A1FAF" w:rsidP="00D81D01">
      <w:pPr>
        <w:spacing w:after="240"/>
        <w:ind w:firstLine="720"/>
        <w:rPr>
          <w:rFonts w:eastAsia="Times New Roman"/>
          <w:sz w:val="24"/>
          <w:szCs w:val="24"/>
        </w:rPr>
      </w:pPr>
      <w:r>
        <w:rPr>
          <w:sz w:val="24"/>
          <w:szCs w:val="24"/>
        </w:rPr>
        <w:t>6</w:t>
      </w:r>
      <w:r w:rsidR="00D81D01" w:rsidRPr="00D81D01">
        <w:rPr>
          <w:rFonts w:eastAsia="Times New Roman"/>
          <w:sz w:val="24"/>
          <w:szCs w:val="24"/>
        </w:rPr>
        <w:t xml:space="preserve">. </w:t>
      </w:r>
      <w:r w:rsidR="00D81D01" w:rsidRPr="00D81D01">
        <w:rPr>
          <w:rFonts w:eastAsia="Times New Roman"/>
          <w:b/>
          <w:sz w:val="24"/>
          <w:szCs w:val="24"/>
        </w:rPr>
        <w:t>Krueger</w:t>
      </w:r>
      <w:r w:rsidR="00D81D01" w:rsidRPr="00D81D01">
        <w:rPr>
          <w:rFonts w:eastAsia="Times New Roman"/>
          <w:sz w:val="24"/>
          <w:szCs w:val="24"/>
        </w:rPr>
        <w:t xml:space="preserve"> is consistent with CRE 301 (discussed in the Notes on Use to Instruction 3:5) and the provisions of the Probate Code, which now establish that the presumption shifts to the proponent only the burden of coming forward with rebutting evidence. The presumption does not shift to the proponent the “ultimate” burden of disproving undue influence. § 15-12-407, C.R.S. “Contestants . . . have the burden of establishing . . . undue influence. . . . Parties have the ultimate burden of persuasion as to matters with respect to which they have the initial burden of proof.” </w:t>
      </w:r>
      <w:r w:rsidR="00D81D01" w:rsidRPr="00D81D01">
        <w:rPr>
          <w:rFonts w:eastAsia="Times New Roman"/>
          <w:i/>
          <w:sz w:val="24"/>
          <w:szCs w:val="24"/>
        </w:rPr>
        <w:t>Id.</w:t>
      </w:r>
      <w:r w:rsidR="00D81D01" w:rsidRPr="00D81D01">
        <w:rPr>
          <w:rFonts w:eastAsia="Times New Roman"/>
          <w:sz w:val="24"/>
          <w:szCs w:val="24"/>
        </w:rPr>
        <w:t>;</w:t>
      </w:r>
      <w:r w:rsidR="00D81D01" w:rsidRPr="00D81D01">
        <w:rPr>
          <w:rFonts w:eastAsia="Times New Roman"/>
          <w:i/>
          <w:sz w:val="24"/>
          <w:szCs w:val="24"/>
        </w:rPr>
        <w:t xml:space="preserve"> see also</w:t>
      </w:r>
      <w:r w:rsidR="00D81D01" w:rsidRPr="00D81D01">
        <w:rPr>
          <w:rFonts w:eastAsia="Times New Roman"/>
          <w:sz w:val="24"/>
          <w:szCs w:val="24"/>
        </w:rPr>
        <w:t xml:space="preserve"> §§ 15-17-101(1), (2)(b), C.R.S. (applicability of Probate Code to events occurring prior to its adoption);</w:t>
      </w:r>
      <w:r w:rsidR="00D81D01" w:rsidRPr="00D81D01">
        <w:rPr>
          <w:rFonts w:eastAsia="Times New Roman"/>
          <w:i/>
          <w:sz w:val="24"/>
          <w:szCs w:val="24"/>
        </w:rPr>
        <w:t xml:space="preserve"> </w:t>
      </w:r>
      <w:r w:rsidR="00D81D01" w:rsidRPr="00D81D01">
        <w:rPr>
          <w:rFonts w:eastAsia="Times New Roman"/>
          <w:b/>
          <w:sz w:val="24"/>
          <w:szCs w:val="24"/>
        </w:rPr>
        <w:t>In re Estate of Schlagel</w:t>
      </w:r>
      <w:r w:rsidR="00D81D01" w:rsidRPr="00D81D01">
        <w:rPr>
          <w:rFonts w:eastAsia="Times New Roman"/>
          <w:sz w:val="24"/>
          <w:szCs w:val="24"/>
        </w:rPr>
        <w:t>, 89 P.3d 419 (Colo. App. 2003) (any presumption of undue influence arising out of confidential relationship did not shift burden of proof to proponent of will, but only burden of coming forward with evidence rebutting claim of undue influence, and ultimate burden of proof remained with contestants of will).</w:t>
      </w:r>
    </w:p>
    <w:p w14:paraId="68390F8F" w14:textId="73C4D62A" w:rsidR="00D81D01" w:rsidRPr="00D81D01" w:rsidRDefault="007A1FAF" w:rsidP="00D81D01">
      <w:pPr>
        <w:spacing w:after="240"/>
        <w:ind w:firstLine="720"/>
        <w:rPr>
          <w:rFonts w:eastAsia="Times New Roman"/>
          <w:sz w:val="24"/>
          <w:szCs w:val="24"/>
        </w:rPr>
      </w:pPr>
      <w:r>
        <w:rPr>
          <w:rFonts w:eastAsia="Times New Roman"/>
          <w:sz w:val="24"/>
          <w:szCs w:val="24"/>
        </w:rPr>
        <w:lastRenderedPageBreak/>
        <w:t>7</w:t>
      </w:r>
      <w:r w:rsidR="00D81D01" w:rsidRPr="00D81D01">
        <w:rPr>
          <w:rFonts w:eastAsia="Times New Roman"/>
          <w:sz w:val="24"/>
          <w:szCs w:val="24"/>
        </w:rPr>
        <w:t xml:space="preserve">. The opponent of the presumption may meet the burden of rebutting the presumption by producing evidence of the circumstances of the relationship and the transaction, such as evidence of love and trust between the parties, evidence the transaction was not unreasonable, and evidence of opportunity for independent action by the testator. </w:t>
      </w:r>
      <w:r w:rsidR="00D81D01" w:rsidRPr="00D81D01">
        <w:rPr>
          <w:rFonts w:eastAsia="Times New Roman"/>
          <w:i/>
          <w:sz w:val="24"/>
          <w:szCs w:val="24"/>
        </w:rPr>
        <w:t>See</w:t>
      </w:r>
      <w:r w:rsidR="00D81D01" w:rsidRPr="00D81D01">
        <w:rPr>
          <w:rFonts w:eastAsia="Times New Roman"/>
          <w:sz w:val="24"/>
          <w:szCs w:val="24"/>
        </w:rPr>
        <w:t xml:space="preserve"> </w:t>
      </w:r>
      <w:r w:rsidRPr="00D81D01">
        <w:rPr>
          <w:rFonts w:eastAsia="Times New Roman"/>
          <w:b/>
          <w:sz w:val="24"/>
          <w:szCs w:val="24"/>
        </w:rPr>
        <w:t>Krueger</w:t>
      </w:r>
      <w:r w:rsidRPr="00D81D01">
        <w:rPr>
          <w:rFonts w:eastAsia="Times New Roman"/>
          <w:sz w:val="24"/>
          <w:szCs w:val="24"/>
        </w:rPr>
        <w:t>, 205 P.3d at 115</w:t>
      </w:r>
      <w:r>
        <w:rPr>
          <w:rFonts w:eastAsia="Times New Roman"/>
          <w:sz w:val="24"/>
          <w:szCs w:val="24"/>
        </w:rPr>
        <w:t xml:space="preserve">3 (evidence of intent and desire to make the conveyances); </w:t>
      </w:r>
      <w:r w:rsidR="00D81D01" w:rsidRPr="00D81D01">
        <w:rPr>
          <w:rFonts w:eastAsia="Times New Roman"/>
          <w:b/>
          <w:sz w:val="24"/>
          <w:szCs w:val="24"/>
        </w:rPr>
        <w:t>In re Estate of Schlagel</w:t>
      </w:r>
      <w:r w:rsidR="00D81D01" w:rsidRPr="00D81D01">
        <w:rPr>
          <w:rFonts w:eastAsia="Times New Roman"/>
          <w:sz w:val="24"/>
          <w:szCs w:val="24"/>
        </w:rPr>
        <w:t xml:space="preserve">, 89 P.3d at 422 (evidence of trust between parties to transaction and that beneficiary never made demands for property); </w:t>
      </w:r>
      <w:r w:rsidR="00D81D01" w:rsidRPr="00D81D01">
        <w:rPr>
          <w:rFonts w:eastAsia="Times New Roman"/>
          <w:b/>
          <w:sz w:val="24"/>
          <w:szCs w:val="24"/>
        </w:rPr>
        <w:t>In re Estate of Romero</w:t>
      </w:r>
      <w:r w:rsidR="00D81D01" w:rsidRPr="00D81D01">
        <w:rPr>
          <w:rFonts w:eastAsia="Times New Roman"/>
          <w:sz w:val="24"/>
          <w:szCs w:val="24"/>
        </w:rPr>
        <w:t>, 126 P.3d 228 (Colo. App. 2005) (testator living independent of beneficiary and with access to others at time will executed).</w:t>
      </w:r>
    </w:p>
    <w:bookmarkEnd w:id="26"/>
    <w:p w14:paraId="361C5402" w14:textId="77777777" w:rsidR="00D81D01" w:rsidRDefault="00D81D01">
      <w:pPr>
        <w:rPr>
          <w:rFonts w:eastAsia="Times New Roman"/>
          <w:sz w:val="24"/>
          <w:szCs w:val="24"/>
        </w:rPr>
      </w:pPr>
      <w:r>
        <w:rPr>
          <w:rFonts w:eastAsia="Times New Roman"/>
          <w:sz w:val="24"/>
          <w:szCs w:val="24"/>
        </w:rPr>
        <w:br w:type="page"/>
      </w:r>
    </w:p>
    <w:p w14:paraId="77CF94AF" w14:textId="77777777" w:rsidR="00D81D01" w:rsidRPr="009E3DA4" w:rsidRDefault="00D81D01" w:rsidP="00D81D01">
      <w:pPr>
        <w:spacing w:after="240"/>
        <w:ind w:left="720" w:hanging="720"/>
        <w:rPr>
          <w:rFonts w:eastAsia="Times New Roman"/>
          <w:b/>
          <w:sz w:val="24"/>
          <w:szCs w:val="24"/>
        </w:rPr>
      </w:pPr>
      <w:bookmarkStart w:id="27" w:name="a34_17"/>
      <w:bookmarkEnd w:id="27"/>
      <w:r w:rsidRPr="00D81D01">
        <w:rPr>
          <w:rFonts w:eastAsia="Times New Roman"/>
          <w:b/>
          <w:sz w:val="24"/>
          <w:szCs w:val="24"/>
        </w:rPr>
        <w:lastRenderedPageBreak/>
        <w:t>34:17</w:t>
      </w:r>
      <w:r w:rsidRPr="00D81D01">
        <w:rPr>
          <w:rFonts w:eastAsia="Times New Roman"/>
          <w:b/>
          <w:sz w:val="24"/>
          <w:szCs w:val="24"/>
        </w:rPr>
        <w:tab/>
        <w:t>UNDUE INFLUENCE ― PERMISSIBLE INFERENCE WHEN PRESUMPTION OF UNDUE INFLUENCE IS REBUTTED</w:t>
      </w:r>
    </w:p>
    <w:p w14:paraId="7187F41C" w14:textId="58567B2F" w:rsidR="00D81D01" w:rsidRPr="009968AA" w:rsidRDefault="00D81D01" w:rsidP="00D81D01">
      <w:pPr>
        <w:spacing w:after="240"/>
        <w:ind w:firstLine="720"/>
        <w:rPr>
          <w:rFonts w:eastAsia="Times New Roman"/>
          <w:iCs/>
          <w:sz w:val="24"/>
          <w:szCs w:val="24"/>
        </w:rPr>
      </w:pPr>
      <w:r w:rsidRPr="00D81D01">
        <w:rPr>
          <w:rFonts w:eastAsia="Times New Roman"/>
          <w:b/>
          <w:sz w:val="24"/>
          <w:szCs w:val="24"/>
        </w:rPr>
        <w:t xml:space="preserve">You may, but are not required to, draw an inference that the </w:t>
      </w:r>
      <w:r w:rsidR="00895739">
        <w:rPr>
          <w:rFonts w:eastAsia="Times New Roman"/>
          <w:b/>
          <w:sz w:val="24"/>
          <w:szCs w:val="24"/>
        </w:rPr>
        <w:t>W</w:t>
      </w:r>
      <w:r w:rsidRPr="00D81D01">
        <w:rPr>
          <w:rFonts w:eastAsia="Times New Roman"/>
          <w:b/>
          <w:sz w:val="24"/>
          <w:szCs w:val="24"/>
        </w:rPr>
        <w:t xml:space="preserve">ill was signed under undue influence if you find by a preponderance of the evidence that </w:t>
      </w:r>
      <w:r w:rsidRPr="00D81D01">
        <w:rPr>
          <w:rFonts w:eastAsia="Times New Roman"/>
          <w:i/>
          <w:sz w:val="24"/>
          <w:szCs w:val="24"/>
        </w:rPr>
        <w:t xml:space="preserve">(name of </w:t>
      </w:r>
      <w:r w:rsidR="00D00FAB">
        <w:rPr>
          <w:rFonts w:eastAsia="Times New Roman"/>
          <w:i/>
          <w:sz w:val="24"/>
          <w:szCs w:val="24"/>
        </w:rPr>
        <w:t>alleged undue influencer</w:t>
      </w:r>
      <w:r w:rsidRPr="00D81D01">
        <w:rPr>
          <w:rFonts w:eastAsia="Times New Roman"/>
          <w:i/>
          <w:sz w:val="24"/>
          <w:szCs w:val="24"/>
        </w:rPr>
        <w:t>)</w:t>
      </w:r>
      <w:r w:rsidR="00AE1431" w:rsidRPr="009968AA">
        <w:rPr>
          <w:rFonts w:eastAsia="Times New Roman"/>
          <w:b/>
          <w:bCs/>
          <w:iCs/>
          <w:sz w:val="24"/>
          <w:szCs w:val="24"/>
        </w:rPr>
        <w:t>:</w:t>
      </w:r>
    </w:p>
    <w:p w14:paraId="08FA1D0B" w14:textId="53267C6F" w:rsidR="00D81D01" w:rsidRPr="009968AA" w:rsidRDefault="00D00FAB" w:rsidP="00D81D01">
      <w:pPr>
        <w:spacing w:after="240"/>
        <w:ind w:firstLine="720"/>
        <w:rPr>
          <w:rFonts w:eastAsia="Times New Roman"/>
          <w:b/>
          <w:bCs/>
          <w:iCs/>
          <w:sz w:val="24"/>
          <w:szCs w:val="24"/>
        </w:rPr>
      </w:pPr>
      <w:r>
        <w:rPr>
          <w:rFonts w:eastAsia="Times New Roman"/>
          <w:b/>
          <w:sz w:val="24"/>
          <w:szCs w:val="24"/>
        </w:rPr>
        <w:t>1</w:t>
      </w:r>
      <w:r w:rsidR="00D81D01" w:rsidRPr="00D81D01">
        <w:rPr>
          <w:rFonts w:eastAsia="Times New Roman"/>
          <w:b/>
          <w:sz w:val="24"/>
          <w:szCs w:val="24"/>
        </w:rPr>
        <w:t xml:space="preserve">. Was in a confidential or fiduciary relationship with </w:t>
      </w:r>
      <w:r w:rsidR="005212D0">
        <w:rPr>
          <w:rFonts w:eastAsia="Times New Roman"/>
          <w:b/>
          <w:sz w:val="24"/>
          <w:szCs w:val="24"/>
        </w:rPr>
        <w:t xml:space="preserve">the </w:t>
      </w:r>
      <w:r>
        <w:rPr>
          <w:rFonts w:eastAsia="Times New Roman"/>
          <w:b/>
          <w:sz w:val="24"/>
          <w:szCs w:val="24"/>
        </w:rPr>
        <w:t>testator</w:t>
      </w:r>
      <w:r w:rsidR="00D81D01" w:rsidRPr="00D81D01">
        <w:rPr>
          <w:rFonts w:eastAsia="Times New Roman"/>
          <w:i/>
          <w:sz w:val="24"/>
          <w:szCs w:val="24"/>
        </w:rPr>
        <w:t xml:space="preserve"> </w:t>
      </w:r>
      <w:r w:rsidR="00D81D01" w:rsidRPr="00D81D01">
        <w:rPr>
          <w:rFonts w:eastAsia="Times New Roman"/>
          <w:b/>
          <w:sz w:val="24"/>
          <w:szCs w:val="24"/>
        </w:rPr>
        <w:t xml:space="preserve">at the time of the </w:t>
      </w:r>
      <w:r>
        <w:rPr>
          <w:rFonts w:eastAsia="Times New Roman"/>
          <w:b/>
          <w:sz w:val="24"/>
          <w:szCs w:val="24"/>
        </w:rPr>
        <w:t>making</w:t>
      </w:r>
      <w:r w:rsidR="00D81D01" w:rsidRPr="00D81D01">
        <w:rPr>
          <w:rFonts w:eastAsia="Times New Roman"/>
          <w:b/>
          <w:sz w:val="24"/>
          <w:szCs w:val="24"/>
        </w:rPr>
        <w:t xml:space="preserve"> or </w:t>
      </w:r>
      <w:r w:rsidR="00AE1431">
        <w:rPr>
          <w:rFonts w:eastAsia="Times New Roman"/>
          <w:b/>
          <w:sz w:val="24"/>
          <w:szCs w:val="24"/>
        </w:rPr>
        <w:t>signing</w:t>
      </w:r>
      <w:r w:rsidR="00AE1431" w:rsidRPr="00D81D01">
        <w:rPr>
          <w:rFonts w:eastAsia="Times New Roman"/>
          <w:b/>
          <w:sz w:val="24"/>
          <w:szCs w:val="24"/>
        </w:rPr>
        <w:t xml:space="preserve"> </w:t>
      </w:r>
      <w:r w:rsidR="00D81D01" w:rsidRPr="00D81D01">
        <w:rPr>
          <w:rFonts w:eastAsia="Times New Roman"/>
          <w:b/>
          <w:sz w:val="24"/>
          <w:szCs w:val="24"/>
        </w:rPr>
        <w:t xml:space="preserve">of the </w:t>
      </w:r>
      <w:r w:rsidR="007671D1">
        <w:rPr>
          <w:rFonts w:eastAsia="Times New Roman"/>
          <w:b/>
          <w:sz w:val="24"/>
          <w:szCs w:val="24"/>
        </w:rPr>
        <w:t>W</w:t>
      </w:r>
      <w:r w:rsidR="00D81D01" w:rsidRPr="00D81D01">
        <w:rPr>
          <w:rFonts w:eastAsia="Times New Roman"/>
          <w:b/>
          <w:sz w:val="24"/>
          <w:szCs w:val="24"/>
        </w:rPr>
        <w:t>ill</w:t>
      </w:r>
      <w:r>
        <w:rPr>
          <w:rFonts w:eastAsia="Times New Roman"/>
          <w:b/>
          <w:sz w:val="24"/>
          <w:szCs w:val="24"/>
        </w:rPr>
        <w:t>;</w:t>
      </w:r>
    </w:p>
    <w:p w14:paraId="7E38F1FB" w14:textId="7C0731F2" w:rsidR="00D81D01" w:rsidRDefault="00D00FAB" w:rsidP="00D81D01">
      <w:pPr>
        <w:spacing w:after="240"/>
        <w:ind w:firstLine="720"/>
        <w:rPr>
          <w:rFonts w:eastAsia="Times New Roman"/>
          <w:b/>
          <w:sz w:val="24"/>
          <w:szCs w:val="24"/>
        </w:rPr>
      </w:pPr>
      <w:r>
        <w:rPr>
          <w:rFonts w:eastAsia="Times New Roman"/>
          <w:b/>
          <w:sz w:val="24"/>
          <w:szCs w:val="24"/>
        </w:rPr>
        <w:t>2</w:t>
      </w:r>
      <w:r w:rsidR="00D81D01" w:rsidRPr="00D81D01">
        <w:rPr>
          <w:rFonts w:eastAsia="Times New Roman"/>
          <w:b/>
          <w:sz w:val="24"/>
          <w:szCs w:val="24"/>
        </w:rPr>
        <w:t xml:space="preserve">. Was actively </w:t>
      </w:r>
      <w:r>
        <w:rPr>
          <w:rFonts w:eastAsia="Times New Roman"/>
          <w:b/>
          <w:sz w:val="24"/>
          <w:szCs w:val="24"/>
        </w:rPr>
        <w:t xml:space="preserve">or directly </w:t>
      </w:r>
      <w:r w:rsidR="00D81D01" w:rsidRPr="00D81D01">
        <w:rPr>
          <w:rFonts w:eastAsia="Times New Roman"/>
          <w:b/>
          <w:sz w:val="24"/>
          <w:szCs w:val="24"/>
        </w:rPr>
        <w:t xml:space="preserve">involved with the </w:t>
      </w:r>
      <w:r>
        <w:rPr>
          <w:rFonts w:eastAsia="Times New Roman"/>
          <w:b/>
          <w:sz w:val="24"/>
          <w:szCs w:val="24"/>
        </w:rPr>
        <w:t>making</w:t>
      </w:r>
      <w:r w:rsidR="00D81D01" w:rsidRPr="00D81D01">
        <w:rPr>
          <w:rFonts w:eastAsia="Times New Roman"/>
          <w:b/>
          <w:sz w:val="24"/>
          <w:szCs w:val="24"/>
        </w:rPr>
        <w:t xml:space="preserve"> or signing of the </w:t>
      </w:r>
      <w:r w:rsidR="007671D1">
        <w:rPr>
          <w:rFonts w:eastAsia="Times New Roman"/>
          <w:b/>
          <w:sz w:val="24"/>
          <w:szCs w:val="24"/>
        </w:rPr>
        <w:t>W</w:t>
      </w:r>
      <w:r w:rsidR="00D81D01" w:rsidRPr="00D81D01">
        <w:rPr>
          <w:rFonts w:eastAsia="Times New Roman"/>
          <w:b/>
          <w:sz w:val="24"/>
          <w:szCs w:val="24"/>
        </w:rPr>
        <w:t>ill</w:t>
      </w:r>
      <w:r>
        <w:rPr>
          <w:rFonts w:eastAsia="Times New Roman"/>
          <w:b/>
          <w:sz w:val="24"/>
          <w:szCs w:val="24"/>
        </w:rPr>
        <w:t>;</w:t>
      </w:r>
      <w:r w:rsidR="00D81D01" w:rsidRPr="00D81D01">
        <w:rPr>
          <w:rFonts w:eastAsia="Times New Roman"/>
          <w:b/>
          <w:sz w:val="24"/>
          <w:szCs w:val="24"/>
        </w:rPr>
        <w:t xml:space="preserve"> </w:t>
      </w:r>
      <w:r w:rsidR="009174E0">
        <w:rPr>
          <w:rFonts w:eastAsia="Times New Roman"/>
          <w:b/>
          <w:sz w:val="24"/>
          <w:szCs w:val="24"/>
        </w:rPr>
        <w:t>a</w:t>
      </w:r>
      <w:r>
        <w:rPr>
          <w:rFonts w:eastAsia="Times New Roman"/>
          <w:b/>
          <w:sz w:val="24"/>
          <w:szCs w:val="24"/>
        </w:rPr>
        <w:t>nd</w:t>
      </w:r>
    </w:p>
    <w:p w14:paraId="2917AA83" w14:textId="4A47D21F" w:rsidR="00D00FAB" w:rsidRPr="00D81D01" w:rsidRDefault="00D00FAB" w:rsidP="00D81D01">
      <w:pPr>
        <w:spacing w:after="240"/>
        <w:ind w:firstLine="720"/>
        <w:rPr>
          <w:rFonts w:eastAsia="Times New Roman"/>
          <w:b/>
          <w:sz w:val="24"/>
          <w:szCs w:val="24"/>
        </w:rPr>
      </w:pPr>
      <w:r>
        <w:rPr>
          <w:rFonts w:eastAsia="Times New Roman"/>
          <w:b/>
          <w:sz w:val="24"/>
          <w:szCs w:val="24"/>
        </w:rPr>
        <w:t xml:space="preserve">3. </w:t>
      </w:r>
      <w:r w:rsidRPr="007D6632">
        <w:rPr>
          <w:b/>
          <w:spacing w:val="-2"/>
          <w:sz w:val="24"/>
          <w:szCs w:val="24"/>
        </w:rPr>
        <w:t xml:space="preserve">Benefitted from the </w:t>
      </w:r>
      <w:r w:rsidR="00537419">
        <w:rPr>
          <w:b/>
          <w:spacing w:val="-2"/>
          <w:sz w:val="24"/>
          <w:szCs w:val="24"/>
        </w:rPr>
        <w:t>distribution dire</w:t>
      </w:r>
      <w:r w:rsidR="00533AFA">
        <w:rPr>
          <w:b/>
          <w:spacing w:val="-2"/>
          <w:sz w:val="24"/>
          <w:szCs w:val="24"/>
        </w:rPr>
        <w:t>cted</w:t>
      </w:r>
      <w:r w:rsidRPr="007D6632">
        <w:rPr>
          <w:b/>
          <w:spacing w:val="-2"/>
          <w:sz w:val="24"/>
          <w:szCs w:val="24"/>
        </w:rPr>
        <w:t xml:space="preserve"> </w:t>
      </w:r>
      <w:r>
        <w:rPr>
          <w:b/>
          <w:spacing w:val="-2"/>
          <w:sz w:val="24"/>
          <w:szCs w:val="24"/>
        </w:rPr>
        <w:t xml:space="preserve">in the </w:t>
      </w:r>
      <w:r w:rsidRPr="007D6632">
        <w:rPr>
          <w:b/>
          <w:spacing w:val="-2"/>
          <w:sz w:val="24"/>
          <w:szCs w:val="24"/>
        </w:rPr>
        <w:t>Will.</w:t>
      </w:r>
    </w:p>
    <w:p w14:paraId="69A812DB" w14:textId="2B6CBB00"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If you draw this inference, you may consider it together with all other evidence in the case in determining whether the </w:t>
      </w:r>
      <w:r w:rsidR="00895739">
        <w:rPr>
          <w:rFonts w:eastAsia="Times New Roman"/>
          <w:b/>
          <w:sz w:val="24"/>
          <w:szCs w:val="24"/>
        </w:rPr>
        <w:t>W</w:t>
      </w:r>
      <w:r w:rsidRPr="00D81D01">
        <w:rPr>
          <w:rFonts w:eastAsia="Times New Roman"/>
          <w:b/>
          <w:sz w:val="24"/>
          <w:szCs w:val="24"/>
        </w:rPr>
        <w:t xml:space="preserve">ill </w:t>
      </w:r>
      <w:r w:rsidR="00D00FAB">
        <w:rPr>
          <w:rFonts w:eastAsia="Times New Roman"/>
          <w:b/>
          <w:sz w:val="24"/>
          <w:szCs w:val="24"/>
        </w:rPr>
        <w:t xml:space="preserve">was </w:t>
      </w:r>
      <w:r w:rsidR="008B770F">
        <w:rPr>
          <w:rFonts w:eastAsia="Times New Roman"/>
          <w:b/>
          <w:sz w:val="24"/>
          <w:szCs w:val="24"/>
        </w:rPr>
        <w:t>a result of</w:t>
      </w:r>
      <w:r w:rsidRPr="00D81D01">
        <w:rPr>
          <w:rFonts w:eastAsia="Times New Roman"/>
          <w:b/>
          <w:sz w:val="24"/>
          <w:szCs w:val="24"/>
        </w:rPr>
        <w:t xml:space="preserve"> undue influence.</w:t>
      </w:r>
    </w:p>
    <w:p w14:paraId="3EAAE9CF" w14:textId="77777777" w:rsidR="00D81D01" w:rsidRDefault="00D81D01" w:rsidP="00D81D01">
      <w:pPr>
        <w:jc w:val="center"/>
        <w:rPr>
          <w:rFonts w:eastAsia="Times New Roman"/>
          <w:sz w:val="24"/>
          <w:szCs w:val="24"/>
        </w:rPr>
      </w:pPr>
      <w:bookmarkStart w:id="28" w:name="_Hlk144393633"/>
    </w:p>
    <w:p w14:paraId="3DD871C2"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14:paraId="4DD52C94" w14:textId="51930556" w:rsidR="00BE0949" w:rsidRDefault="00D81D01" w:rsidP="00D81D01">
      <w:pPr>
        <w:spacing w:after="240"/>
        <w:ind w:firstLine="720"/>
        <w:rPr>
          <w:rFonts w:eastAsia="Times New Roman"/>
          <w:sz w:val="24"/>
          <w:szCs w:val="24"/>
        </w:rPr>
      </w:pPr>
      <w:r w:rsidRPr="00D81D01">
        <w:rPr>
          <w:rFonts w:eastAsia="Times New Roman"/>
          <w:sz w:val="24"/>
          <w:szCs w:val="24"/>
        </w:rPr>
        <w:t>1.</w:t>
      </w:r>
      <w:bookmarkEnd w:id="28"/>
      <w:r w:rsidR="00BE0949">
        <w:rPr>
          <w:rFonts w:eastAsia="Times New Roman"/>
          <w:sz w:val="24"/>
          <w:szCs w:val="24"/>
        </w:rPr>
        <w:t xml:space="preserve"> </w:t>
      </w:r>
      <w:r w:rsidR="00BE0949" w:rsidRPr="00E919D8">
        <w:rPr>
          <w:rFonts w:eastAsia="Times New Roman"/>
          <w:sz w:val="24"/>
          <w:szCs w:val="24"/>
        </w:rPr>
        <w:t>This instruction should be given with Instruction 34:</w:t>
      </w:r>
      <w:r w:rsidR="00846D9B">
        <w:rPr>
          <w:rFonts w:eastAsia="Times New Roman"/>
          <w:sz w:val="24"/>
          <w:szCs w:val="24"/>
        </w:rPr>
        <w:t>3A</w:t>
      </w:r>
      <w:r w:rsidR="00BE0949" w:rsidRPr="00E919D8">
        <w:rPr>
          <w:rFonts w:eastAsia="Times New Roman"/>
          <w:sz w:val="24"/>
          <w:szCs w:val="24"/>
        </w:rPr>
        <w:t xml:space="preserve"> </w:t>
      </w:r>
      <w:r w:rsidR="00BE0949">
        <w:rPr>
          <w:rFonts w:eastAsia="Times New Roman"/>
          <w:sz w:val="24"/>
          <w:szCs w:val="24"/>
        </w:rPr>
        <w:t>(</w:t>
      </w:r>
      <w:r w:rsidR="00BE0949" w:rsidRPr="00E919D8">
        <w:rPr>
          <w:rFonts w:eastAsia="Times New Roman"/>
          <w:sz w:val="24"/>
          <w:szCs w:val="24"/>
        </w:rPr>
        <w:t>defining testator</w:t>
      </w:r>
      <w:r w:rsidR="00BE0949">
        <w:rPr>
          <w:rFonts w:eastAsia="Times New Roman"/>
          <w:sz w:val="24"/>
          <w:szCs w:val="24"/>
        </w:rPr>
        <w:t>).</w:t>
      </w:r>
    </w:p>
    <w:p w14:paraId="3390E4DC" w14:textId="1C189DAD" w:rsidR="00D81D01" w:rsidRPr="00D81D01" w:rsidRDefault="00BE0949" w:rsidP="00D81D01">
      <w:pPr>
        <w:spacing w:after="240"/>
        <w:ind w:firstLine="720"/>
        <w:rPr>
          <w:rFonts w:eastAsia="Times New Roman"/>
          <w:sz w:val="24"/>
          <w:szCs w:val="24"/>
        </w:rPr>
      </w:pPr>
      <w:r>
        <w:rPr>
          <w:rFonts w:eastAsia="Times New Roman"/>
          <w:sz w:val="24"/>
          <w:szCs w:val="24"/>
        </w:rPr>
        <w:t xml:space="preserve">2. </w:t>
      </w:r>
      <w:r w:rsidR="00D81D01" w:rsidRPr="00D81D01">
        <w:rPr>
          <w:rFonts w:eastAsia="Times New Roman"/>
          <w:sz w:val="24"/>
          <w:szCs w:val="24"/>
        </w:rPr>
        <w:t xml:space="preserve">This instruction may be used only when the trial court rules that the opponent of the presumption of undue influence has produced legally sufficient evidence to rebut the presumption. </w:t>
      </w:r>
      <w:r w:rsidR="00D81D01" w:rsidRPr="00D81D01">
        <w:rPr>
          <w:rFonts w:eastAsia="Times New Roman"/>
          <w:i/>
          <w:sz w:val="24"/>
          <w:szCs w:val="24"/>
        </w:rPr>
        <w:t>See</w:t>
      </w:r>
      <w:r w:rsidR="00D81D01" w:rsidRPr="00D81D01">
        <w:rPr>
          <w:rFonts w:eastAsia="Times New Roman"/>
          <w:sz w:val="24"/>
          <w:szCs w:val="24"/>
        </w:rPr>
        <w:t xml:space="preserve"> </w:t>
      </w:r>
      <w:r w:rsidR="00D81D01" w:rsidRPr="00D81D01">
        <w:rPr>
          <w:rFonts w:eastAsia="Times New Roman"/>
          <w:b/>
          <w:sz w:val="24"/>
          <w:szCs w:val="24"/>
        </w:rPr>
        <w:t>Krueger v. Ary</w:t>
      </w:r>
      <w:r w:rsidR="00D81D01" w:rsidRPr="00D81D01">
        <w:rPr>
          <w:rFonts w:eastAsia="Times New Roman"/>
          <w:sz w:val="24"/>
          <w:szCs w:val="24"/>
        </w:rPr>
        <w:t>, 205 P.3d 1150 (Colo. 2009);</w:t>
      </w:r>
      <w:r w:rsidR="00D81D01" w:rsidRPr="00D81D01">
        <w:rPr>
          <w:rFonts w:eastAsia="Times New Roman"/>
          <w:b/>
          <w:sz w:val="24"/>
          <w:szCs w:val="24"/>
        </w:rPr>
        <w:t xml:space="preserve"> </w:t>
      </w:r>
      <w:r w:rsidR="00D81D01" w:rsidRPr="00D81D01">
        <w:rPr>
          <w:rFonts w:eastAsia="Times New Roman"/>
          <w:sz w:val="24"/>
          <w:szCs w:val="24"/>
        </w:rPr>
        <w:t xml:space="preserve">Note to Instruction 34:16. In that event, the presumption does not continue in the case. </w:t>
      </w:r>
      <w:r w:rsidR="00D81D01" w:rsidRPr="00D81D01">
        <w:rPr>
          <w:rFonts w:eastAsia="Times New Roman"/>
          <w:b/>
          <w:sz w:val="24"/>
          <w:szCs w:val="24"/>
        </w:rPr>
        <w:t>Krueger</w:t>
      </w:r>
      <w:r w:rsidR="00D81D01" w:rsidRPr="00D81D01">
        <w:rPr>
          <w:rFonts w:eastAsia="Times New Roman"/>
          <w:sz w:val="24"/>
          <w:szCs w:val="24"/>
        </w:rPr>
        <w:t xml:space="preserve">, 205 P.3d at 1156. If the jury finds all of the facts in paragraphs 1 through 3 of the instruction, however, the jury still may draw an inference of undue influence. </w:t>
      </w:r>
      <w:r w:rsidR="00D81D01" w:rsidRPr="00D81D01">
        <w:rPr>
          <w:rFonts w:eastAsia="Times New Roman"/>
          <w:i/>
          <w:sz w:val="24"/>
          <w:szCs w:val="24"/>
        </w:rPr>
        <w:t>Id</w:t>
      </w:r>
      <w:r w:rsidR="00D81D01" w:rsidRPr="00D81D01">
        <w:rPr>
          <w:rFonts w:eastAsia="Times New Roman"/>
          <w:sz w:val="24"/>
          <w:szCs w:val="24"/>
        </w:rPr>
        <w:t xml:space="preserve">. The trial court has discretion whether to instruct on this permissible inference. </w:t>
      </w:r>
      <w:r w:rsidR="00D81D01" w:rsidRPr="00D81D01">
        <w:rPr>
          <w:rFonts w:eastAsia="Times New Roman"/>
          <w:i/>
          <w:sz w:val="24"/>
          <w:szCs w:val="24"/>
        </w:rPr>
        <w:t>Id</w:t>
      </w:r>
      <w:r w:rsidR="00D81D01" w:rsidRPr="00D81D01">
        <w:rPr>
          <w:rFonts w:eastAsia="Times New Roman"/>
          <w:sz w:val="24"/>
          <w:szCs w:val="24"/>
        </w:rPr>
        <w:t>. at 1156-57.</w:t>
      </w:r>
    </w:p>
    <w:p w14:paraId="58A8AD67" w14:textId="2FDFC224" w:rsidR="00D81D01" w:rsidRPr="00D81D01" w:rsidRDefault="00BE0949" w:rsidP="00D81D01">
      <w:pPr>
        <w:spacing w:after="240"/>
        <w:ind w:firstLine="720"/>
        <w:rPr>
          <w:rFonts w:eastAsia="Times New Roman"/>
          <w:sz w:val="24"/>
          <w:szCs w:val="24"/>
        </w:rPr>
      </w:pPr>
      <w:r>
        <w:rPr>
          <w:rFonts w:eastAsia="Times New Roman"/>
          <w:sz w:val="24"/>
          <w:szCs w:val="24"/>
        </w:rPr>
        <w:t>3</w:t>
      </w:r>
      <w:r w:rsidR="00D81D01" w:rsidRPr="00D81D01">
        <w:rPr>
          <w:rFonts w:eastAsia="Times New Roman"/>
          <w:sz w:val="24"/>
          <w:szCs w:val="24"/>
        </w:rPr>
        <w:t>. For a definition of “inference,” see Instruction 3:8.</w:t>
      </w:r>
    </w:p>
    <w:p w14:paraId="46F82F42" w14:textId="621E2F62" w:rsidR="00884858" w:rsidRDefault="00BE0949" w:rsidP="00D81D01">
      <w:pPr>
        <w:spacing w:after="240"/>
        <w:ind w:firstLine="720"/>
        <w:rPr>
          <w:rFonts w:eastAsia="Times New Roman"/>
          <w:sz w:val="24"/>
          <w:szCs w:val="24"/>
        </w:rPr>
      </w:pPr>
      <w:r>
        <w:rPr>
          <w:rFonts w:eastAsia="Times New Roman"/>
          <w:sz w:val="24"/>
          <w:szCs w:val="24"/>
        </w:rPr>
        <w:t>4</w:t>
      </w:r>
      <w:r w:rsidR="00D81D01" w:rsidRPr="00D81D01">
        <w:rPr>
          <w:rFonts w:eastAsia="Times New Roman"/>
          <w:sz w:val="24"/>
          <w:szCs w:val="24"/>
        </w:rPr>
        <w:t xml:space="preserve">. Though instructions emphasizing specific evidence are disfavored, policy considerations may permit the trial court in its discretion to instruct the jury on an inference of undue influence and unfairness in transactions between persons in fiduciary or confidential relationships. </w:t>
      </w:r>
      <w:r w:rsidR="00D81D01" w:rsidRPr="00D81D01">
        <w:rPr>
          <w:rFonts w:eastAsia="Times New Roman"/>
          <w:b/>
          <w:sz w:val="24"/>
          <w:szCs w:val="24"/>
        </w:rPr>
        <w:t>Krueger</w:t>
      </w:r>
      <w:r w:rsidR="00D81D01" w:rsidRPr="00D81D01">
        <w:rPr>
          <w:rFonts w:eastAsia="Times New Roman"/>
          <w:sz w:val="24"/>
          <w:szCs w:val="24"/>
        </w:rPr>
        <w:t>, 205 P.3d</w:t>
      </w:r>
      <w:r w:rsidR="00D81D01" w:rsidRPr="00D81D01">
        <w:rPr>
          <w:rFonts w:eastAsia="Times New Roman"/>
          <w:i/>
          <w:sz w:val="24"/>
          <w:szCs w:val="24"/>
        </w:rPr>
        <w:t xml:space="preserve"> </w:t>
      </w:r>
      <w:r w:rsidR="00D81D01" w:rsidRPr="00D81D01">
        <w:rPr>
          <w:rFonts w:eastAsia="Times New Roman"/>
          <w:sz w:val="24"/>
          <w:szCs w:val="24"/>
        </w:rPr>
        <w:t xml:space="preserve">at 1157; </w:t>
      </w:r>
      <w:r w:rsidR="00D81D01" w:rsidRPr="00D81D01">
        <w:rPr>
          <w:rFonts w:eastAsia="Times New Roman"/>
          <w:i/>
          <w:sz w:val="24"/>
          <w:szCs w:val="24"/>
        </w:rPr>
        <w:t>see</w:t>
      </w:r>
      <w:r w:rsidR="00D81D01" w:rsidRPr="00D81D01">
        <w:rPr>
          <w:rFonts w:eastAsia="Times New Roman"/>
          <w:sz w:val="24"/>
          <w:szCs w:val="24"/>
        </w:rPr>
        <w:t xml:space="preserve"> Notes on Use to Instructions 3:8 and 34:16. When the case involves an elderly person making a significant conveyance to a caretaker, there are strong reasons for using this instruction. </w:t>
      </w:r>
      <w:r w:rsidR="00D81D01" w:rsidRPr="00D81D01">
        <w:rPr>
          <w:rFonts w:eastAsia="Times New Roman"/>
          <w:b/>
          <w:sz w:val="24"/>
          <w:szCs w:val="24"/>
        </w:rPr>
        <w:t>Krueger</w:t>
      </w:r>
      <w:r w:rsidR="00D81D01" w:rsidRPr="00D81D01">
        <w:rPr>
          <w:rFonts w:eastAsia="Times New Roman"/>
          <w:sz w:val="24"/>
          <w:szCs w:val="24"/>
        </w:rPr>
        <w:t>, 205 P.3d</w:t>
      </w:r>
      <w:r w:rsidR="00D81D01" w:rsidRPr="00D81D01">
        <w:rPr>
          <w:rFonts w:eastAsia="Times New Roman"/>
          <w:i/>
          <w:sz w:val="24"/>
          <w:szCs w:val="24"/>
        </w:rPr>
        <w:t xml:space="preserve"> </w:t>
      </w:r>
      <w:r w:rsidR="00D81D01" w:rsidRPr="00D81D01">
        <w:rPr>
          <w:rFonts w:eastAsia="Times New Roman"/>
          <w:sz w:val="24"/>
          <w:szCs w:val="24"/>
        </w:rPr>
        <w:t xml:space="preserve">at 1157-58. Nonetheless, the Supreme Court in </w:t>
      </w:r>
      <w:r w:rsidR="00D81D01" w:rsidRPr="00D81D01">
        <w:rPr>
          <w:rFonts w:eastAsia="Times New Roman"/>
          <w:b/>
          <w:sz w:val="24"/>
          <w:szCs w:val="24"/>
        </w:rPr>
        <w:t>Krueger</w:t>
      </w:r>
      <w:r w:rsidR="00D81D01" w:rsidRPr="00D81D01">
        <w:rPr>
          <w:rFonts w:eastAsia="Times New Roman"/>
          <w:sz w:val="24"/>
          <w:szCs w:val="24"/>
        </w:rPr>
        <w:t xml:space="preserve"> upheld the trial court’s decision not to instruct. </w:t>
      </w:r>
      <w:r w:rsidR="00D81D01" w:rsidRPr="00D81D01">
        <w:rPr>
          <w:rFonts w:eastAsia="Times New Roman"/>
          <w:i/>
          <w:sz w:val="24"/>
          <w:szCs w:val="24"/>
        </w:rPr>
        <w:t>Id</w:t>
      </w:r>
      <w:r w:rsidR="00D81D01" w:rsidRPr="00D81D01">
        <w:rPr>
          <w:rFonts w:eastAsia="Times New Roman"/>
          <w:sz w:val="24"/>
          <w:szCs w:val="24"/>
        </w:rPr>
        <w:t>. at 1158.</w:t>
      </w:r>
    </w:p>
    <w:p w14:paraId="187B0A68" w14:textId="07ECF04A" w:rsidR="005D2457" w:rsidRDefault="00BE0949" w:rsidP="00DA194D">
      <w:pPr>
        <w:spacing w:after="240"/>
        <w:ind w:firstLine="720"/>
        <w:rPr>
          <w:rFonts w:eastAsia="Times New Roman"/>
          <w:sz w:val="24"/>
          <w:szCs w:val="24"/>
        </w:rPr>
      </w:pPr>
      <w:r>
        <w:rPr>
          <w:rFonts w:eastAsia="Times New Roman"/>
          <w:sz w:val="24"/>
          <w:szCs w:val="24"/>
        </w:rPr>
        <w:t>5</w:t>
      </w:r>
      <w:r w:rsidR="00884858">
        <w:rPr>
          <w:rFonts w:eastAsia="Times New Roman"/>
          <w:sz w:val="24"/>
          <w:szCs w:val="24"/>
        </w:rPr>
        <w:t xml:space="preserve">. </w:t>
      </w:r>
      <w:r w:rsidR="00802C54">
        <w:rPr>
          <w:rFonts w:eastAsia="Times New Roman"/>
          <w:sz w:val="24"/>
          <w:szCs w:val="24"/>
        </w:rPr>
        <w:t xml:space="preserve">When appropriate to the evidence, this instruction should be used with Instruction 34:18 (confidential relationship) or </w:t>
      </w:r>
      <w:r w:rsidR="00885BA8">
        <w:rPr>
          <w:rFonts w:eastAsia="Times New Roman"/>
          <w:sz w:val="24"/>
          <w:szCs w:val="24"/>
        </w:rPr>
        <w:t xml:space="preserve">Instruction </w:t>
      </w:r>
      <w:r w:rsidR="0030722C">
        <w:rPr>
          <w:rFonts w:eastAsia="Times New Roman"/>
          <w:sz w:val="24"/>
          <w:szCs w:val="24"/>
        </w:rPr>
        <w:t>26:</w:t>
      </w:r>
      <w:r w:rsidR="00906EC6">
        <w:rPr>
          <w:rFonts w:eastAsia="Times New Roman"/>
          <w:sz w:val="24"/>
          <w:szCs w:val="24"/>
        </w:rPr>
        <w:t>2</w:t>
      </w:r>
      <w:r w:rsidR="000368E5">
        <w:rPr>
          <w:rFonts w:eastAsia="Times New Roman"/>
          <w:sz w:val="24"/>
          <w:szCs w:val="24"/>
        </w:rPr>
        <w:t xml:space="preserve"> (fiduciary relationship).</w:t>
      </w:r>
    </w:p>
    <w:p w14:paraId="602ADAD3" w14:textId="77777777" w:rsidR="00D81D01" w:rsidRPr="0054263B" w:rsidRDefault="00D81D01" w:rsidP="00A371BB">
      <w:pPr>
        <w:keepNext/>
        <w:spacing w:after="240"/>
        <w:jc w:val="center"/>
        <w:rPr>
          <w:rFonts w:eastAsia="Times New Roman"/>
          <w:b/>
          <w:sz w:val="24"/>
          <w:szCs w:val="24"/>
        </w:rPr>
      </w:pPr>
      <w:r>
        <w:rPr>
          <w:rFonts w:eastAsia="Times New Roman"/>
          <w:b/>
          <w:sz w:val="24"/>
          <w:szCs w:val="24"/>
        </w:rPr>
        <w:t>Source and Authority</w:t>
      </w:r>
    </w:p>
    <w:p w14:paraId="6719C517" w14:textId="407559B8" w:rsidR="00E2145F" w:rsidRDefault="00E2145F" w:rsidP="00E2145F">
      <w:pPr>
        <w:spacing w:after="240"/>
        <w:ind w:firstLine="720"/>
      </w:pPr>
      <w:r w:rsidRPr="00E2145F">
        <w:rPr>
          <w:rFonts w:eastAsia="Times New Roman"/>
          <w:sz w:val="24"/>
          <w:szCs w:val="24"/>
        </w:rPr>
        <w:t>This instruction is supported by</w:t>
      </w:r>
      <w:r w:rsidRPr="00E2145F">
        <w:rPr>
          <w:rFonts w:eastAsia="Times New Roman"/>
          <w:b/>
          <w:sz w:val="24"/>
          <w:szCs w:val="24"/>
        </w:rPr>
        <w:t xml:space="preserve"> Krueger</w:t>
      </w:r>
      <w:r w:rsidRPr="00E2145F">
        <w:rPr>
          <w:rFonts w:eastAsia="Times New Roman"/>
          <w:sz w:val="24"/>
          <w:szCs w:val="24"/>
        </w:rPr>
        <w:t>, 205 P.3d at 1156</w:t>
      </w:r>
      <w:r w:rsidR="00330F00">
        <w:rPr>
          <w:rFonts w:eastAsia="Times New Roman"/>
          <w:sz w:val="24"/>
          <w:szCs w:val="24"/>
        </w:rPr>
        <w:t xml:space="preserve">; and </w:t>
      </w:r>
      <w:r w:rsidR="00330F00" w:rsidRPr="00155A00">
        <w:rPr>
          <w:rFonts w:eastAsia="Times New Roman"/>
          <w:b/>
          <w:sz w:val="24"/>
          <w:szCs w:val="24"/>
        </w:rPr>
        <w:t>In re Estate of Everhart</w:t>
      </w:r>
      <w:r w:rsidR="00330F00" w:rsidRPr="00155A00">
        <w:rPr>
          <w:rFonts w:eastAsia="Times New Roman"/>
          <w:sz w:val="24"/>
          <w:szCs w:val="24"/>
        </w:rPr>
        <w:t>, 2021 COA 63, ¶ 36, 493 P.3d 272</w:t>
      </w:r>
      <w:r w:rsidR="00330F00">
        <w:rPr>
          <w:rFonts w:eastAsia="Times New Roman"/>
          <w:sz w:val="24"/>
          <w:szCs w:val="24"/>
        </w:rPr>
        <w:t xml:space="preserve"> (citing this instruction)</w:t>
      </w:r>
      <w:r w:rsidRPr="00E2145F">
        <w:rPr>
          <w:rFonts w:eastAsia="Times New Roman"/>
          <w:sz w:val="24"/>
          <w:szCs w:val="24"/>
        </w:rPr>
        <w:t xml:space="preserve">. </w:t>
      </w:r>
      <w:r w:rsidRPr="00E2145F">
        <w:rPr>
          <w:rFonts w:eastAsia="Times New Roman"/>
          <w:i/>
          <w:sz w:val="24"/>
          <w:szCs w:val="24"/>
        </w:rPr>
        <w:t>See also</w:t>
      </w:r>
      <w:r w:rsidRPr="00E2145F">
        <w:rPr>
          <w:rFonts w:eastAsia="Times New Roman"/>
          <w:sz w:val="24"/>
          <w:szCs w:val="24"/>
        </w:rPr>
        <w:t xml:space="preserve"> Notes on Use to Instructions 3:8 and 34:16.</w:t>
      </w:r>
      <w:r>
        <w:br w:type="page"/>
      </w:r>
    </w:p>
    <w:p w14:paraId="62AAE788" w14:textId="77777777" w:rsidR="00E2145F" w:rsidRPr="009E3DA4" w:rsidRDefault="00E2145F" w:rsidP="00E2145F">
      <w:pPr>
        <w:spacing w:after="240"/>
        <w:ind w:left="720" w:hanging="720"/>
        <w:rPr>
          <w:rFonts w:eastAsia="Times New Roman"/>
          <w:b/>
          <w:sz w:val="24"/>
          <w:szCs w:val="24"/>
        </w:rPr>
      </w:pPr>
      <w:bookmarkStart w:id="29" w:name="a34_18"/>
      <w:bookmarkStart w:id="30" w:name="_Hlk144393153"/>
      <w:bookmarkEnd w:id="29"/>
      <w:r w:rsidRPr="00E2145F">
        <w:rPr>
          <w:rFonts w:eastAsia="Times New Roman"/>
          <w:b/>
          <w:sz w:val="24"/>
          <w:szCs w:val="24"/>
        </w:rPr>
        <w:lastRenderedPageBreak/>
        <w:t xml:space="preserve">34:18 </w:t>
      </w:r>
      <w:r w:rsidRPr="00E2145F">
        <w:rPr>
          <w:rFonts w:eastAsia="Times New Roman"/>
          <w:b/>
          <w:sz w:val="24"/>
          <w:szCs w:val="24"/>
        </w:rPr>
        <w:tab/>
      </w:r>
      <w:r w:rsidRPr="00E2145F">
        <w:rPr>
          <w:rFonts w:ascii="Times New Roman Bold" w:eastAsia="Times New Roman" w:hAnsi="Times New Roman Bold"/>
          <w:b/>
          <w:caps/>
          <w:sz w:val="24"/>
          <w:szCs w:val="24"/>
        </w:rPr>
        <w:t>Confidential Relationship — Defined</w:t>
      </w:r>
    </w:p>
    <w:bookmarkEnd w:id="30"/>
    <w:p w14:paraId="518146FD" w14:textId="53855380" w:rsidR="00E2145F" w:rsidRPr="00E2145F" w:rsidRDefault="00E2145F" w:rsidP="003F1986">
      <w:pPr>
        <w:spacing w:after="240"/>
        <w:ind w:firstLine="720"/>
        <w:rPr>
          <w:rFonts w:eastAsia="Times New Roman"/>
          <w:b/>
          <w:sz w:val="24"/>
          <w:szCs w:val="24"/>
        </w:rPr>
      </w:pPr>
      <w:r w:rsidRPr="00E2145F">
        <w:rPr>
          <w:rFonts w:eastAsia="Times New Roman"/>
          <w:b/>
          <w:sz w:val="24"/>
          <w:szCs w:val="24"/>
        </w:rPr>
        <w:t xml:space="preserve">A confidential relationship exists whenever one person gains the trust and confidence of the </w:t>
      </w:r>
      <w:r w:rsidR="00D00FAB">
        <w:rPr>
          <w:rFonts w:eastAsia="Times New Roman"/>
          <w:b/>
          <w:sz w:val="24"/>
          <w:szCs w:val="24"/>
        </w:rPr>
        <w:t>testator</w:t>
      </w:r>
      <w:r w:rsidRPr="00E2145F">
        <w:rPr>
          <w:rFonts w:eastAsia="Times New Roman"/>
          <w:b/>
          <w:sz w:val="24"/>
          <w:szCs w:val="24"/>
        </w:rPr>
        <w:t xml:space="preserve"> by acting or pretending to act for the benefit of or in the interest of the </w:t>
      </w:r>
      <w:r w:rsidR="00D00FAB">
        <w:rPr>
          <w:rFonts w:eastAsia="Times New Roman"/>
          <w:b/>
          <w:sz w:val="24"/>
          <w:szCs w:val="24"/>
        </w:rPr>
        <w:t>testator</w:t>
      </w:r>
      <w:r w:rsidRPr="00E2145F">
        <w:rPr>
          <w:rFonts w:eastAsia="Times New Roman"/>
          <w:b/>
          <w:sz w:val="24"/>
          <w:szCs w:val="24"/>
        </w:rPr>
        <w:t xml:space="preserve"> and, as a result, is put in a position to exercise influence and control over the </w:t>
      </w:r>
      <w:r w:rsidR="00EB7852">
        <w:rPr>
          <w:rFonts w:eastAsia="Times New Roman"/>
          <w:b/>
          <w:sz w:val="24"/>
          <w:szCs w:val="24"/>
        </w:rPr>
        <w:t>testator</w:t>
      </w:r>
      <w:r w:rsidRPr="00E2145F">
        <w:rPr>
          <w:rFonts w:eastAsia="Times New Roman"/>
          <w:b/>
          <w:sz w:val="24"/>
          <w:szCs w:val="24"/>
        </w:rPr>
        <w:t>.</w:t>
      </w:r>
    </w:p>
    <w:p w14:paraId="678D380B" w14:textId="77777777" w:rsidR="00E2145F" w:rsidRDefault="00E2145F" w:rsidP="00E2145F">
      <w:pPr>
        <w:jc w:val="center"/>
        <w:rPr>
          <w:rFonts w:eastAsia="Times New Roman"/>
          <w:sz w:val="24"/>
          <w:szCs w:val="24"/>
        </w:rPr>
      </w:pPr>
    </w:p>
    <w:p w14:paraId="2FABD98F" w14:textId="77777777"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14:paraId="7A542C49" w14:textId="2F0E900D" w:rsidR="00BE0949" w:rsidRDefault="00E2145F" w:rsidP="00E2145F">
      <w:pPr>
        <w:spacing w:after="240"/>
        <w:ind w:firstLine="720"/>
        <w:rPr>
          <w:rFonts w:eastAsia="Times New Roman"/>
          <w:sz w:val="24"/>
          <w:szCs w:val="24"/>
        </w:rPr>
      </w:pPr>
      <w:r w:rsidRPr="00E2145F">
        <w:rPr>
          <w:rFonts w:eastAsia="Times New Roman"/>
          <w:sz w:val="24"/>
          <w:szCs w:val="24"/>
        </w:rPr>
        <w:t xml:space="preserve">1. </w:t>
      </w:r>
      <w:r w:rsidR="00BE0949" w:rsidRPr="00E919D8">
        <w:rPr>
          <w:rFonts w:eastAsia="Times New Roman"/>
          <w:sz w:val="24"/>
          <w:szCs w:val="24"/>
        </w:rPr>
        <w:t>This instruction should be given with Instruction 34:</w:t>
      </w:r>
      <w:r w:rsidR="00846D9B">
        <w:rPr>
          <w:rFonts w:eastAsia="Times New Roman"/>
          <w:sz w:val="24"/>
          <w:szCs w:val="24"/>
        </w:rPr>
        <w:t>3A</w:t>
      </w:r>
      <w:r w:rsidR="00BE0949" w:rsidRPr="00E919D8">
        <w:rPr>
          <w:rFonts w:eastAsia="Times New Roman"/>
          <w:sz w:val="24"/>
          <w:szCs w:val="24"/>
        </w:rPr>
        <w:t xml:space="preserve"> </w:t>
      </w:r>
      <w:r w:rsidR="00BE0949">
        <w:rPr>
          <w:rFonts w:eastAsia="Times New Roman"/>
          <w:sz w:val="24"/>
          <w:szCs w:val="24"/>
        </w:rPr>
        <w:t>(</w:t>
      </w:r>
      <w:r w:rsidR="00BE0949" w:rsidRPr="00E919D8">
        <w:rPr>
          <w:rFonts w:eastAsia="Times New Roman"/>
          <w:sz w:val="24"/>
          <w:szCs w:val="24"/>
        </w:rPr>
        <w:t>defining testator</w:t>
      </w:r>
      <w:r w:rsidR="00BE0949">
        <w:rPr>
          <w:rFonts w:eastAsia="Times New Roman"/>
          <w:sz w:val="24"/>
          <w:szCs w:val="24"/>
        </w:rPr>
        <w:t>).</w:t>
      </w:r>
    </w:p>
    <w:p w14:paraId="6EC61B70" w14:textId="53681F1D" w:rsidR="00E2145F" w:rsidRPr="00E2145F" w:rsidRDefault="00BE0949" w:rsidP="00E2145F">
      <w:pPr>
        <w:spacing w:after="240"/>
        <w:ind w:firstLine="720"/>
        <w:rPr>
          <w:rFonts w:eastAsia="Times New Roman"/>
          <w:sz w:val="24"/>
          <w:szCs w:val="24"/>
        </w:rPr>
      </w:pPr>
      <w:r>
        <w:rPr>
          <w:rFonts w:eastAsia="Times New Roman"/>
          <w:sz w:val="24"/>
          <w:szCs w:val="24"/>
        </w:rPr>
        <w:t xml:space="preserve">2. </w:t>
      </w:r>
      <w:r w:rsidR="00E2145F" w:rsidRPr="00E2145F">
        <w:rPr>
          <w:rFonts w:eastAsia="Times New Roman"/>
          <w:sz w:val="24"/>
          <w:szCs w:val="24"/>
        </w:rPr>
        <w:t>When appropriate, this instruction should be used with Instruction 34:17</w:t>
      </w:r>
      <w:r w:rsidR="008B770F">
        <w:rPr>
          <w:rFonts w:eastAsia="Times New Roman"/>
          <w:sz w:val="24"/>
          <w:szCs w:val="24"/>
        </w:rPr>
        <w:t>,</w:t>
      </w:r>
      <w:r w:rsidR="003F1986">
        <w:rPr>
          <w:rFonts w:eastAsia="Times New Roman"/>
          <w:sz w:val="24"/>
          <w:szCs w:val="24"/>
        </w:rPr>
        <w:t xml:space="preserve"> </w:t>
      </w:r>
      <w:r w:rsidR="00E2145F" w:rsidRPr="00E2145F">
        <w:rPr>
          <w:rFonts w:eastAsia="Times New Roman"/>
          <w:sz w:val="24"/>
          <w:szCs w:val="24"/>
        </w:rPr>
        <w:t>and such other instructions, as for example, Instruction 19:5 (duty to disclose), when a definition of “confidential relationship” is required. When this instruction is used with Instruction 34:17, the parenthesized last clause should be included. When it is used with other instructions, such as Instruction 19:5, the parenthesized last clause should be omitted.</w:t>
      </w:r>
    </w:p>
    <w:p w14:paraId="3C9BF6EA" w14:textId="25EBF121" w:rsidR="003F1986" w:rsidRPr="00E2145F" w:rsidRDefault="00BE0949" w:rsidP="00E2145F">
      <w:pPr>
        <w:spacing w:after="240"/>
        <w:ind w:firstLine="720"/>
        <w:rPr>
          <w:rFonts w:eastAsia="Times New Roman"/>
          <w:sz w:val="24"/>
          <w:szCs w:val="24"/>
        </w:rPr>
      </w:pPr>
      <w:r>
        <w:rPr>
          <w:rFonts w:eastAsia="Times New Roman"/>
          <w:sz w:val="24"/>
          <w:szCs w:val="24"/>
        </w:rPr>
        <w:t>3</w:t>
      </w:r>
      <w:r w:rsidR="00E2145F" w:rsidRPr="00E2145F">
        <w:rPr>
          <w:rFonts w:eastAsia="Times New Roman"/>
          <w:sz w:val="24"/>
          <w:szCs w:val="24"/>
        </w:rPr>
        <w:t>. When instructing a jury on a claim for breach of a fiduciary duty arising out of a confidential relationship, Instructions 26:3 and 26:4 should be used, rather than this instruction.</w:t>
      </w:r>
    </w:p>
    <w:p w14:paraId="3E64D772" w14:textId="77777777" w:rsidR="00E2145F" w:rsidRPr="0054263B" w:rsidRDefault="00E2145F" w:rsidP="00E2145F">
      <w:pPr>
        <w:keepNext/>
        <w:spacing w:after="240"/>
        <w:jc w:val="center"/>
        <w:rPr>
          <w:rFonts w:eastAsia="Times New Roman"/>
          <w:b/>
          <w:sz w:val="24"/>
          <w:szCs w:val="24"/>
        </w:rPr>
      </w:pPr>
      <w:bookmarkStart w:id="31" w:name="_Hlk144393858"/>
      <w:r>
        <w:rPr>
          <w:rFonts w:eastAsia="Times New Roman"/>
          <w:b/>
          <w:sz w:val="24"/>
          <w:szCs w:val="24"/>
        </w:rPr>
        <w:t>Source and Authority</w:t>
      </w:r>
    </w:p>
    <w:bookmarkEnd w:id="31"/>
    <w:p w14:paraId="3DA9F7E5"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1. This instruction is supported by </w:t>
      </w:r>
      <w:r w:rsidRPr="00E2145F">
        <w:rPr>
          <w:rFonts w:eastAsia="Times New Roman"/>
          <w:smallCaps/>
          <w:sz w:val="24"/>
          <w:szCs w:val="24"/>
        </w:rPr>
        <w:t>Restatement (Second) of Trusts</w:t>
      </w:r>
      <w:r w:rsidRPr="00E2145F">
        <w:rPr>
          <w:rFonts w:eastAsia="Times New Roman"/>
          <w:sz w:val="24"/>
          <w:szCs w:val="24"/>
        </w:rPr>
        <w:t xml:space="preserve"> § 2 cmt. b (1959). </w:t>
      </w:r>
      <w:r w:rsidRPr="00E2145F">
        <w:rPr>
          <w:rFonts w:eastAsia="Times New Roman"/>
          <w:i/>
          <w:sz w:val="24"/>
          <w:szCs w:val="24"/>
        </w:rPr>
        <w:t xml:space="preserve">See also </w:t>
      </w:r>
      <w:r w:rsidRPr="00E2145F">
        <w:rPr>
          <w:rFonts w:eastAsia="Times New Roman"/>
          <w:b/>
          <w:sz w:val="24"/>
          <w:szCs w:val="24"/>
        </w:rPr>
        <w:t>Page v. Clark</w:t>
      </w:r>
      <w:r w:rsidRPr="00E2145F">
        <w:rPr>
          <w:rFonts w:eastAsia="Times New Roman"/>
          <w:sz w:val="24"/>
          <w:szCs w:val="24"/>
        </w:rPr>
        <w:t xml:space="preserve">, 197 Colo. 306, 592 P.2d 792 (1979); </w:t>
      </w:r>
      <w:r w:rsidRPr="00E2145F">
        <w:rPr>
          <w:rFonts w:eastAsia="Times New Roman"/>
          <w:b/>
          <w:sz w:val="24"/>
          <w:szCs w:val="24"/>
        </w:rPr>
        <w:t>Arnold v. Abernethy</w:t>
      </w:r>
      <w:r w:rsidRPr="00E2145F">
        <w:rPr>
          <w:rFonts w:eastAsia="Times New Roman"/>
          <w:sz w:val="24"/>
          <w:szCs w:val="24"/>
        </w:rPr>
        <w:t xml:space="preserve">, 134 Colo. 573, 307 P.2d 1106 (1957),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 v. Ary</w:t>
      </w:r>
      <w:r w:rsidRPr="00E2145F">
        <w:rPr>
          <w:rFonts w:eastAsia="Times New Roman"/>
          <w:sz w:val="24"/>
          <w:szCs w:val="24"/>
        </w:rPr>
        <w:t xml:space="preserve">, 205 P.3d 1150 (Colo. 2009); </w:t>
      </w:r>
      <w:r w:rsidRPr="00E2145F">
        <w:rPr>
          <w:rFonts w:eastAsia="Times New Roman"/>
          <w:b/>
          <w:sz w:val="24"/>
          <w:szCs w:val="24"/>
        </w:rPr>
        <w:t>Hilliard v. Shellabarger</w:t>
      </w:r>
      <w:r w:rsidRPr="00E2145F">
        <w:rPr>
          <w:rFonts w:eastAsia="Times New Roman"/>
          <w:sz w:val="24"/>
          <w:szCs w:val="24"/>
        </w:rPr>
        <w:t xml:space="preserve">, 120 Colo. 441, 210 P.2d 441 (1949),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w:t>
      </w:r>
      <w:r w:rsidRPr="00E2145F">
        <w:rPr>
          <w:rFonts w:eastAsia="Times New Roman"/>
          <w:sz w:val="24"/>
          <w:szCs w:val="24"/>
        </w:rPr>
        <w:t xml:space="preserve">, 205 P.3d at 1155; </w:t>
      </w:r>
      <w:r w:rsidRPr="00E2145F">
        <w:rPr>
          <w:rFonts w:eastAsia="Times New Roman"/>
          <w:b/>
          <w:sz w:val="24"/>
          <w:szCs w:val="24"/>
        </w:rPr>
        <w:t>Dittbrenner v. Myerson</w:t>
      </w:r>
      <w:r w:rsidRPr="00E2145F">
        <w:rPr>
          <w:rFonts w:eastAsia="Times New Roman"/>
          <w:sz w:val="24"/>
          <w:szCs w:val="24"/>
        </w:rPr>
        <w:t xml:space="preserve">, 114 Colo. 448, 167 P.2d 15 (1946); </w:t>
      </w:r>
      <w:r w:rsidRPr="00E2145F">
        <w:rPr>
          <w:rFonts w:eastAsia="Times New Roman"/>
          <w:b/>
          <w:sz w:val="24"/>
          <w:szCs w:val="24"/>
        </w:rPr>
        <w:t>Nicholson v. Ash</w:t>
      </w:r>
      <w:r w:rsidRPr="00E2145F">
        <w:rPr>
          <w:rFonts w:eastAsia="Times New Roman"/>
          <w:sz w:val="24"/>
          <w:szCs w:val="24"/>
        </w:rPr>
        <w:t xml:space="preserve">, 800 P.2d 1352 (Colo. App. 1990); </w:t>
      </w:r>
      <w:r w:rsidRPr="00E2145F">
        <w:rPr>
          <w:rFonts w:eastAsia="Times New Roman"/>
          <w:b/>
          <w:sz w:val="24"/>
          <w:szCs w:val="24"/>
        </w:rPr>
        <w:t>First Nat’l Bank of Meeker v. Theos</w:t>
      </w:r>
      <w:r w:rsidRPr="00E2145F">
        <w:rPr>
          <w:rFonts w:eastAsia="Times New Roman"/>
          <w:sz w:val="24"/>
          <w:szCs w:val="24"/>
        </w:rPr>
        <w:t xml:space="preserve">, 794 P.2d 1055 (Colo. App. 1990); </w:t>
      </w:r>
      <w:r w:rsidRPr="00E2145F">
        <w:rPr>
          <w:rFonts w:eastAsia="Times New Roman"/>
          <w:b/>
          <w:sz w:val="24"/>
          <w:szCs w:val="24"/>
        </w:rPr>
        <w:t>Rubenstein v. South Denver Nat’l Bank</w:t>
      </w:r>
      <w:r w:rsidRPr="00E2145F">
        <w:rPr>
          <w:rFonts w:eastAsia="Times New Roman"/>
          <w:sz w:val="24"/>
          <w:szCs w:val="24"/>
        </w:rPr>
        <w:t xml:space="preserve">, 762 P.2d 755 (Colo. App. 1988); </w:t>
      </w:r>
      <w:r w:rsidRPr="00E2145F">
        <w:rPr>
          <w:rFonts w:eastAsia="Times New Roman"/>
          <w:b/>
          <w:sz w:val="24"/>
          <w:szCs w:val="24"/>
        </w:rPr>
        <w:t>Alexander Co. v. Packard</w:t>
      </w:r>
      <w:r w:rsidRPr="00E2145F">
        <w:rPr>
          <w:rFonts w:eastAsia="Times New Roman"/>
          <w:sz w:val="24"/>
          <w:szCs w:val="24"/>
        </w:rPr>
        <w:t xml:space="preserve">, 754 P.2d 780 (Colo. App. 1988); </w:t>
      </w:r>
      <w:r w:rsidRPr="00E2145F">
        <w:rPr>
          <w:rFonts w:eastAsia="Times New Roman"/>
          <w:b/>
          <w:sz w:val="24"/>
          <w:szCs w:val="24"/>
        </w:rPr>
        <w:t>Meyer v. Schwartz</w:t>
      </w:r>
      <w:r w:rsidRPr="00E2145F">
        <w:rPr>
          <w:rFonts w:eastAsia="Times New Roman"/>
          <w:sz w:val="24"/>
          <w:szCs w:val="24"/>
        </w:rPr>
        <w:t>, 638 P.2d 821 (Colo. App. 1981).</w:t>
      </w:r>
    </w:p>
    <w:p w14:paraId="3C97F0F8"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A confidential relationship may arise when one person occupies a position of superiority over another with the opportunity to use that superiority to the other’s disadvantage. </w:t>
      </w:r>
      <w:r w:rsidRPr="00E2145F">
        <w:rPr>
          <w:rFonts w:eastAsia="Times New Roman"/>
          <w:b/>
          <w:sz w:val="24"/>
          <w:szCs w:val="24"/>
        </w:rPr>
        <w:t>United Fire &amp; Cas. Co. v. Nissan Motor Corp.</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 xml:space="preserve">164 Colo. 42, 433 P.2d 769 (1967). Further, a confidential relationship may arise if: (1) one party has taken steps to induce another to believe that he or she can safely rely on the first party’s judgment or advice; (2) one person has gained the confidence of the other and purports to act or advise with the other’s interest in mind; or (3) the parties’ relationship is such that one is induced to relax the care and vigilance that one would ordinarily exercise in dealing with a stranger.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 xml:space="preserve">accord </w:t>
      </w:r>
      <w:r w:rsidRPr="00E2145F">
        <w:rPr>
          <w:rFonts w:eastAsia="Times New Roman"/>
          <w:b/>
          <w:sz w:val="24"/>
          <w:szCs w:val="24"/>
        </w:rPr>
        <w:t>In re Marriage of Page</w:t>
      </w:r>
      <w:r w:rsidRPr="00E2145F">
        <w:rPr>
          <w:rFonts w:eastAsia="Times New Roman"/>
          <w:sz w:val="24"/>
          <w:szCs w:val="24"/>
        </w:rPr>
        <w:t xml:space="preserve">, 70 P.3d 579 (Colo. App. 2003). Generally, to establish the existence of a confidential relationship, plaintiff must show that he or she reposed a special trust or confidence in the defendant, that reposing such trust in the defendant was justified, and that the defendant either invited or ostensibly accepted the plaintiff’s trust. </w:t>
      </w:r>
      <w:r w:rsidRPr="00E2145F">
        <w:rPr>
          <w:rFonts w:eastAsia="Times New Roman"/>
          <w:b/>
          <w:sz w:val="24"/>
          <w:szCs w:val="24"/>
        </w:rPr>
        <w:t>Steiger v. Burroughs</w:t>
      </w:r>
      <w:r w:rsidRPr="00E2145F">
        <w:rPr>
          <w:rFonts w:eastAsia="Times New Roman"/>
          <w:sz w:val="24"/>
          <w:szCs w:val="24"/>
        </w:rPr>
        <w:t>, 878 P.2d 131 (Colo. App. 1994).</w:t>
      </w:r>
    </w:p>
    <w:p w14:paraId="2C043FB3"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lastRenderedPageBreak/>
        <w:t xml:space="preserve">3. If a confidential relationship is shown to exist, the person in whom the special trust is placed must act in good faith and with due regard for the interests of the one reposing the confidence. </w:t>
      </w:r>
      <w:r w:rsidRPr="00E2145F">
        <w:rPr>
          <w:rFonts w:eastAsia="Times New Roman"/>
          <w:b/>
          <w:sz w:val="24"/>
          <w:szCs w:val="24"/>
        </w:rPr>
        <w:t>Nicholson</w:t>
      </w:r>
      <w:r w:rsidRPr="00E2145F">
        <w:rPr>
          <w:rFonts w:eastAsia="Times New Roman"/>
          <w:sz w:val="24"/>
          <w:szCs w:val="24"/>
        </w:rPr>
        <w:t>, 800 P.2d at 1355.</w:t>
      </w:r>
    </w:p>
    <w:p w14:paraId="1ECAFD4D" w14:textId="15E31599" w:rsidR="00965824" w:rsidRPr="00E2145F" w:rsidRDefault="00E2145F" w:rsidP="00E2145F">
      <w:pPr>
        <w:spacing w:after="240"/>
        <w:ind w:firstLine="720"/>
        <w:rPr>
          <w:rFonts w:eastAsia="Times New Roman"/>
          <w:sz w:val="24"/>
          <w:szCs w:val="24"/>
        </w:rPr>
      </w:pPr>
      <w:r w:rsidRPr="00E2145F">
        <w:rPr>
          <w:rFonts w:eastAsia="Times New Roman"/>
          <w:sz w:val="24"/>
          <w:szCs w:val="24"/>
        </w:rPr>
        <w:t xml:space="preserve">4. There is no separate and distinct cause of action for a breach of a confidential relationship per se. </w:t>
      </w:r>
      <w:r w:rsidRPr="00E2145F">
        <w:rPr>
          <w:rFonts w:eastAsia="Times New Roman"/>
          <w:b/>
          <w:sz w:val="24"/>
          <w:szCs w:val="24"/>
        </w:rPr>
        <w:t>Bock v. Brody</w:t>
      </w:r>
      <w:r w:rsidRPr="00E2145F">
        <w:rPr>
          <w:rFonts w:eastAsia="Times New Roman"/>
          <w:sz w:val="24"/>
          <w:szCs w:val="24"/>
        </w:rPr>
        <w:t xml:space="preserve">, 870 P.2d 530 (Colo. App. 1993), </w:t>
      </w:r>
      <w:r w:rsidRPr="00E2145F">
        <w:rPr>
          <w:rFonts w:eastAsia="Times New Roman"/>
          <w:i/>
          <w:sz w:val="24"/>
          <w:szCs w:val="24"/>
        </w:rPr>
        <w:t>aff’d in part, rev’d in part on other grounds</w:t>
      </w:r>
      <w:r w:rsidRPr="00E2145F">
        <w:rPr>
          <w:rFonts w:eastAsia="Times New Roman"/>
          <w:sz w:val="24"/>
          <w:szCs w:val="24"/>
        </w:rPr>
        <w:t>,</w:t>
      </w:r>
      <w:r w:rsidRPr="00E2145F">
        <w:rPr>
          <w:rFonts w:eastAsia="Times New Roman"/>
          <w:i/>
          <w:sz w:val="24"/>
          <w:szCs w:val="24"/>
        </w:rPr>
        <w:t xml:space="preserve"> </w:t>
      </w:r>
      <w:r w:rsidRPr="00E2145F">
        <w:rPr>
          <w:rFonts w:eastAsia="Times New Roman"/>
          <w:sz w:val="24"/>
          <w:szCs w:val="24"/>
        </w:rPr>
        <w:t xml:space="preserve">897 P.2d 769 (Colo. 1995); </w:t>
      </w:r>
      <w:r w:rsidRPr="00E2145F">
        <w:rPr>
          <w:rFonts w:eastAsia="Times New Roman"/>
          <w:b/>
          <w:sz w:val="24"/>
          <w:szCs w:val="24"/>
        </w:rPr>
        <w:t>Todd Holding Co. v. Super Valu Stores, Inc.</w:t>
      </w:r>
      <w:r w:rsidRPr="00E2145F">
        <w:rPr>
          <w:rFonts w:eastAsia="Times New Roman"/>
          <w:sz w:val="24"/>
          <w:szCs w:val="24"/>
        </w:rPr>
        <w:t xml:space="preserve">, 874 P.2d 402 (Colo. App. 1993). Rather, the existence of a confidential relationship is simply one of the elements to be considered in determining whether there is fraud, undue influence, overreaching, or other improper conduct.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Jarnagin v. Busby, Inc.</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867 P.2d 63 (Colo. App. 1993).</w:t>
      </w:r>
    </w:p>
    <w:p w14:paraId="0AF8B75D" w14:textId="77777777" w:rsidR="00E2145F" w:rsidRDefault="00E2145F">
      <w:pPr>
        <w:rPr>
          <w:rFonts w:eastAsia="Times New Roman"/>
          <w:b/>
          <w:sz w:val="24"/>
          <w:szCs w:val="24"/>
        </w:rPr>
      </w:pPr>
      <w:r>
        <w:rPr>
          <w:rFonts w:eastAsia="Times New Roman"/>
          <w:b/>
          <w:sz w:val="24"/>
          <w:szCs w:val="24"/>
        </w:rPr>
        <w:br w:type="page"/>
      </w:r>
    </w:p>
    <w:p w14:paraId="029F271B" w14:textId="77777777" w:rsidR="00E2145F" w:rsidRPr="009E3DA4" w:rsidRDefault="00E2145F" w:rsidP="00E2145F">
      <w:pPr>
        <w:spacing w:after="240"/>
        <w:ind w:left="720" w:hanging="720"/>
        <w:rPr>
          <w:rFonts w:eastAsia="Times New Roman"/>
          <w:b/>
          <w:sz w:val="24"/>
          <w:szCs w:val="24"/>
        </w:rPr>
      </w:pPr>
      <w:bookmarkStart w:id="32" w:name="a34_19"/>
      <w:bookmarkEnd w:id="32"/>
      <w:r w:rsidRPr="00E2145F">
        <w:rPr>
          <w:rFonts w:eastAsia="Times New Roman"/>
          <w:b/>
          <w:sz w:val="24"/>
          <w:szCs w:val="24"/>
        </w:rPr>
        <w:lastRenderedPageBreak/>
        <w:t>34:19</w:t>
      </w:r>
      <w:r w:rsidRPr="00E2145F">
        <w:rPr>
          <w:rFonts w:eastAsia="Times New Roman"/>
          <w:b/>
          <w:sz w:val="24"/>
          <w:szCs w:val="24"/>
        </w:rPr>
        <w:tab/>
      </w:r>
      <w:r w:rsidRPr="00E2145F">
        <w:rPr>
          <w:rFonts w:ascii="Times New Roman Bold" w:eastAsia="Times New Roman" w:hAnsi="Times New Roman Bold"/>
          <w:b/>
          <w:caps/>
          <w:sz w:val="24"/>
          <w:szCs w:val="24"/>
        </w:rPr>
        <w:t>Fiduciary Relationship — Defined</w:t>
      </w:r>
    </w:p>
    <w:p w14:paraId="2EABF2C1" w14:textId="77777777" w:rsidR="00E2145F" w:rsidRDefault="00E2145F" w:rsidP="00E2145F">
      <w:pPr>
        <w:spacing w:after="240"/>
        <w:ind w:firstLine="720"/>
        <w:rPr>
          <w:rFonts w:eastAsia="Times New Roman"/>
          <w:b/>
          <w:sz w:val="24"/>
          <w:szCs w:val="24"/>
        </w:rPr>
      </w:pPr>
      <w:r w:rsidRPr="00E2145F">
        <w:rPr>
          <w:rFonts w:eastAsia="Times New Roman"/>
          <w:b/>
          <w:sz w:val="24"/>
          <w:szCs w:val="24"/>
        </w:rPr>
        <w:t>S</w:t>
      </w:r>
      <w:smartTag w:uri="urn:schemas-microsoft-com:office:smarttags" w:element="PersonName">
        <w:r w:rsidRPr="00E2145F">
          <w:rPr>
            <w:rFonts w:eastAsia="Times New Roman"/>
            <w:b/>
            <w:sz w:val="24"/>
            <w:szCs w:val="24"/>
          </w:rPr>
          <w:t>e</w:t>
        </w:r>
      </w:smartTag>
      <w:smartTag w:uri="urn:schemas-microsoft-com:office:smarttags" w:element="PersonName">
        <w:r w:rsidRPr="00E2145F">
          <w:rPr>
            <w:rFonts w:eastAsia="Times New Roman"/>
            <w:b/>
            <w:sz w:val="24"/>
            <w:szCs w:val="24"/>
          </w:rPr>
          <w:t>e</w:t>
        </w:r>
      </w:smartTag>
      <w:r w:rsidRPr="00E2145F">
        <w:rPr>
          <w:rFonts w:eastAsia="Times New Roman"/>
          <w:b/>
          <w:sz w:val="24"/>
          <w:szCs w:val="24"/>
        </w:rPr>
        <w:t xml:space="preserve"> Instructions 26:2 and 26:3.</w:t>
      </w:r>
    </w:p>
    <w:p w14:paraId="158C9595" w14:textId="77777777" w:rsidR="00E2145F" w:rsidRDefault="00E2145F">
      <w:pPr>
        <w:rPr>
          <w:rFonts w:eastAsia="Times New Roman"/>
          <w:sz w:val="24"/>
          <w:szCs w:val="24"/>
        </w:rPr>
      </w:pPr>
      <w:r>
        <w:rPr>
          <w:rFonts w:eastAsia="Times New Roman"/>
          <w:sz w:val="24"/>
          <w:szCs w:val="24"/>
        </w:rPr>
        <w:br w:type="page"/>
      </w:r>
    </w:p>
    <w:p w14:paraId="4D5339D6" w14:textId="77777777" w:rsidR="00E2145F" w:rsidRPr="009E3DA4" w:rsidRDefault="00E2145F" w:rsidP="00E2145F">
      <w:pPr>
        <w:spacing w:after="240"/>
        <w:ind w:left="720" w:hanging="720"/>
        <w:rPr>
          <w:rFonts w:eastAsia="Times New Roman"/>
          <w:b/>
          <w:sz w:val="24"/>
          <w:szCs w:val="24"/>
        </w:rPr>
      </w:pPr>
      <w:bookmarkStart w:id="33" w:name="a34_20"/>
      <w:bookmarkEnd w:id="33"/>
      <w:r w:rsidRPr="00E2145F">
        <w:rPr>
          <w:rFonts w:eastAsia="Times New Roman"/>
          <w:b/>
          <w:sz w:val="24"/>
          <w:szCs w:val="24"/>
        </w:rPr>
        <w:lastRenderedPageBreak/>
        <w:t xml:space="preserve">34:20 </w:t>
      </w:r>
      <w:r w:rsidRPr="00E2145F">
        <w:rPr>
          <w:rFonts w:eastAsia="Times New Roman"/>
          <w:b/>
          <w:sz w:val="24"/>
          <w:szCs w:val="24"/>
        </w:rPr>
        <w:tab/>
      </w:r>
      <w:r w:rsidRPr="00E2145F">
        <w:rPr>
          <w:rFonts w:ascii="Times New Roman Bold" w:eastAsia="Times New Roman" w:hAnsi="Times New Roman Bold"/>
          <w:b/>
          <w:caps/>
          <w:sz w:val="24"/>
          <w:szCs w:val="24"/>
        </w:rPr>
        <w:t>Verdict Form for Proponent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B7852" w:rsidRPr="00B97C9F" w14:paraId="77A47F4A" w14:textId="77777777" w:rsidTr="002600A0">
        <w:trPr>
          <w:trHeight w:val="4580"/>
        </w:trPr>
        <w:tc>
          <w:tcPr>
            <w:tcW w:w="6460" w:type="dxa"/>
          </w:tcPr>
          <w:p w14:paraId="497EBA7F" w14:textId="77777777" w:rsidR="00EB7852" w:rsidRPr="00B97C9F" w:rsidRDefault="00EB7852" w:rsidP="002600A0">
            <w:pPr>
              <w:jc w:val="both"/>
              <w:rPr>
                <w:sz w:val="24"/>
                <w:szCs w:val="24"/>
              </w:rPr>
            </w:pPr>
            <w:r w:rsidRPr="00B97C9F">
              <w:rPr>
                <w:noProof/>
                <w:sz w:val="24"/>
                <w:szCs w:val="24"/>
              </w:rPr>
              <mc:AlternateContent>
                <mc:Choice Requires="wpg">
                  <w:drawing>
                    <wp:anchor distT="0" distB="0" distL="114300" distR="114300" simplePos="0" relativeHeight="251658240" behindDoc="0" locked="0" layoutInCell="0" allowOverlap="1" wp14:anchorId="228B3F32" wp14:editId="53042413">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1F2B1" id="Group 57" o:spid="_x0000_s1026" style="position:absolute;margin-left:338.4pt;margin-top:129.6pt;width:136.8pt;height:7.2pt;z-index:25165824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58241" behindDoc="0" locked="0" layoutInCell="0" allowOverlap="1" wp14:anchorId="60E8CE9B" wp14:editId="5E4B0B1D">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A4AC" id="Straight Connector 6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DC573FA" w14:textId="77777777" w:rsidR="00EB7852" w:rsidRPr="00B97C9F" w:rsidRDefault="00EB7852" w:rsidP="002600A0">
            <w:pPr>
              <w:jc w:val="both"/>
              <w:rPr>
                <w:sz w:val="24"/>
                <w:szCs w:val="24"/>
              </w:rPr>
            </w:pPr>
          </w:p>
          <w:p w14:paraId="3AFF0F7E" w14:textId="77777777" w:rsidR="00EB7852" w:rsidRPr="00B97C9F" w:rsidRDefault="00EB7852" w:rsidP="002600A0">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6022E29" w14:textId="77777777" w:rsidR="00EB7852" w:rsidRPr="00B97C9F" w:rsidRDefault="00EB7852" w:rsidP="002600A0">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CB1CF7B" w14:textId="77777777" w:rsidR="00EB7852" w:rsidRPr="00B97C9F" w:rsidRDefault="00EB7852" w:rsidP="002600A0">
            <w:pPr>
              <w:pBdr>
                <w:bottom w:val="single" w:sz="4" w:space="0"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C7193CD" w14:textId="77777777" w:rsidR="00EB7852" w:rsidRPr="00B97C9F" w:rsidRDefault="00EB7852" w:rsidP="002600A0">
            <w:pPr>
              <w:pBdr>
                <w:bottom w:val="single" w:sz="4" w:space="0"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C3FEB87" w14:textId="77777777" w:rsidR="00EB7852" w:rsidRPr="00B97C9F" w:rsidRDefault="00EB7852" w:rsidP="002600A0">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B3B5B87" w14:textId="77777777" w:rsidR="00EB7852" w:rsidRPr="00B97C9F" w:rsidRDefault="00EB7852" w:rsidP="002600A0">
            <w:pPr>
              <w:jc w:val="both"/>
              <w:rPr>
                <w:b/>
                <w:sz w:val="24"/>
                <w:szCs w:val="24"/>
              </w:rPr>
            </w:pPr>
          </w:p>
          <w:p w14:paraId="2F3340CE" w14:textId="77777777" w:rsidR="00EB7852" w:rsidRPr="00B97C9F" w:rsidRDefault="00EB7852" w:rsidP="002600A0">
            <w:pPr>
              <w:jc w:val="both"/>
              <w:rPr>
                <w:b/>
                <w:sz w:val="24"/>
                <w:szCs w:val="24"/>
              </w:rPr>
            </w:pPr>
          </w:p>
          <w:p w14:paraId="5C49F4ED" w14:textId="77777777" w:rsidR="00EB7852" w:rsidRPr="00B97C9F" w:rsidRDefault="00EB7852" w:rsidP="002600A0">
            <w:pPr>
              <w:jc w:val="both"/>
              <w:rPr>
                <w:b/>
                <w:sz w:val="24"/>
                <w:szCs w:val="24"/>
              </w:rPr>
            </w:pPr>
          </w:p>
          <w:p w14:paraId="1C461CFD" w14:textId="77777777" w:rsidR="00EB7852" w:rsidRPr="00B97C9F" w:rsidRDefault="00EB7852" w:rsidP="002600A0">
            <w:pPr>
              <w:jc w:val="both"/>
              <w:rPr>
                <w:b/>
                <w:sz w:val="24"/>
                <w:szCs w:val="24"/>
              </w:rPr>
            </w:pPr>
          </w:p>
          <w:p w14:paraId="48D2D72C" w14:textId="77777777" w:rsidR="00EB7852" w:rsidRPr="00B97C9F" w:rsidRDefault="00EB7852" w:rsidP="002600A0">
            <w:pPr>
              <w:jc w:val="both"/>
              <w:rPr>
                <w:b/>
                <w:sz w:val="24"/>
                <w:szCs w:val="24"/>
              </w:rPr>
            </w:pPr>
          </w:p>
          <w:p w14:paraId="5B9594D7" w14:textId="77777777" w:rsidR="00EB7852" w:rsidRPr="00B97C9F" w:rsidRDefault="00EB7852" w:rsidP="002600A0">
            <w:pPr>
              <w:jc w:val="both"/>
              <w:rPr>
                <w:b/>
                <w:sz w:val="24"/>
                <w:szCs w:val="24"/>
              </w:rPr>
            </w:pPr>
          </w:p>
        </w:tc>
        <w:tc>
          <w:tcPr>
            <w:tcW w:w="3757" w:type="dxa"/>
            <w:tcBorders>
              <w:top w:val="single" w:sz="4" w:space="0" w:color="auto"/>
            </w:tcBorders>
          </w:tcPr>
          <w:p w14:paraId="147BDE7D" w14:textId="77777777" w:rsidR="00EB7852" w:rsidRPr="00B97C9F" w:rsidRDefault="00EB7852" w:rsidP="002600A0">
            <w:pPr>
              <w:jc w:val="center"/>
              <w:rPr>
                <w:sz w:val="24"/>
                <w:szCs w:val="24"/>
              </w:rPr>
            </w:pPr>
          </w:p>
          <w:p w14:paraId="6F1327D7" w14:textId="77777777" w:rsidR="00EB7852" w:rsidRPr="00B97C9F" w:rsidRDefault="00EB7852" w:rsidP="002600A0">
            <w:pPr>
              <w:jc w:val="center"/>
              <w:rPr>
                <w:sz w:val="24"/>
                <w:szCs w:val="24"/>
              </w:rPr>
            </w:pPr>
          </w:p>
          <w:p w14:paraId="4CEC596B" w14:textId="77777777" w:rsidR="00EB7852" w:rsidRPr="00B97C9F" w:rsidRDefault="00EB7852" w:rsidP="002600A0">
            <w:pPr>
              <w:jc w:val="center"/>
              <w:rPr>
                <w:sz w:val="24"/>
                <w:szCs w:val="24"/>
              </w:rPr>
            </w:pPr>
          </w:p>
          <w:p w14:paraId="222F3085" w14:textId="77777777" w:rsidR="00EB7852" w:rsidRPr="00B97C9F" w:rsidRDefault="00EB7852" w:rsidP="002600A0">
            <w:pPr>
              <w:jc w:val="center"/>
              <w:rPr>
                <w:sz w:val="24"/>
                <w:szCs w:val="24"/>
              </w:rPr>
            </w:pPr>
          </w:p>
          <w:p w14:paraId="07651F35" w14:textId="77777777" w:rsidR="00EB7852" w:rsidRPr="00B97C9F" w:rsidRDefault="00EB7852" w:rsidP="002600A0">
            <w:pPr>
              <w:jc w:val="center"/>
              <w:rPr>
                <w:sz w:val="24"/>
                <w:szCs w:val="24"/>
              </w:rPr>
            </w:pPr>
          </w:p>
          <w:p w14:paraId="4D6AF345" w14:textId="77777777" w:rsidR="00EB7852" w:rsidRPr="00B97C9F" w:rsidRDefault="00EB7852" w:rsidP="002600A0">
            <w:pPr>
              <w:jc w:val="center"/>
              <w:rPr>
                <w:sz w:val="24"/>
                <w:szCs w:val="24"/>
              </w:rPr>
            </w:pPr>
          </w:p>
          <w:p w14:paraId="1B036EB1" w14:textId="77777777" w:rsidR="00EB7852" w:rsidRPr="00B97C9F" w:rsidRDefault="00EB7852" w:rsidP="002600A0">
            <w:pPr>
              <w:pStyle w:val="Heading2"/>
              <w:spacing w:before="26"/>
              <w:rPr>
                <w:rFonts w:ascii="Times New Roman" w:hAnsi="Times New Roman" w:cs="Times New Roman"/>
                <w:sz w:val="24"/>
                <w:szCs w:val="24"/>
              </w:rPr>
            </w:pPr>
            <w:r w:rsidRPr="00B97C9F">
              <w:rPr>
                <w:rFonts w:ascii="Times New Roman" w:hAnsi="Times New Roman" w:cs="Times New Roman"/>
                <w:sz w:val="24"/>
                <w:szCs w:val="24"/>
              </w:rPr>
              <w:t xml:space="preserve"> </w:t>
            </w:r>
          </w:p>
          <w:p w14:paraId="6DBA40DC" w14:textId="77777777" w:rsidR="00EB7852" w:rsidRPr="00B97C9F" w:rsidRDefault="00EB7852" w:rsidP="002600A0">
            <w:pPr>
              <w:pStyle w:val="Heading2"/>
              <w:spacing w:before="26"/>
              <w:rPr>
                <w:rFonts w:ascii="Times New Roman" w:hAnsi="Times New Roman" w:cs="Times New Roman"/>
                <w:sz w:val="24"/>
                <w:szCs w:val="24"/>
              </w:rPr>
            </w:pPr>
          </w:p>
          <w:p w14:paraId="1D57197B" w14:textId="77777777" w:rsidR="00EB7852" w:rsidRPr="00B97C9F" w:rsidRDefault="00EB7852" w:rsidP="002600A0">
            <w:pPr>
              <w:pStyle w:val="Heading2"/>
              <w:spacing w:before="26"/>
              <w:rPr>
                <w:rFonts w:ascii="Times New Roman" w:hAnsi="Times New Roman" w:cs="Times New Roman"/>
                <w:sz w:val="24"/>
                <w:szCs w:val="24"/>
              </w:rPr>
            </w:pPr>
          </w:p>
          <w:p w14:paraId="31794A58" w14:textId="77777777" w:rsidR="00EB7852" w:rsidRPr="00886487" w:rsidRDefault="00EB7852" w:rsidP="002600A0">
            <w:pPr>
              <w:pStyle w:val="Heading2"/>
              <w:spacing w:before="26"/>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1525D076" w14:textId="77777777" w:rsidR="00EB7852" w:rsidRPr="00886487" w:rsidRDefault="00EB7852" w:rsidP="002600A0">
            <w:pPr>
              <w:pStyle w:val="Heading2"/>
              <w:spacing w:before="26"/>
              <w:rPr>
                <w:rFonts w:ascii="Times New Roman" w:hAnsi="Times New Roman" w:cs="Times New Roman"/>
                <w:color w:val="000000" w:themeColor="text1"/>
                <w:sz w:val="24"/>
                <w:szCs w:val="24"/>
              </w:rPr>
            </w:pPr>
          </w:p>
          <w:p w14:paraId="66BB0513" w14:textId="77777777" w:rsidR="00EB7852" w:rsidRPr="00B97C9F" w:rsidRDefault="00EB7852" w:rsidP="002600A0">
            <w:pPr>
              <w:pStyle w:val="Heading2"/>
              <w:spacing w:before="26"/>
              <w:rPr>
                <w:rFonts w:ascii="Times New Roman" w:hAnsi="Times New Roman" w:cs="Times New Roman"/>
                <w:sz w:val="24"/>
                <w:szCs w:val="24"/>
              </w:rPr>
            </w:pPr>
          </w:p>
          <w:p w14:paraId="2FBE8B4F" w14:textId="77777777" w:rsidR="00EB7852" w:rsidRPr="00B97C9F" w:rsidRDefault="00EB7852" w:rsidP="002600A0">
            <w:pPr>
              <w:rPr>
                <w:sz w:val="24"/>
                <w:szCs w:val="24"/>
              </w:rPr>
            </w:pPr>
          </w:p>
          <w:p w14:paraId="3BF334A2" w14:textId="77777777" w:rsidR="00EB7852" w:rsidRPr="00B97C9F" w:rsidRDefault="00EB7852" w:rsidP="002600A0">
            <w:pPr>
              <w:rPr>
                <w:sz w:val="24"/>
                <w:szCs w:val="24"/>
              </w:rPr>
            </w:pPr>
            <w:r w:rsidRPr="00B97C9F">
              <w:rPr>
                <w:sz w:val="24"/>
                <w:szCs w:val="24"/>
              </w:rPr>
              <w:t>Case Number:</w:t>
            </w:r>
          </w:p>
          <w:p w14:paraId="7C370A02" w14:textId="77777777" w:rsidR="00EB7852" w:rsidRPr="00B97C9F" w:rsidRDefault="00EB7852" w:rsidP="002600A0">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687E2CA" w14:textId="77777777" w:rsidR="00EB7852" w:rsidRPr="00B97C9F" w:rsidRDefault="00EB7852" w:rsidP="002600A0">
            <w:pPr>
              <w:rPr>
                <w:sz w:val="24"/>
                <w:szCs w:val="24"/>
              </w:rPr>
            </w:pPr>
          </w:p>
          <w:p w14:paraId="0614472A" w14:textId="77777777" w:rsidR="00EB7852" w:rsidRPr="00B97C9F" w:rsidRDefault="00EB7852" w:rsidP="002600A0">
            <w:pPr>
              <w:rPr>
                <w:sz w:val="24"/>
                <w:szCs w:val="24"/>
              </w:rPr>
            </w:pPr>
          </w:p>
          <w:p w14:paraId="52FAB953" w14:textId="77777777" w:rsidR="00EB7852" w:rsidRPr="00B97C9F" w:rsidRDefault="00EB7852" w:rsidP="002600A0">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B7852" w:rsidRPr="00B97C9F" w14:paraId="502B2730" w14:textId="77777777" w:rsidTr="002600A0">
        <w:trPr>
          <w:trHeight w:val="287"/>
        </w:trPr>
        <w:tc>
          <w:tcPr>
            <w:tcW w:w="10217" w:type="dxa"/>
            <w:gridSpan w:val="2"/>
            <w:vAlign w:val="center"/>
          </w:tcPr>
          <w:p w14:paraId="7CB4276D" w14:textId="77777777" w:rsidR="00EB7852" w:rsidRDefault="00EB7852" w:rsidP="002600A0">
            <w:pPr>
              <w:pStyle w:val="Heading1"/>
              <w:spacing w:after="0"/>
            </w:pPr>
          </w:p>
          <w:p w14:paraId="26597005" w14:textId="212CA164" w:rsidR="00EB7852" w:rsidRPr="00B97C9F" w:rsidRDefault="00EB7852" w:rsidP="002600A0">
            <w:pPr>
              <w:pStyle w:val="Heading1"/>
              <w:spacing w:after="160"/>
            </w:pPr>
            <w:r>
              <w:t>VERDICT</w:t>
            </w:r>
            <w:r w:rsidRPr="00B97C9F">
              <w:t xml:space="preserve"> </w:t>
            </w:r>
          </w:p>
        </w:tc>
      </w:tr>
    </w:tbl>
    <w:p w14:paraId="656F7443" w14:textId="77777777" w:rsidR="00E2145F" w:rsidRPr="00E2145F" w:rsidRDefault="00E2145F" w:rsidP="00E2145F">
      <w:pPr>
        <w:rPr>
          <w:rFonts w:eastAsia="Times New Roman"/>
          <w:b/>
          <w:sz w:val="24"/>
          <w:szCs w:val="24"/>
        </w:rPr>
      </w:pPr>
    </w:p>
    <w:p w14:paraId="54DDB64A" w14:textId="77777777"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proponent, </w:t>
      </w:r>
      <w:r w:rsidRPr="00E2145F">
        <w:rPr>
          <w:rFonts w:eastAsia="Times New Roman"/>
          <w:i/>
          <w:sz w:val="24"/>
          <w:szCs w:val="24"/>
        </w:rPr>
        <w:t>(name)</w:t>
      </w:r>
      <w:r w:rsidRPr="00E2145F">
        <w:rPr>
          <w:rFonts w:eastAsia="Times New Roman"/>
          <w:b/>
          <w:sz w:val="24"/>
          <w:szCs w:val="24"/>
        </w:rPr>
        <w:t>.</w:t>
      </w:r>
    </w:p>
    <w:p w14:paraId="58A72918" w14:textId="77777777" w:rsidR="00E2145F" w:rsidRPr="00E2145F" w:rsidRDefault="00E2145F" w:rsidP="00E2145F">
      <w:pPr>
        <w:rPr>
          <w:rFonts w:eastAsia="Times New Roman"/>
          <w:b/>
          <w:sz w:val="24"/>
          <w:szCs w:val="24"/>
        </w:rPr>
      </w:pPr>
    </w:p>
    <w:p w14:paraId="1FE0735C" w14:textId="77777777" w:rsidR="00E2145F" w:rsidRPr="00E2145F" w:rsidRDefault="00E2145F" w:rsidP="00E2145F">
      <w:pPr>
        <w:rPr>
          <w:rFonts w:eastAsia="Times New Roman"/>
          <w:b/>
          <w:sz w:val="24"/>
          <w:szCs w:val="24"/>
        </w:rPr>
      </w:pPr>
    </w:p>
    <w:p w14:paraId="00B64AA5"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6C5A5496" w14:textId="77777777"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14:paraId="606BE49E"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262E7CF5" w14:textId="77777777" w:rsidR="00E2145F" w:rsidRPr="00E2145F" w:rsidRDefault="00E2145F" w:rsidP="00E2145F">
      <w:pPr>
        <w:rPr>
          <w:rFonts w:eastAsia="Times New Roman"/>
          <w:b/>
          <w:sz w:val="24"/>
          <w:szCs w:val="24"/>
        </w:rPr>
      </w:pPr>
    </w:p>
    <w:p w14:paraId="607C8AA2"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24DF5B92" w14:textId="77777777" w:rsidR="00E2145F" w:rsidRPr="00E2145F" w:rsidRDefault="00E2145F" w:rsidP="00E2145F">
      <w:pPr>
        <w:spacing w:after="240"/>
        <w:ind w:firstLine="720"/>
        <w:rPr>
          <w:rFonts w:eastAsia="Times New Roman"/>
          <w:sz w:val="24"/>
          <w:szCs w:val="24"/>
        </w:rPr>
      </w:pPr>
    </w:p>
    <w:p w14:paraId="27C8A70A" w14:textId="77777777"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14:paraId="57BCEA8C"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1. See Notes 4 and 5 of the Notes on Use to Instruction 4:4.</w:t>
      </w:r>
    </w:p>
    <w:p w14:paraId="057ED461"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This instruction uses the statutory language of the Probate Code. </w:t>
      </w:r>
      <w:r w:rsidRPr="00E2145F">
        <w:rPr>
          <w:rFonts w:eastAsia="Times New Roman"/>
          <w:i/>
          <w:sz w:val="24"/>
          <w:szCs w:val="24"/>
        </w:rPr>
        <w:t>See, e.g.</w:t>
      </w:r>
      <w:r w:rsidRPr="00E2145F">
        <w:rPr>
          <w:rFonts w:eastAsia="Times New Roman"/>
          <w:sz w:val="24"/>
          <w:szCs w:val="24"/>
        </w:rPr>
        <w:t>, § 15-12-407, C.R.S. In appropriate cases, for example, when more than one instrument is in controversy, a special verdict form may be used or special interrogatories may be submitted to the jury with this instruction pursuant to C.R.C.P. 49.</w:t>
      </w:r>
    </w:p>
    <w:p w14:paraId="6DA646B5" w14:textId="77777777" w:rsidR="00E2145F" w:rsidRPr="0054263B" w:rsidRDefault="00E2145F" w:rsidP="00E2145F">
      <w:pPr>
        <w:keepNext/>
        <w:spacing w:after="240"/>
        <w:jc w:val="center"/>
        <w:rPr>
          <w:rFonts w:eastAsia="Times New Roman"/>
          <w:b/>
          <w:sz w:val="24"/>
          <w:szCs w:val="24"/>
        </w:rPr>
      </w:pPr>
      <w:r>
        <w:rPr>
          <w:rFonts w:eastAsia="Times New Roman"/>
          <w:b/>
          <w:sz w:val="24"/>
          <w:szCs w:val="24"/>
        </w:rPr>
        <w:lastRenderedPageBreak/>
        <w:t>Source and Authority</w:t>
      </w:r>
    </w:p>
    <w:p w14:paraId="1EF373CF" w14:textId="77777777" w:rsidR="00E2145F" w:rsidRDefault="00E2145F" w:rsidP="00E2145F">
      <w:pPr>
        <w:spacing w:after="240"/>
        <w:ind w:firstLine="720"/>
        <w:rPr>
          <w:rFonts w:eastAsia="Times New Roman"/>
          <w:sz w:val="24"/>
          <w:szCs w:val="24"/>
        </w:rPr>
      </w:pPr>
      <w:r w:rsidRPr="00E2145F">
        <w:rPr>
          <w:rFonts w:eastAsia="Times New Roman"/>
          <w:sz w:val="24"/>
          <w:szCs w:val="24"/>
        </w:rPr>
        <w:t xml:space="preserve">This instruction is supported by section 15-12-407.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Irwin v. Robinson</w:t>
      </w:r>
      <w:r w:rsidRPr="00E2145F">
        <w:rPr>
          <w:rFonts w:eastAsia="Times New Roman"/>
          <w:sz w:val="24"/>
          <w:szCs w:val="24"/>
        </w:rPr>
        <w:t>, 143 Colo. 336, 355 P.2d 108 (1960), noting that the caption on this form is the proper caption to be used in a case involving a contest over the probate of a will.</w:t>
      </w:r>
    </w:p>
    <w:p w14:paraId="7CAE8EF5" w14:textId="77777777" w:rsidR="00E2145F" w:rsidRDefault="00E2145F">
      <w:pPr>
        <w:rPr>
          <w:rFonts w:eastAsia="Times New Roman"/>
          <w:sz w:val="24"/>
          <w:szCs w:val="24"/>
        </w:rPr>
      </w:pPr>
      <w:r>
        <w:rPr>
          <w:rFonts w:eastAsia="Times New Roman"/>
          <w:sz w:val="24"/>
          <w:szCs w:val="24"/>
        </w:rPr>
        <w:br w:type="page"/>
      </w:r>
    </w:p>
    <w:p w14:paraId="4FAF4723" w14:textId="77777777" w:rsidR="00E2145F" w:rsidRDefault="00E2145F" w:rsidP="00E2145F">
      <w:pPr>
        <w:spacing w:after="240"/>
        <w:ind w:left="720" w:hanging="720"/>
        <w:rPr>
          <w:rFonts w:ascii="Times New Roman Bold" w:eastAsia="Times New Roman" w:hAnsi="Times New Roman Bold"/>
          <w:b/>
          <w:caps/>
          <w:sz w:val="24"/>
          <w:szCs w:val="24"/>
        </w:rPr>
      </w:pPr>
      <w:bookmarkStart w:id="34" w:name="a34_21"/>
      <w:bookmarkEnd w:id="34"/>
      <w:r w:rsidRPr="00E2145F">
        <w:rPr>
          <w:rFonts w:eastAsia="Times New Roman"/>
          <w:b/>
          <w:sz w:val="24"/>
          <w:szCs w:val="24"/>
        </w:rPr>
        <w:lastRenderedPageBreak/>
        <w:t xml:space="preserve">34:21 </w:t>
      </w:r>
      <w:r w:rsidRPr="00E2145F">
        <w:rPr>
          <w:rFonts w:eastAsia="Times New Roman"/>
          <w:b/>
          <w:sz w:val="24"/>
          <w:szCs w:val="24"/>
        </w:rPr>
        <w:tab/>
      </w:r>
      <w:r w:rsidRPr="00E2145F">
        <w:rPr>
          <w:rFonts w:ascii="Times New Roman Bold" w:eastAsia="Times New Roman" w:hAnsi="Times New Roman Bold"/>
          <w:b/>
          <w:caps/>
          <w:sz w:val="24"/>
          <w:szCs w:val="24"/>
        </w:rPr>
        <w:t>Verdict Form for Contestant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B7852" w:rsidRPr="00B97C9F" w14:paraId="6E071AFD" w14:textId="77777777" w:rsidTr="002600A0">
        <w:trPr>
          <w:trHeight w:val="4580"/>
        </w:trPr>
        <w:tc>
          <w:tcPr>
            <w:tcW w:w="6460" w:type="dxa"/>
          </w:tcPr>
          <w:p w14:paraId="0EA1F5E5" w14:textId="77777777" w:rsidR="00EB7852" w:rsidRPr="00B97C9F" w:rsidRDefault="00EB7852" w:rsidP="002600A0">
            <w:pPr>
              <w:jc w:val="both"/>
              <w:rPr>
                <w:sz w:val="24"/>
                <w:szCs w:val="24"/>
              </w:rPr>
            </w:pPr>
            <w:r w:rsidRPr="00B97C9F">
              <w:rPr>
                <w:noProof/>
                <w:sz w:val="24"/>
                <w:szCs w:val="24"/>
              </w:rPr>
              <mc:AlternateContent>
                <mc:Choice Requires="wpg">
                  <w:drawing>
                    <wp:anchor distT="0" distB="0" distL="114300" distR="114300" simplePos="0" relativeHeight="251658242" behindDoc="0" locked="0" layoutInCell="0" allowOverlap="1" wp14:anchorId="72D123CA" wp14:editId="5C56DF49">
                      <wp:simplePos x="0" y="0"/>
                      <wp:positionH relativeFrom="column">
                        <wp:posOffset>4297680</wp:posOffset>
                      </wp:positionH>
                      <wp:positionV relativeFrom="paragraph">
                        <wp:posOffset>1645920</wp:posOffset>
                      </wp:positionV>
                      <wp:extent cx="1737360" cy="91440"/>
                      <wp:effectExtent l="0" t="0" r="0" b="0"/>
                      <wp:wrapNone/>
                      <wp:docPr id="4707984" name="Group 4707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219563361"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46269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FA0A0F" id="Group 4707984" o:spid="_x0000_s1026" style="position:absolute;margin-left:338.4pt;margin-top:129.6pt;width:136.8pt;height:7.2pt;z-index:25165824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MxFrV2oCAADq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58243" behindDoc="0" locked="0" layoutInCell="0" allowOverlap="1" wp14:anchorId="0BC0EABC" wp14:editId="02F9E167">
                      <wp:simplePos x="0" y="0"/>
                      <wp:positionH relativeFrom="column">
                        <wp:posOffset>4114800</wp:posOffset>
                      </wp:positionH>
                      <wp:positionV relativeFrom="paragraph">
                        <wp:posOffset>1828800</wp:posOffset>
                      </wp:positionV>
                      <wp:extent cx="2286000" cy="0"/>
                      <wp:effectExtent l="0" t="0" r="0" b="0"/>
                      <wp:wrapNone/>
                      <wp:docPr id="1544021897" name="Straight Connector 154402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4737" id="Straight Connector 154402189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7662FB66" w14:textId="77777777" w:rsidR="00EB7852" w:rsidRPr="00B97C9F" w:rsidRDefault="00EB7852" w:rsidP="002600A0">
            <w:pPr>
              <w:jc w:val="both"/>
              <w:rPr>
                <w:sz w:val="24"/>
                <w:szCs w:val="24"/>
              </w:rPr>
            </w:pPr>
          </w:p>
          <w:p w14:paraId="4E537483" w14:textId="77777777" w:rsidR="00EB7852" w:rsidRPr="00B97C9F" w:rsidRDefault="00EB7852" w:rsidP="002600A0">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72A99430" w14:textId="77777777" w:rsidR="00EB7852" w:rsidRPr="00B97C9F" w:rsidRDefault="00EB7852" w:rsidP="002600A0">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EA6E407" w14:textId="77777777" w:rsidR="00EB7852" w:rsidRPr="00B97C9F" w:rsidRDefault="00EB7852" w:rsidP="002600A0">
            <w:pPr>
              <w:pBdr>
                <w:bottom w:val="single" w:sz="4" w:space="0"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86E4A5" w14:textId="77777777" w:rsidR="00EB7852" w:rsidRPr="00B97C9F" w:rsidRDefault="00EB7852" w:rsidP="002600A0">
            <w:pPr>
              <w:pBdr>
                <w:bottom w:val="single" w:sz="4" w:space="0"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8FE4A69" w14:textId="77777777" w:rsidR="00EB7852" w:rsidRPr="00B97C9F" w:rsidRDefault="00EB7852" w:rsidP="002600A0">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E796807" w14:textId="77777777" w:rsidR="00EB7852" w:rsidRPr="00B97C9F" w:rsidRDefault="00EB7852" w:rsidP="002600A0">
            <w:pPr>
              <w:jc w:val="both"/>
              <w:rPr>
                <w:b/>
                <w:sz w:val="24"/>
                <w:szCs w:val="24"/>
              </w:rPr>
            </w:pPr>
          </w:p>
          <w:p w14:paraId="62988BC3" w14:textId="77777777" w:rsidR="00EB7852" w:rsidRPr="00B97C9F" w:rsidRDefault="00EB7852" w:rsidP="002600A0">
            <w:pPr>
              <w:jc w:val="both"/>
              <w:rPr>
                <w:b/>
                <w:sz w:val="24"/>
                <w:szCs w:val="24"/>
              </w:rPr>
            </w:pPr>
          </w:p>
          <w:p w14:paraId="1136B306" w14:textId="77777777" w:rsidR="00EB7852" w:rsidRPr="00B97C9F" w:rsidRDefault="00EB7852" w:rsidP="002600A0">
            <w:pPr>
              <w:jc w:val="both"/>
              <w:rPr>
                <w:b/>
                <w:sz w:val="24"/>
                <w:szCs w:val="24"/>
              </w:rPr>
            </w:pPr>
          </w:p>
          <w:p w14:paraId="7A7EB854" w14:textId="77777777" w:rsidR="00EB7852" w:rsidRPr="00B97C9F" w:rsidRDefault="00EB7852" w:rsidP="002600A0">
            <w:pPr>
              <w:jc w:val="both"/>
              <w:rPr>
                <w:b/>
                <w:sz w:val="24"/>
                <w:szCs w:val="24"/>
              </w:rPr>
            </w:pPr>
          </w:p>
          <w:p w14:paraId="6A7275D5" w14:textId="77777777" w:rsidR="00EB7852" w:rsidRPr="00B97C9F" w:rsidRDefault="00EB7852" w:rsidP="002600A0">
            <w:pPr>
              <w:jc w:val="both"/>
              <w:rPr>
                <w:b/>
                <w:sz w:val="24"/>
                <w:szCs w:val="24"/>
              </w:rPr>
            </w:pPr>
          </w:p>
          <w:p w14:paraId="441F6E61" w14:textId="77777777" w:rsidR="00EB7852" w:rsidRPr="00B97C9F" w:rsidRDefault="00EB7852" w:rsidP="002600A0">
            <w:pPr>
              <w:jc w:val="both"/>
              <w:rPr>
                <w:b/>
                <w:sz w:val="24"/>
                <w:szCs w:val="24"/>
              </w:rPr>
            </w:pPr>
          </w:p>
        </w:tc>
        <w:tc>
          <w:tcPr>
            <w:tcW w:w="3757" w:type="dxa"/>
            <w:tcBorders>
              <w:top w:val="single" w:sz="4" w:space="0" w:color="auto"/>
            </w:tcBorders>
          </w:tcPr>
          <w:p w14:paraId="04DA5EB3" w14:textId="77777777" w:rsidR="00EB7852" w:rsidRPr="00B97C9F" w:rsidRDefault="00EB7852" w:rsidP="002600A0">
            <w:pPr>
              <w:jc w:val="center"/>
              <w:rPr>
                <w:sz w:val="24"/>
                <w:szCs w:val="24"/>
              </w:rPr>
            </w:pPr>
          </w:p>
          <w:p w14:paraId="486FBC3D" w14:textId="77777777" w:rsidR="00EB7852" w:rsidRPr="00B97C9F" w:rsidRDefault="00EB7852" w:rsidP="002600A0">
            <w:pPr>
              <w:jc w:val="center"/>
              <w:rPr>
                <w:sz w:val="24"/>
                <w:szCs w:val="24"/>
              </w:rPr>
            </w:pPr>
          </w:p>
          <w:p w14:paraId="01954761" w14:textId="77777777" w:rsidR="00EB7852" w:rsidRPr="00B97C9F" w:rsidRDefault="00EB7852" w:rsidP="002600A0">
            <w:pPr>
              <w:jc w:val="center"/>
              <w:rPr>
                <w:sz w:val="24"/>
                <w:szCs w:val="24"/>
              </w:rPr>
            </w:pPr>
          </w:p>
          <w:p w14:paraId="56E01832" w14:textId="77777777" w:rsidR="00EB7852" w:rsidRPr="00B97C9F" w:rsidRDefault="00EB7852" w:rsidP="002600A0">
            <w:pPr>
              <w:jc w:val="center"/>
              <w:rPr>
                <w:sz w:val="24"/>
                <w:szCs w:val="24"/>
              </w:rPr>
            </w:pPr>
          </w:p>
          <w:p w14:paraId="6E0D2CB3" w14:textId="77777777" w:rsidR="00EB7852" w:rsidRPr="00B97C9F" w:rsidRDefault="00EB7852" w:rsidP="002600A0">
            <w:pPr>
              <w:jc w:val="center"/>
              <w:rPr>
                <w:sz w:val="24"/>
                <w:szCs w:val="24"/>
              </w:rPr>
            </w:pPr>
          </w:p>
          <w:p w14:paraId="0A78C1F9" w14:textId="77777777" w:rsidR="00EB7852" w:rsidRPr="00B97C9F" w:rsidRDefault="00EB7852" w:rsidP="002600A0">
            <w:pPr>
              <w:jc w:val="center"/>
              <w:rPr>
                <w:sz w:val="24"/>
                <w:szCs w:val="24"/>
              </w:rPr>
            </w:pPr>
          </w:p>
          <w:p w14:paraId="55B61325" w14:textId="77777777" w:rsidR="00EB7852" w:rsidRPr="00B97C9F" w:rsidRDefault="00EB7852" w:rsidP="002600A0">
            <w:pPr>
              <w:pStyle w:val="Heading2"/>
              <w:spacing w:before="26"/>
              <w:rPr>
                <w:rFonts w:ascii="Times New Roman" w:hAnsi="Times New Roman" w:cs="Times New Roman"/>
                <w:sz w:val="24"/>
                <w:szCs w:val="24"/>
              </w:rPr>
            </w:pPr>
            <w:r w:rsidRPr="00B97C9F">
              <w:rPr>
                <w:rFonts w:ascii="Times New Roman" w:hAnsi="Times New Roman" w:cs="Times New Roman"/>
                <w:sz w:val="24"/>
                <w:szCs w:val="24"/>
              </w:rPr>
              <w:t xml:space="preserve"> </w:t>
            </w:r>
          </w:p>
          <w:p w14:paraId="45095A4B" w14:textId="77777777" w:rsidR="00EB7852" w:rsidRPr="00B97C9F" w:rsidRDefault="00EB7852" w:rsidP="002600A0">
            <w:pPr>
              <w:pStyle w:val="Heading2"/>
              <w:spacing w:before="26"/>
              <w:rPr>
                <w:rFonts w:ascii="Times New Roman" w:hAnsi="Times New Roman" w:cs="Times New Roman"/>
                <w:sz w:val="24"/>
                <w:szCs w:val="24"/>
              </w:rPr>
            </w:pPr>
          </w:p>
          <w:p w14:paraId="12D9BFA6" w14:textId="77777777" w:rsidR="00EB7852" w:rsidRPr="00B97C9F" w:rsidRDefault="00EB7852" w:rsidP="002600A0">
            <w:pPr>
              <w:pStyle w:val="Heading2"/>
              <w:spacing w:before="26"/>
              <w:rPr>
                <w:rFonts w:ascii="Times New Roman" w:hAnsi="Times New Roman" w:cs="Times New Roman"/>
                <w:sz w:val="24"/>
                <w:szCs w:val="24"/>
              </w:rPr>
            </w:pPr>
          </w:p>
          <w:p w14:paraId="4699F2F6" w14:textId="77777777" w:rsidR="00EB7852" w:rsidRPr="00886487" w:rsidRDefault="00EB7852" w:rsidP="002600A0">
            <w:pPr>
              <w:pStyle w:val="Heading2"/>
              <w:spacing w:before="26"/>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1B0A8EED" w14:textId="77777777" w:rsidR="00EB7852" w:rsidRPr="00886487" w:rsidRDefault="00EB7852" w:rsidP="002600A0">
            <w:pPr>
              <w:pStyle w:val="Heading2"/>
              <w:spacing w:before="26"/>
              <w:rPr>
                <w:rFonts w:ascii="Times New Roman" w:hAnsi="Times New Roman" w:cs="Times New Roman"/>
                <w:color w:val="000000" w:themeColor="text1"/>
                <w:sz w:val="24"/>
                <w:szCs w:val="24"/>
              </w:rPr>
            </w:pPr>
          </w:p>
          <w:p w14:paraId="7F19DF7A" w14:textId="77777777" w:rsidR="00EB7852" w:rsidRPr="00B97C9F" w:rsidRDefault="00EB7852" w:rsidP="002600A0">
            <w:pPr>
              <w:pStyle w:val="Heading2"/>
              <w:spacing w:before="26"/>
              <w:rPr>
                <w:rFonts w:ascii="Times New Roman" w:hAnsi="Times New Roman" w:cs="Times New Roman"/>
                <w:sz w:val="24"/>
                <w:szCs w:val="24"/>
              </w:rPr>
            </w:pPr>
          </w:p>
          <w:p w14:paraId="1E9F532B" w14:textId="77777777" w:rsidR="00EB7852" w:rsidRPr="00B97C9F" w:rsidRDefault="00EB7852" w:rsidP="002600A0">
            <w:pPr>
              <w:rPr>
                <w:sz w:val="24"/>
                <w:szCs w:val="24"/>
              </w:rPr>
            </w:pPr>
          </w:p>
          <w:p w14:paraId="6146583C" w14:textId="77777777" w:rsidR="00EB7852" w:rsidRPr="00B97C9F" w:rsidRDefault="00EB7852" w:rsidP="002600A0">
            <w:pPr>
              <w:rPr>
                <w:sz w:val="24"/>
                <w:szCs w:val="24"/>
              </w:rPr>
            </w:pPr>
            <w:r w:rsidRPr="00B97C9F">
              <w:rPr>
                <w:sz w:val="24"/>
                <w:szCs w:val="24"/>
              </w:rPr>
              <w:t>Case Number:</w:t>
            </w:r>
          </w:p>
          <w:p w14:paraId="62B3D7CD" w14:textId="77777777" w:rsidR="00EB7852" w:rsidRPr="00B97C9F" w:rsidRDefault="00EB7852" w:rsidP="002600A0">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86AC3CB" w14:textId="77777777" w:rsidR="00EB7852" w:rsidRPr="00B97C9F" w:rsidRDefault="00EB7852" w:rsidP="002600A0">
            <w:pPr>
              <w:rPr>
                <w:sz w:val="24"/>
                <w:szCs w:val="24"/>
              </w:rPr>
            </w:pPr>
          </w:p>
          <w:p w14:paraId="22E600F0" w14:textId="77777777" w:rsidR="00EB7852" w:rsidRPr="00B97C9F" w:rsidRDefault="00EB7852" w:rsidP="002600A0">
            <w:pPr>
              <w:rPr>
                <w:sz w:val="24"/>
                <w:szCs w:val="24"/>
              </w:rPr>
            </w:pPr>
          </w:p>
          <w:p w14:paraId="6CBEC7E2" w14:textId="77777777" w:rsidR="00EB7852" w:rsidRPr="00B97C9F" w:rsidRDefault="00EB7852" w:rsidP="002600A0">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B7852" w:rsidRPr="00B97C9F" w14:paraId="51F30344" w14:textId="77777777" w:rsidTr="002600A0">
        <w:trPr>
          <w:trHeight w:val="287"/>
        </w:trPr>
        <w:tc>
          <w:tcPr>
            <w:tcW w:w="10217" w:type="dxa"/>
            <w:gridSpan w:val="2"/>
            <w:vAlign w:val="center"/>
          </w:tcPr>
          <w:p w14:paraId="21A35FB6" w14:textId="77777777" w:rsidR="00EB7852" w:rsidRDefault="00EB7852" w:rsidP="002600A0">
            <w:pPr>
              <w:pStyle w:val="Heading1"/>
              <w:spacing w:after="0"/>
            </w:pPr>
          </w:p>
          <w:p w14:paraId="139B9014" w14:textId="05ABBBBC" w:rsidR="00EB7852" w:rsidRPr="00B97C9F" w:rsidRDefault="00EB7852" w:rsidP="002600A0">
            <w:pPr>
              <w:pStyle w:val="Heading1"/>
              <w:spacing w:after="160"/>
            </w:pPr>
            <w:r>
              <w:t>VERDICT</w:t>
            </w:r>
          </w:p>
        </w:tc>
      </w:tr>
    </w:tbl>
    <w:p w14:paraId="0A3337B5" w14:textId="77777777" w:rsidR="00EB7852" w:rsidRPr="009E3DA4" w:rsidRDefault="00EB7852" w:rsidP="00E2145F">
      <w:pPr>
        <w:spacing w:after="240"/>
        <w:ind w:left="720" w:hanging="720"/>
        <w:rPr>
          <w:rFonts w:eastAsia="Times New Roman"/>
          <w:b/>
          <w:sz w:val="24"/>
          <w:szCs w:val="24"/>
        </w:rPr>
      </w:pPr>
    </w:p>
    <w:p w14:paraId="4C4F6F6A" w14:textId="77777777"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contestant, </w:t>
      </w:r>
      <w:r w:rsidRPr="00E2145F">
        <w:rPr>
          <w:rFonts w:eastAsia="Times New Roman"/>
          <w:i/>
          <w:sz w:val="24"/>
          <w:szCs w:val="24"/>
        </w:rPr>
        <w:t>(name)</w:t>
      </w:r>
      <w:r w:rsidRPr="00E2145F">
        <w:rPr>
          <w:rFonts w:eastAsia="Times New Roman"/>
          <w:b/>
          <w:sz w:val="24"/>
          <w:szCs w:val="24"/>
        </w:rPr>
        <w:t>.</w:t>
      </w:r>
    </w:p>
    <w:p w14:paraId="1E7216C4" w14:textId="77777777" w:rsidR="00E2145F" w:rsidRPr="00E2145F" w:rsidRDefault="00E2145F" w:rsidP="00E2145F">
      <w:pPr>
        <w:rPr>
          <w:rFonts w:eastAsia="Times New Roman"/>
          <w:b/>
          <w:sz w:val="24"/>
          <w:szCs w:val="24"/>
        </w:rPr>
      </w:pPr>
    </w:p>
    <w:p w14:paraId="19E02E34" w14:textId="77777777" w:rsidR="00E2145F" w:rsidRPr="00E2145F" w:rsidRDefault="00E2145F" w:rsidP="00E2145F">
      <w:pPr>
        <w:rPr>
          <w:rFonts w:eastAsia="Times New Roman"/>
          <w:b/>
          <w:sz w:val="24"/>
          <w:szCs w:val="24"/>
        </w:rPr>
      </w:pPr>
    </w:p>
    <w:p w14:paraId="485941EE"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2343146A" w14:textId="77777777"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14:paraId="5F72EEE3"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57436623" w14:textId="77777777" w:rsidR="00E2145F" w:rsidRPr="00E2145F" w:rsidRDefault="00E2145F" w:rsidP="00E2145F">
      <w:pPr>
        <w:rPr>
          <w:rFonts w:eastAsia="Times New Roman"/>
          <w:b/>
          <w:sz w:val="24"/>
          <w:szCs w:val="24"/>
        </w:rPr>
      </w:pPr>
    </w:p>
    <w:p w14:paraId="4FB2273A"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0097C619" w14:textId="77777777" w:rsidR="00E2145F" w:rsidRPr="00E2145F" w:rsidRDefault="00E2145F" w:rsidP="00E2145F">
      <w:pPr>
        <w:spacing w:after="240"/>
        <w:ind w:firstLine="720"/>
        <w:rPr>
          <w:rFonts w:eastAsia="Times New Roman"/>
          <w:sz w:val="24"/>
          <w:szCs w:val="24"/>
        </w:rPr>
      </w:pPr>
    </w:p>
    <w:p w14:paraId="59976161" w14:textId="77777777"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14:paraId="1F7FBE34"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Notes on Use to Instruction 34:20.</w:t>
      </w:r>
    </w:p>
    <w:p w14:paraId="02B0886B" w14:textId="77777777"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14:paraId="2E4942DC" w14:textId="38618498" w:rsidR="00C20F8A" w:rsidRPr="00E2145F" w:rsidRDefault="00E2145F" w:rsidP="00951579">
      <w:pPr>
        <w:spacing w:after="240"/>
        <w:ind w:firstLine="720"/>
        <w:rPr>
          <w:rFonts w:eastAsia="Times New Roman"/>
          <w:sz w:val="24"/>
          <w:szCs w:val="24"/>
        </w:rPr>
      </w:pPr>
      <w:r w:rsidRPr="00E2145F">
        <w:rPr>
          <w:rFonts w:eastAsia="Times New Roman"/>
          <w:sz w:val="24"/>
          <w:szCs w:val="24"/>
        </w:rPr>
        <w:t>See the Source and Authority to Instruction 34:20.</w:t>
      </w:r>
    </w:p>
    <w:sectPr w:rsidR="00C20F8A" w:rsidRPr="00E2145F" w:rsidSect="00DD4272">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8075" w14:textId="77777777" w:rsidR="0043190E" w:rsidRDefault="0043190E" w:rsidP="0054263B">
      <w:r>
        <w:separator/>
      </w:r>
    </w:p>
    <w:p w14:paraId="262FD6A8" w14:textId="77777777" w:rsidR="0043190E" w:rsidRDefault="0043190E"/>
  </w:endnote>
  <w:endnote w:type="continuationSeparator" w:id="0">
    <w:p w14:paraId="1047B507" w14:textId="77777777" w:rsidR="0043190E" w:rsidRDefault="0043190E" w:rsidP="0054263B">
      <w:r>
        <w:continuationSeparator/>
      </w:r>
    </w:p>
    <w:p w14:paraId="29F887B0" w14:textId="77777777" w:rsidR="0043190E" w:rsidRDefault="0043190E"/>
  </w:endnote>
  <w:endnote w:type="continuationNotice" w:id="1">
    <w:p w14:paraId="73685B11" w14:textId="77777777" w:rsidR="0043190E" w:rsidRDefault="00431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0DC399DE" w14:textId="77777777" w:rsidR="00D81D01" w:rsidRDefault="00D81D01">
        <w:pPr>
          <w:pStyle w:val="Footer"/>
          <w:jc w:val="center"/>
        </w:pPr>
        <w:r>
          <w:fldChar w:fldCharType="begin"/>
        </w:r>
        <w:r>
          <w:instrText xml:space="preserve"> PAGE   \* MERGEFORMAT </w:instrText>
        </w:r>
        <w:r>
          <w:fldChar w:fldCharType="separate"/>
        </w:r>
        <w:r w:rsidR="00E7215D">
          <w:rPr>
            <w:noProof/>
          </w:rPr>
          <w:t>36</w:t>
        </w:r>
        <w:r>
          <w:rPr>
            <w:noProof/>
          </w:rPr>
          <w:fldChar w:fldCharType="end"/>
        </w:r>
      </w:p>
    </w:sdtContent>
  </w:sdt>
  <w:p w14:paraId="23F29E82" w14:textId="77777777" w:rsidR="00D81D01" w:rsidRDefault="00D81D01">
    <w:pPr>
      <w:pStyle w:val="Footer"/>
    </w:pPr>
  </w:p>
  <w:p w14:paraId="2DB7B84B"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D249C" w14:textId="77777777" w:rsidR="0043190E" w:rsidRDefault="0043190E" w:rsidP="0054263B">
      <w:r>
        <w:separator/>
      </w:r>
    </w:p>
    <w:p w14:paraId="547267E9" w14:textId="77777777" w:rsidR="0043190E" w:rsidRDefault="0043190E"/>
  </w:footnote>
  <w:footnote w:type="continuationSeparator" w:id="0">
    <w:p w14:paraId="318621AA" w14:textId="77777777" w:rsidR="0043190E" w:rsidRDefault="0043190E" w:rsidP="0054263B">
      <w:r>
        <w:continuationSeparator/>
      </w:r>
    </w:p>
    <w:p w14:paraId="01C650E7" w14:textId="77777777" w:rsidR="0043190E" w:rsidRDefault="0043190E"/>
  </w:footnote>
  <w:footnote w:type="continuationNotice" w:id="1">
    <w:p w14:paraId="7C4B7190" w14:textId="77777777" w:rsidR="0043190E" w:rsidRDefault="00431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C7105"/>
    <w:multiLevelType w:val="hybridMultilevel"/>
    <w:tmpl w:val="BAE69710"/>
    <w:lvl w:ilvl="0" w:tplc="FFFFFFFF">
      <w:start w:val="1"/>
      <w:numFmt w:val="decimal"/>
      <w:lvlText w:val="%1."/>
      <w:lvlJc w:val="left"/>
      <w:pPr>
        <w:ind w:left="1060" w:hanging="240"/>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1910" w:hanging="240"/>
      </w:pPr>
      <w:rPr>
        <w:rFonts w:hint="default"/>
        <w:lang w:val="en-US" w:eastAsia="en-US" w:bidi="ar-SA"/>
      </w:rPr>
    </w:lvl>
    <w:lvl w:ilvl="2" w:tplc="FFFFFFFF">
      <w:numFmt w:val="bullet"/>
      <w:lvlText w:val="•"/>
      <w:lvlJc w:val="left"/>
      <w:pPr>
        <w:ind w:left="2760" w:hanging="240"/>
      </w:pPr>
      <w:rPr>
        <w:rFonts w:hint="default"/>
        <w:lang w:val="en-US" w:eastAsia="en-US" w:bidi="ar-SA"/>
      </w:rPr>
    </w:lvl>
    <w:lvl w:ilvl="3" w:tplc="FFFFFFFF">
      <w:numFmt w:val="bullet"/>
      <w:lvlText w:val="•"/>
      <w:lvlJc w:val="left"/>
      <w:pPr>
        <w:ind w:left="3610" w:hanging="240"/>
      </w:pPr>
      <w:rPr>
        <w:rFonts w:hint="default"/>
        <w:lang w:val="en-US" w:eastAsia="en-US" w:bidi="ar-SA"/>
      </w:rPr>
    </w:lvl>
    <w:lvl w:ilvl="4" w:tplc="FFFFFFFF">
      <w:numFmt w:val="bullet"/>
      <w:lvlText w:val="•"/>
      <w:lvlJc w:val="left"/>
      <w:pPr>
        <w:ind w:left="4460" w:hanging="240"/>
      </w:pPr>
      <w:rPr>
        <w:rFonts w:hint="default"/>
        <w:lang w:val="en-US" w:eastAsia="en-US" w:bidi="ar-SA"/>
      </w:rPr>
    </w:lvl>
    <w:lvl w:ilvl="5" w:tplc="FFFFFFFF">
      <w:numFmt w:val="bullet"/>
      <w:lvlText w:val="•"/>
      <w:lvlJc w:val="left"/>
      <w:pPr>
        <w:ind w:left="5310" w:hanging="240"/>
      </w:pPr>
      <w:rPr>
        <w:rFonts w:hint="default"/>
        <w:lang w:val="en-US" w:eastAsia="en-US" w:bidi="ar-SA"/>
      </w:rPr>
    </w:lvl>
    <w:lvl w:ilvl="6" w:tplc="FFFFFFFF">
      <w:numFmt w:val="bullet"/>
      <w:lvlText w:val="•"/>
      <w:lvlJc w:val="left"/>
      <w:pPr>
        <w:ind w:left="6160" w:hanging="240"/>
      </w:pPr>
      <w:rPr>
        <w:rFonts w:hint="default"/>
        <w:lang w:val="en-US" w:eastAsia="en-US" w:bidi="ar-SA"/>
      </w:rPr>
    </w:lvl>
    <w:lvl w:ilvl="7" w:tplc="FFFFFFFF">
      <w:numFmt w:val="bullet"/>
      <w:lvlText w:val="•"/>
      <w:lvlJc w:val="left"/>
      <w:pPr>
        <w:ind w:left="7010" w:hanging="240"/>
      </w:pPr>
      <w:rPr>
        <w:rFonts w:hint="default"/>
        <w:lang w:val="en-US" w:eastAsia="en-US" w:bidi="ar-SA"/>
      </w:rPr>
    </w:lvl>
    <w:lvl w:ilvl="8" w:tplc="FFFFFFFF">
      <w:numFmt w:val="bullet"/>
      <w:lvlText w:val="•"/>
      <w:lvlJc w:val="left"/>
      <w:pPr>
        <w:ind w:left="7860" w:hanging="240"/>
      </w:pPr>
      <w:rPr>
        <w:rFonts w:hint="default"/>
        <w:lang w:val="en-US" w:eastAsia="en-US" w:bidi="ar-SA"/>
      </w:rPr>
    </w:lvl>
  </w:abstractNum>
  <w:abstractNum w:abstractNumId="2" w15:restartNumberingAfterBreak="0">
    <w:nsid w:val="08031843"/>
    <w:multiLevelType w:val="hybridMultilevel"/>
    <w:tmpl w:val="F5C87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162B"/>
    <w:multiLevelType w:val="hybridMultilevel"/>
    <w:tmpl w:val="62AC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6305B"/>
    <w:multiLevelType w:val="hybridMultilevel"/>
    <w:tmpl w:val="6FA0BA10"/>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1335F1"/>
    <w:multiLevelType w:val="hybridMultilevel"/>
    <w:tmpl w:val="9A706520"/>
    <w:lvl w:ilvl="0" w:tplc="3812538A">
      <w:start w:val="1"/>
      <w:numFmt w:val="decimal"/>
      <w:lvlText w:val="%1."/>
      <w:lvlJc w:val="left"/>
      <w:pPr>
        <w:ind w:left="720" w:hanging="360"/>
      </w:pPr>
      <w:rPr>
        <w:rFonts w:hint="default"/>
        <w:b w:val="0"/>
        <w:bCs w:val="0"/>
      </w:rPr>
    </w:lvl>
    <w:lvl w:ilvl="1" w:tplc="D14830B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43015"/>
    <w:multiLevelType w:val="hybridMultilevel"/>
    <w:tmpl w:val="A73E6A80"/>
    <w:lvl w:ilvl="0" w:tplc="F822C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669AB"/>
    <w:multiLevelType w:val="hybridMultilevel"/>
    <w:tmpl w:val="3348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C2A14"/>
    <w:multiLevelType w:val="hybridMultilevel"/>
    <w:tmpl w:val="8716B956"/>
    <w:lvl w:ilvl="0" w:tplc="9F10B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A02A0E"/>
    <w:multiLevelType w:val="hybridMultilevel"/>
    <w:tmpl w:val="6756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17D4B"/>
    <w:multiLevelType w:val="hybridMultilevel"/>
    <w:tmpl w:val="BD829C54"/>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62A6A1E"/>
    <w:multiLevelType w:val="hybridMultilevel"/>
    <w:tmpl w:val="616E2C00"/>
    <w:lvl w:ilvl="0" w:tplc="865AA9F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16A2D"/>
    <w:multiLevelType w:val="hybridMultilevel"/>
    <w:tmpl w:val="73A4BA2C"/>
    <w:lvl w:ilvl="0" w:tplc="BFB296E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2F37CA"/>
    <w:multiLevelType w:val="hybridMultilevel"/>
    <w:tmpl w:val="B55C2D04"/>
    <w:lvl w:ilvl="0" w:tplc="723282B4">
      <w:start w:val="1"/>
      <w:numFmt w:val="decimal"/>
      <w:lvlText w:val="%1."/>
      <w:lvlJc w:val="left"/>
      <w:pPr>
        <w:ind w:left="720" w:hanging="360"/>
      </w:pPr>
      <w:rPr>
        <w:rFonts w:ascii="Times New Roman" w:eastAsia="Calibri" w:hAnsi="Times New Roman" w:cs="Times New Roman"/>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61BF9"/>
    <w:multiLevelType w:val="hybridMultilevel"/>
    <w:tmpl w:val="D0BE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5027B"/>
    <w:multiLevelType w:val="multilevel"/>
    <w:tmpl w:val="6FA0BA10"/>
    <w:styleLink w:val="CurrentList1"/>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AE63AD8"/>
    <w:multiLevelType w:val="hybridMultilevel"/>
    <w:tmpl w:val="EE4EA41E"/>
    <w:lvl w:ilvl="0" w:tplc="0409000F">
      <w:start w:val="1"/>
      <w:numFmt w:val="decimal"/>
      <w:lvlText w:val="%1."/>
      <w:lvlJc w:val="left"/>
      <w:pPr>
        <w:ind w:left="720" w:hanging="360"/>
      </w:pPr>
    </w:lvl>
    <w:lvl w:ilvl="1" w:tplc="4BF4383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3802A3"/>
    <w:multiLevelType w:val="hybridMultilevel"/>
    <w:tmpl w:val="D574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02CDE"/>
    <w:multiLevelType w:val="hybridMultilevel"/>
    <w:tmpl w:val="8D3A5F66"/>
    <w:lvl w:ilvl="0" w:tplc="85684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1499194">
    <w:abstractNumId w:val="0"/>
  </w:num>
  <w:num w:numId="2" w16cid:durableId="637296120">
    <w:abstractNumId w:val="9"/>
  </w:num>
  <w:num w:numId="3" w16cid:durableId="1151095203">
    <w:abstractNumId w:val="10"/>
  </w:num>
  <w:num w:numId="4" w16cid:durableId="2077783017">
    <w:abstractNumId w:val="15"/>
  </w:num>
  <w:num w:numId="5" w16cid:durableId="1277834562">
    <w:abstractNumId w:val="13"/>
  </w:num>
  <w:num w:numId="6" w16cid:durableId="1404335637">
    <w:abstractNumId w:val="19"/>
  </w:num>
  <w:num w:numId="7" w16cid:durableId="1795322590">
    <w:abstractNumId w:val="12"/>
  </w:num>
  <w:num w:numId="8" w16cid:durableId="1609660872">
    <w:abstractNumId w:val="4"/>
  </w:num>
  <w:num w:numId="9" w16cid:durableId="1231036141">
    <w:abstractNumId w:val="17"/>
  </w:num>
  <w:num w:numId="10" w16cid:durableId="1675186810">
    <w:abstractNumId w:val="14"/>
  </w:num>
  <w:num w:numId="11" w16cid:durableId="1238630646">
    <w:abstractNumId w:val="2"/>
  </w:num>
  <w:num w:numId="12" w16cid:durableId="1445687872">
    <w:abstractNumId w:val="7"/>
  </w:num>
  <w:num w:numId="13" w16cid:durableId="717125414">
    <w:abstractNumId w:val="3"/>
  </w:num>
  <w:num w:numId="14" w16cid:durableId="421685089">
    <w:abstractNumId w:val="1"/>
  </w:num>
  <w:num w:numId="15" w16cid:durableId="198397649">
    <w:abstractNumId w:val="11"/>
  </w:num>
  <w:num w:numId="16" w16cid:durableId="1704402836">
    <w:abstractNumId w:val="6"/>
  </w:num>
  <w:num w:numId="17" w16cid:durableId="254023471">
    <w:abstractNumId w:val="5"/>
  </w:num>
  <w:num w:numId="18" w16cid:durableId="1158886872">
    <w:abstractNumId w:val="8"/>
  </w:num>
  <w:num w:numId="19" w16cid:durableId="828521437">
    <w:abstractNumId w:val="20"/>
  </w:num>
  <w:num w:numId="20" w16cid:durableId="1967275916">
    <w:abstractNumId w:val="18"/>
  </w:num>
  <w:num w:numId="21" w16cid:durableId="2086414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317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562"/>
    <w:rsid w:val="0000321C"/>
    <w:rsid w:val="00004B85"/>
    <w:rsid w:val="00011DB6"/>
    <w:rsid w:val="0001364B"/>
    <w:rsid w:val="000152DA"/>
    <w:rsid w:val="000155C7"/>
    <w:rsid w:val="000207FA"/>
    <w:rsid w:val="00020CF1"/>
    <w:rsid w:val="00023757"/>
    <w:rsid w:val="000242EC"/>
    <w:rsid w:val="00030E23"/>
    <w:rsid w:val="000347F3"/>
    <w:rsid w:val="000368E5"/>
    <w:rsid w:val="00037111"/>
    <w:rsid w:val="00040971"/>
    <w:rsid w:val="000471EB"/>
    <w:rsid w:val="00047712"/>
    <w:rsid w:val="00053911"/>
    <w:rsid w:val="0006281F"/>
    <w:rsid w:val="0006367C"/>
    <w:rsid w:val="00067485"/>
    <w:rsid w:val="00074558"/>
    <w:rsid w:val="00074E3E"/>
    <w:rsid w:val="00075911"/>
    <w:rsid w:val="00081B09"/>
    <w:rsid w:val="000824C8"/>
    <w:rsid w:val="00083BBC"/>
    <w:rsid w:val="00085495"/>
    <w:rsid w:val="00085D61"/>
    <w:rsid w:val="00091088"/>
    <w:rsid w:val="000921F1"/>
    <w:rsid w:val="0009462F"/>
    <w:rsid w:val="000962C8"/>
    <w:rsid w:val="00097B3D"/>
    <w:rsid w:val="000A040F"/>
    <w:rsid w:val="000A4BB8"/>
    <w:rsid w:val="000A5F91"/>
    <w:rsid w:val="000B1B7A"/>
    <w:rsid w:val="000B5A9E"/>
    <w:rsid w:val="000C1714"/>
    <w:rsid w:val="000C204E"/>
    <w:rsid w:val="000C2F3D"/>
    <w:rsid w:val="000C4F59"/>
    <w:rsid w:val="000C503A"/>
    <w:rsid w:val="000C6F97"/>
    <w:rsid w:val="000D4856"/>
    <w:rsid w:val="000D7F91"/>
    <w:rsid w:val="000E187F"/>
    <w:rsid w:val="000E2A46"/>
    <w:rsid w:val="000E72CD"/>
    <w:rsid w:val="000F205C"/>
    <w:rsid w:val="000F431E"/>
    <w:rsid w:val="000F58AE"/>
    <w:rsid w:val="00100636"/>
    <w:rsid w:val="00101A69"/>
    <w:rsid w:val="0010214A"/>
    <w:rsid w:val="001117D9"/>
    <w:rsid w:val="00112C8E"/>
    <w:rsid w:val="00112FF9"/>
    <w:rsid w:val="00120420"/>
    <w:rsid w:val="0012338A"/>
    <w:rsid w:val="00125209"/>
    <w:rsid w:val="001261D8"/>
    <w:rsid w:val="00126B7A"/>
    <w:rsid w:val="001325AD"/>
    <w:rsid w:val="001330C4"/>
    <w:rsid w:val="00133112"/>
    <w:rsid w:val="00133697"/>
    <w:rsid w:val="00133A03"/>
    <w:rsid w:val="00135E14"/>
    <w:rsid w:val="001429E4"/>
    <w:rsid w:val="00144917"/>
    <w:rsid w:val="00150FA4"/>
    <w:rsid w:val="00151659"/>
    <w:rsid w:val="00151CC3"/>
    <w:rsid w:val="001608FF"/>
    <w:rsid w:val="0016411B"/>
    <w:rsid w:val="0016520C"/>
    <w:rsid w:val="00165B66"/>
    <w:rsid w:val="001671A9"/>
    <w:rsid w:val="00172259"/>
    <w:rsid w:val="00172674"/>
    <w:rsid w:val="00172700"/>
    <w:rsid w:val="00172753"/>
    <w:rsid w:val="00174038"/>
    <w:rsid w:val="00174BB5"/>
    <w:rsid w:val="00180579"/>
    <w:rsid w:val="0018388B"/>
    <w:rsid w:val="00184ADB"/>
    <w:rsid w:val="00187B7F"/>
    <w:rsid w:val="001903CB"/>
    <w:rsid w:val="00190BD9"/>
    <w:rsid w:val="00190CFA"/>
    <w:rsid w:val="001913B1"/>
    <w:rsid w:val="00191498"/>
    <w:rsid w:val="00191C86"/>
    <w:rsid w:val="0019270C"/>
    <w:rsid w:val="0019496D"/>
    <w:rsid w:val="001A1479"/>
    <w:rsid w:val="001A2648"/>
    <w:rsid w:val="001B01F2"/>
    <w:rsid w:val="001B37F7"/>
    <w:rsid w:val="001C217C"/>
    <w:rsid w:val="001C5646"/>
    <w:rsid w:val="001C590C"/>
    <w:rsid w:val="001D3621"/>
    <w:rsid w:val="001D69CC"/>
    <w:rsid w:val="001E0F3B"/>
    <w:rsid w:val="001E639B"/>
    <w:rsid w:val="001E68D3"/>
    <w:rsid w:val="001F0193"/>
    <w:rsid w:val="001F19AC"/>
    <w:rsid w:val="001F5448"/>
    <w:rsid w:val="00200BA5"/>
    <w:rsid w:val="00202B81"/>
    <w:rsid w:val="00205E29"/>
    <w:rsid w:val="002065D8"/>
    <w:rsid w:val="00206AB3"/>
    <w:rsid w:val="0021368F"/>
    <w:rsid w:val="002139DC"/>
    <w:rsid w:val="0021730E"/>
    <w:rsid w:val="00217435"/>
    <w:rsid w:val="00220B91"/>
    <w:rsid w:val="0022134E"/>
    <w:rsid w:val="00221AC5"/>
    <w:rsid w:val="00223286"/>
    <w:rsid w:val="0022377E"/>
    <w:rsid w:val="00227415"/>
    <w:rsid w:val="00227D3A"/>
    <w:rsid w:val="00230941"/>
    <w:rsid w:val="0023758C"/>
    <w:rsid w:val="0024062B"/>
    <w:rsid w:val="0024597C"/>
    <w:rsid w:val="002547C3"/>
    <w:rsid w:val="002572BD"/>
    <w:rsid w:val="00257403"/>
    <w:rsid w:val="002600A0"/>
    <w:rsid w:val="002610E9"/>
    <w:rsid w:val="00264385"/>
    <w:rsid w:val="002647B9"/>
    <w:rsid w:val="002654B4"/>
    <w:rsid w:val="002655FC"/>
    <w:rsid w:val="0026610A"/>
    <w:rsid w:val="00266280"/>
    <w:rsid w:val="00267805"/>
    <w:rsid w:val="00273777"/>
    <w:rsid w:val="00275EA8"/>
    <w:rsid w:val="00277853"/>
    <w:rsid w:val="002840A5"/>
    <w:rsid w:val="00285CB9"/>
    <w:rsid w:val="0028751D"/>
    <w:rsid w:val="00290935"/>
    <w:rsid w:val="00293E0D"/>
    <w:rsid w:val="00293F7E"/>
    <w:rsid w:val="00295288"/>
    <w:rsid w:val="002959C1"/>
    <w:rsid w:val="002A1984"/>
    <w:rsid w:val="002A23B0"/>
    <w:rsid w:val="002A5296"/>
    <w:rsid w:val="002A6EC7"/>
    <w:rsid w:val="002B354E"/>
    <w:rsid w:val="002B53E8"/>
    <w:rsid w:val="002B56CF"/>
    <w:rsid w:val="002B57DE"/>
    <w:rsid w:val="002B5FCF"/>
    <w:rsid w:val="002C1AFE"/>
    <w:rsid w:val="002C7718"/>
    <w:rsid w:val="002D0987"/>
    <w:rsid w:val="002D0BF9"/>
    <w:rsid w:val="002D163D"/>
    <w:rsid w:val="002D7646"/>
    <w:rsid w:val="002E0334"/>
    <w:rsid w:val="002E0970"/>
    <w:rsid w:val="002E1198"/>
    <w:rsid w:val="002E1D1B"/>
    <w:rsid w:val="002E562A"/>
    <w:rsid w:val="002E5F20"/>
    <w:rsid w:val="002F0482"/>
    <w:rsid w:val="002F0E75"/>
    <w:rsid w:val="002F48D6"/>
    <w:rsid w:val="002F5B7D"/>
    <w:rsid w:val="00304398"/>
    <w:rsid w:val="00305908"/>
    <w:rsid w:val="0030722C"/>
    <w:rsid w:val="003126DB"/>
    <w:rsid w:val="003127C0"/>
    <w:rsid w:val="0031439E"/>
    <w:rsid w:val="00316D33"/>
    <w:rsid w:val="00317364"/>
    <w:rsid w:val="00320613"/>
    <w:rsid w:val="0032367C"/>
    <w:rsid w:val="003247EA"/>
    <w:rsid w:val="003259EE"/>
    <w:rsid w:val="00330CAB"/>
    <w:rsid w:val="00330F00"/>
    <w:rsid w:val="00333886"/>
    <w:rsid w:val="003338B9"/>
    <w:rsid w:val="00335934"/>
    <w:rsid w:val="00335FA7"/>
    <w:rsid w:val="00336CE4"/>
    <w:rsid w:val="00337035"/>
    <w:rsid w:val="00340384"/>
    <w:rsid w:val="00345533"/>
    <w:rsid w:val="00352111"/>
    <w:rsid w:val="00352433"/>
    <w:rsid w:val="00352696"/>
    <w:rsid w:val="00353044"/>
    <w:rsid w:val="003577C6"/>
    <w:rsid w:val="003613FE"/>
    <w:rsid w:val="003628AC"/>
    <w:rsid w:val="00364D8F"/>
    <w:rsid w:val="00382177"/>
    <w:rsid w:val="003830F5"/>
    <w:rsid w:val="003835A5"/>
    <w:rsid w:val="003837B6"/>
    <w:rsid w:val="003916C4"/>
    <w:rsid w:val="003937B8"/>
    <w:rsid w:val="0039769C"/>
    <w:rsid w:val="003A0538"/>
    <w:rsid w:val="003A0A0F"/>
    <w:rsid w:val="003A2F1C"/>
    <w:rsid w:val="003A5A75"/>
    <w:rsid w:val="003B2BC8"/>
    <w:rsid w:val="003B47A9"/>
    <w:rsid w:val="003C0225"/>
    <w:rsid w:val="003C20B4"/>
    <w:rsid w:val="003C6BA0"/>
    <w:rsid w:val="003D027F"/>
    <w:rsid w:val="003D14E0"/>
    <w:rsid w:val="003D1B54"/>
    <w:rsid w:val="003D370E"/>
    <w:rsid w:val="003D565A"/>
    <w:rsid w:val="003E0640"/>
    <w:rsid w:val="003E24E1"/>
    <w:rsid w:val="003E472A"/>
    <w:rsid w:val="003E53A0"/>
    <w:rsid w:val="003E5B38"/>
    <w:rsid w:val="003E5C59"/>
    <w:rsid w:val="003E70AA"/>
    <w:rsid w:val="003E773D"/>
    <w:rsid w:val="003F108C"/>
    <w:rsid w:val="003F1986"/>
    <w:rsid w:val="003F4A7F"/>
    <w:rsid w:val="003F6E89"/>
    <w:rsid w:val="003F7564"/>
    <w:rsid w:val="0040195E"/>
    <w:rsid w:val="00414BE8"/>
    <w:rsid w:val="004155F8"/>
    <w:rsid w:val="00415B36"/>
    <w:rsid w:val="00420804"/>
    <w:rsid w:val="00422336"/>
    <w:rsid w:val="00423710"/>
    <w:rsid w:val="00424ED7"/>
    <w:rsid w:val="00426267"/>
    <w:rsid w:val="00427199"/>
    <w:rsid w:val="0043190E"/>
    <w:rsid w:val="00432222"/>
    <w:rsid w:val="00432BF9"/>
    <w:rsid w:val="00434371"/>
    <w:rsid w:val="00435DD1"/>
    <w:rsid w:val="004425AA"/>
    <w:rsid w:val="0044494B"/>
    <w:rsid w:val="004466DB"/>
    <w:rsid w:val="00446E30"/>
    <w:rsid w:val="00450A96"/>
    <w:rsid w:val="00456038"/>
    <w:rsid w:val="00456B2B"/>
    <w:rsid w:val="0045799D"/>
    <w:rsid w:val="0046076F"/>
    <w:rsid w:val="00461F0B"/>
    <w:rsid w:val="0046563F"/>
    <w:rsid w:val="00467B80"/>
    <w:rsid w:val="0047120C"/>
    <w:rsid w:val="00471618"/>
    <w:rsid w:val="00473B65"/>
    <w:rsid w:val="00474B1B"/>
    <w:rsid w:val="00480B8C"/>
    <w:rsid w:val="004825F4"/>
    <w:rsid w:val="0048293A"/>
    <w:rsid w:val="0048541F"/>
    <w:rsid w:val="00492D1A"/>
    <w:rsid w:val="00492E1C"/>
    <w:rsid w:val="0049313F"/>
    <w:rsid w:val="00493AD2"/>
    <w:rsid w:val="004A1210"/>
    <w:rsid w:val="004A1E62"/>
    <w:rsid w:val="004A32E6"/>
    <w:rsid w:val="004A4130"/>
    <w:rsid w:val="004A5A18"/>
    <w:rsid w:val="004B04F7"/>
    <w:rsid w:val="004B753E"/>
    <w:rsid w:val="004C21AE"/>
    <w:rsid w:val="004C62F9"/>
    <w:rsid w:val="004C723A"/>
    <w:rsid w:val="004D2C99"/>
    <w:rsid w:val="004D6D14"/>
    <w:rsid w:val="004E0408"/>
    <w:rsid w:val="004E1951"/>
    <w:rsid w:val="004E7EF1"/>
    <w:rsid w:val="004F003D"/>
    <w:rsid w:val="004F48CF"/>
    <w:rsid w:val="00502D97"/>
    <w:rsid w:val="005065E6"/>
    <w:rsid w:val="005075B0"/>
    <w:rsid w:val="005077F0"/>
    <w:rsid w:val="0051385E"/>
    <w:rsid w:val="005156F1"/>
    <w:rsid w:val="0051584F"/>
    <w:rsid w:val="00516447"/>
    <w:rsid w:val="005212D0"/>
    <w:rsid w:val="0052537F"/>
    <w:rsid w:val="00527A18"/>
    <w:rsid w:val="00527AD3"/>
    <w:rsid w:val="00531E30"/>
    <w:rsid w:val="00531F87"/>
    <w:rsid w:val="00533AFA"/>
    <w:rsid w:val="00533E74"/>
    <w:rsid w:val="0053420B"/>
    <w:rsid w:val="005346E4"/>
    <w:rsid w:val="0053544D"/>
    <w:rsid w:val="005367E1"/>
    <w:rsid w:val="00537419"/>
    <w:rsid w:val="0054263B"/>
    <w:rsid w:val="00546090"/>
    <w:rsid w:val="00547D97"/>
    <w:rsid w:val="00547F05"/>
    <w:rsid w:val="00550AFD"/>
    <w:rsid w:val="005530F2"/>
    <w:rsid w:val="00553DD7"/>
    <w:rsid w:val="00555B52"/>
    <w:rsid w:val="00557FCC"/>
    <w:rsid w:val="0056439A"/>
    <w:rsid w:val="005648EF"/>
    <w:rsid w:val="00565A37"/>
    <w:rsid w:val="00566286"/>
    <w:rsid w:val="00573B39"/>
    <w:rsid w:val="00577401"/>
    <w:rsid w:val="0057771F"/>
    <w:rsid w:val="005817F7"/>
    <w:rsid w:val="00584BD4"/>
    <w:rsid w:val="00585593"/>
    <w:rsid w:val="00590E0C"/>
    <w:rsid w:val="00594BCF"/>
    <w:rsid w:val="00594C24"/>
    <w:rsid w:val="005962CA"/>
    <w:rsid w:val="00596771"/>
    <w:rsid w:val="005A11F4"/>
    <w:rsid w:val="005A22A6"/>
    <w:rsid w:val="005A4776"/>
    <w:rsid w:val="005A5A57"/>
    <w:rsid w:val="005A7841"/>
    <w:rsid w:val="005B12DB"/>
    <w:rsid w:val="005B1EBD"/>
    <w:rsid w:val="005B277D"/>
    <w:rsid w:val="005B27FE"/>
    <w:rsid w:val="005B3A78"/>
    <w:rsid w:val="005C3257"/>
    <w:rsid w:val="005C56C9"/>
    <w:rsid w:val="005C5CCB"/>
    <w:rsid w:val="005D1AD3"/>
    <w:rsid w:val="005D1F16"/>
    <w:rsid w:val="005D2457"/>
    <w:rsid w:val="005D3156"/>
    <w:rsid w:val="005E075C"/>
    <w:rsid w:val="005E3B55"/>
    <w:rsid w:val="005E6604"/>
    <w:rsid w:val="005E712D"/>
    <w:rsid w:val="005F1017"/>
    <w:rsid w:val="005F19FD"/>
    <w:rsid w:val="005F3155"/>
    <w:rsid w:val="005F4578"/>
    <w:rsid w:val="005F5A94"/>
    <w:rsid w:val="005F609B"/>
    <w:rsid w:val="00603FE1"/>
    <w:rsid w:val="00604122"/>
    <w:rsid w:val="00604F03"/>
    <w:rsid w:val="006053F6"/>
    <w:rsid w:val="00605C11"/>
    <w:rsid w:val="00607604"/>
    <w:rsid w:val="006152F9"/>
    <w:rsid w:val="006153FA"/>
    <w:rsid w:val="00625453"/>
    <w:rsid w:val="00625AF7"/>
    <w:rsid w:val="006272FE"/>
    <w:rsid w:val="00627C94"/>
    <w:rsid w:val="00627E27"/>
    <w:rsid w:val="006305A9"/>
    <w:rsid w:val="00631BFF"/>
    <w:rsid w:val="00642405"/>
    <w:rsid w:val="00642649"/>
    <w:rsid w:val="0064310D"/>
    <w:rsid w:val="00645D6D"/>
    <w:rsid w:val="00647CC5"/>
    <w:rsid w:val="00651A64"/>
    <w:rsid w:val="00661D05"/>
    <w:rsid w:val="00667266"/>
    <w:rsid w:val="0067112B"/>
    <w:rsid w:val="0067408D"/>
    <w:rsid w:val="006741ED"/>
    <w:rsid w:val="00675252"/>
    <w:rsid w:val="006753AC"/>
    <w:rsid w:val="006769D0"/>
    <w:rsid w:val="00682B93"/>
    <w:rsid w:val="0068336D"/>
    <w:rsid w:val="00683FA1"/>
    <w:rsid w:val="00685E76"/>
    <w:rsid w:val="00687304"/>
    <w:rsid w:val="006906EC"/>
    <w:rsid w:val="006955E5"/>
    <w:rsid w:val="00697DF2"/>
    <w:rsid w:val="006A390E"/>
    <w:rsid w:val="006A6A3A"/>
    <w:rsid w:val="006A74B6"/>
    <w:rsid w:val="006B2457"/>
    <w:rsid w:val="006B26D7"/>
    <w:rsid w:val="006B6726"/>
    <w:rsid w:val="006B78E3"/>
    <w:rsid w:val="006C094F"/>
    <w:rsid w:val="006C29D2"/>
    <w:rsid w:val="006D1A1E"/>
    <w:rsid w:val="006D1D57"/>
    <w:rsid w:val="006D2E09"/>
    <w:rsid w:val="006D3B4F"/>
    <w:rsid w:val="006E0597"/>
    <w:rsid w:val="006E0D06"/>
    <w:rsid w:val="006E3575"/>
    <w:rsid w:val="006E62F0"/>
    <w:rsid w:val="006E7AAF"/>
    <w:rsid w:val="006F590D"/>
    <w:rsid w:val="006F6A68"/>
    <w:rsid w:val="006F7581"/>
    <w:rsid w:val="006F7B49"/>
    <w:rsid w:val="006F7DC0"/>
    <w:rsid w:val="00701801"/>
    <w:rsid w:val="00702B5A"/>
    <w:rsid w:val="00704A92"/>
    <w:rsid w:val="00706A17"/>
    <w:rsid w:val="0070752A"/>
    <w:rsid w:val="007103E0"/>
    <w:rsid w:val="007119D8"/>
    <w:rsid w:val="0071225B"/>
    <w:rsid w:val="00713866"/>
    <w:rsid w:val="00714331"/>
    <w:rsid w:val="00714483"/>
    <w:rsid w:val="00720007"/>
    <w:rsid w:val="00720AF5"/>
    <w:rsid w:val="00721261"/>
    <w:rsid w:val="007216DA"/>
    <w:rsid w:val="00723CAE"/>
    <w:rsid w:val="00724230"/>
    <w:rsid w:val="00726E21"/>
    <w:rsid w:val="0072778D"/>
    <w:rsid w:val="00730EBE"/>
    <w:rsid w:val="007340B5"/>
    <w:rsid w:val="00745096"/>
    <w:rsid w:val="00745BFD"/>
    <w:rsid w:val="00747747"/>
    <w:rsid w:val="00750831"/>
    <w:rsid w:val="007516AB"/>
    <w:rsid w:val="00751F6A"/>
    <w:rsid w:val="00752943"/>
    <w:rsid w:val="007532AB"/>
    <w:rsid w:val="007573D7"/>
    <w:rsid w:val="007611D0"/>
    <w:rsid w:val="0076589E"/>
    <w:rsid w:val="00766DE8"/>
    <w:rsid w:val="00766F81"/>
    <w:rsid w:val="007671D1"/>
    <w:rsid w:val="00770AB7"/>
    <w:rsid w:val="00770D98"/>
    <w:rsid w:val="00770FFC"/>
    <w:rsid w:val="00771BD8"/>
    <w:rsid w:val="00777649"/>
    <w:rsid w:val="00781B5A"/>
    <w:rsid w:val="00787065"/>
    <w:rsid w:val="007878F6"/>
    <w:rsid w:val="00792028"/>
    <w:rsid w:val="007927B3"/>
    <w:rsid w:val="00797632"/>
    <w:rsid w:val="007A1FAF"/>
    <w:rsid w:val="007A3A0E"/>
    <w:rsid w:val="007A3B2E"/>
    <w:rsid w:val="007A612E"/>
    <w:rsid w:val="007B1633"/>
    <w:rsid w:val="007B5424"/>
    <w:rsid w:val="007B6E50"/>
    <w:rsid w:val="007B7EDA"/>
    <w:rsid w:val="007C118D"/>
    <w:rsid w:val="007C22BF"/>
    <w:rsid w:val="007C62B4"/>
    <w:rsid w:val="007D164A"/>
    <w:rsid w:val="007D168F"/>
    <w:rsid w:val="007D198E"/>
    <w:rsid w:val="007D2BCE"/>
    <w:rsid w:val="007D39CC"/>
    <w:rsid w:val="007D487F"/>
    <w:rsid w:val="007E13B7"/>
    <w:rsid w:val="007E142E"/>
    <w:rsid w:val="007E1675"/>
    <w:rsid w:val="007E1AAF"/>
    <w:rsid w:val="007E1ADE"/>
    <w:rsid w:val="007E5B87"/>
    <w:rsid w:val="007E5CCD"/>
    <w:rsid w:val="007F63FC"/>
    <w:rsid w:val="007F7129"/>
    <w:rsid w:val="007F7F9A"/>
    <w:rsid w:val="00801691"/>
    <w:rsid w:val="00802C54"/>
    <w:rsid w:val="00804A03"/>
    <w:rsid w:val="00806282"/>
    <w:rsid w:val="00811BE4"/>
    <w:rsid w:val="00811DDE"/>
    <w:rsid w:val="00813A6B"/>
    <w:rsid w:val="0082168C"/>
    <w:rsid w:val="00821D22"/>
    <w:rsid w:val="00824DD3"/>
    <w:rsid w:val="00827C19"/>
    <w:rsid w:val="0083254A"/>
    <w:rsid w:val="0083264A"/>
    <w:rsid w:val="00832DB4"/>
    <w:rsid w:val="0083763B"/>
    <w:rsid w:val="00837F81"/>
    <w:rsid w:val="00841950"/>
    <w:rsid w:val="00845F81"/>
    <w:rsid w:val="00846D9B"/>
    <w:rsid w:val="00850A48"/>
    <w:rsid w:val="00853ECF"/>
    <w:rsid w:val="008557E1"/>
    <w:rsid w:val="00855BBB"/>
    <w:rsid w:val="00855C3A"/>
    <w:rsid w:val="00856158"/>
    <w:rsid w:val="00861ADE"/>
    <w:rsid w:val="008641B9"/>
    <w:rsid w:val="0086735A"/>
    <w:rsid w:val="008703EF"/>
    <w:rsid w:val="00874AC6"/>
    <w:rsid w:val="00875064"/>
    <w:rsid w:val="008750D4"/>
    <w:rsid w:val="00880E0B"/>
    <w:rsid w:val="008812A8"/>
    <w:rsid w:val="00881431"/>
    <w:rsid w:val="008815ED"/>
    <w:rsid w:val="0088393B"/>
    <w:rsid w:val="00884858"/>
    <w:rsid w:val="008857D3"/>
    <w:rsid w:val="008859AF"/>
    <w:rsid w:val="00885A8D"/>
    <w:rsid w:val="00885BA8"/>
    <w:rsid w:val="008867DA"/>
    <w:rsid w:val="00892E25"/>
    <w:rsid w:val="00895065"/>
    <w:rsid w:val="00895739"/>
    <w:rsid w:val="00896032"/>
    <w:rsid w:val="008A1099"/>
    <w:rsid w:val="008A236F"/>
    <w:rsid w:val="008A2906"/>
    <w:rsid w:val="008A475A"/>
    <w:rsid w:val="008A4899"/>
    <w:rsid w:val="008A5133"/>
    <w:rsid w:val="008A516F"/>
    <w:rsid w:val="008A6339"/>
    <w:rsid w:val="008A637B"/>
    <w:rsid w:val="008B1617"/>
    <w:rsid w:val="008B39B8"/>
    <w:rsid w:val="008B491E"/>
    <w:rsid w:val="008B5687"/>
    <w:rsid w:val="008B5EE0"/>
    <w:rsid w:val="008B770F"/>
    <w:rsid w:val="008C1739"/>
    <w:rsid w:val="008D1FD8"/>
    <w:rsid w:val="008D2B34"/>
    <w:rsid w:val="008D2D56"/>
    <w:rsid w:val="008D41E0"/>
    <w:rsid w:val="008D48E9"/>
    <w:rsid w:val="008D4A28"/>
    <w:rsid w:val="008D609F"/>
    <w:rsid w:val="008D7ECC"/>
    <w:rsid w:val="008E41F1"/>
    <w:rsid w:val="008E4D24"/>
    <w:rsid w:val="008E51AF"/>
    <w:rsid w:val="008F01F2"/>
    <w:rsid w:val="008F3AE7"/>
    <w:rsid w:val="008F4C42"/>
    <w:rsid w:val="008F56C1"/>
    <w:rsid w:val="008F5AEB"/>
    <w:rsid w:val="008F746C"/>
    <w:rsid w:val="008F779C"/>
    <w:rsid w:val="009007E8"/>
    <w:rsid w:val="0090083C"/>
    <w:rsid w:val="00901FA0"/>
    <w:rsid w:val="009022AA"/>
    <w:rsid w:val="0090292A"/>
    <w:rsid w:val="00902A25"/>
    <w:rsid w:val="009045E7"/>
    <w:rsid w:val="00906EC6"/>
    <w:rsid w:val="00907A8A"/>
    <w:rsid w:val="00913442"/>
    <w:rsid w:val="00914128"/>
    <w:rsid w:val="00917216"/>
    <w:rsid w:val="009174E0"/>
    <w:rsid w:val="00930778"/>
    <w:rsid w:val="009317C2"/>
    <w:rsid w:val="00932723"/>
    <w:rsid w:val="009355C5"/>
    <w:rsid w:val="00935DA8"/>
    <w:rsid w:val="00936D0A"/>
    <w:rsid w:val="00944A6D"/>
    <w:rsid w:val="00944D4F"/>
    <w:rsid w:val="00950692"/>
    <w:rsid w:val="00951579"/>
    <w:rsid w:val="009527BA"/>
    <w:rsid w:val="00952BBB"/>
    <w:rsid w:val="00952D3A"/>
    <w:rsid w:val="0095595F"/>
    <w:rsid w:val="0095709A"/>
    <w:rsid w:val="009572C1"/>
    <w:rsid w:val="00961567"/>
    <w:rsid w:val="009616DF"/>
    <w:rsid w:val="00962ACF"/>
    <w:rsid w:val="00965824"/>
    <w:rsid w:val="00966951"/>
    <w:rsid w:val="009716F9"/>
    <w:rsid w:val="009725D8"/>
    <w:rsid w:val="00972939"/>
    <w:rsid w:val="00973884"/>
    <w:rsid w:val="0097520C"/>
    <w:rsid w:val="00982482"/>
    <w:rsid w:val="00984845"/>
    <w:rsid w:val="00984936"/>
    <w:rsid w:val="00987F01"/>
    <w:rsid w:val="009902F2"/>
    <w:rsid w:val="00991ED0"/>
    <w:rsid w:val="009931B9"/>
    <w:rsid w:val="00994FF4"/>
    <w:rsid w:val="00995FD1"/>
    <w:rsid w:val="009968AA"/>
    <w:rsid w:val="009A10F1"/>
    <w:rsid w:val="009A1D9F"/>
    <w:rsid w:val="009A4A5E"/>
    <w:rsid w:val="009A5465"/>
    <w:rsid w:val="009A5AA6"/>
    <w:rsid w:val="009A7292"/>
    <w:rsid w:val="009A7A43"/>
    <w:rsid w:val="009B3307"/>
    <w:rsid w:val="009B36AF"/>
    <w:rsid w:val="009B6746"/>
    <w:rsid w:val="009C0C3F"/>
    <w:rsid w:val="009C1FDD"/>
    <w:rsid w:val="009C32D7"/>
    <w:rsid w:val="009D1A9E"/>
    <w:rsid w:val="009D289D"/>
    <w:rsid w:val="009E20C7"/>
    <w:rsid w:val="009E3DA4"/>
    <w:rsid w:val="009E4D6C"/>
    <w:rsid w:val="009E5CD5"/>
    <w:rsid w:val="009F581C"/>
    <w:rsid w:val="009F6F4F"/>
    <w:rsid w:val="00A005E6"/>
    <w:rsid w:val="00A01F76"/>
    <w:rsid w:val="00A03B84"/>
    <w:rsid w:val="00A06ED6"/>
    <w:rsid w:val="00A10F3D"/>
    <w:rsid w:val="00A110C7"/>
    <w:rsid w:val="00A116EF"/>
    <w:rsid w:val="00A14759"/>
    <w:rsid w:val="00A20521"/>
    <w:rsid w:val="00A20A3F"/>
    <w:rsid w:val="00A22E26"/>
    <w:rsid w:val="00A22F5A"/>
    <w:rsid w:val="00A26DD9"/>
    <w:rsid w:val="00A31803"/>
    <w:rsid w:val="00A34EA3"/>
    <w:rsid w:val="00A36457"/>
    <w:rsid w:val="00A36AF3"/>
    <w:rsid w:val="00A371BB"/>
    <w:rsid w:val="00A40310"/>
    <w:rsid w:val="00A40323"/>
    <w:rsid w:val="00A46818"/>
    <w:rsid w:val="00A46EEE"/>
    <w:rsid w:val="00A50F20"/>
    <w:rsid w:val="00A57F9C"/>
    <w:rsid w:val="00A6104D"/>
    <w:rsid w:val="00A61C26"/>
    <w:rsid w:val="00A632A0"/>
    <w:rsid w:val="00A63D35"/>
    <w:rsid w:val="00A677E8"/>
    <w:rsid w:val="00A70E05"/>
    <w:rsid w:val="00A710D6"/>
    <w:rsid w:val="00A725B4"/>
    <w:rsid w:val="00A73AE6"/>
    <w:rsid w:val="00A73FC9"/>
    <w:rsid w:val="00A76271"/>
    <w:rsid w:val="00A76341"/>
    <w:rsid w:val="00A77C63"/>
    <w:rsid w:val="00A80748"/>
    <w:rsid w:val="00A80C10"/>
    <w:rsid w:val="00A812B3"/>
    <w:rsid w:val="00A82D0A"/>
    <w:rsid w:val="00A839C0"/>
    <w:rsid w:val="00A84A79"/>
    <w:rsid w:val="00A85AAA"/>
    <w:rsid w:val="00A861CE"/>
    <w:rsid w:val="00A86312"/>
    <w:rsid w:val="00A87474"/>
    <w:rsid w:val="00A92C18"/>
    <w:rsid w:val="00AA7F53"/>
    <w:rsid w:val="00AB051E"/>
    <w:rsid w:val="00AB1578"/>
    <w:rsid w:val="00AB2019"/>
    <w:rsid w:val="00AB477F"/>
    <w:rsid w:val="00AB4BB6"/>
    <w:rsid w:val="00AB5CE6"/>
    <w:rsid w:val="00AB71A7"/>
    <w:rsid w:val="00AB78F5"/>
    <w:rsid w:val="00AC30AA"/>
    <w:rsid w:val="00AC59E3"/>
    <w:rsid w:val="00AC646C"/>
    <w:rsid w:val="00AC78F7"/>
    <w:rsid w:val="00AC7D46"/>
    <w:rsid w:val="00AD4352"/>
    <w:rsid w:val="00AD482C"/>
    <w:rsid w:val="00AD4B56"/>
    <w:rsid w:val="00AD72E6"/>
    <w:rsid w:val="00AD7D2C"/>
    <w:rsid w:val="00AE1431"/>
    <w:rsid w:val="00AE1C04"/>
    <w:rsid w:val="00AE315C"/>
    <w:rsid w:val="00AE4A63"/>
    <w:rsid w:val="00AE4FD3"/>
    <w:rsid w:val="00AE6619"/>
    <w:rsid w:val="00AE7897"/>
    <w:rsid w:val="00AF067A"/>
    <w:rsid w:val="00AF0EAB"/>
    <w:rsid w:val="00AF40E1"/>
    <w:rsid w:val="00AF63B9"/>
    <w:rsid w:val="00AF7D47"/>
    <w:rsid w:val="00B0264D"/>
    <w:rsid w:val="00B0433C"/>
    <w:rsid w:val="00B206C8"/>
    <w:rsid w:val="00B207B9"/>
    <w:rsid w:val="00B22E58"/>
    <w:rsid w:val="00B2325C"/>
    <w:rsid w:val="00B27C0D"/>
    <w:rsid w:val="00B30F3A"/>
    <w:rsid w:val="00B32E46"/>
    <w:rsid w:val="00B338E2"/>
    <w:rsid w:val="00B342E6"/>
    <w:rsid w:val="00B34ABB"/>
    <w:rsid w:val="00B35185"/>
    <w:rsid w:val="00B35C89"/>
    <w:rsid w:val="00B37120"/>
    <w:rsid w:val="00B37722"/>
    <w:rsid w:val="00B3791E"/>
    <w:rsid w:val="00B43F45"/>
    <w:rsid w:val="00B473E5"/>
    <w:rsid w:val="00B52B5D"/>
    <w:rsid w:val="00B538B9"/>
    <w:rsid w:val="00B554DF"/>
    <w:rsid w:val="00B5577F"/>
    <w:rsid w:val="00B55C41"/>
    <w:rsid w:val="00B567C1"/>
    <w:rsid w:val="00B579DF"/>
    <w:rsid w:val="00B57A63"/>
    <w:rsid w:val="00B60EBD"/>
    <w:rsid w:val="00B6275E"/>
    <w:rsid w:val="00B70D68"/>
    <w:rsid w:val="00B719C2"/>
    <w:rsid w:val="00B72D6B"/>
    <w:rsid w:val="00B73121"/>
    <w:rsid w:val="00B7528C"/>
    <w:rsid w:val="00B75E0C"/>
    <w:rsid w:val="00B75EDC"/>
    <w:rsid w:val="00B80FD1"/>
    <w:rsid w:val="00B83611"/>
    <w:rsid w:val="00B83CCD"/>
    <w:rsid w:val="00B858D6"/>
    <w:rsid w:val="00B90A12"/>
    <w:rsid w:val="00B937E4"/>
    <w:rsid w:val="00B96786"/>
    <w:rsid w:val="00B97801"/>
    <w:rsid w:val="00BA137D"/>
    <w:rsid w:val="00BA2389"/>
    <w:rsid w:val="00BA27A8"/>
    <w:rsid w:val="00BA510E"/>
    <w:rsid w:val="00BA55FD"/>
    <w:rsid w:val="00BA5852"/>
    <w:rsid w:val="00BB054E"/>
    <w:rsid w:val="00BB344E"/>
    <w:rsid w:val="00BB7A80"/>
    <w:rsid w:val="00BC29F9"/>
    <w:rsid w:val="00BC49BF"/>
    <w:rsid w:val="00BC60AE"/>
    <w:rsid w:val="00BC65EF"/>
    <w:rsid w:val="00BE0428"/>
    <w:rsid w:val="00BE0949"/>
    <w:rsid w:val="00BE2B09"/>
    <w:rsid w:val="00BE2E53"/>
    <w:rsid w:val="00BE3B7A"/>
    <w:rsid w:val="00BE654D"/>
    <w:rsid w:val="00BE6634"/>
    <w:rsid w:val="00BF2F4A"/>
    <w:rsid w:val="00BF5DF3"/>
    <w:rsid w:val="00C006FB"/>
    <w:rsid w:val="00C018F8"/>
    <w:rsid w:val="00C02770"/>
    <w:rsid w:val="00C04605"/>
    <w:rsid w:val="00C066EC"/>
    <w:rsid w:val="00C13366"/>
    <w:rsid w:val="00C20F8A"/>
    <w:rsid w:val="00C21D93"/>
    <w:rsid w:val="00C225C9"/>
    <w:rsid w:val="00C26751"/>
    <w:rsid w:val="00C3410E"/>
    <w:rsid w:val="00C37E2E"/>
    <w:rsid w:val="00C40968"/>
    <w:rsid w:val="00C45885"/>
    <w:rsid w:val="00C473A2"/>
    <w:rsid w:val="00C5083A"/>
    <w:rsid w:val="00C5180F"/>
    <w:rsid w:val="00C57570"/>
    <w:rsid w:val="00C60E95"/>
    <w:rsid w:val="00C610EC"/>
    <w:rsid w:val="00C63547"/>
    <w:rsid w:val="00C641B0"/>
    <w:rsid w:val="00C70560"/>
    <w:rsid w:val="00C724B6"/>
    <w:rsid w:val="00C737F3"/>
    <w:rsid w:val="00C834BC"/>
    <w:rsid w:val="00C84E71"/>
    <w:rsid w:val="00C86F05"/>
    <w:rsid w:val="00C87463"/>
    <w:rsid w:val="00C8797B"/>
    <w:rsid w:val="00C91B1F"/>
    <w:rsid w:val="00C9226E"/>
    <w:rsid w:val="00C925CB"/>
    <w:rsid w:val="00C93A7D"/>
    <w:rsid w:val="00C93B0B"/>
    <w:rsid w:val="00C93F2B"/>
    <w:rsid w:val="00C94C5E"/>
    <w:rsid w:val="00C94D2D"/>
    <w:rsid w:val="00C94EDB"/>
    <w:rsid w:val="00CA0D0B"/>
    <w:rsid w:val="00CA41CC"/>
    <w:rsid w:val="00CA582C"/>
    <w:rsid w:val="00CA7EF2"/>
    <w:rsid w:val="00CB008B"/>
    <w:rsid w:val="00CB1B5F"/>
    <w:rsid w:val="00CB3564"/>
    <w:rsid w:val="00CB63AA"/>
    <w:rsid w:val="00CC0502"/>
    <w:rsid w:val="00CC1AC8"/>
    <w:rsid w:val="00CC5FE6"/>
    <w:rsid w:val="00CC6A95"/>
    <w:rsid w:val="00CC7E17"/>
    <w:rsid w:val="00CD4A7D"/>
    <w:rsid w:val="00CD7ECB"/>
    <w:rsid w:val="00CE02A1"/>
    <w:rsid w:val="00CE1AC3"/>
    <w:rsid w:val="00CE2DF4"/>
    <w:rsid w:val="00CE3B02"/>
    <w:rsid w:val="00CE48C8"/>
    <w:rsid w:val="00CE593D"/>
    <w:rsid w:val="00CF07F1"/>
    <w:rsid w:val="00CF387A"/>
    <w:rsid w:val="00CF690B"/>
    <w:rsid w:val="00D00330"/>
    <w:rsid w:val="00D0050C"/>
    <w:rsid w:val="00D00FAB"/>
    <w:rsid w:val="00D014AE"/>
    <w:rsid w:val="00D02010"/>
    <w:rsid w:val="00D05926"/>
    <w:rsid w:val="00D06D8D"/>
    <w:rsid w:val="00D06F21"/>
    <w:rsid w:val="00D16901"/>
    <w:rsid w:val="00D20C15"/>
    <w:rsid w:val="00D21951"/>
    <w:rsid w:val="00D23BD0"/>
    <w:rsid w:val="00D24EE6"/>
    <w:rsid w:val="00D333AA"/>
    <w:rsid w:val="00D347CA"/>
    <w:rsid w:val="00D35DE5"/>
    <w:rsid w:val="00D365AE"/>
    <w:rsid w:val="00D40616"/>
    <w:rsid w:val="00D40B92"/>
    <w:rsid w:val="00D422F6"/>
    <w:rsid w:val="00D432D1"/>
    <w:rsid w:val="00D43AF9"/>
    <w:rsid w:val="00D464FA"/>
    <w:rsid w:val="00D50C3D"/>
    <w:rsid w:val="00D51E80"/>
    <w:rsid w:val="00D53848"/>
    <w:rsid w:val="00D53AC5"/>
    <w:rsid w:val="00D54163"/>
    <w:rsid w:val="00D5484F"/>
    <w:rsid w:val="00D56478"/>
    <w:rsid w:val="00D57A73"/>
    <w:rsid w:val="00D77A75"/>
    <w:rsid w:val="00D8068E"/>
    <w:rsid w:val="00D80F3B"/>
    <w:rsid w:val="00D8125F"/>
    <w:rsid w:val="00D81D01"/>
    <w:rsid w:val="00D852A7"/>
    <w:rsid w:val="00D86602"/>
    <w:rsid w:val="00D87972"/>
    <w:rsid w:val="00D87DDE"/>
    <w:rsid w:val="00D90E67"/>
    <w:rsid w:val="00D93394"/>
    <w:rsid w:val="00D93487"/>
    <w:rsid w:val="00DA1796"/>
    <w:rsid w:val="00DA194D"/>
    <w:rsid w:val="00DA2814"/>
    <w:rsid w:val="00DA6028"/>
    <w:rsid w:val="00DA72A0"/>
    <w:rsid w:val="00DB1393"/>
    <w:rsid w:val="00DB2C90"/>
    <w:rsid w:val="00DB396F"/>
    <w:rsid w:val="00DB5F0B"/>
    <w:rsid w:val="00DC0393"/>
    <w:rsid w:val="00DC09C4"/>
    <w:rsid w:val="00DC3972"/>
    <w:rsid w:val="00DC63A9"/>
    <w:rsid w:val="00DC6506"/>
    <w:rsid w:val="00DC66A6"/>
    <w:rsid w:val="00DC707D"/>
    <w:rsid w:val="00DC7533"/>
    <w:rsid w:val="00DC78D8"/>
    <w:rsid w:val="00DD4272"/>
    <w:rsid w:val="00DD5492"/>
    <w:rsid w:val="00DD7057"/>
    <w:rsid w:val="00DD7FFE"/>
    <w:rsid w:val="00DE0C2E"/>
    <w:rsid w:val="00DE2930"/>
    <w:rsid w:val="00DE42C2"/>
    <w:rsid w:val="00DE5BAF"/>
    <w:rsid w:val="00DF13A2"/>
    <w:rsid w:val="00DF21D6"/>
    <w:rsid w:val="00DF2CB7"/>
    <w:rsid w:val="00DF3974"/>
    <w:rsid w:val="00DF3BF1"/>
    <w:rsid w:val="00DF5BA9"/>
    <w:rsid w:val="00DF7595"/>
    <w:rsid w:val="00DF7E1B"/>
    <w:rsid w:val="00E00017"/>
    <w:rsid w:val="00E007F8"/>
    <w:rsid w:val="00E037C3"/>
    <w:rsid w:val="00E058BA"/>
    <w:rsid w:val="00E07DF7"/>
    <w:rsid w:val="00E07EBE"/>
    <w:rsid w:val="00E111AA"/>
    <w:rsid w:val="00E11A62"/>
    <w:rsid w:val="00E14F99"/>
    <w:rsid w:val="00E172C8"/>
    <w:rsid w:val="00E21120"/>
    <w:rsid w:val="00E2145F"/>
    <w:rsid w:val="00E2356B"/>
    <w:rsid w:val="00E24E10"/>
    <w:rsid w:val="00E25FEE"/>
    <w:rsid w:val="00E2724A"/>
    <w:rsid w:val="00E30D4B"/>
    <w:rsid w:val="00E31268"/>
    <w:rsid w:val="00E31668"/>
    <w:rsid w:val="00E32C6D"/>
    <w:rsid w:val="00E34990"/>
    <w:rsid w:val="00E35B47"/>
    <w:rsid w:val="00E372EA"/>
    <w:rsid w:val="00E42644"/>
    <w:rsid w:val="00E427F3"/>
    <w:rsid w:val="00E43BF9"/>
    <w:rsid w:val="00E45186"/>
    <w:rsid w:val="00E50187"/>
    <w:rsid w:val="00E52DB5"/>
    <w:rsid w:val="00E55147"/>
    <w:rsid w:val="00E551EB"/>
    <w:rsid w:val="00E57091"/>
    <w:rsid w:val="00E607C9"/>
    <w:rsid w:val="00E6239A"/>
    <w:rsid w:val="00E654CE"/>
    <w:rsid w:val="00E67638"/>
    <w:rsid w:val="00E70C9B"/>
    <w:rsid w:val="00E71DDF"/>
    <w:rsid w:val="00E7215D"/>
    <w:rsid w:val="00E72FF1"/>
    <w:rsid w:val="00E73412"/>
    <w:rsid w:val="00E7526A"/>
    <w:rsid w:val="00E75706"/>
    <w:rsid w:val="00E757AA"/>
    <w:rsid w:val="00E82266"/>
    <w:rsid w:val="00E84753"/>
    <w:rsid w:val="00E84806"/>
    <w:rsid w:val="00E87248"/>
    <w:rsid w:val="00E87C31"/>
    <w:rsid w:val="00E87FFB"/>
    <w:rsid w:val="00E919D8"/>
    <w:rsid w:val="00E93068"/>
    <w:rsid w:val="00E94CF8"/>
    <w:rsid w:val="00E970B9"/>
    <w:rsid w:val="00EA2B20"/>
    <w:rsid w:val="00EA3B32"/>
    <w:rsid w:val="00EB113C"/>
    <w:rsid w:val="00EB359F"/>
    <w:rsid w:val="00EB5133"/>
    <w:rsid w:val="00EB7852"/>
    <w:rsid w:val="00EC16F4"/>
    <w:rsid w:val="00EC17E3"/>
    <w:rsid w:val="00EC3919"/>
    <w:rsid w:val="00EC3E7B"/>
    <w:rsid w:val="00EC7C98"/>
    <w:rsid w:val="00ED2063"/>
    <w:rsid w:val="00ED5E52"/>
    <w:rsid w:val="00ED7176"/>
    <w:rsid w:val="00ED75EA"/>
    <w:rsid w:val="00EE11EE"/>
    <w:rsid w:val="00EE1E4B"/>
    <w:rsid w:val="00EE3CDC"/>
    <w:rsid w:val="00EF1E2D"/>
    <w:rsid w:val="00EF2738"/>
    <w:rsid w:val="00EF4043"/>
    <w:rsid w:val="00EF5096"/>
    <w:rsid w:val="00F00B64"/>
    <w:rsid w:val="00F022D4"/>
    <w:rsid w:val="00F062A4"/>
    <w:rsid w:val="00F108C7"/>
    <w:rsid w:val="00F119FE"/>
    <w:rsid w:val="00F23E0D"/>
    <w:rsid w:val="00F25E27"/>
    <w:rsid w:val="00F27C90"/>
    <w:rsid w:val="00F30C4A"/>
    <w:rsid w:val="00F32AA4"/>
    <w:rsid w:val="00F35621"/>
    <w:rsid w:val="00F374C2"/>
    <w:rsid w:val="00F4191A"/>
    <w:rsid w:val="00F4290B"/>
    <w:rsid w:val="00F442AF"/>
    <w:rsid w:val="00F54732"/>
    <w:rsid w:val="00F573CF"/>
    <w:rsid w:val="00F57A28"/>
    <w:rsid w:val="00F57A2B"/>
    <w:rsid w:val="00F633C0"/>
    <w:rsid w:val="00F658E5"/>
    <w:rsid w:val="00F70743"/>
    <w:rsid w:val="00F71286"/>
    <w:rsid w:val="00F72342"/>
    <w:rsid w:val="00F74D31"/>
    <w:rsid w:val="00F755B7"/>
    <w:rsid w:val="00F764F4"/>
    <w:rsid w:val="00F82C6F"/>
    <w:rsid w:val="00F850EA"/>
    <w:rsid w:val="00F86F49"/>
    <w:rsid w:val="00F87BD6"/>
    <w:rsid w:val="00F943DD"/>
    <w:rsid w:val="00F94E0B"/>
    <w:rsid w:val="00FA0558"/>
    <w:rsid w:val="00FA333E"/>
    <w:rsid w:val="00FA4D3B"/>
    <w:rsid w:val="00FA4F9E"/>
    <w:rsid w:val="00FA685A"/>
    <w:rsid w:val="00FA6FF1"/>
    <w:rsid w:val="00FA7B76"/>
    <w:rsid w:val="00FB19C7"/>
    <w:rsid w:val="00FC1047"/>
    <w:rsid w:val="00FC1F10"/>
    <w:rsid w:val="00FC544C"/>
    <w:rsid w:val="00FD2746"/>
    <w:rsid w:val="00FD2DF4"/>
    <w:rsid w:val="00FD7D4E"/>
    <w:rsid w:val="00FE00D7"/>
    <w:rsid w:val="00FE071D"/>
    <w:rsid w:val="00FE0A94"/>
    <w:rsid w:val="00FE156B"/>
    <w:rsid w:val="00FE1F3D"/>
    <w:rsid w:val="00FE48F2"/>
    <w:rsid w:val="00FE56B8"/>
    <w:rsid w:val="00FE5D48"/>
    <w:rsid w:val="00FE62E1"/>
    <w:rsid w:val="00FF04E5"/>
    <w:rsid w:val="00FF171F"/>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CF8BDEC"/>
  <w15:docId w15:val="{452FAA60-4148-4EEF-A11B-06EF710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EB7852"/>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330C4"/>
    <w:rPr>
      <w:sz w:val="22"/>
      <w:szCs w:val="26"/>
    </w:rPr>
  </w:style>
  <w:style w:type="character" w:customStyle="1" w:styleId="cf01">
    <w:name w:val="cf01"/>
    <w:basedOn w:val="DefaultParagraphFont"/>
    <w:rsid w:val="000C4F59"/>
    <w:rPr>
      <w:rFonts w:ascii="Segoe UI" w:hAnsi="Segoe UI" w:cs="Segoe UI" w:hint="default"/>
      <w:i/>
      <w:iCs/>
      <w:sz w:val="18"/>
      <w:szCs w:val="18"/>
    </w:rPr>
  </w:style>
  <w:style w:type="paragraph" w:styleId="BodyText">
    <w:name w:val="Body Text"/>
    <w:basedOn w:val="Normal"/>
    <w:link w:val="BodyTextChar"/>
    <w:uiPriority w:val="1"/>
    <w:qFormat/>
    <w:rsid w:val="00565A37"/>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565A37"/>
    <w:rPr>
      <w:rFonts w:eastAsia="Times New Roman"/>
      <w:sz w:val="24"/>
      <w:szCs w:val="24"/>
    </w:rPr>
  </w:style>
  <w:style w:type="numbering" w:customStyle="1" w:styleId="CurrentList1">
    <w:name w:val="Current List1"/>
    <w:uiPriority w:val="99"/>
    <w:rsid w:val="007E1ADE"/>
    <w:pPr>
      <w:numPr>
        <w:numId w:val="9"/>
      </w:numPr>
    </w:pPr>
  </w:style>
  <w:style w:type="character" w:customStyle="1" w:styleId="Heading2Char">
    <w:name w:val="Heading 2 Char"/>
    <w:basedOn w:val="DefaultParagraphFont"/>
    <w:link w:val="Heading2"/>
    <w:uiPriority w:val="9"/>
    <w:semiHidden/>
    <w:rsid w:val="00EB785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C1AFE"/>
    <w:pPr>
      <w:spacing w:before="100" w:beforeAutospacing="1" w:after="100" w:afterAutospacing="1"/>
    </w:pPr>
    <w:rPr>
      <w:rFonts w:eastAsia="Times New Roman"/>
      <w:sz w:val="24"/>
      <w:szCs w:val="24"/>
    </w:rPr>
  </w:style>
  <w:style w:type="character" w:customStyle="1" w:styleId="sssh">
    <w:name w:val="ss_sh"/>
    <w:basedOn w:val="DefaultParagraphFont"/>
    <w:rsid w:val="002C1AFE"/>
  </w:style>
  <w:style w:type="character" w:customStyle="1" w:styleId="ssit">
    <w:name w:val="ss_it"/>
    <w:basedOn w:val="DefaultParagraphFont"/>
    <w:rsid w:val="001261D8"/>
  </w:style>
  <w:style w:type="character" w:styleId="UnresolvedMention">
    <w:name w:val="Unresolved Mention"/>
    <w:basedOn w:val="DefaultParagraphFont"/>
    <w:uiPriority w:val="99"/>
    <w:semiHidden/>
    <w:unhideWhenUsed/>
    <w:rsid w:val="00ED2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390">
      <w:bodyDiv w:val="1"/>
      <w:marLeft w:val="0"/>
      <w:marRight w:val="0"/>
      <w:marTop w:val="0"/>
      <w:marBottom w:val="0"/>
      <w:divBdr>
        <w:top w:val="none" w:sz="0" w:space="0" w:color="auto"/>
        <w:left w:val="none" w:sz="0" w:space="0" w:color="auto"/>
        <w:bottom w:val="none" w:sz="0" w:space="0" w:color="auto"/>
        <w:right w:val="none" w:sz="0" w:space="0" w:color="auto"/>
      </w:divBdr>
    </w:div>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50158316">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98304555">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318046518">
      <w:bodyDiv w:val="1"/>
      <w:marLeft w:val="0"/>
      <w:marRight w:val="0"/>
      <w:marTop w:val="0"/>
      <w:marBottom w:val="0"/>
      <w:divBdr>
        <w:top w:val="none" w:sz="0" w:space="0" w:color="auto"/>
        <w:left w:val="none" w:sz="0" w:space="0" w:color="auto"/>
        <w:bottom w:val="none" w:sz="0" w:space="0" w:color="auto"/>
        <w:right w:val="none" w:sz="0" w:space="0" w:color="auto"/>
      </w:divBdr>
    </w:div>
    <w:div w:id="385228948">
      <w:bodyDiv w:val="1"/>
      <w:marLeft w:val="0"/>
      <w:marRight w:val="0"/>
      <w:marTop w:val="0"/>
      <w:marBottom w:val="0"/>
      <w:divBdr>
        <w:top w:val="none" w:sz="0" w:space="0" w:color="auto"/>
        <w:left w:val="none" w:sz="0" w:space="0" w:color="auto"/>
        <w:bottom w:val="none" w:sz="0" w:space="0" w:color="auto"/>
        <w:right w:val="none" w:sz="0" w:space="0" w:color="auto"/>
      </w:divBdr>
    </w:div>
    <w:div w:id="657197331">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983966304">
      <w:bodyDiv w:val="1"/>
      <w:marLeft w:val="0"/>
      <w:marRight w:val="0"/>
      <w:marTop w:val="0"/>
      <w:marBottom w:val="0"/>
      <w:divBdr>
        <w:top w:val="none" w:sz="0" w:space="0" w:color="auto"/>
        <w:left w:val="none" w:sz="0" w:space="0" w:color="auto"/>
        <w:bottom w:val="none" w:sz="0" w:space="0" w:color="auto"/>
        <w:right w:val="none" w:sz="0" w:space="0" w:color="auto"/>
      </w:divBdr>
    </w:div>
    <w:div w:id="1216160582">
      <w:bodyDiv w:val="1"/>
      <w:marLeft w:val="0"/>
      <w:marRight w:val="0"/>
      <w:marTop w:val="0"/>
      <w:marBottom w:val="0"/>
      <w:divBdr>
        <w:top w:val="none" w:sz="0" w:space="0" w:color="auto"/>
        <w:left w:val="none" w:sz="0" w:space="0" w:color="auto"/>
        <w:bottom w:val="none" w:sz="0" w:space="0" w:color="auto"/>
        <w:right w:val="none" w:sz="0" w:space="0" w:color="auto"/>
      </w:divBdr>
    </w:div>
    <w:div w:id="1352493544">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17915222">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1999722243">
      <w:bodyDiv w:val="1"/>
      <w:marLeft w:val="0"/>
      <w:marRight w:val="0"/>
      <w:marTop w:val="0"/>
      <w:marBottom w:val="0"/>
      <w:divBdr>
        <w:top w:val="none" w:sz="0" w:space="0" w:color="auto"/>
        <w:left w:val="none" w:sz="0" w:space="0" w:color="auto"/>
        <w:bottom w:val="none" w:sz="0" w:space="0" w:color="auto"/>
        <w:right w:val="none" w:sz="0" w:space="0" w:color="auto"/>
      </w:divBdr>
    </w:div>
    <w:div w:id="20374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lexis.com/api/document/collection/cases/id/3RX4-2290-003D-91KH-00000-00?cite=162%20Colo.%20135&amp;context=15306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us.lexis.com/api/document/collection/cases/id/3RRM-Y3X0-0040-01B4-00000-00?cite=102%20Colo.%20400&amp;context=1530671" TargetMode="External"/><Relationship Id="rId4" Type="http://schemas.openxmlformats.org/officeDocument/2006/relationships/settings" Target="settings.xml"/><Relationship Id="rId9" Type="http://schemas.openxmlformats.org/officeDocument/2006/relationships/hyperlink" Target="https://plus.lexis.com/api/document/collection/cases/id/3RRM-WVJ0-0040-00NB-00000-00?cite=151%20Colo.%2012&amp;context=153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79FE-5B5C-4CD1-8E9E-C3C375BE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11997</Words>
  <Characters>68388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34</dc:title>
  <dc:subject/>
  <dc:creator>Krista Schelhaas</dc:creator>
  <cp:keywords/>
  <dc:description/>
  <cp:lastModifiedBy>beck, jeremy</cp:lastModifiedBy>
  <cp:revision>3</cp:revision>
  <cp:lastPrinted>2024-01-05T18:55:00Z</cp:lastPrinted>
  <dcterms:created xsi:type="dcterms:W3CDTF">2025-01-27T22:37:00Z</dcterms:created>
  <dcterms:modified xsi:type="dcterms:W3CDTF">2025-02-11T19:23:00Z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tartEditDateTime">
    <vt:lpwstr>2024-07-03T09:53:37</vt:lpwstr>
  </property>
  <property fmtid="{D5CDD505-2E9C-101B-9397-08002B2CF9AE}" pid="3" name="CBWordSessionId">
    <vt:lpwstr>c17c850b-83e3-4647-a867-bc45dec40151</vt:lpwstr>
  </property>
</Properties>
</file>