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2"/>
        <w:gridCol w:w="3441"/>
      </w:tblGrid>
      <w:tr w:rsidR="00774270" w:rsidRPr="00F3736C" w14:paraId="6017F036" w14:textId="77777777" w:rsidTr="00774270">
        <w:trPr>
          <w:cantSplit/>
          <w:trHeight w:val="1020"/>
        </w:trPr>
        <w:tc>
          <w:tcPr>
            <w:tcW w:w="6032" w:type="dxa"/>
          </w:tcPr>
          <w:p w14:paraId="4F18263D"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DISTRICT COURT</w:t>
            </w:r>
          </w:p>
          <w:p w14:paraId="6C7FD22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CITY &amp; COUNTY OF DENVER</w:t>
            </w:r>
          </w:p>
          <w:p w14:paraId="7EADA31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1437 Bannock Street</w:t>
            </w:r>
          </w:p>
          <w:p w14:paraId="6655A3E8"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Denver, Colorado 80202</w:t>
            </w:r>
          </w:p>
        </w:tc>
        <w:tc>
          <w:tcPr>
            <w:tcW w:w="3441" w:type="dxa"/>
            <w:vMerge w:val="restart"/>
          </w:tcPr>
          <w:p w14:paraId="7E7DE84C" w14:textId="77777777" w:rsidR="00774270" w:rsidRPr="00F3736C" w:rsidRDefault="00774270" w:rsidP="0035733D">
            <w:pPr>
              <w:spacing w:after="0" w:line="240" w:lineRule="auto"/>
              <w:ind w:right="-288"/>
              <w:rPr>
                <w:rFonts w:ascii="Bookman Old Style" w:eastAsia="Times New Roman" w:hAnsi="Bookman Old Style" w:cs="Times New Roman"/>
                <w:spacing w:val="-2"/>
                <w:sz w:val="24"/>
                <w:szCs w:val="24"/>
              </w:rPr>
            </w:pPr>
          </w:p>
          <w:p w14:paraId="3F45B6D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083A95F"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60590DC"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1E92F86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504EE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2EEFB256"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3C994C7B" w14:textId="77777777" w:rsidR="00774270" w:rsidRPr="00F3736C" w:rsidRDefault="00774270" w:rsidP="0035733D">
            <w:pPr>
              <w:spacing w:after="0" w:line="240" w:lineRule="auto"/>
              <w:jc w:val="center"/>
              <w:rPr>
                <w:rFonts w:ascii="Bookman Old Style" w:eastAsia="Times New Roman" w:hAnsi="Bookman Old Style" w:cs="Times New Roman"/>
                <w:b/>
                <w:bCs/>
                <w:spacing w:val="-2"/>
                <w:sz w:val="24"/>
                <w:szCs w:val="24"/>
              </w:rPr>
            </w:pPr>
            <w:proofErr w:type="gramStart"/>
            <w:r w:rsidRPr="00F3736C">
              <w:rPr>
                <w:rFonts w:ascii="Bookman Old Style" w:eastAsia="Times New Roman" w:hAnsi="Bookman Old Style" w:cs="Times New Roman"/>
                <w:spacing w:val="-2"/>
                <w:sz w:val="24"/>
                <w:szCs w:val="24"/>
              </w:rPr>
              <w:t xml:space="preserve">▲  </w:t>
            </w:r>
            <w:r w:rsidRPr="00F3736C">
              <w:rPr>
                <w:rFonts w:ascii="Bookman Old Style" w:eastAsia="Times New Roman" w:hAnsi="Bookman Old Style" w:cs="Times New Roman"/>
                <w:b/>
                <w:spacing w:val="-2"/>
                <w:sz w:val="24"/>
                <w:szCs w:val="24"/>
              </w:rPr>
              <w:t>COURT</w:t>
            </w:r>
            <w:proofErr w:type="gramEnd"/>
            <w:r w:rsidRPr="00F3736C">
              <w:rPr>
                <w:rFonts w:ascii="Bookman Old Style" w:eastAsia="Times New Roman" w:hAnsi="Bookman Old Style" w:cs="Times New Roman"/>
                <w:b/>
                <w:spacing w:val="-2"/>
                <w:sz w:val="24"/>
                <w:szCs w:val="24"/>
              </w:rPr>
              <w:t xml:space="preserve"> USE ONLY  </w:t>
            </w:r>
            <w:r w:rsidRPr="00F3736C">
              <w:rPr>
                <w:rFonts w:ascii="Bookman Old Style" w:eastAsia="Times New Roman" w:hAnsi="Bookman Old Style" w:cs="Times New Roman"/>
                <w:spacing w:val="-2"/>
                <w:sz w:val="24"/>
                <w:szCs w:val="24"/>
              </w:rPr>
              <w:t>▲</w:t>
            </w:r>
            <w:r w:rsidRPr="00F3736C">
              <w:rPr>
                <w:rFonts w:ascii="Bookman Old Style" w:eastAsia="Times New Roman" w:hAnsi="Bookman Old Style" w:cs="Times New Roman"/>
                <w:b/>
                <w:bCs/>
                <w:spacing w:val="-2"/>
                <w:sz w:val="24"/>
                <w:szCs w:val="24"/>
              </w:rPr>
              <w:t xml:space="preserve">  </w:t>
            </w:r>
          </w:p>
        </w:tc>
      </w:tr>
      <w:tr w:rsidR="00774270" w:rsidRPr="00F3736C" w14:paraId="32C06984" w14:textId="77777777" w:rsidTr="00774270">
        <w:trPr>
          <w:cantSplit/>
          <w:trHeight w:val="980"/>
        </w:trPr>
        <w:tc>
          <w:tcPr>
            <w:tcW w:w="6032" w:type="dxa"/>
            <w:vMerge w:val="restart"/>
          </w:tcPr>
          <w:p w14:paraId="1167262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ACCFA37"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spacing w:val="-2"/>
                <w:sz w:val="24"/>
                <w:szCs w:val="24"/>
              </w:rPr>
            </w:pPr>
          </w:p>
          <w:p w14:paraId="74A7CB3F"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bCs/>
                <w:sz w:val="24"/>
                <w:szCs w:val="24"/>
                <w:lang w:bidi="en-US"/>
              </w:rPr>
            </w:pPr>
          </w:p>
        </w:tc>
        <w:tc>
          <w:tcPr>
            <w:tcW w:w="3441" w:type="dxa"/>
            <w:vMerge/>
          </w:tcPr>
          <w:p w14:paraId="642D23B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7247A817" w14:textId="77777777" w:rsidTr="00774270">
        <w:trPr>
          <w:cantSplit/>
          <w:trHeight w:val="1104"/>
        </w:trPr>
        <w:tc>
          <w:tcPr>
            <w:tcW w:w="6032" w:type="dxa"/>
            <w:vMerge/>
            <w:tcBorders>
              <w:bottom w:val="single" w:sz="4" w:space="0" w:color="auto"/>
            </w:tcBorders>
          </w:tcPr>
          <w:p w14:paraId="1A9CC9B8"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c>
          <w:tcPr>
            <w:tcW w:w="3441" w:type="dxa"/>
            <w:tcBorders>
              <w:bottom w:val="single" w:sz="4" w:space="0" w:color="auto"/>
            </w:tcBorders>
          </w:tcPr>
          <w:p w14:paraId="0BF34661"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3FE9B2ED" w14:textId="77777777" w:rsidR="0046332F" w:rsidRDefault="0046332F" w:rsidP="0035733D">
            <w:pPr>
              <w:spacing w:after="0" w:line="240" w:lineRule="auto"/>
              <w:rPr>
                <w:rFonts w:ascii="Bookman Old Style" w:eastAsia="Times New Roman" w:hAnsi="Bookman Old Style" w:cs="Times New Roman"/>
                <w:spacing w:val="-2"/>
                <w:sz w:val="24"/>
                <w:szCs w:val="24"/>
              </w:rPr>
            </w:pPr>
          </w:p>
          <w:p w14:paraId="37AF16D2" w14:textId="37512AF4" w:rsidR="00774270"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 xml:space="preserve">Courtroom:  </w:t>
            </w:r>
            <w:r w:rsidR="002F723A">
              <w:rPr>
                <w:rFonts w:ascii="Bookman Old Style" w:eastAsia="Times New Roman" w:hAnsi="Bookman Old Style" w:cs="Times New Roman"/>
                <w:spacing w:val="-2"/>
                <w:sz w:val="24"/>
                <w:szCs w:val="24"/>
              </w:rPr>
              <w:t>4G</w:t>
            </w:r>
          </w:p>
          <w:p w14:paraId="2E82D358" w14:textId="77777777" w:rsidR="0046332F" w:rsidRPr="00F3736C" w:rsidRDefault="0046332F" w:rsidP="0035733D">
            <w:pPr>
              <w:spacing w:after="0" w:line="240" w:lineRule="auto"/>
              <w:rPr>
                <w:rFonts w:ascii="Bookman Old Style" w:eastAsia="Times New Roman" w:hAnsi="Bookman Old Style" w:cs="Times New Roman"/>
                <w:spacing w:val="-2"/>
                <w:sz w:val="24"/>
                <w:szCs w:val="24"/>
              </w:rPr>
            </w:pPr>
          </w:p>
          <w:p w14:paraId="530B444A"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0F2BF436" w14:textId="77777777" w:rsidTr="00F3736C">
        <w:trPr>
          <w:cantSplit/>
          <w:trHeight w:val="350"/>
        </w:trPr>
        <w:tc>
          <w:tcPr>
            <w:tcW w:w="9473" w:type="dxa"/>
            <w:gridSpan w:val="2"/>
          </w:tcPr>
          <w:p w14:paraId="4208790F"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4B2A6489" w14:textId="77777777" w:rsidR="0053284C" w:rsidRDefault="0053284C" w:rsidP="0053284C">
            <w:pPr>
              <w:spacing w:after="0" w:line="240" w:lineRule="auto"/>
              <w:jc w:val="center"/>
              <w:rPr>
                <w:rFonts w:ascii="Bookman Old Style" w:eastAsia="Times New Roman" w:hAnsi="Bookman Old Style" w:cs="Times New Roman"/>
                <w:b/>
                <w:bCs/>
                <w:spacing w:val="-2"/>
                <w:sz w:val="24"/>
                <w:szCs w:val="24"/>
              </w:rPr>
            </w:pPr>
            <w:r>
              <w:rPr>
                <w:rFonts w:ascii="Bookman Old Style" w:eastAsia="Times New Roman" w:hAnsi="Bookman Old Style" w:cs="Times New Roman"/>
                <w:b/>
                <w:bCs/>
                <w:spacing w:val="-2"/>
                <w:sz w:val="24"/>
                <w:szCs w:val="24"/>
              </w:rPr>
              <w:t xml:space="preserve">STANDING ORDER RE: PROCEDURES FOR </w:t>
            </w:r>
          </w:p>
          <w:p w14:paraId="5A191448" w14:textId="0D3F2991" w:rsidR="00774270" w:rsidRPr="00F3736C" w:rsidRDefault="0053284C" w:rsidP="0035733D">
            <w:pPr>
              <w:spacing w:line="240" w:lineRule="auto"/>
              <w:jc w:val="center"/>
              <w:rPr>
                <w:rFonts w:ascii="Bookman Old Style" w:eastAsia="Times New Roman" w:hAnsi="Bookman Old Style" w:cs="Times New Roman"/>
                <w:b/>
                <w:bCs/>
                <w:spacing w:val="-2"/>
                <w:sz w:val="24"/>
                <w:szCs w:val="24"/>
              </w:rPr>
            </w:pPr>
            <w:r>
              <w:rPr>
                <w:rFonts w:ascii="Bookman Old Style" w:eastAsia="Times New Roman" w:hAnsi="Bookman Old Style" w:cs="Times New Roman"/>
                <w:b/>
                <w:bCs/>
                <w:spacing w:val="-2"/>
                <w:sz w:val="24"/>
                <w:szCs w:val="24"/>
              </w:rPr>
              <w:t>REVERSE TRANSFER HEARINGS</w:t>
            </w:r>
          </w:p>
        </w:tc>
      </w:tr>
    </w:tbl>
    <w:p w14:paraId="24447E3B" w14:textId="77777777" w:rsidR="009D6312" w:rsidRPr="00F3736C" w:rsidRDefault="009D6312">
      <w:pPr>
        <w:rPr>
          <w:rFonts w:ascii="Bookman Old Style" w:hAnsi="Bookman Old Style" w:cs="Times New Roman"/>
          <w:sz w:val="24"/>
          <w:szCs w:val="24"/>
        </w:rPr>
      </w:pPr>
    </w:p>
    <w:p w14:paraId="2206FBDB" w14:textId="55AD216A" w:rsidR="00536BF0" w:rsidRDefault="00774270" w:rsidP="00C924AF">
      <w:pPr>
        <w:pStyle w:val="Footnoe"/>
        <w:jc w:val="both"/>
        <w:rPr>
          <w:rFonts w:ascii="Bookman Old Style" w:hAnsi="Bookman Old Style"/>
          <w:sz w:val="24"/>
        </w:rPr>
      </w:pPr>
      <w:r w:rsidRPr="00F3736C">
        <w:rPr>
          <w:rFonts w:ascii="Bookman Old Style" w:hAnsi="Bookman Old Style"/>
          <w:sz w:val="24"/>
        </w:rPr>
        <w:tab/>
      </w:r>
      <w:r w:rsidR="00DF2BAC">
        <w:rPr>
          <w:rFonts w:ascii="Bookman Old Style" w:hAnsi="Bookman Old Style"/>
          <w:sz w:val="24"/>
        </w:rPr>
        <w:t>O</w:t>
      </w:r>
      <w:r w:rsidR="00DF2BAC" w:rsidRPr="00DF2BAC">
        <w:rPr>
          <w:rFonts w:ascii="Bookman Old Style" w:hAnsi="Bookman Old Style"/>
          <w:sz w:val="24"/>
        </w:rPr>
        <w:t xml:space="preserve">ther than listing 11 factors </w:t>
      </w:r>
      <w:r w:rsidR="00CC5ECE">
        <w:rPr>
          <w:rFonts w:ascii="Bookman Old Style" w:hAnsi="Bookman Old Style"/>
          <w:sz w:val="24"/>
        </w:rPr>
        <w:t>a c</w:t>
      </w:r>
      <w:r w:rsidR="00DF2BAC" w:rsidRPr="00DF2BAC">
        <w:rPr>
          <w:rFonts w:ascii="Bookman Old Style" w:hAnsi="Bookman Old Style"/>
          <w:sz w:val="24"/>
        </w:rPr>
        <w:t>ourt is to consider</w:t>
      </w:r>
      <w:r w:rsidR="00DF2BAC">
        <w:rPr>
          <w:rFonts w:ascii="Bookman Old Style" w:hAnsi="Bookman Old Style"/>
          <w:sz w:val="24"/>
        </w:rPr>
        <w:t>, t</w:t>
      </w:r>
      <w:r w:rsidR="00DF2BAC" w:rsidRPr="00DF2BAC">
        <w:rPr>
          <w:rFonts w:ascii="Bookman Old Style" w:hAnsi="Bookman Old Style"/>
          <w:sz w:val="24"/>
        </w:rPr>
        <w:t xml:space="preserve">here is little, if any, guidance from the statute on the nature </w:t>
      </w:r>
      <w:r w:rsidR="00DF2BAC">
        <w:rPr>
          <w:rFonts w:ascii="Bookman Old Style" w:hAnsi="Bookman Old Style"/>
          <w:sz w:val="24"/>
        </w:rPr>
        <w:t xml:space="preserve">of </w:t>
      </w:r>
      <w:r w:rsidR="00CC5ECE">
        <w:rPr>
          <w:rFonts w:ascii="Bookman Old Style" w:hAnsi="Bookman Old Style"/>
          <w:sz w:val="24"/>
        </w:rPr>
        <w:t xml:space="preserve">the </w:t>
      </w:r>
      <w:r w:rsidR="00DF2BAC">
        <w:rPr>
          <w:rFonts w:ascii="Bookman Old Style" w:hAnsi="Bookman Old Style"/>
          <w:sz w:val="24"/>
        </w:rPr>
        <w:t>reverse transfer hearing</w:t>
      </w:r>
      <w:r w:rsidR="00D86B33">
        <w:rPr>
          <w:rFonts w:ascii="Bookman Old Style" w:hAnsi="Bookman Old Style"/>
          <w:sz w:val="24"/>
        </w:rPr>
        <w:t xml:space="preserve"> (“RTH”)</w:t>
      </w:r>
      <w:r w:rsidR="00DF2BAC" w:rsidRPr="00DF2BAC">
        <w:rPr>
          <w:rFonts w:ascii="Bookman Old Style" w:hAnsi="Bookman Old Style"/>
          <w:sz w:val="24"/>
        </w:rPr>
        <w:t>.</w:t>
      </w:r>
      <w:r w:rsidR="00DF2BAC">
        <w:rPr>
          <w:rFonts w:ascii="Bookman Old Style" w:hAnsi="Bookman Old Style"/>
          <w:sz w:val="24"/>
        </w:rPr>
        <w:t xml:space="preserve">  C.R.S. § 19-2.5-801(4)(b).</w:t>
      </w:r>
      <w:r w:rsidR="00C50C62">
        <w:rPr>
          <w:rFonts w:ascii="Bookman Old Style" w:hAnsi="Bookman Old Style"/>
          <w:sz w:val="24"/>
        </w:rPr>
        <w:t xml:space="preserve">  </w:t>
      </w:r>
      <w:r w:rsidR="00E93FF0" w:rsidRPr="00E93FF0">
        <w:rPr>
          <w:rFonts w:ascii="Bookman Old Style" w:hAnsi="Bookman Old Style"/>
          <w:sz w:val="24"/>
        </w:rPr>
        <w:t xml:space="preserve">Frankly, </w:t>
      </w:r>
      <w:r w:rsidR="00E93FF0">
        <w:rPr>
          <w:rFonts w:ascii="Bookman Old Style" w:hAnsi="Bookman Old Style"/>
          <w:sz w:val="24"/>
        </w:rPr>
        <w:t>the statute is</w:t>
      </w:r>
      <w:r w:rsidR="00E93FF0" w:rsidRPr="00E93FF0">
        <w:rPr>
          <w:rFonts w:ascii="Bookman Old Style" w:hAnsi="Bookman Old Style"/>
          <w:sz w:val="24"/>
        </w:rPr>
        <w:t xml:space="preserve"> ambiguous as to whether </w:t>
      </w:r>
      <w:r w:rsidR="00536BF0">
        <w:rPr>
          <w:rFonts w:ascii="Bookman Old Style" w:hAnsi="Bookman Old Style"/>
          <w:sz w:val="24"/>
        </w:rPr>
        <w:t>a court</w:t>
      </w:r>
      <w:r w:rsidR="00E93FF0" w:rsidRPr="00E93FF0">
        <w:rPr>
          <w:rFonts w:ascii="Bookman Old Style" w:hAnsi="Bookman Old Style"/>
          <w:sz w:val="24"/>
        </w:rPr>
        <w:t xml:space="preserve"> </w:t>
      </w:r>
      <w:r w:rsidR="00E93FF0">
        <w:rPr>
          <w:rFonts w:ascii="Bookman Old Style" w:hAnsi="Bookman Old Style"/>
          <w:sz w:val="24"/>
        </w:rPr>
        <w:t>must</w:t>
      </w:r>
      <w:r w:rsidR="00E93FF0" w:rsidRPr="00E93FF0">
        <w:rPr>
          <w:rFonts w:ascii="Bookman Old Style" w:hAnsi="Bookman Old Style"/>
          <w:sz w:val="24"/>
        </w:rPr>
        <w:t xml:space="preserve"> take evidence</w:t>
      </w:r>
      <w:r w:rsidR="00E93FF0">
        <w:rPr>
          <w:rFonts w:ascii="Bookman Old Style" w:hAnsi="Bookman Old Style"/>
          <w:sz w:val="24"/>
        </w:rPr>
        <w:t xml:space="preserve"> at all</w:t>
      </w:r>
      <w:r w:rsidR="00E93FF0" w:rsidRPr="00E93FF0">
        <w:rPr>
          <w:rFonts w:ascii="Bookman Old Style" w:hAnsi="Bookman Old Style"/>
          <w:sz w:val="24"/>
        </w:rPr>
        <w:t xml:space="preserve"> as opposed to </w:t>
      </w:r>
      <w:r w:rsidR="00E93FF0">
        <w:rPr>
          <w:rFonts w:ascii="Bookman Old Style" w:hAnsi="Bookman Old Style"/>
          <w:sz w:val="24"/>
        </w:rPr>
        <w:t xml:space="preserve">proceeding by </w:t>
      </w:r>
      <w:r w:rsidR="00E93FF0" w:rsidRPr="00E93FF0">
        <w:rPr>
          <w:rFonts w:ascii="Bookman Old Style" w:hAnsi="Bookman Old Style"/>
          <w:sz w:val="24"/>
        </w:rPr>
        <w:t>offer</w:t>
      </w:r>
      <w:r w:rsidR="00E93FF0">
        <w:rPr>
          <w:rFonts w:ascii="Bookman Old Style" w:hAnsi="Bookman Old Style"/>
          <w:sz w:val="24"/>
        </w:rPr>
        <w:t>s</w:t>
      </w:r>
      <w:r w:rsidR="00E93FF0" w:rsidRPr="00E93FF0">
        <w:rPr>
          <w:rFonts w:ascii="Bookman Old Style" w:hAnsi="Bookman Old Style"/>
          <w:sz w:val="24"/>
        </w:rPr>
        <w:t xml:space="preserve"> of proof.</w:t>
      </w:r>
      <w:r w:rsidR="00536BF0">
        <w:rPr>
          <w:rFonts w:ascii="Bookman Old Style" w:hAnsi="Bookman Old Style"/>
          <w:sz w:val="24"/>
        </w:rPr>
        <w:t xml:space="preserve">  To provide guidance, I issue this order so that counsel will be aware of the procedures that will be followed in my </w:t>
      </w:r>
      <w:r w:rsidR="00CC5ECE">
        <w:rPr>
          <w:rFonts w:ascii="Bookman Old Style" w:hAnsi="Bookman Old Style"/>
          <w:sz w:val="24"/>
        </w:rPr>
        <w:t>C</w:t>
      </w:r>
      <w:r w:rsidR="00536BF0">
        <w:rPr>
          <w:rFonts w:ascii="Bookman Old Style" w:hAnsi="Bookman Old Style"/>
          <w:sz w:val="24"/>
        </w:rPr>
        <w:t>ourt.</w:t>
      </w:r>
    </w:p>
    <w:p w14:paraId="71107C52" w14:textId="67643CAB" w:rsidR="00D86B33" w:rsidRDefault="00536BF0" w:rsidP="00C924AF">
      <w:pPr>
        <w:pStyle w:val="Footnoe"/>
        <w:numPr>
          <w:ilvl w:val="0"/>
          <w:numId w:val="5"/>
        </w:numPr>
        <w:rPr>
          <w:rFonts w:ascii="Bookman Old Style" w:hAnsi="Bookman Old Style"/>
          <w:sz w:val="24"/>
          <w:u w:val="single"/>
        </w:rPr>
      </w:pPr>
      <w:r w:rsidRPr="00D86B33">
        <w:rPr>
          <w:rFonts w:ascii="Bookman Old Style" w:hAnsi="Bookman Old Style"/>
          <w:sz w:val="24"/>
          <w:u w:val="single"/>
        </w:rPr>
        <w:t>Burdens and Procedures</w:t>
      </w:r>
      <w:r w:rsidR="00CC5ECE">
        <w:rPr>
          <w:rFonts w:ascii="Bookman Old Style" w:hAnsi="Bookman Old Style"/>
          <w:sz w:val="24"/>
        </w:rPr>
        <w:t>.</w:t>
      </w:r>
    </w:p>
    <w:p w14:paraId="27390FA1" w14:textId="46642E23" w:rsidR="00D86B33" w:rsidRPr="00D86B33" w:rsidRDefault="00536BF0" w:rsidP="00C924AF">
      <w:pPr>
        <w:pStyle w:val="Footnoe"/>
        <w:numPr>
          <w:ilvl w:val="1"/>
          <w:numId w:val="5"/>
        </w:numPr>
        <w:rPr>
          <w:rFonts w:ascii="Bookman Old Style" w:hAnsi="Bookman Old Style"/>
          <w:sz w:val="24"/>
          <w:u w:val="single"/>
        </w:rPr>
      </w:pPr>
      <w:r w:rsidRPr="00D86B33">
        <w:rPr>
          <w:rFonts w:ascii="Bookman Old Style" w:hAnsi="Bookman Old Style"/>
          <w:spacing w:val="-2"/>
          <w:sz w:val="24"/>
          <w:u w:val="single"/>
        </w:rPr>
        <w:t>Preliminary Hearing</w:t>
      </w:r>
      <w:r w:rsidR="004C0ED3">
        <w:rPr>
          <w:rFonts w:ascii="Bookman Old Style" w:hAnsi="Bookman Old Style"/>
          <w:spacing w:val="-2"/>
          <w:sz w:val="24"/>
          <w:u w:val="single"/>
        </w:rPr>
        <w:t xml:space="preserve"> (PH)</w:t>
      </w:r>
      <w:r w:rsidRPr="00D86B33">
        <w:rPr>
          <w:rFonts w:ascii="Bookman Old Style" w:hAnsi="Bookman Old Style"/>
          <w:spacing w:val="-2"/>
          <w:sz w:val="24"/>
        </w:rPr>
        <w:t xml:space="preserve">.  </w:t>
      </w:r>
    </w:p>
    <w:p w14:paraId="03B1C567" w14:textId="05E3D171" w:rsidR="00536BF0" w:rsidRPr="00D86B33" w:rsidRDefault="00CC5ECE" w:rsidP="00C924AF">
      <w:pPr>
        <w:pStyle w:val="Footnoe"/>
        <w:ind w:firstLine="720"/>
        <w:rPr>
          <w:rFonts w:ascii="Bookman Old Style" w:hAnsi="Bookman Old Style"/>
          <w:sz w:val="24"/>
          <w:u w:val="single"/>
        </w:rPr>
      </w:pPr>
      <w:r>
        <w:rPr>
          <w:rFonts w:ascii="Bookman Old Style" w:hAnsi="Bookman Old Style"/>
          <w:spacing w:val="-2"/>
          <w:sz w:val="24"/>
        </w:rPr>
        <w:t>When a</w:t>
      </w:r>
      <w:r w:rsidR="00536BF0" w:rsidRPr="00D86B33">
        <w:rPr>
          <w:rFonts w:ascii="Bookman Old Style" w:hAnsi="Bookman Old Style"/>
          <w:spacing w:val="-2"/>
          <w:sz w:val="24"/>
        </w:rPr>
        <w:t xml:space="preserve"> PH is combined with a RTH, th</w:t>
      </w:r>
      <w:r>
        <w:rPr>
          <w:rFonts w:ascii="Bookman Old Style" w:hAnsi="Bookman Old Style"/>
          <w:spacing w:val="-2"/>
          <w:sz w:val="24"/>
        </w:rPr>
        <w:t>e PH</w:t>
      </w:r>
      <w:r w:rsidR="00536BF0" w:rsidRPr="00D86B33">
        <w:rPr>
          <w:rFonts w:ascii="Bookman Old Style" w:hAnsi="Bookman Old Style"/>
          <w:spacing w:val="-2"/>
          <w:sz w:val="24"/>
        </w:rPr>
        <w:t xml:space="preserve"> will be held first.  As usual, the People bear the burden of proof to establish probable cause for PH eligible</w:t>
      </w:r>
      <w:r w:rsidR="004C0ED3">
        <w:rPr>
          <w:rFonts w:ascii="Bookman Old Style" w:hAnsi="Bookman Old Style"/>
          <w:spacing w:val="-2"/>
          <w:sz w:val="24"/>
        </w:rPr>
        <w:t xml:space="preserve"> </w:t>
      </w:r>
      <w:r>
        <w:rPr>
          <w:rFonts w:ascii="Bookman Old Style" w:hAnsi="Bookman Old Style"/>
          <w:spacing w:val="-2"/>
          <w:sz w:val="24"/>
        </w:rPr>
        <w:t>offenses</w:t>
      </w:r>
      <w:r w:rsidR="00536BF0" w:rsidRPr="00D86B33">
        <w:rPr>
          <w:rFonts w:ascii="Bookman Old Style" w:hAnsi="Bookman Old Style"/>
          <w:spacing w:val="-2"/>
          <w:sz w:val="24"/>
        </w:rPr>
        <w:t>.</w:t>
      </w:r>
    </w:p>
    <w:p w14:paraId="2EE64698" w14:textId="2F7333E7" w:rsidR="00D86B33" w:rsidRDefault="00536BF0" w:rsidP="00C924AF">
      <w:pPr>
        <w:pStyle w:val="ListParagraph"/>
        <w:numPr>
          <w:ilvl w:val="1"/>
          <w:numId w:val="5"/>
        </w:numPr>
        <w:spacing w:before="240" w:after="240" w:line="276" w:lineRule="auto"/>
        <w:jc w:val="both"/>
        <w:rPr>
          <w:rFonts w:ascii="Bookman Old Style" w:hAnsi="Bookman Old Style"/>
          <w:spacing w:val="-2"/>
          <w:sz w:val="24"/>
          <w:szCs w:val="24"/>
        </w:rPr>
      </w:pPr>
      <w:r w:rsidRPr="00D86B33">
        <w:rPr>
          <w:rFonts w:ascii="Bookman Old Style" w:hAnsi="Bookman Old Style"/>
          <w:spacing w:val="-2"/>
          <w:sz w:val="24"/>
          <w:szCs w:val="24"/>
          <w:u w:val="single"/>
        </w:rPr>
        <w:t>Reverse Transfer Hearing</w:t>
      </w:r>
      <w:r w:rsidRPr="00D86B33">
        <w:rPr>
          <w:rFonts w:ascii="Bookman Old Style" w:hAnsi="Bookman Old Style"/>
          <w:spacing w:val="-2"/>
          <w:sz w:val="24"/>
          <w:szCs w:val="24"/>
        </w:rPr>
        <w:t>.</w:t>
      </w:r>
      <w:r w:rsidR="00A9465B">
        <w:rPr>
          <w:rStyle w:val="FootnoteReference"/>
          <w:rFonts w:ascii="Bookman Old Style" w:hAnsi="Bookman Old Style"/>
          <w:spacing w:val="-2"/>
          <w:sz w:val="24"/>
          <w:szCs w:val="24"/>
        </w:rPr>
        <w:footnoteReference w:id="1"/>
      </w:r>
      <w:r w:rsidRPr="00D86B33">
        <w:rPr>
          <w:rFonts w:ascii="Bookman Old Style" w:hAnsi="Bookman Old Style"/>
          <w:spacing w:val="-2"/>
          <w:sz w:val="24"/>
          <w:szCs w:val="24"/>
        </w:rPr>
        <w:t xml:space="preserve">  </w:t>
      </w:r>
    </w:p>
    <w:p w14:paraId="11858223" w14:textId="3149552B" w:rsidR="00B12973" w:rsidRPr="00D86B33" w:rsidRDefault="00C924AF" w:rsidP="00C924AF">
      <w:pPr>
        <w:spacing w:before="240" w:after="240"/>
        <w:ind w:firstLine="720"/>
        <w:jc w:val="both"/>
        <w:rPr>
          <w:rFonts w:ascii="Bookman Old Style" w:hAnsi="Bookman Old Style"/>
          <w:spacing w:val="-2"/>
          <w:sz w:val="24"/>
          <w:szCs w:val="24"/>
        </w:rPr>
      </w:pPr>
      <w:r>
        <w:rPr>
          <w:rFonts w:ascii="Bookman Old Style" w:hAnsi="Bookman Old Style"/>
          <w:spacing w:val="-2"/>
          <w:sz w:val="24"/>
          <w:szCs w:val="24"/>
        </w:rPr>
        <w:t xml:space="preserve">The RTH </w:t>
      </w:r>
      <w:r w:rsidRPr="00D86B33">
        <w:rPr>
          <w:rFonts w:ascii="Bookman Old Style" w:hAnsi="Bookman Old Style"/>
          <w:spacing w:val="-2"/>
          <w:sz w:val="24"/>
          <w:szCs w:val="24"/>
        </w:rPr>
        <w:t>will begin once the PH has concluded</w:t>
      </w:r>
      <w:r>
        <w:rPr>
          <w:rFonts w:ascii="Bookman Old Style" w:hAnsi="Bookman Old Style"/>
          <w:spacing w:val="-2"/>
          <w:sz w:val="24"/>
          <w:szCs w:val="24"/>
        </w:rPr>
        <w:t xml:space="preserve">.  </w:t>
      </w:r>
      <w:r w:rsidRPr="00D86B33">
        <w:rPr>
          <w:rFonts w:ascii="Bookman Old Style" w:hAnsi="Bookman Old Style"/>
          <w:spacing w:val="-2"/>
          <w:sz w:val="24"/>
          <w:szCs w:val="24"/>
        </w:rPr>
        <w:t xml:space="preserve"> </w:t>
      </w:r>
      <w:r>
        <w:rPr>
          <w:rFonts w:ascii="Bookman Old Style" w:hAnsi="Bookman Old Style"/>
          <w:spacing w:val="-2"/>
          <w:sz w:val="24"/>
          <w:szCs w:val="24"/>
        </w:rPr>
        <w:t xml:space="preserve">As the </w:t>
      </w:r>
      <w:r w:rsidR="00536BF0" w:rsidRPr="00D86B33">
        <w:rPr>
          <w:rFonts w:ascii="Bookman Old Style" w:hAnsi="Bookman Old Style"/>
          <w:spacing w:val="-2"/>
          <w:sz w:val="24"/>
          <w:szCs w:val="24"/>
        </w:rPr>
        <w:t>moving party on the question of whether the case should be transferred to the Juvenile Cour</w:t>
      </w:r>
      <w:r>
        <w:rPr>
          <w:rFonts w:ascii="Bookman Old Style" w:hAnsi="Bookman Old Style"/>
          <w:spacing w:val="-2"/>
          <w:sz w:val="24"/>
          <w:szCs w:val="24"/>
        </w:rPr>
        <w:t xml:space="preserve">t, the Defense </w:t>
      </w:r>
      <w:r w:rsidR="00536BF0" w:rsidRPr="00D86B33">
        <w:rPr>
          <w:rFonts w:ascii="Bookman Old Style" w:hAnsi="Bookman Old Style"/>
          <w:spacing w:val="-2"/>
          <w:sz w:val="24"/>
          <w:szCs w:val="24"/>
        </w:rPr>
        <w:t xml:space="preserve">will present its evidence first for that portion of the hearing, </w:t>
      </w:r>
    </w:p>
    <w:p w14:paraId="09A2D70C" w14:textId="3EAB2063" w:rsidR="00B12973" w:rsidRDefault="00536BF0" w:rsidP="00C924AF">
      <w:pPr>
        <w:spacing w:before="240" w:after="240"/>
        <w:ind w:firstLine="720"/>
        <w:jc w:val="both"/>
        <w:rPr>
          <w:rFonts w:ascii="Bookman Old Style" w:hAnsi="Bookman Old Style"/>
          <w:spacing w:val="-2"/>
          <w:sz w:val="24"/>
          <w:szCs w:val="24"/>
        </w:rPr>
      </w:pPr>
      <w:r w:rsidRPr="00536BF0">
        <w:rPr>
          <w:rFonts w:ascii="Bookman Old Style" w:hAnsi="Bookman Old Style"/>
          <w:spacing w:val="-2"/>
          <w:sz w:val="24"/>
          <w:szCs w:val="24"/>
        </w:rPr>
        <w:lastRenderedPageBreak/>
        <w:t>No</w:t>
      </w:r>
      <w:r>
        <w:rPr>
          <w:rFonts w:ascii="Bookman Old Style" w:hAnsi="Bookman Old Style"/>
          <w:spacing w:val="-2"/>
          <w:sz w:val="24"/>
          <w:szCs w:val="24"/>
        </w:rPr>
        <w:t xml:space="preserve"> party will bear a</w:t>
      </w:r>
      <w:r w:rsidRPr="00536BF0">
        <w:rPr>
          <w:rFonts w:ascii="Bookman Old Style" w:hAnsi="Bookman Old Style"/>
          <w:spacing w:val="-2"/>
          <w:sz w:val="24"/>
          <w:szCs w:val="24"/>
        </w:rPr>
        <w:t xml:space="preserve"> burden of proof</w:t>
      </w:r>
      <w:r>
        <w:rPr>
          <w:rFonts w:ascii="Bookman Old Style" w:hAnsi="Bookman Old Style"/>
          <w:spacing w:val="-2"/>
          <w:sz w:val="24"/>
          <w:szCs w:val="24"/>
        </w:rPr>
        <w:t>.</w:t>
      </w:r>
      <w:r w:rsidR="00B12973">
        <w:rPr>
          <w:rFonts w:ascii="Bookman Old Style" w:hAnsi="Bookman Old Style"/>
          <w:spacing w:val="-2"/>
          <w:sz w:val="24"/>
          <w:szCs w:val="24"/>
        </w:rPr>
        <w:t xml:space="preserve">  A</w:t>
      </w:r>
      <w:r w:rsidR="00B12973" w:rsidRPr="00B12973">
        <w:rPr>
          <w:rFonts w:ascii="Bookman Old Style" w:hAnsi="Bookman Old Style"/>
          <w:spacing w:val="-2"/>
          <w:sz w:val="24"/>
          <w:szCs w:val="24"/>
        </w:rPr>
        <w:t xml:space="preserve"> party advocating any fact must establish that fact by a preponderance of the evidence</w:t>
      </w:r>
      <w:r w:rsidR="00C924AF">
        <w:rPr>
          <w:rFonts w:ascii="Bookman Old Style" w:hAnsi="Bookman Old Style"/>
          <w:spacing w:val="-2"/>
          <w:sz w:val="24"/>
          <w:szCs w:val="24"/>
        </w:rPr>
        <w:t xml:space="preserve"> (a burden of persuasion)</w:t>
      </w:r>
      <w:r w:rsidR="00B12973">
        <w:rPr>
          <w:rFonts w:ascii="Bookman Old Style" w:hAnsi="Bookman Old Style"/>
          <w:spacing w:val="-2"/>
          <w:sz w:val="24"/>
          <w:szCs w:val="24"/>
        </w:rPr>
        <w:t>.  As there is no burden</w:t>
      </w:r>
      <w:r w:rsidR="00C924AF">
        <w:rPr>
          <w:rFonts w:ascii="Bookman Old Style" w:hAnsi="Bookman Old Style"/>
          <w:spacing w:val="-2"/>
          <w:sz w:val="24"/>
          <w:szCs w:val="24"/>
        </w:rPr>
        <w:t xml:space="preserve"> of proof, </w:t>
      </w:r>
      <w:r w:rsidR="00B12973">
        <w:rPr>
          <w:rFonts w:ascii="Bookman Old Style" w:hAnsi="Bookman Old Style"/>
          <w:spacing w:val="-2"/>
          <w:sz w:val="24"/>
          <w:szCs w:val="24"/>
        </w:rPr>
        <w:t>no rebuttal case will be necess</w:t>
      </w:r>
      <w:r w:rsidR="00B12973" w:rsidRPr="00B12973">
        <w:rPr>
          <w:rFonts w:ascii="Bookman Old Style" w:hAnsi="Bookman Old Style"/>
          <w:spacing w:val="-2"/>
          <w:sz w:val="24"/>
          <w:szCs w:val="24"/>
        </w:rPr>
        <w:t>ary</w:t>
      </w:r>
      <w:r w:rsidR="004C0ED3">
        <w:rPr>
          <w:rFonts w:ascii="Bookman Old Style" w:hAnsi="Bookman Old Style"/>
          <w:spacing w:val="-2"/>
          <w:sz w:val="24"/>
          <w:szCs w:val="24"/>
        </w:rPr>
        <w:t xml:space="preserve"> though one may be permitted if requested </w:t>
      </w:r>
      <w:r w:rsidR="00CC5ECE">
        <w:rPr>
          <w:rFonts w:ascii="Bookman Old Style" w:hAnsi="Bookman Old Style"/>
          <w:spacing w:val="-2"/>
          <w:sz w:val="24"/>
          <w:szCs w:val="24"/>
        </w:rPr>
        <w:t>and</w:t>
      </w:r>
      <w:r w:rsidR="004C0ED3">
        <w:rPr>
          <w:rFonts w:ascii="Bookman Old Style" w:hAnsi="Bookman Old Style"/>
          <w:spacing w:val="-2"/>
          <w:sz w:val="24"/>
          <w:szCs w:val="24"/>
        </w:rPr>
        <w:t xml:space="preserve"> good cause</w:t>
      </w:r>
      <w:r w:rsidR="00CC5ECE">
        <w:rPr>
          <w:rFonts w:ascii="Bookman Old Style" w:hAnsi="Bookman Old Style"/>
          <w:spacing w:val="-2"/>
          <w:sz w:val="24"/>
          <w:szCs w:val="24"/>
        </w:rPr>
        <w:t xml:space="preserve"> is</w:t>
      </w:r>
      <w:r w:rsidR="004C0ED3">
        <w:rPr>
          <w:rFonts w:ascii="Bookman Old Style" w:hAnsi="Bookman Old Style"/>
          <w:spacing w:val="-2"/>
          <w:sz w:val="24"/>
          <w:szCs w:val="24"/>
        </w:rPr>
        <w:t xml:space="preserve"> shown</w:t>
      </w:r>
      <w:r w:rsidR="00B12973" w:rsidRPr="00B12973">
        <w:rPr>
          <w:rFonts w:ascii="Bookman Old Style" w:hAnsi="Bookman Old Style"/>
          <w:spacing w:val="-2"/>
          <w:sz w:val="24"/>
          <w:szCs w:val="24"/>
        </w:rPr>
        <w:t xml:space="preserve">.  </w:t>
      </w:r>
    </w:p>
    <w:p w14:paraId="7F151436" w14:textId="7127AFE6" w:rsidR="00F31B61" w:rsidRDefault="00B12973" w:rsidP="00C924AF">
      <w:pPr>
        <w:spacing w:before="240" w:after="240"/>
        <w:ind w:firstLine="720"/>
        <w:jc w:val="both"/>
        <w:rPr>
          <w:rFonts w:ascii="Bookman Old Style" w:hAnsi="Bookman Old Style"/>
          <w:spacing w:val="-2"/>
          <w:sz w:val="24"/>
          <w:szCs w:val="24"/>
        </w:rPr>
      </w:pPr>
      <w:r w:rsidRPr="00B12973">
        <w:rPr>
          <w:rFonts w:ascii="Bookman Old Style" w:hAnsi="Bookman Old Style"/>
          <w:spacing w:val="-2"/>
          <w:sz w:val="24"/>
          <w:szCs w:val="24"/>
        </w:rPr>
        <w:t xml:space="preserve">Upon the conclusion of the presentation of evidence, the Court </w:t>
      </w:r>
      <w:r w:rsidR="00416A9F">
        <w:rPr>
          <w:rFonts w:ascii="Bookman Old Style" w:hAnsi="Bookman Old Style"/>
          <w:spacing w:val="-2"/>
          <w:sz w:val="24"/>
          <w:szCs w:val="24"/>
        </w:rPr>
        <w:t xml:space="preserve">will </w:t>
      </w:r>
      <w:r w:rsidR="00CC5ECE">
        <w:rPr>
          <w:rFonts w:ascii="Bookman Old Style" w:hAnsi="Bookman Old Style"/>
          <w:spacing w:val="-2"/>
          <w:sz w:val="24"/>
          <w:szCs w:val="24"/>
        </w:rPr>
        <w:t xml:space="preserve">first rule on the PH issues, then it will </w:t>
      </w:r>
      <w:r w:rsidR="00416A9F" w:rsidRPr="00B12973">
        <w:rPr>
          <w:rFonts w:ascii="Bookman Old Style" w:hAnsi="Bookman Old Style"/>
          <w:spacing w:val="-2"/>
          <w:sz w:val="24"/>
          <w:szCs w:val="24"/>
        </w:rPr>
        <w:t>weigh all established facts and</w:t>
      </w:r>
      <w:r w:rsidR="00CC5ECE">
        <w:rPr>
          <w:rFonts w:ascii="Bookman Old Style" w:hAnsi="Bookman Old Style"/>
          <w:spacing w:val="-2"/>
          <w:sz w:val="24"/>
          <w:szCs w:val="24"/>
        </w:rPr>
        <w:t xml:space="preserve"> </w:t>
      </w:r>
      <w:r w:rsidR="00416A9F" w:rsidRPr="00B12973">
        <w:rPr>
          <w:rFonts w:ascii="Bookman Old Style" w:hAnsi="Bookman Old Style"/>
          <w:spacing w:val="-2"/>
          <w:sz w:val="24"/>
          <w:szCs w:val="24"/>
        </w:rPr>
        <w:t>determine</w:t>
      </w:r>
      <w:r w:rsidR="00CC5ECE">
        <w:rPr>
          <w:rFonts w:ascii="Bookman Old Style" w:hAnsi="Bookman Old Style"/>
          <w:spacing w:val="-2"/>
          <w:sz w:val="24"/>
          <w:szCs w:val="24"/>
        </w:rPr>
        <w:t>, in its discretion,</w:t>
      </w:r>
      <w:r w:rsidR="00416A9F" w:rsidRPr="00B12973">
        <w:rPr>
          <w:rFonts w:ascii="Bookman Old Style" w:hAnsi="Bookman Old Style"/>
          <w:spacing w:val="-2"/>
          <w:sz w:val="24"/>
          <w:szCs w:val="24"/>
        </w:rPr>
        <w:t xml:space="preserve"> the truth of the proposition</w:t>
      </w:r>
      <w:r w:rsidR="00CC5ECE">
        <w:rPr>
          <w:rFonts w:ascii="Bookman Old Style" w:hAnsi="Bookman Old Style"/>
          <w:spacing w:val="-2"/>
          <w:sz w:val="24"/>
          <w:szCs w:val="24"/>
        </w:rPr>
        <w:t>:  W</w:t>
      </w:r>
      <w:r w:rsidR="00416A9F" w:rsidRPr="00B12973">
        <w:rPr>
          <w:rFonts w:ascii="Bookman Old Style" w:hAnsi="Bookman Old Style"/>
          <w:spacing w:val="-2"/>
          <w:sz w:val="24"/>
          <w:szCs w:val="24"/>
        </w:rPr>
        <w:t>hether the juvenile and the community would be better served by transferring the case back to juvenile court jurisdiction.</w:t>
      </w:r>
      <w:r w:rsidRPr="00B12973">
        <w:rPr>
          <w:rFonts w:ascii="Bookman Old Style" w:hAnsi="Bookman Old Style"/>
          <w:spacing w:val="-2"/>
          <w:sz w:val="24"/>
          <w:szCs w:val="24"/>
        </w:rPr>
        <w:t xml:space="preserve"> </w:t>
      </w:r>
      <w:r w:rsidR="00536BF0">
        <w:rPr>
          <w:rFonts w:ascii="Bookman Old Style" w:hAnsi="Bookman Old Style"/>
          <w:spacing w:val="-2"/>
          <w:sz w:val="24"/>
          <w:szCs w:val="24"/>
        </w:rPr>
        <w:t xml:space="preserve">  </w:t>
      </w:r>
    </w:p>
    <w:p w14:paraId="7F912092" w14:textId="04543066" w:rsidR="00D86B33" w:rsidRPr="00D86B33" w:rsidRDefault="00D86B33" w:rsidP="00C924AF">
      <w:pPr>
        <w:pStyle w:val="ListParagraph"/>
        <w:numPr>
          <w:ilvl w:val="0"/>
          <w:numId w:val="5"/>
        </w:numPr>
        <w:spacing w:before="240" w:after="240" w:line="276" w:lineRule="auto"/>
        <w:jc w:val="both"/>
        <w:rPr>
          <w:rFonts w:ascii="Bookman Old Style" w:hAnsi="Bookman Old Style"/>
          <w:i/>
          <w:iCs/>
          <w:spacing w:val="-2"/>
          <w:sz w:val="24"/>
          <w:szCs w:val="24"/>
          <w:u w:val="single"/>
        </w:rPr>
      </w:pPr>
      <w:r>
        <w:rPr>
          <w:rFonts w:ascii="Bookman Old Style" w:hAnsi="Bookman Old Style"/>
          <w:spacing w:val="-2"/>
          <w:sz w:val="24"/>
          <w:szCs w:val="24"/>
          <w:u w:val="single"/>
        </w:rPr>
        <w:t xml:space="preserve">The </w:t>
      </w:r>
      <w:r w:rsidR="00817FE2" w:rsidRPr="00D86B33">
        <w:rPr>
          <w:rFonts w:ascii="Bookman Old Style" w:hAnsi="Bookman Old Style"/>
          <w:spacing w:val="-2"/>
          <w:sz w:val="24"/>
          <w:szCs w:val="24"/>
          <w:u w:val="single"/>
        </w:rPr>
        <w:t>Evidentiary Hearing</w:t>
      </w:r>
    </w:p>
    <w:p w14:paraId="1353E70D" w14:textId="77777777" w:rsidR="00D86B33" w:rsidRPr="00D86B33" w:rsidRDefault="00D86B33" w:rsidP="00C924AF">
      <w:pPr>
        <w:pStyle w:val="ListParagraph"/>
        <w:spacing w:before="240" w:after="240" w:line="276" w:lineRule="auto"/>
        <w:ind w:left="1080"/>
        <w:jc w:val="both"/>
        <w:rPr>
          <w:rFonts w:ascii="Bookman Old Style" w:hAnsi="Bookman Old Style"/>
          <w:i/>
          <w:iCs/>
          <w:spacing w:val="-2"/>
          <w:sz w:val="24"/>
          <w:szCs w:val="24"/>
          <w:u w:val="single"/>
        </w:rPr>
      </w:pPr>
    </w:p>
    <w:p w14:paraId="14BAF497" w14:textId="77777777" w:rsidR="00D86B33" w:rsidRPr="00D86B33" w:rsidRDefault="00C31118" w:rsidP="00C924AF">
      <w:pPr>
        <w:pStyle w:val="ListParagraph"/>
        <w:numPr>
          <w:ilvl w:val="1"/>
          <w:numId w:val="5"/>
        </w:numPr>
        <w:spacing w:before="240" w:after="240" w:line="276" w:lineRule="auto"/>
        <w:jc w:val="both"/>
        <w:rPr>
          <w:rFonts w:ascii="Bookman Old Style" w:hAnsi="Bookman Old Style"/>
          <w:i/>
          <w:iCs/>
          <w:spacing w:val="-2"/>
          <w:sz w:val="24"/>
          <w:szCs w:val="24"/>
          <w:u w:val="single"/>
        </w:rPr>
      </w:pPr>
      <w:r w:rsidRPr="00D86B33">
        <w:rPr>
          <w:rFonts w:ascii="Bookman Old Style" w:hAnsi="Bookman Old Style"/>
          <w:sz w:val="24"/>
          <w:u w:val="single"/>
        </w:rPr>
        <w:t>Length of the Hearing:</w:t>
      </w:r>
      <w:r w:rsidRPr="00D86B33">
        <w:rPr>
          <w:rFonts w:ascii="Bookman Old Style" w:hAnsi="Bookman Old Style"/>
          <w:sz w:val="24"/>
        </w:rPr>
        <w:t xml:space="preserve">  </w:t>
      </w:r>
    </w:p>
    <w:p w14:paraId="51E2FAEF" w14:textId="6A77A83C" w:rsidR="004C0ED3" w:rsidRDefault="004C0ED3" w:rsidP="00C924AF">
      <w:pPr>
        <w:spacing w:before="240" w:after="240"/>
        <w:ind w:firstLine="720"/>
        <w:jc w:val="both"/>
        <w:rPr>
          <w:rFonts w:ascii="Bookman Old Style" w:hAnsi="Bookman Old Style"/>
          <w:sz w:val="24"/>
        </w:rPr>
      </w:pPr>
      <w:r w:rsidRPr="004C0ED3">
        <w:rPr>
          <w:rFonts w:ascii="Bookman Old Style" w:hAnsi="Bookman Old Style"/>
          <w:sz w:val="24"/>
          <w:u w:val="single"/>
        </w:rPr>
        <w:t>Combined PH/RTH’s will</w:t>
      </w:r>
      <w:r w:rsidR="00C924AF">
        <w:rPr>
          <w:rFonts w:ascii="Bookman Old Style" w:hAnsi="Bookman Old Style"/>
          <w:sz w:val="24"/>
          <w:u w:val="single"/>
        </w:rPr>
        <w:t xml:space="preserve"> normally</w:t>
      </w:r>
      <w:r w:rsidRPr="004C0ED3">
        <w:rPr>
          <w:rFonts w:ascii="Bookman Old Style" w:hAnsi="Bookman Old Style"/>
          <w:sz w:val="24"/>
          <w:u w:val="single"/>
        </w:rPr>
        <w:t xml:space="preserve"> be set for a single day</w:t>
      </w:r>
      <w:r w:rsidRPr="00D86B33">
        <w:rPr>
          <w:rFonts w:ascii="Bookman Old Style" w:hAnsi="Bookman Old Style"/>
          <w:sz w:val="24"/>
        </w:rPr>
        <w:t>.</w:t>
      </w:r>
      <w:r>
        <w:rPr>
          <w:rFonts w:ascii="Bookman Old Style" w:hAnsi="Bookman Old Style"/>
          <w:sz w:val="24"/>
        </w:rPr>
        <w:t xml:space="preserve">  </w:t>
      </w:r>
      <w:r w:rsidR="00CC5ECE">
        <w:rPr>
          <w:rFonts w:ascii="Bookman Old Style" w:hAnsi="Bookman Old Style"/>
          <w:sz w:val="24"/>
        </w:rPr>
        <w:t>Given the lack of guidance, statutory and case law, t</w:t>
      </w:r>
      <w:r w:rsidR="005B3AB8" w:rsidRPr="00E93FF0">
        <w:rPr>
          <w:rFonts w:ascii="Bookman Old Style" w:hAnsi="Bookman Old Style"/>
          <w:sz w:val="24"/>
        </w:rPr>
        <w:t>he fiscal note and what the legislature was told would be the impact</w:t>
      </w:r>
      <w:r w:rsidR="00C924AF">
        <w:rPr>
          <w:rFonts w:ascii="Bookman Old Style" w:hAnsi="Bookman Old Style"/>
          <w:sz w:val="24"/>
        </w:rPr>
        <w:t xml:space="preserve"> of RTH’s</w:t>
      </w:r>
      <w:r w:rsidR="005B3AB8" w:rsidRPr="00E93FF0">
        <w:rPr>
          <w:rFonts w:ascii="Bookman Old Style" w:hAnsi="Bookman Old Style"/>
          <w:sz w:val="24"/>
        </w:rPr>
        <w:t xml:space="preserve"> on the Court system </w:t>
      </w:r>
      <w:r w:rsidR="005B3AB8">
        <w:rPr>
          <w:rFonts w:ascii="Bookman Old Style" w:hAnsi="Bookman Old Style"/>
          <w:sz w:val="24"/>
        </w:rPr>
        <w:t>is</w:t>
      </w:r>
      <w:r w:rsidR="005B3AB8" w:rsidRPr="00E93FF0">
        <w:rPr>
          <w:rFonts w:ascii="Bookman Old Style" w:hAnsi="Bookman Old Style"/>
          <w:sz w:val="24"/>
        </w:rPr>
        <w:t xml:space="preserve"> relevant to determining what level of hearing is required</w:t>
      </w:r>
      <w:r w:rsidR="005B3AB8" w:rsidRPr="00DF2BAC">
        <w:rPr>
          <w:rFonts w:ascii="Bookman Old Style" w:hAnsi="Bookman Old Style"/>
          <w:sz w:val="24"/>
        </w:rPr>
        <w:t>.</w:t>
      </w:r>
      <w:r w:rsidR="005B3AB8">
        <w:rPr>
          <w:rStyle w:val="FootnoteReference"/>
          <w:rFonts w:ascii="Bookman Old Style" w:hAnsi="Bookman Old Style"/>
          <w:sz w:val="24"/>
        </w:rPr>
        <w:footnoteReference w:id="2"/>
      </w:r>
      <w:r w:rsidR="005B3AB8">
        <w:rPr>
          <w:rFonts w:ascii="Bookman Old Style" w:hAnsi="Bookman Old Style"/>
          <w:sz w:val="24"/>
        </w:rPr>
        <w:t xml:space="preserve">  I</w:t>
      </w:r>
      <w:r w:rsidR="00DF2BAC" w:rsidRPr="00DF2BAC">
        <w:rPr>
          <w:rFonts w:ascii="Bookman Old Style" w:hAnsi="Bookman Old Style"/>
          <w:sz w:val="24"/>
        </w:rPr>
        <w:t>n 2008</w:t>
      </w:r>
      <w:r w:rsidR="00817FE2">
        <w:rPr>
          <w:rFonts w:ascii="Bookman Old Style" w:hAnsi="Bookman Old Style"/>
          <w:sz w:val="24"/>
        </w:rPr>
        <w:t>,</w:t>
      </w:r>
      <w:r w:rsidR="00DF2BAC" w:rsidRPr="00DF2BAC">
        <w:rPr>
          <w:rFonts w:ascii="Bookman Old Style" w:hAnsi="Bookman Old Style"/>
          <w:sz w:val="24"/>
        </w:rPr>
        <w:t xml:space="preserve"> when the statute was passed</w:t>
      </w:r>
      <w:r w:rsidR="005B3AB8">
        <w:rPr>
          <w:rFonts w:ascii="Bookman Old Style" w:hAnsi="Bookman Old Style"/>
          <w:sz w:val="24"/>
        </w:rPr>
        <w:t xml:space="preserve"> and </w:t>
      </w:r>
      <w:r w:rsidR="00DF2BAC" w:rsidRPr="00DF2BAC">
        <w:rPr>
          <w:rFonts w:ascii="Bookman Old Style" w:hAnsi="Bookman Old Style"/>
          <w:sz w:val="24"/>
        </w:rPr>
        <w:t xml:space="preserve">the fiscal note was being created, the judicial department did not put a fiscal impact on the original bill because it was believed, </w:t>
      </w:r>
      <w:r>
        <w:rPr>
          <w:rFonts w:ascii="Bookman Old Style" w:hAnsi="Bookman Old Style"/>
          <w:sz w:val="24"/>
        </w:rPr>
        <w:t>as</w:t>
      </w:r>
      <w:r w:rsidR="00DF2BAC" w:rsidRPr="00DF2BAC">
        <w:rPr>
          <w:rFonts w:ascii="Bookman Old Style" w:hAnsi="Bookman Old Style"/>
          <w:sz w:val="24"/>
        </w:rPr>
        <w:t xml:space="preserve"> set forth in the fiscal note, that the hearings would take a half a day on average</w:t>
      </w:r>
      <w:r w:rsidR="00C924AF">
        <w:rPr>
          <w:rFonts w:ascii="Bookman Old Style" w:hAnsi="Bookman Old Style"/>
          <w:sz w:val="24"/>
        </w:rPr>
        <w:t>—though i</w:t>
      </w:r>
      <w:r w:rsidR="00DF2BAC" w:rsidRPr="00DF2BAC">
        <w:rPr>
          <w:rFonts w:ascii="Bookman Old Style" w:hAnsi="Bookman Old Style"/>
          <w:sz w:val="24"/>
        </w:rPr>
        <w:t xml:space="preserve">t does </w:t>
      </w:r>
      <w:r w:rsidR="00C924AF">
        <w:rPr>
          <w:rFonts w:ascii="Bookman Old Style" w:hAnsi="Bookman Old Style"/>
          <w:sz w:val="24"/>
        </w:rPr>
        <w:t>provide that</w:t>
      </w:r>
      <w:r w:rsidR="00DF2BAC" w:rsidRPr="00DF2BAC">
        <w:rPr>
          <w:rFonts w:ascii="Bookman Old Style" w:hAnsi="Bookman Old Style"/>
          <w:sz w:val="24"/>
        </w:rPr>
        <w:t xml:space="preserve"> some could take as much as two days.</w:t>
      </w:r>
      <w:r w:rsidR="00DF2BAC">
        <w:rPr>
          <w:rFonts w:ascii="Bookman Old Style" w:hAnsi="Bookman Old Style"/>
          <w:sz w:val="24"/>
        </w:rPr>
        <w:t xml:space="preserve">  It is significant that </w:t>
      </w:r>
      <w:r w:rsidR="00DF2BAC" w:rsidRPr="00DF2BAC">
        <w:rPr>
          <w:rFonts w:ascii="Bookman Old Style" w:hAnsi="Bookman Old Style"/>
          <w:sz w:val="24"/>
        </w:rPr>
        <w:t>the fiscal note</w:t>
      </w:r>
      <w:r w:rsidR="00DF2BAC">
        <w:rPr>
          <w:rFonts w:ascii="Bookman Old Style" w:hAnsi="Bookman Old Style"/>
          <w:sz w:val="24"/>
        </w:rPr>
        <w:t xml:space="preserve"> </w:t>
      </w:r>
      <w:r w:rsidR="00DF2BAC" w:rsidRPr="00DF2BAC">
        <w:rPr>
          <w:rFonts w:ascii="Bookman Old Style" w:hAnsi="Bookman Old Style"/>
          <w:sz w:val="24"/>
        </w:rPr>
        <w:t xml:space="preserve">follows with, "Judges must </w:t>
      </w:r>
      <w:r w:rsidR="00DF2BAC" w:rsidRPr="00416A9F">
        <w:rPr>
          <w:rFonts w:ascii="Bookman Old Style" w:hAnsi="Bookman Old Style"/>
          <w:sz w:val="24"/>
        </w:rPr>
        <w:t>consider certain criteria at a reverse transfer hearing, including the seriousness and type of charges and the defendant's criminal history.  Assuming that either of those factors is extraordinary, the length of a reverse transfer hearing will be minimal."</w:t>
      </w:r>
      <w:r>
        <w:rPr>
          <w:rStyle w:val="FootnoteReference"/>
          <w:rFonts w:ascii="Bookman Old Style" w:hAnsi="Bookman Old Style"/>
          <w:sz w:val="24"/>
        </w:rPr>
        <w:footnoteReference w:id="3"/>
      </w:r>
      <w:r w:rsidR="00D86B33">
        <w:rPr>
          <w:rFonts w:ascii="Bookman Old Style" w:hAnsi="Bookman Old Style"/>
          <w:sz w:val="24"/>
        </w:rPr>
        <w:t xml:space="preserve"> </w:t>
      </w:r>
    </w:p>
    <w:p w14:paraId="3C2EDC71" w14:textId="4C49AFC8" w:rsidR="00DF2BAC" w:rsidRPr="0076576B" w:rsidRDefault="00C924AF" w:rsidP="00C924AF">
      <w:pPr>
        <w:spacing w:before="240" w:after="240"/>
        <w:ind w:firstLine="720"/>
        <w:jc w:val="both"/>
        <w:rPr>
          <w:rFonts w:ascii="Bookman Old Style" w:hAnsi="Bookman Old Style"/>
          <w:i/>
          <w:iCs/>
          <w:spacing w:val="-2"/>
          <w:sz w:val="24"/>
          <w:szCs w:val="24"/>
          <w:u w:val="single"/>
        </w:rPr>
      </w:pPr>
      <w:r>
        <w:rPr>
          <w:rFonts w:ascii="Bookman Old Style" w:hAnsi="Bookman Old Style"/>
          <w:sz w:val="24"/>
        </w:rPr>
        <w:t xml:space="preserve">Unless the PH will last more than half a day, a full </w:t>
      </w:r>
      <w:r w:rsidR="004C0ED3" w:rsidRPr="00D86B33">
        <w:rPr>
          <w:rFonts w:ascii="Bookman Old Style" w:hAnsi="Bookman Old Style"/>
          <w:sz w:val="24"/>
        </w:rPr>
        <w:t xml:space="preserve">day </w:t>
      </w:r>
      <w:r w:rsidR="00D70B45">
        <w:rPr>
          <w:rFonts w:ascii="Bookman Old Style" w:hAnsi="Bookman Old Style"/>
          <w:sz w:val="24"/>
        </w:rPr>
        <w:t>for the PH/RTH</w:t>
      </w:r>
      <w:r w:rsidR="004C0ED3" w:rsidRPr="00D86B33">
        <w:rPr>
          <w:rFonts w:ascii="Bookman Old Style" w:hAnsi="Bookman Old Style"/>
          <w:sz w:val="24"/>
        </w:rPr>
        <w:t xml:space="preserve"> will be </w:t>
      </w:r>
      <w:r w:rsidR="004C0ED3">
        <w:rPr>
          <w:rFonts w:ascii="Bookman Old Style" w:hAnsi="Bookman Old Style"/>
          <w:sz w:val="24"/>
        </w:rPr>
        <w:t xml:space="preserve">sufficient </w:t>
      </w:r>
      <w:r w:rsidR="004C0ED3" w:rsidRPr="00D86B33">
        <w:rPr>
          <w:rFonts w:ascii="Bookman Old Style" w:hAnsi="Bookman Old Style"/>
          <w:sz w:val="24"/>
        </w:rPr>
        <w:t>given that</w:t>
      </w:r>
      <w:r w:rsidR="004C0ED3">
        <w:rPr>
          <w:rFonts w:ascii="Bookman Old Style" w:hAnsi="Bookman Old Style"/>
          <w:sz w:val="24"/>
        </w:rPr>
        <w:t xml:space="preserve"> </w:t>
      </w:r>
      <w:proofErr w:type="gramStart"/>
      <w:r w:rsidR="004C0ED3" w:rsidRPr="00D86B33">
        <w:rPr>
          <w:rFonts w:ascii="Bookman Old Style" w:hAnsi="Bookman Old Style"/>
          <w:sz w:val="24"/>
        </w:rPr>
        <w:t>the majority of</w:t>
      </w:r>
      <w:proofErr w:type="gramEnd"/>
      <w:r w:rsidR="004C0ED3" w:rsidRPr="00D86B33">
        <w:rPr>
          <w:rFonts w:ascii="Bookman Old Style" w:hAnsi="Bookman Old Style"/>
          <w:sz w:val="24"/>
        </w:rPr>
        <w:t xml:space="preserve"> the evidence the Court will consider will be submitted for the Court’s review 30 days prior to the hearing</w:t>
      </w:r>
      <w:r w:rsidR="0076576B">
        <w:rPr>
          <w:rFonts w:ascii="Bookman Old Style" w:hAnsi="Bookman Old Style"/>
          <w:sz w:val="24"/>
        </w:rPr>
        <w:t xml:space="preserve"> pursuant to the procedure</w:t>
      </w:r>
      <w:r w:rsidR="00CC5ECE">
        <w:rPr>
          <w:rFonts w:ascii="Bookman Old Style" w:hAnsi="Bookman Old Style"/>
          <w:sz w:val="24"/>
        </w:rPr>
        <w:t>s</w:t>
      </w:r>
      <w:r w:rsidR="0076576B">
        <w:rPr>
          <w:rFonts w:ascii="Bookman Old Style" w:hAnsi="Bookman Old Style"/>
          <w:sz w:val="24"/>
        </w:rPr>
        <w:t xml:space="preserve"> set forth in this Order.</w:t>
      </w:r>
    </w:p>
    <w:p w14:paraId="65FF36D4" w14:textId="6B75C73B" w:rsidR="00416A9F" w:rsidRPr="00416A9F" w:rsidRDefault="00416A9F" w:rsidP="00C924AF">
      <w:pPr>
        <w:pStyle w:val="Footnoe"/>
        <w:numPr>
          <w:ilvl w:val="1"/>
          <w:numId w:val="5"/>
        </w:numPr>
        <w:rPr>
          <w:rFonts w:ascii="Bookman Old Style" w:hAnsi="Bookman Old Style"/>
          <w:sz w:val="24"/>
        </w:rPr>
      </w:pPr>
      <w:r w:rsidRPr="00416A9F">
        <w:rPr>
          <w:rFonts w:ascii="Bookman Old Style" w:hAnsi="Bookman Old Style"/>
          <w:sz w:val="24"/>
          <w:u w:val="single"/>
        </w:rPr>
        <w:lastRenderedPageBreak/>
        <w:t>Rules of Evidence</w:t>
      </w:r>
      <w:r w:rsidR="00D70B45">
        <w:rPr>
          <w:rStyle w:val="FootnoteReference"/>
          <w:rFonts w:ascii="Bookman Old Style" w:hAnsi="Bookman Old Style"/>
          <w:sz w:val="24"/>
          <w:u w:val="single"/>
        </w:rPr>
        <w:footnoteReference w:id="4"/>
      </w:r>
    </w:p>
    <w:p w14:paraId="563CB47B" w14:textId="16213D50" w:rsidR="00416A9F" w:rsidRPr="00CC5ECE" w:rsidRDefault="00416A9F" w:rsidP="00C924AF">
      <w:pPr>
        <w:ind w:firstLine="720"/>
        <w:jc w:val="both"/>
        <w:rPr>
          <w:rFonts w:ascii="Bookman Old Style" w:hAnsi="Bookman Old Style"/>
          <w:color w:val="000000"/>
          <w:sz w:val="24"/>
          <w:szCs w:val="24"/>
        </w:rPr>
      </w:pPr>
      <w:r w:rsidRPr="00416A9F">
        <w:rPr>
          <w:rStyle w:val="fontstyle21"/>
          <w:rFonts w:ascii="Bookman Old Style" w:hAnsi="Bookman Old Style"/>
        </w:rPr>
        <w:t>Given the legislative requirement that the reverse-transfer hearing be set</w:t>
      </w:r>
      <w:r w:rsidRPr="00416A9F">
        <w:rPr>
          <w:rFonts w:ascii="Bookman Old Style" w:hAnsi="Bookman Old Style"/>
          <w:sz w:val="24"/>
          <w:szCs w:val="24"/>
        </w:rPr>
        <w:t xml:space="preserve"> </w:t>
      </w:r>
      <w:r w:rsidRPr="00416A9F">
        <w:rPr>
          <w:rStyle w:val="fontstyle21"/>
          <w:rFonts w:ascii="Bookman Old Style" w:hAnsi="Bookman Old Style"/>
        </w:rPr>
        <w:t xml:space="preserve">with the preliminary hearing and the instruction from </w:t>
      </w:r>
      <w:r w:rsidR="00CC5ECE">
        <w:rPr>
          <w:rStyle w:val="fontstyle21"/>
          <w:rFonts w:ascii="Bookman Old Style" w:hAnsi="Bookman Old Style"/>
        </w:rPr>
        <w:t xml:space="preserve">our Court of Appeals </w:t>
      </w:r>
      <w:r w:rsidRPr="00416A9F">
        <w:rPr>
          <w:rStyle w:val="fontstyle21"/>
          <w:rFonts w:ascii="Bookman Old Style" w:hAnsi="Bookman Old Style"/>
        </w:rPr>
        <w:t>that this hearing be viewed as more analogous to a sentencing decision than a finding of guilt, the Court will apply a somewhat relaxed</w:t>
      </w:r>
      <w:r w:rsidRPr="00416A9F">
        <w:rPr>
          <w:rFonts w:ascii="Bookman Old Style" w:hAnsi="Bookman Old Style"/>
          <w:sz w:val="24"/>
          <w:szCs w:val="24"/>
        </w:rPr>
        <w:t xml:space="preserve"> </w:t>
      </w:r>
      <w:r w:rsidRPr="00416A9F">
        <w:rPr>
          <w:rStyle w:val="fontstyle21"/>
          <w:rFonts w:ascii="Bookman Old Style" w:hAnsi="Bookman Old Style"/>
        </w:rPr>
        <w:t>evidentiary standard to the reverse</w:t>
      </w:r>
      <w:r w:rsidR="00D86B33">
        <w:rPr>
          <w:rStyle w:val="fontstyle21"/>
          <w:rFonts w:ascii="Bookman Old Style" w:hAnsi="Bookman Old Style"/>
        </w:rPr>
        <w:t xml:space="preserve"> </w:t>
      </w:r>
      <w:r w:rsidRPr="00416A9F">
        <w:rPr>
          <w:rStyle w:val="fontstyle21"/>
          <w:rFonts w:ascii="Bookman Old Style" w:hAnsi="Bookman Old Style"/>
        </w:rPr>
        <w:t xml:space="preserve">transfer hearing.  </w:t>
      </w:r>
      <w:r w:rsidR="00932670">
        <w:rPr>
          <w:rStyle w:val="fontstyle21"/>
          <w:rFonts w:ascii="Bookman Old Style" w:hAnsi="Bookman Old Style"/>
          <w:i/>
          <w:iCs/>
        </w:rPr>
        <w:t xml:space="preserve">See generally </w:t>
      </w:r>
      <w:r w:rsidR="00CC5ECE" w:rsidRPr="00416A9F">
        <w:rPr>
          <w:rFonts w:ascii="Bookman Old Style" w:hAnsi="Bookman Old Style"/>
          <w:i/>
          <w:iCs/>
          <w:spacing w:val="-2"/>
          <w:sz w:val="24"/>
          <w:szCs w:val="24"/>
        </w:rPr>
        <w:t xml:space="preserve">People v. </w:t>
      </w:r>
      <w:r w:rsidR="00CC5ECE" w:rsidRPr="00416A9F">
        <w:rPr>
          <w:rFonts w:ascii="Bookman Old Style" w:hAnsi="Bookman Old Style"/>
          <w:i/>
          <w:spacing w:val="-2"/>
          <w:sz w:val="24"/>
          <w:szCs w:val="24"/>
        </w:rPr>
        <w:t>A.D.G.</w:t>
      </w:r>
      <w:r w:rsidR="00CC5ECE">
        <w:rPr>
          <w:rFonts w:ascii="Bookman Old Style" w:hAnsi="Bookman Old Style"/>
          <w:iCs/>
          <w:spacing w:val="-2"/>
          <w:sz w:val="24"/>
          <w:szCs w:val="24"/>
        </w:rPr>
        <w:t xml:space="preserve">, </w:t>
      </w:r>
      <w:r w:rsidRPr="00416A9F">
        <w:rPr>
          <w:rFonts w:ascii="Bookman Old Style" w:hAnsi="Bookman Old Style"/>
          <w:iCs/>
          <w:spacing w:val="-2"/>
          <w:sz w:val="24"/>
          <w:szCs w:val="24"/>
        </w:rPr>
        <w:t>855 P.2d 1067 (Colo. App. 1994</w:t>
      </w:r>
      <w:r>
        <w:rPr>
          <w:rFonts w:ascii="Bookman Old Style" w:hAnsi="Bookman Old Style"/>
          <w:iCs/>
          <w:spacing w:val="-2"/>
          <w:sz w:val="24"/>
          <w:szCs w:val="24"/>
        </w:rPr>
        <w:t>).</w:t>
      </w:r>
    </w:p>
    <w:p w14:paraId="7043F311" w14:textId="552B2BC7" w:rsidR="00C31118" w:rsidRPr="003904C4" w:rsidRDefault="00C31118" w:rsidP="00C924AF">
      <w:pPr>
        <w:pStyle w:val="Footnoe"/>
        <w:numPr>
          <w:ilvl w:val="1"/>
          <w:numId w:val="5"/>
        </w:numPr>
        <w:rPr>
          <w:rFonts w:ascii="Bookman Old Style" w:hAnsi="Bookman Old Style"/>
          <w:sz w:val="24"/>
          <w:u w:val="single"/>
        </w:rPr>
      </w:pPr>
      <w:r>
        <w:rPr>
          <w:rFonts w:ascii="Bookman Old Style" w:hAnsi="Bookman Old Style"/>
          <w:sz w:val="24"/>
          <w:u w:val="single"/>
        </w:rPr>
        <w:t>Evidenc</w:t>
      </w:r>
      <w:r w:rsidR="00AF1846">
        <w:rPr>
          <w:rFonts w:ascii="Bookman Old Style" w:hAnsi="Bookman Old Style"/>
          <w:sz w:val="24"/>
          <w:u w:val="single"/>
        </w:rPr>
        <w:t>e</w:t>
      </w:r>
      <w:r w:rsidR="00074A84">
        <w:rPr>
          <w:rFonts w:ascii="Bookman Old Style" w:hAnsi="Bookman Old Style"/>
          <w:sz w:val="24"/>
          <w:u w:val="single"/>
        </w:rPr>
        <w:t xml:space="preserve"> in Re </w:t>
      </w:r>
      <w:r w:rsidR="003904C4" w:rsidRPr="003904C4">
        <w:rPr>
          <w:rFonts w:ascii="Bookman Old Style" w:hAnsi="Bookman Old Style"/>
          <w:sz w:val="24"/>
          <w:u w:val="single"/>
        </w:rPr>
        <w:t>C.R.S. § 19-2.5-801(4)(b) Factors</w:t>
      </w:r>
      <w:r w:rsidR="003904C4">
        <w:rPr>
          <w:rFonts w:ascii="Bookman Old Style" w:hAnsi="Bookman Old Style"/>
          <w:sz w:val="24"/>
        </w:rPr>
        <w:t>.</w:t>
      </w:r>
    </w:p>
    <w:p w14:paraId="311292A3" w14:textId="48722605" w:rsidR="00795962" w:rsidRDefault="00795962" w:rsidP="00C924AF">
      <w:pPr>
        <w:pStyle w:val="Footnoe"/>
        <w:ind w:firstLine="720"/>
        <w:jc w:val="both"/>
        <w:rPr>
          <w:rFonts w:ascii="Bookman Old Style" w:hAnsi="Bookman Old Style"/>
          <w:sz w:val="24"/>
        </w:rPr>
      </w:pPr>
      <w:r>
        <w:rPr>
          <w:rFonts w:ascii="Bookman Old Style" w:hAnsi="Bookman Old Style"/>
          <w:sz w:val="24"/>
        </w:rPr>
        <w:t>The</w:t>
      </w:r>
      <w:r w:rsidR="00617147">
        <w:rPr>
          <w:rFonts w:ascii="Bookman Old Style" w:hAnsi="Bookman Old Style"/>
          <w:sz w:val="24"/>
        </w:rPr>
        <w:t xml:space="preserve"> reason</w:t>
      </w:r>
      <w:r>
        <w:rPr>
          <w:rFonts w:ascii="Bookman Old Style" w:hAnsi="Bookman Old Style"/>
          <w:sz w:val="24"/>
        </w:rPr>
        <w:t>s</w:t>
      </w:r>
      <w:r w:rsidR="00617147">
        <w:rPr>
          <w:rFonts w:ascii="Bookman Old Style" w:hAnsi="Bookman Old Style"/>
          <w:sz w:val="24"/>
        </w:rPr>
        <w:t xml:space="preserve"> most PH/RTH hearings will be</w:t>
      </w:r>
      <w:r w:rsidR="00074A84">
        <w:rPr>
          <w:rFonts w:ascii="Bookman Old Style" w:hAnsi="Bookman Old Style"/>
          <w:sz w:val="24"/>
        </w:rPr>
        <w:t xml:space="preserve"> </w:t>
      </w:r>
      <w:r w:rsidR="00617147">
        <w:rPr>
          <w:rFonts w:ascii="Bookman Old Style" w:hAnsi="Bookman Old Style"/>
          <w:sz w:val="24"/>
        </w:rPr>
        <w:t xml:space="preserve">completed in a single day </w:t>
      </w:r>
      <w:proofErr w:type="gramStart"/>
      <w:r w:rsidR="00932670">
        <w:rPr>
          <w:rFonts w:ascii="Bookman Old Style" w:hAnsi="Bookman Old Style"/>
          <w:sz w:val="24"/>
        </w:rPr>
        <w:t>are:</w:t>
      </w:r>
      <w:proofErr w:type="gramEnd"/>
      <w:r w:rsidR="00617147">
        <w:rPr>
          <w:rFonts w:ascii="Bookman Old Style" w:hAnsi="Bookman Old Style"/>
          <w:sz w:val="24"/>
        </w:rPr>
        <w:t xml:space="preserve"> </w:t>
      </w:r>
      <w:r>
        <w:rPr>
          <w:rFonts w:ascii="Bookman Old Style" w:hAnsi="Bookman Old Style"/>
          <w:sz w:val="24"/>
        </w:rPr>
        <w:t xml:space="preserve">a) </w:t>
      </w:r>
      <w:r w:rsidR="00617147">
        <w:rPr>
          <w:rFonts w:ascii="Bookman Old Style" w:hAnsi="Bookman Old Style"/>
          <w:sz w:val="24"/>
        </w:rPr>
        <w:t xml:space="preserve">the vast majority of the evidence </w:t>
      </w:r>
      <w:r w:rsidR="00986FF8">
        <w:rPr>
          <w:rFonts w:ascii="Bookman Old Style" w:hAnsi="Bookman Old Style"/>
          <w:sz w:val="24"/>
        </w:rPr>
        <w:t>this Court</w:t>
      </w:r>
      <w:r w:rsidR="00617147">
        <w:rPr>
          <w:rFonts w:ascii="Bookman Old Style" w:hAnsi="Bookman Old Style"/>
          <w:sz w:val="24"/>
        </w:rPr>
        <w:t xml:space="preserve"> must consider will be documentary</w:t>
      </w:r>
      <w:r>
        <w:rPr>
          <w:rFonts w:ascii="Bookman Old Style" w:hAnsi="Bookman Old Style"/>
          <w:sz w:val="24"/>
        </w:rPr>
        <w:t xml:space="preserve">; and b) </w:t>
      </w:r>
      <w:r w:rsidR="00074A84">
        <w:rPr>
          <w:rFonts w:ascii="Bookman Old Style" w:hAnsi="Bookman Old Style"/>
          <w:i/>
          <w:iCs/>
          <w:sz w:val="24"/>
        </w:rPr>
        <w:t>all</w:t>
      </w:r>
      <w:r>
        <w:rPr>
          <w:rFonts w:ascii="Bookman Old Style" w:hAnsi="Bookman Old Style"/>
          <w:sz w:val="24"/>
        </w:rPr>
        <w:t xml:space="preserve"> evidence</w:t>
      </w:r>
      <w:r w:rsidR="00074A84">
        <w:rPr>
          <w:rFonts w:ascii="Bookman Old Style" w:hAnsi="Bookman Old Style"/>
          <w:sz w:val="24"/>
        </w:rPr>
        <w:t>, except essential testimony not capable of being reduced to writing--which will be strictly limited--</w:t>
      </w:r>
      <w:r>
        <w:rPr>
          <w:rFonts w:ascii="Bookman Old Style" w:hAnsi="Bookman Old Style"/>
          <w:sz w:val="24"/>
        </w:rPr>
        <w:t xml:space="preserve">will be submitted to the Court 30 days prior to the hearing.  </w:t>
      </w:r>
    </w:p>
    <w:p w14:paraId="330E28F8" w14:textId="6C8E3B4D" w:rsidR="003904C4" w:rsidRDefault="00074A84" w:rsidP="00C924AF">
      <w:pPr>
        <w:pStyle w:val="Footnoe"/>
        <w:ind w:firstLine="720"/>
        <w:jc w:val="both"/>
        <w:rPr>
          <w:rFonts w:ascii="Bookman Old Style" w:hAnsi="Bookman Old Style"/>
          <w:sz w:val="24"/>
        </w:rPr>
      </w:pPr>
      <w:r>
        <w:rPr>
          <w:rFonts w:ascii="Bookman Old Style" w:hAnsi="Bookman Old Style"/>
          <w:sz w:val="24"/>
        </w:rPr>
        <w:t>S</w:t>
      </w:r>
      <w:r w:rsidR="00795962">
        <w:rPr>
          <w:rFonts w:ascii="Bookman Old Style" w:hAnsi="Bookman Old Style"/>
          <w:sz w:val="24"/>
        </w:rPr>
        <w:t>uch pre-filed</w:t>
      </w:r>
      <w:r w:rsidR="00AF1846">
        <w:rPr>
          <w:rFonts w:ascii="Bookman Old Style" w:hAnsi="Bookman Old Style"/>
          <w:sz w:val="24"/>
        </w:rPr>
        <w:t xml:space="preserve"> d</w:t>
      </w:r>
      <w:r w:rsidR="00986FF8">
        <w:rPr>
          <w:rFonts w:ascii="Bookman Old Style" w:hAnsi="Bookman Old Style"/>
          <w:sz w:val="24"/>
        </w:rPr>
        <w:t>ocumentary evidence</w:t>
      </w:r>
      <w:r w:rsidR="00AF1846">
        <w:rPr>
          <w:rFonts w:ascii="Bookman Old Style" w:hAnsi="Bookman Old Style"/>
          <w:sz w:val="24"/>
        </w:rPr>
        <w:t xml:space="preserve"> should </w:t>
      </w:r>
      <w:r w:rsidR="00986FF8">
        <w:rPr>
          <w:rFonts w:ascii="Bookman Old Style" w:hAnsi="Bookman Old Style"/>
          <w:sz w:val="24"/>
        </w:rPr>
        <w:t xml:space="preserve">suffice for the Court’s assessment of </w:t>
      </w:r>
      <w:r w:rsidR="00AF1846">
        <w:rPr>
          <w:rFonts w:ascii="Bookman Old Style" w:hAnsi="Bookman Old Style"/>
          <w:sz w:val="24"/>
        </w:rPr>
        <w:t xml:space="preserve">every factor except </w:t>
      </w:r>
      <w:r w:rsidR="00795962">
        <w:rPr>
          <w:rFonts w:ascii="Bookman Old Style" w:hAnsi="Bookman Old Style"/>
          <w:sz w:val="24"/>
        </w:rPr>
        <w:t>F</w:t>
      </w:r>
      <w:r w:rsidR="00AF1846">
        <w:rPr>
          <w:rFonts w:ascii="Bookman Old Style" w:hAnsi="Bookman Old Style"/>
          <w:sz w:val="24"/>
        </w:rPr>
        <w:t xml:space="preserve">actor </w:t>
      </w:r>
      <w:r w:rsidR="00567260">
        <w:rPr>
          <w:rFonts w:ascii="Bookman Old Style" w:hAnsi="Bookman Old Style"/>
          <w:sz w:val="24"/>
        </w:rPr>
        <w:t>IV</w:t>
      </w:r>
      <w:r w:rsidR="00AF1846">
        <w:rPr>
          <w:rFonts w:ascii="Bookman Old Style" w:hAnsi="Bookman Old Style"/>
          <w:sz w:val="24"/>
        </w:rPr>
        <w:t>.</w:t>
      </w:r>
      <w:r w:rsidR="00795962">
        <w:rPr>
          <w:rFonts w:ascii="Bookman Old Style" w:hAnsi="Bookman Old Style"/>
          <w:sz w:val="24"/>
        </w:rPr>
        <w:t xml:space="preserve">  </w:t>
      </w:r>
      <w:r w:rsidR="00AF1846">
        <w:rPr>
          <w:rFonts w:ascii="Bookman Old Style" w:hAnsi="Bookman Old Style"/>
          <w:sz w:val="24"/>
        </w:rPr>
        <w:t>To that end</w:t>
      </w:r>
      <w:r w:rsidR="003904C4">
        <w:rPr>
          <w:rFonts w:ascii="Bookman Old Style" w:hAnsi="Bookman Old Style"/>
          <w:sz w:val="24"/>
        </w:rPr>
        <w:t>:</w:t>
      </w:r>
    </w:p>
    <w:p w14:paraId="043EB2E3" w14:textId="3789D137" w:rsidR="003904C4" w:rsidRDefault="003904C4" w:rsidP="00C924AF">
      <w:pPr>
        <w:pStyle w:val="Footnoe"/>
        <w:numPr>
          <w:ilvl w:val="0"/>
          <w:numId w:val="21"/>
        </w:numPr>
        <w:jc w:val="both"/>
        <w:rPr>
          <w:rFonts w:ascii="Bookman Old Style" w:hAnsi="Bookman Old Style"/>
          <w:sz w:val="24"/>
        </w:rPr>
      </w:pPr>
      <w:r>
        <w:rPr>
          <w:rFonts w:ascii="Bookman Old Style" w:hAnsi="Bookman Old Style"/>
          <w:sz w:val="24"/>
        </w:rPr>
        <w:t>All experts</w:t>
      </w:r>
      <w:r w:rsidR="00185594">
        <w:rPr>
          <w:rFonts w:ascii="Bookman Old Style" w:hAnsi="Bookman Old Style"/>
          <w:sz w:val="24"/>
        </w:rPr>
        <w:t xml:space="preserve"> as to any factor</w:t>
      </w:r>
      <w:r>
        <w:rPr>
          <w:rFonts w:ascii="Bookman Old Style" w:hAnsi="Bookman Old Style"/>
          <w:sz w:val="24"/>
        </w:rPr>
        <w:t xml:space="preserve"> will prepare an opinion letter that will be submitted to the Court 30 days prior to the scheduled hearing.</w:t>
      </w:r>
    </w:p>
    <w:p w14:paraId="272C64A5" w14:textId="40D07EDB" w:rsidR="003904C4" w:rsidRDefault="003904C4" w:rsidP="00C924AF">
      <w:pPr>
        <w:pStyle w:val="Footnoe"/>
        <w:numPr>
          <w:ilvl w:val="0"/>
          <w:numId w:val="21"/>
        </w:numPr>
        <w:jc w:val="both"/>
        <w:rPr>
          <w:rFonts w:ascii="Bookman Old Style" w:hAnsi="Bookman Old Style"/>
          <w:sz w:val="24"/>
        </w:rPr>
      </w:pPr>
      <w:r>
        <w:rPr>
          <w:rFonts w:ascii="Bookman Old Style" w:hAnsi="Bookman Old Style"/>
          <w:sz w:val="24"/>
        </w:rPr>
        <w:t>P</w:t>
      </w:r>
      <w:r w:rsidR="00AF1846">
        <w:rPr>
          <w:rFonts w:ascii="Bookman Old Style" w:hAnsi="Bookman Old Style"/>
          <w:sz w:val="24"/>
        </w:rPr>
        <w:t>arties will submit</w:t>
      </w:r>
      <w:r>
        <w:rPr>
          <w:rFonts w:ascii="Bookman Old Style" w:hAnsi="Bookman Old Style"/>
          <w:sz w:val="24"/>
        </w:rPr>
        <w:t xml:space="preserve"> all</w:t>
      </w:r>
      <w:r w:rsidR="00AF1846">
        <w:rPr>
          <w:rFonts w:ascii="Bookman Old Style" w:hAnsi="Bookman Old Style"/>
          <w:sz w:val="24"/>
        </w:rPr>
        <w:t xml:space="preserve"> documentary evidence </w:t>
      </w:r>
      <w:r w:rsidR="0076576B">
        <w:rPr>
          <w:rFonts w:ascii="Bookman Old Style" w:hAnsi="Bookman Old Style"/>
          <w:sz w:val="24"/>
        </w:rPr>
        <w:t>they wish the</w:t>
      </w:r>
      <w:r w:rsidR="00AF1846">
        <w:rPr>
          <w:rFonts w:ascii="Bookman Old Style" w:hAnsi="Bookman Old Style"/>
          <w:sz w:val="24"/>
        </w:rPr>
        <w:t xml:space="preserve"> Court</w:t>
      </w:r>
      <w:r>
        <w:rPr>
          <w:rFonts w:ascii="Bookman Old Style" w:hAnsi="Bookman Old Style"/>
          <w:sz w:val="24"/>
        </w:rPr>
        <w:t xml:space="preserve"> to consider </w:t>
      </w:r>
      <w:r w:rsidR="00AF1846">
        <w:rPr>
          <w:rFonts w:ascii="Bookman Old Style" w:hAnsi="Bookman Old Style"/>
          <w:sz w:val="24"/>
        </w:rPr>
        <w:t xml:space="preserve">30 days before the </w:t>
      </w:r>
      <w:r>
        <w:rPr>
          <w:rFonts w:ascii="Bookman Old Style" w:hAnsi="Bookman Old Style"/>
          <w:sz w:val="24"/>
        </w:rPr>
        <w:t>scheduled hearing</w:t>
      </w:r>
      <w:r w:rsidR="00AF1846">
        <w:rPr>
          <w:rFonts w:ascii="Bookman Old Style" w:hAnsi="Bookman Old Style"/>
          <w:sz w:val="24"/>
        </w:rPr>
        <w:t>.</w:t>
      </w:r>
      <w:r>
        <w:rPr>
          <w:rFonts w:ascii="Bookman Old Style" w:hAnsi="Bookman Old Style"/>
          <w:sz w:val="24"/>
        </w:rPr>
        <w:t xml:space="preserve">  </w:t>
      </w:r>
    </w:p>
    <w:p w14:paraId="5151017C" w14:textId="7BA314C1" w:rsidR="00DA02BA" w:rsidRDefault="00567260" w:rsidP="00C924AF">
      <w:pPr>
        <w:pStyle w:val="Footnoe"/>
        <w:ind w:firstLine="720"/>
        <w:jc w:val="both"/>
        <w:rPr>
          <w:rFonts w:ascii="Bookman Old Style" w:hAnsi="Bookman Old Style"/>
          <w:sz w:val="24"/>
        </w:rPr>
      </w:pPr>
      <w:r>
        <w:rPr>
          <w:rFonts w:ascii="Bookman Old Style" w:hAnsi="Bookman Old Style"/>
          <w:sz w:val="24"/>
        </w:rPr>
        <w:t>All submissions</w:t>
      </w:r>
      <w:r w:rsidR="003904C4">
        <w:rPr>
          <w:rFonts w:ascii="Bookman Old Style" w:hAnsi="Bookman Old Style"/>
          <w:sz w:val="24"/>
        </w:rPr>
        <w:t xml:space="preserve"> should</w:t>
      </w:r>
      <w:r w:rsidR="00185594">
        <w:rPr>
          <w:rFonts w:ascii="Bookman Old Style" w:hAnsi="Bookman Old Style"/>
          <w:sz w:val="24"/>
        </w:rPr>
        <w:t xml:space="preserve"> be organized such that it is clear as to </w:t>
      </w:r>
      <w:r w:rsidR="003904C4">
        <w:rPr>
          <w:rFonts w:ascii="Bookman Old Style" w:hAnsi="Bookman Old Style"/>
          <w:sz w:val="24"/>
        </w:rPr>
        <w:t>which factor</w:t>
      </w:r>
      <w:r w:rsidR="002D269D">
        <w:rPr>
          <w:rFonts w:ascii="Bookman Old Style" w:hAnsi="Bookman Old Style"/>
          <w:sz w:val="24"/>
        </w:rPr>
        <w:t xml:space="preserve"> each</w:t>
      </w:r>
      <w:r w:rsidR="003904C4">
        <w:rPr>
          <w:rFonts w:ascii="Bookman Old Style" w:hAnsi="Bookman Old Style"/>
          <w:sz w:val="24"/>
        </w:rPr>
        <w:t xml:space="preserve"> document pertains.  </w:t>
      </w:r>
      <w:r w:rsidR="00D27F9D">
        <w:rPr>
          <w:rFonts w:ascii="Bookman Old Style" w:hAnsi="Bookman Old Style"/>
          <w:sz w:val="24"/>
        </w:rPr>
        <w:t>This evidence include</w:t>
      </w:r>
      <w:r w:rsidR="003904C4">
        <w:rPr>
          <w:rFonts w:ascii="Bookman Old Style" w:hAnsi="Bookman Old Style"/>
          <w:sz w:val="24"/>
        </w:rPr>
        <w:t>s</w:t>
      </w:r>
      <w:r w:rsidR="00D27F9D">
        <w:rPr>
          <w:rFonts w:ascii="Bookman Old Style" w:hAnsi="Bookman Old Style"/>
          <w:sz w:val="24"/>
        </w:rPr>
        <w:t xml:space="preserve"> affidavits, police reports, criminal history documents, expert opinion letters, medical documents, mental health evaluations, mental health treatment records, psychological evaluations, IEPs, </w:t>
      </w:r>
      <w:r w:rsidR="003904C4">
        <w:rPr>
          <w:rFonts w:ascii="Bookman Old Style" w:hAnsi="Bookman Old Style"/>
          <w:sz w:val="24"/>
        </w:rPr>
        <w:t>and</w:t>
      </w:r>
      <w:r w:rsidR="00D27F9D">
        <w:rPr>
          <w:rFonts w:ascii="Bookman Old Style" w:hAnsi="Bookman Old Style"/>
          <w:sz w:val="24"/>
        </w:rPr>
        <w:t xml:space="preserve"> anything else relevant to any factor.</w:t>
      </w:r>
      <w:r w:rsidR="002D269D">
        <w:rPr>
          <w:rFonts w:ascii="Bookman Old Style" w:hAnsi="Bookman Old Style"/>
          <w:sz w:val="24"/>
        </w:rPr>
        <w:t xml:space="preserve">  </w:t>
      </w:r>
      <w:r w:rsidR="00DA02BA">
        <w:rPr>
          <w:rFonts w:ascii="Bookman Old Style" w:hAnsi="Bookman Old Style"/>
          <w:sz w:val="24"/>
        </w:rPr>
        <w:t xml:space="preserve">In sum, </w:t>
      </w:r>
    </w:p>
    <w:p w14:paraId="7D4A4CB4" w14:textId="7A21FA7A" w:rsidR="00510E0E" w:rsidRDefault="00DA02BA" w:rsidP="00932670">
      <w:pPr>
        <w:pStyle w:val="Footnoe"/>
        <w:numPr>
          <w:ilvl w:val="0"/>
          <w:numId w:val="24"/>
        </w:numPr>
        <w:ind w:left="1080"/>
        <w:jc w:val="both"/>
        <w:rPr>
          <w:rFonts w:ascii="Bookman Old Style" w:hAnsi="Bookman Old Style"/>
          <w:sz w:val="24"/>
        </w:rPr>
      </w:pPr>
      <w:r w:rsidRPr="0078523D">
        <w:rPr>
          <w:rFonts w:ascii="Bookman Old Style" w:hAnsi="Bookman Old Style"/>
          <w:sz w:val="24"/>
          <w:u w:val="single"/>
        </w:rPr>
        <w:lastRenderedPageBreak/>
        <w:t xml:space="preserve">Parties </w:t>
      </w:r>
      <w:r w:rsidR="00567260">
        <w:rPr>
          <w:rFonts w:ascii="Bookman Old Style" w:hAnsi="Bookman Old Style"/>
          <w:sz w:val="24"/>
          <w:u w:val="single"/>
        </w:rPr>
        <w:t>will</w:t>
      </w:r>
      <w:r w:rsidRPr="0078523D">
        <w:rPr>
          <w:rFonts w:ascii="Bookman Old Style" w:hAnsi="Bookman Old Style"/>
          <w:sz w:val="24"/>
          <w:u w:val="single"/>
        </w:rPr>
        <w:t xml:space="preserve"> prefile </w:t>
      </w:r>
      <w:r w:rsidR="002D269D" w:rsidRPr="002D269D">
        <w:rPr>
          <w:rFonts w:ascii="Bookman Old Style" w:hAnsi="Bookman Old Style"/>
          <w:i/>
          <w:iCs/>
          <w:sz w:val="24"/>
          <w:u w:val="single"/>
        </w:rPr>
        <w:t>all</w:t>
      </w:r>
      <w:r w:rsidR="002D269D">
        <w:rPr>
          <w:rFonts w:ascii="Bookman Old Style" w:hAnsi="Bookman Old Style"/>
          <w:sz w:val="24"/>
          <w:u w:val="single"/>
        </w:rPr>
        <w:t xml:space="preserve"> evidence it wishes the Court to consider </w:t>
      </w:r>
      <w:r w:rsidRPr="0078523D">
        <w:rPr>
          <w:rFonts w:ascii="Bookman Old Style" w:hAnsi="Bookman Old Style"/>
          <w:sz w:val="24"/>
          <w:u w:val="single"/>
        </w:rPr>
        <w:t>as to factors</w:t>
      </w:r>
      <w:r>
        <w:rPr>
          <w:rFonts w:ascii="Bookman Old Style" w:hAnsi="Bookman Old Style"/>
          <w:sz w:val="24"/>
        </w:rPr>
        <w:t>:</w:t>
      </w:r>
    </w:p>
    <w:p w14:paraId="27CCB434" w14:textId="09958057" w:rsidR="00510E0E" w:rsidRDefault="00510E0E" w:rsidP="00932670">
      <w:pPr>
        <w:pStyle w:val="Footnoe"/>
        <w:numPr>
          <w:ilvl w:val="1"/>
          <w:numId w:val="24"/>
        </w:numPr>
        <w:spacing w:after="0"/>
        <w:ind w:left="1440"/>
        <w:jc w:val="both"/>
        <w:rPr>
          <w:rFonts w:ascii="Bookman Old Style" w:hAnsi="Bookman Old Style"/>
          <w:sz w:val="24"/>
        </w:rPr>
      </w:pPr>
      <w:r>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I</w:t>
      </w:r>
      <w:r w:rsidR="00DA02BA" w:rsidRPr="00510E0E">
        <w:rPr>
          <w:rFonts w:ascii="Bookman Old Style" w:hAnsi="Bookman Old Style"/>
          <w:sz w:val="24"/>
        </w:rPr>
        <w:t>)</w:t>
      </w:r>
      <w:r w:rsidR="00BB2249">
        <w:rPr>
          <w:rFonts w:ascii="Bookman Old Style" w:hAnsi="Bookman Old Style"/>
          <w:sz w:val="24"/>
        </w:rPr>
        <w:t xml:space="preserve"> – seriousness </w:t>
      </w:r>
      <w:r w:rsidR="00DC29ED">
        <w:rPr>
          <w:rFonts w:ascii="Bookman Old Style" w:hAnsi="Bookman Old Style"/>
          <w:sz w:val="24"/>
        </w:rPr>
        <w:t>of the offense</w:t>
      </w:r>
      <w:r w:rsidR="00663C95">
        <w:rPr>
          <w:rFonts w:ascii="Bookman Old Style" w:hAnsi="Bookman Old Style"/>
          <w:sz w:val="24"/>
        </w:rPr>
        <w:t>/protection of community</w:t>
      </w:r>
      <w:r w:rsidR="00DC29ED">
        <w:rPr>
          <w:rFonts w:ascii="Bookman Old Style" w:hAnsi="Bookman Old Style"/>
          <w:sz w:val="24"/>
        </w:rPr>
        <w:t>;</w:t>
      </w:r>
    </w:p>
    <w:p w14:paraId="38C1293D" w14:textId="6A67D011" w:rsidR="00510E0E" w:rsidRDefault="00510E0E" w:rsidP="00932670">
      <w:pPr>
        <w:pStyle w:val="Footnoe"/>
        <w:numPr>
          <w:ilvl w:val="1"/>
          <w:numId w:val="24"/>
        </w:numPr>
        <w:spacing w:after="0"/>
        <w:ind w:left="1440"/>
        <w:jc w:val="both"/>
        <w:rPr>
          <w:rFonts w:ascii="Bookman Old Style" w:hAnsi="Bookman Old Style"/>
          <w:sz w:val="24"/>
        </w:rPr>
      </w:pPr>
      <w:r>
        <w:rPr>
          <w:rFonts w:ascii="Bookman Old Style" w:hAnsi="Bookman Old Style"/>
          <w:sz w:val="24"/>
        </w:rPr>
        <w:t xml:space="preserve">Factor </w:t>
      </w:r>
      <w:r w:rsidR="00D70B45">
        <w:rPr>
          <w:rFonts w:ascii="Bookman Old Style" w:hAnsi="Bookman Old Style"/>
          <w:sz w:val="24"/>
        </w:rPr>
        <w:t>(</w:t>
      </w:r>
      <w:r>
        <w:rPr>
          <w:rFonts w:ascii="Bookman Old Style" w:hAnsi="Bookman Old Style"/>
          <w:sz w:val="24"/>
        </w:rPr>
        <w:t>II)</w:t>
      </w:r>
      <w:r w:rsidR="00DC29ED">
        <w:rPr>
          <w:rFonts w:ascii="Bookman Old Style" w:hAnsi="Bookman Old Style"/>
          <w:sz w:val="24"/>
        </w:rPr>
        <w:t xml:space="preserve"> – how offense was committed</w:t>
      </w:r>
      <w:r w:rsidR="00D70B45">
        <w:rPr>
          <w:rFonts w:ascii="Bookman Old Style" w:hAnsi="Bookman Old Style"/>
          <w:sz w:val="24"/>
        </w:rPr>
        <w:t>;</w:t>
      </w:r>
    </w:p>
    <w:p w14:paraId="00949847" w14:textId="79DDCD0E" w:rsidR="00663C95" w:rsidRDefault="00663C95"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Pr>
          <w:rFonts w:ascii="Bookman Old Style" w:hAnsi="Bookman Old Style"/>
          <w:sz w:val="24"/>
        </w:rPr>
        <w:t>(</w:t>
      </w:r>
      <w:r w:rsidRPr="00510E0E">
        <w:rPr>
          <w:rFonts w:ascii="Bookman Old Style" w:hAnsi="Bookman Old Style"/>
          <w:sz w:val="24"/>
        </w:rPr>
        <w:t>V)</w:t>
      </w:r>
      <w:r>
        <w:rPr>
          <w:rFonts w:ascii="Bookman Old Style" w:hAnsi="Bookman Old Style"/>
          <w:sz w:val="24"/>
        </w:rPr>
        <w:t xml:space="preserve"> – his</w:t>
      </w:r>
      <w:r w:rsidRPr="00D5163E">
        <w:rPr>
          <w:rFonts w:ascii="Bookman Old Style" w:hAnsi="Bookman Old Style"/>
          <w:sz w:val="24"/>
        </w:rPr>
        <w:t>tory of prior court-related matters</w:t>
      </w:r>
      <w:r>
        <w:rPr>
          <w:rFonts w:ascii="Bookman Old Style" w:hAnsi="Bookman Old Style"/>
          <w:sz w:val="24"/>
        </w:rPr>
        <w:t>;</w:t>
      </w:r>
    </w:p>
    <w:p w14:paraId="44F6FE16" w14:textId="77777777" w:rsidR="00066FCA" w:rsidRDefault="00663C95" w:rsidP="007F062A">
      <w:pPr>
        <w:pStyle w:val="Footnoe"/>
        <w:numPr>
          <w:ilvl w:val="2"/>
          <w:numId w:val="24"/>
        </w:numPr>
        <w:spacing w:after="0"/>
        <w:ind w:left="1800"/>
        <w:jc w:val="both"/>
        <w:rPr>
          <w:rFonts w:ascii="Bookman Old Style" w:hAnsi="Bookman Old Style"/>
          <w:sz w:val="24"/>
        </w:rPr>
      </w:pPr>
      <w:r>
        <w:rPr>
          <w:rFonts w:ascii="Bookman Old Style" w:hAnsi="Bookman Old Style"/>
          <w:sz w:val="24"/>
        </w:rPr>
        <w:t xml:space="preserve">The juvenile’s record </w:t>
      </w:r>
      <w:r w:rsidR="00066FCA">
        <w:rPr>
          <w:rFonts w:ascii="Bookman Old Style" w:hAnsi="Bookman Old Style"/>
          <w:sz w:val="24"/>
        </w:rPr>
        <w:t>can</w:t>
      </w:r>
      <w:r>
        <w:rPr>
          <w:rFonts w:ascii="Bookman Old Style" w:hAnsi="Bookman Old Style"/>
          <w:sz w:val="24"/>
        </w:rPr>
        <w:t xml:space="preserve"> be established by records of conviction and sentencing</w:t>
      </w:r>
      <w:r w:rsidR="00066FCA">
        <w:rPr>
          <w:rFonts w:ascii="Bookman Old Style" w:hAnsi="Bookman Old Style"/>
          <w:sz w:val="24"/>
        </w:rPr>
        <w:t xml:space="preserve"> or stipulated </w:t>
      </w:r>
      <w:proofErr w:type="gramStart"/>
      <w:r w:rsidR="00066FCA">
        <w:rPr>
          <w:rFonts w:ascii="Bookman Old Style" w:hAnsi="Bookman Old Style"/>
          <w:sz w:val="24"/>
        </w:rPr>
        <w:t>to,</w:t>
      </w:r>
      <w:proofErr w:type="gramEnd"/>
      <w:r w:rsidR="00066FCA">
        <w:rPr>
          <w:rFonts w:ascii="Bookman Old Style" w:hAnsi="Bookman Old Style"/>
          <w:sz w:val="24"/>
        </w:rPr>
        <w:t xml:space="preserve"> </w:t>
      </w:r>
      <w:r w:rsidR="00066FCA">
        <w:rPr>
          <w:rFonts w:ascii="Bookman Old Style" w:hAnsi="Bookman Old Style"/>
          <w:i/>
          <w:iCs/>
          <w:sz w:val="24"/>
        </w:rPr>
        <w:t>see infra</w:t>
      </w:r>
      <w:r w:rsidR="00066FCA">
        <w:rPr>
          <w:rFonts w:ascii="Bookman Old Style" w:hAnsi="Bookman Old Style"/>
          <w:sz w:val="24"/>
        </w:rPr>
        <w:t>.</w:t>
      </w:r>
      <w:r>
        <w:rPr>
          <w:rFonts w:ascii="Bookman Old Style" w:hAnsi="Bookman Old Style"/>
          <w:sz w:val="24"/>
        </w:rPr>
        <w:t xml:space="preserve">  </w:t>
      </w:r>
    </w:p>
    <w:p w14:paraId="0D844CC2" w14:textId="09E8D9C5" w:rsidR="00663C95" w:rsidRDefault="00663C95" w:rsidP="007F062A">
      <w:pPr>
        <w:pStyle w:val="Footnoe"/>
        <w:numPr>
          <w:ilvl w:val="2"/>
          <w:numId w:val="24"/>
        </w:numPr>
        <w:spacing w:after="0"/>
        <w:ind w:left="1800"/>
        <w:jc w:val="both"/>
        <w:rPr>
          <w:rFonts w:ascii="Bookman Old Style" w:hAnsi="Bookman Old Style"/>
          <w:sz w:val="24"/>
        </w:rPr>
      </w:pPr>
      <w:r>
        <w:rPr>
          <w:rFonts w:ascii="Bookman Old Style" w:hAnsi="Bookman Old Style"/>
          <w:sz w:val="24"/>
        </w:rPr>
        <w:t>Documentation of the juvenile’s prior performance on probation, at DYC, or any other court-ordered program will be pre-filed.</w:t>
      </w:r>
    </w:p>
    <w:p w14:paraId="1A38BD47" w14:textId="148D54A2"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VI</w:t>
      </w:r>
      <w:r w:rsidR="00DA02BA" w:rsidRPr="00510E0E">
        <w:rPr>
          <w:rFonts w:ascii="Bookman Old Style" w:hAnsi="Bookman Old Style"/>
          <w:sz w:val="24"/>
        </w:rPr>
        <w:t>)</w:t>
      </w:r>
      <w:r w:rsidR="00BB2249">
        <w:rPr>
          <w:rFonts w:ascii="Bookman Old Style" w:hAnsi="Bookman Old Style"/>
          <w:sz w:val="24"/>
        </w:rPr>
        <w:t xml:space="preserve"> – </w:t>
      </w:r>
      <w:r w:rsidR="002D269D" w:rsidRPr="002D269D">
        <w:rPr>
          <w:rFonts w:ascii="Bookman Old Style" w:hAnsi="Bookman Old Style"/>
          <w:sz w:val="24"/>
        </w:rPr>
        <w:t>current and past mental health status</w:t>
      </w:r>
      <w:r w:rsidR="00D70B45">
        <w:rPr>
          <w:rFonts w:ascii="Bookman Old Style" w:hAnsi="Bookman Old Style"/>
          <w:sz w:val="24"/>
        </w:rPr>
        <w:t>;</w:t>
      </w:r>
    </w:p>
    <w:p w14:paraId="19715BC5" w14:textId="22BFEB1E" w:rsidR="002D269D" w:rsidRDefault="00066FCA" w:rsidP="007F062A">
      <w:pPr>
        <w:pStyle w:val="Footnoe"/>
        <w:numPr>
          <w:ilvl w:val="2"/>
          <w:numId w:val="24"/>
        </w:numPr>
        <w:spacing w:after="0"/>
        <w:ind w:left="1800"/>
        <w:jc w:val="both"/>
        <w:rPr>
          <w:rFonts w:ascii="Bookman Old Style" w:hAnsi="Bookman Old Style"/>
          <w:sz w:val="24"/>
        </w:rPr>
      </w:pPr>
      <w:r>
        <w:rPr>
          <w:rFonts w:ascii="Bookman Old Style" w:hAnsi="Bookman Old Style"/>
          <w:sz w:val="24"/>
        </w:rPr>
        <w:t>T</w:t>
      </w:r>
      <w:r w:rsidR="002D269D">
        <w:rPr>
          <w:rFonts w:ascii="Bookman Old Style" w:hAnsi="Bookman Old Style"/>
          <w:sz w:val="24"/>
        </w:rPr>
        <w:t>h</w:t>
      </w:r>
      <w:r w:rsidR="00BD2C45">
        <w:rPr>
          <w:rFonts w:ascii="Bookman Old Style" w:hAnsi="Bookman Old Style"/>
          <w:sz w:val="24"/>
        </w:rPr>
        <w:t>e</w:t>
      </w:r>
      <w:r w:rsidR="002D269D">
        <w:rPr>
          <w:rFonts w:ascii="Bookman Old Style" w:hAnsi="Bookman Old Style"/>
          <w:sz w:val="24"/>
        </w:rPr>
        <w:t xml:space="preserve"> facts relating to this factor are to be established</w:t>
      </w:r>
      <w:r w:rsidR="00BD2C45">
        <w:rPr>
          <w:rFonts w:ascii="Bookman Old Style" w:hAnsi="Bookman Old Style"/>
          <w:sz w:val="24"/>
        </w:rPr>
        <w:t xml:space="preserve"> by “</w:t>
      </w:r>
      <w:r w:rsidR="002D269D" w:rsidRPr="002D269D">
        <w:rPr>
          <w:rFonts w:ascii="Bookman Old Style" w:hAnsi="Bookman Old Style"/>
          <w:sz w:val="24"/>
        </w:rPr>
        <w:t>relevant mental health or psychological assessments or screenings</w:t>
      </w:r>
      <w:r w:rsidR="00BD2C45">
        <w:rPr>
          <w:rFonts w:ascii="Bookman Old Style" w:hAnsi="Bookman Old Style"/>
          <w:sz w:val="24"/>
        </w:rPr>
        <w:t xml:space="preserve">.”  </w:t>
      </w:r>
    </w:p>
    <w:p w14:paraId="0C8DC5BE" w14:textId="200B5B2F" w:rsidR="00510E0E" w:rsidRDefault="00DA02BA" w:rsidP="007F062A">
      <w:pPr>
        <w:pStyle w:val="Footnoe"/>
        <w:numPr>
          <w:ilvl w:val="2"/>
          <w:numId w:val="24"/>
        </w:numPr>
        <w:spacing w:after="0"/>
        <w:ind w:left="1800"/>
        <w:jc w:val="both"/>
        <w:rPr>
          <w:rFonts w:ascii="Bookman Old Style" w:hAnsi="Bookman Old Style"/>
          <w:sz w:val="24"/>
        </w:rPr>
      </w:pPr>
      <w:r w:rsidRPr="00510E0E">
        <w:rPr>
          <w:rFonts w:ascii="Bookman Old Style" w:hAnsi="Bookman Old Style"/>
          <w:sz w:val="24"/>
        </w:rPr>
        <w:t xml:space="preserve">This factor does </w:t>
      </w:r>
      <w:r w:rsidRPr="00074A84">
        <w:rPr>
          <w:rFonts w:ascii="Bookman Old Style" w:hAnsi="Bookman Old Style"/>
          <w:i/>
          <w:iCs/>
          <w:sz w:val="24"/>
        </w:rPr>
        <w:t xml:space="preserve">not </w:t>
      </w:r>
      <w:r w:rsidRPr="00510E0E">
        <w:rPr>
          <w:rFonts w:ascii="Bookman Old Style" w:hAnsi="Bookman Old Style"/>
          <w:sz w:val="24"/>
        </w:rPr>
        <w:t>contemplate family members testifying about the juvenile’s upbringing</w:t>
      </w:r>
      <w:r w:rsidR="00BD2C45">
        <w:rPr>
          <w:rFonts w:ascii="Bookman Old Style" w:hAnsi="Bookman Old Style"/>
          <w:sz w:val="24"/>
        </w:rPr>
        <w:t xml:space="preserve"> or lay opinion about the juvenile’s mental health status</w:t>
      </w:r>
      <w:r w:rsidRPr="00510E0E">
        <w:rPr>
          <w:rFonts w:ascii="Bookman Old Style" w:hAnsi="Bookman Old Style"/>
          <w:sz w:val="24"/>
        </w:rPr>
        <w:t xml:space="preserve">.  </w:t>
      </w:r>
    </w:p>
    <w:p w14:paraId="46C3579E" w14:textId="610996FD"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VIII</w:t>
      </w:r>
      <w:r w:rsidR="00DA02BA" w:rsidRPr="00510E0E">
        <w:rPr>
          <w:rFonts w:ascii="Bookman Old Style" w:hAnsi="Bookman Old Style"/>
          <w:sz w:val="24"/>
        </w:rPr>
        <w:t>)</w:t>
      </w:r>
      <w:r w:rsidR="00DC29ED">
        <w:rPr>
          <w:rFonts w:ascii="Bookman Old Style" w:hAnsi="Bookman Old Style"/>
          <w:sz w:val="24"/>
        </w:rPr>
        <w:t xml:space="preserve"> – commensurate punishment</w:t>
      </w:r>
      <w:r w:rsidR="00DA02BA" w:rsidRPr="00510E0E">
        <w:rPr>
          <w:rFonts w:ascii="Bookman Old Style" w:hAnsi="Bookman Old Style"/>
          <w:sz w:val="24"/>
        </w:rPr>
        <w:t>.</w:t>
      </w:r>
    </w:p>
    <w:p w14:paraId="6B7F3460" w14:textId="378D675E" w:rsidR="00510E0E" w:rsidRPr="00510E0E" w:rsidRDefault="0078523D" w:rsidP="007F062A">
      <w:pPr>
        <w:pStyle w:val="Footnoe"/>
        <w:numPr>
          <w:ilvl w:val="2"/>
          <w:numId w:val="24"/>
        </w:numPr>
        <w:spacing w:after="0"/>
        <w:ind w:left="1800"/>
        <w:jc w:val="both"/>
        <w:rPr>
          <w:rFonts w:ascii="Bookman Old Style" w:hAnsi="Bookman Old Style"/>
          <w:sz w:val="24"/>
        </w:rPr>
      </w:pPr>
      <w:r w:rsidRPr="00510E0E">
        <w:rPr>
          <w:rFonts w:ascii="Bookman Old Style" w:hAnsi="Bookman Old Style"/>
          <w:sz w:val="24"/>
        </w:rPr>
        <w:t>This factor is probably just oral argument.</w:t>
      </w:r>
    </w:p>
    <w:p w14:paraId="14D5E62C" w14:textId="77777777" w:rsidR="00510E0E" w:rsidRPr="00510E0E" w:rsidRDefault="00510E0E" w:rsidP="00932670">
      <w:pPr>
        <w:pStyle w:val="Footnoe"/>
        <w:spacing w:after="0"/>
        <w:ind w:left="1080"/>
        <w:jc w:val="both"/>
        <w:rPr>
          <w:rFonts w:ascii="Bookman Old Style" w:hAnsi="Bookman Old Style"/>
          <w:sz w:val="24"/>
        </w:rPr>
      </w:pPr>
    </w:p>
    <w:p w14:paraId="527832E6" w14:textId="77777777" w:rsidR="00510E0E" w:rsidRDefault="00DA02BA" w:rsidP="00932670">
      <w:pPr>
        <w:pStyle w:val="Footnoe"/>
        <w:numPr>
          <w:ilvl w:val="0"/>
          <w:numId w:val="24"/>
        </w:numPr>
        <w:ind w:left="1080"/>
        <w:jc w:val="both"/>
        <w:rPr>
          <w:rFonts w:ascii="Bookman Old Style" w:hAnsi="Bookman Old Style"/>
          <w:sz w:val="24"/>
        </w:rPr>
      </w:pPr>
      <w:r w:rsidRPr="0078523D">
        <w:rPr>
          <w:rFonts w:ascii="Bookman Old Style" w:hAnsi="Bookman Old Style"/>
          <w:sz w:val="24"/>
          <w:u w:val="single"/>
        </w:rPr>
        <w:t xml:space="preserve">Parties </w:t>
      </w:r>
      <w:r w:rsidR="00D530C9">
        <w:rPr>
          <w:rFonts w:ascii="Bookman Old Style" w:hAnsi="Bookman Old Style"/>
          <w:sz w:val="24"/>
          <w:u w:val="single"/>
        </w:rPr>
        <w:t>sh</w:t>
      </w:r>
      <w:r w:rsidRPr="0078523D">
        <w:rPr>
          <w:rFonts w:ascii="Bookman Old Style" w:hAnsi="Bookman Old Style"/>
          <w:sz w:val="24"/>
          <w:u w:val="single"/>
        </w:rPr>
        <w:t>ould stipulate as to factors</w:t>
      </w:r>
      <w:r w:rsidRPr="00DA02BA">
        <w:rPr>
          <w:rFonts w:ascii="Bookman Old Style" w:hAnsi="Bookman Old Style"/>
          <w:sz w:val="24"/>
        </w:rPr>
        <w:t xml:space="preserve">: </w:t>
      </w:r>
    </w:p>
    <w:p w14:paraId="52440748" w14:textId="0CD7C7BC"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III</w:t>
      </w:r>
      <w:r w:rsidR="00DC29ED">
        <w:rPr>
          <w:rFonts w:ascii="Bookman Old Style" w:hAnsi="Bookman Old Style"/>
          <w:sz w:val="24"/>
        </w:rPr>
        <w:t>) – person or property crime;</w:t>
      </w:r>
    </w:p>
    <w:p w14:paraId="4F1A9323" w14:textId="26273F3E"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V</w:t>
      </w:r>
      <w:r w:rsidR="009E0AEE" w:rsidRPr="00510E0E">
        <w:rPr>
          <w:rFonts w:ascii="Bookman Old Style" w:hAnsi="Bookman Old Style"/>
          <w:sz w:val="24"/>
        </w:rPr>
        <w:t>)</w:t>
      </w:r>
      <w:r w:rsidR="00D70B45">
        <w:rPr>
          <w:rFonts w:ascii="Bookman Old Style" w:hAnsi="Bookman Old Style"/>
          <w:sz w:val="24"/>
        </w:rPr>
        <w:t xml:space="preserve"> – his</w:t>
      </w:r>
      <w:r w:rsidR="00D70B45" w:rsidRPr="00D5163E">
        <w:rPr>
          <w:rFonts w:ascii="Bookman Old Style" w:hAnsi="Bookman Old Style"/>
          <w:sz w:val="24"/>
        </w:rPr>
        <w:t>tory of prior court-related matters</w:t>
      </w:r>
      <w:r w:rsidR="00D70B45">
        <w:rPr>
          <w:rFonts w:ascii="Bookman Old Style" w:hAnsi="Bookman Old Style"/>
          <w:sz w:val="24"/>
        </w:rPr>
        <w:t>;</w:t>
      </w:r>
    </w:p>
    <w:p w14:paraId="25D12027" w14:textId="69F541C8" w:rsidR="00663C95" w:rsidRDefault="00663C95" w:rsidP="007F062A">
      <w:pPr>
        <w:pStyle w:val="Footnoe"/>
        <w:numPr>
          <w:ilvl w:val="2"/>
          <w:numId w:val="24"/>
        </w:numPr>
        <w:spacing w:after="0"/>
        <w:ind w:left="1800"/>
        <w:jc w:val="both"/>
        <w:rPr>
          <w:rFonts w:ascii="Bookman Old Style" w:hAnsi="Bookman Old Style"/>
          <w:sz w:val="24"/>
        </w:rPr>
      </w:pPr>
      <w:r>
        <w:rPr>
          <w:rFonts w:ascii="Bookman Old Style" w:hAnsi="Bookman Old Style"/>
          <w:sz w:val="24"/>
        </w:rPr>
        <w:t xml:space="preserve">The </w:t>
      </w:r>
      <w:r w:rsidR="00066FCA">
        <w:rPr>
          <w:rFonts w:ascii="Bookman Old Style" w:hAnsi="Bookman Old Style"/>
          <w:sz w:val="24"/>
        </w:rPr>
        <w:t>juvenile’s</w:t>
      </w:r>
      <w:r w:rsidR="001D7092">
        <w:rPr>
          <w:rFonts w:ascii="Bookman Old Style" w:hAnsi="Bookman Old Style"/>
          <w:sz w:val="24"/>
        </w:rPr>
        <w:t xml:space="preserve"> </w:t>
      </w:r>
      <w:r w:rsidR="00066FCA">
        <w:rPr>
          <w:rFonts w:ascii="Bookman Old Style" w:hAnsi="Bookman Old Style"/>
          <w:sz w:val="24"/>
        </w:rPr>
        <w:t>prior convictions or adjudications can be stipulated to.</w:t>
      </w:r>
    </w:p>
    <w:p w14:paraId="40189DE7" w14:textId="49E479E3"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X</w:t>
      </w:r>
      <w:r w:rsidR="009E0AEE" w:rsidRPr="00510E0E">
        <w:rPr>
          <w:rFonts w:ascii="Bookman Old Style" w:hAnsi="Bookman Old Style"/>
          <w:sz w:val="24"/>
        </w:rPr>
        <w:t>)</w:t>
      </w:r>
      <w:r w:rsidR="00BB2249">
        <w:rPr>
          <w:rFonts w:ascii="Bookman Old Style" w:hAnsi="Bookman Old Style"/>
          <w:sz w:val="24"/>
        </w:rPr>
        <w:t xml:space="preserve"> – prior </w:t>
      </w:r>
      <w:r w:rsidR="00DC29ED" w:rsidRPr="00D5163E">
        <w:rPr>
          <w:rFonts w:ascii="Bookman Old Style" w:hAnsi="Bookman Old Style"/>
          <w:sz w:val="24"/>
        </w:rPr>
        <w:t>delinquency and commitment to the Department of Human Services</w:t>
      </w:r>
      <w:r w:rsidR="00D70B45">
        <w:rPr>
          <w:rFonts w:ascii="Bookman Old Style" w:hAnsi="Bookman Old Style"/>
          <w:sz w:val="24"/>
        </w:rPr>
        <w:t>;</w:t>
      </w:r>
    </w:p>
    <w:p w14:paraId="09AF6B44" w14:textId="2D4A6F6A" w:rsidR="00D530C9"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Pr="00510E0E">
        <w:rPr>
          <w:rFonts w:ascii="Bookman Old Style" w:hAnsi="Bookman Old Style"/>
          <w:sz w:val="24"/>
        </w:rPr>
        <w:t>XI</w:t>
      </w:r>
      <w:r w:rsidR="00DC29ED">
        <w:rPr>
          <w:rFonts w:ascii="Bookman Old Style" w:hAnsi="Bookman Old Style"/>
          <w:sz w:val="24"/>
        </w:rPr>
        <w:t>) – use of deadly weapon.</w:t>
      </w:r>
    </w:p>
    <w:p w14:paraId="1794C051" w14:textId="4519B643" w:rsidR="00185594" w:rsidRDefault="00185594" w:rsidP="00932670">
      <w:pPr>
        <w:pStyle w:val="Footnoe"/>
        <w:numPr>
          <w:ilvl w:val="1"/>
          <w:numId w:val="24"/>
        </w:numPr>
        <w:spacing w:after="0"/>
        <w:ind w:left="1440"/>
        <w:jc w:val="both"/>
        <w:rPr>
          <w:rFonts w:ascii="Bookman Old Style" w:hAnsi="Bookman Old Style"/>
          <w:sz w:val="24"/>
        </w:rPr>
      </w:pPr>
      <w:r>
        <w:rPr>
          <w:rFonts w:ascii="Bookman Old Style" w:hAnsi="Bookman Old Style"/>
          <w:sz w:val="24"/>
        </w:rPr>
        <w:t>If there is a factual dispute as to any of these factors, documentary evidence may be submitted 30 days prior to the hearing as discussed in paragraph (1).</w:t>
      </w:r>
    </w:p>
    <w:p w14:paraId="0D7F9084" w14:textId="77777777" w:rsidR="00D70B45" w:rsidRPr="00510E0E" w:rsidRDefault="00D70B45" w:rsidP="00932670">
      <w:pPr>
        <w:pStyle w:val="Footnoe"/>
        <w:spacing w:after="0"/>
        <w:ind w:left="1080"/>
        <w:jc w:val="both"/>
        <w:rPr>
          <w:rFonts w:ascii="Bookman Old Style" w:hAnsi="Bookman Old Style"/>
          <w:sz w:val="24"/>
        </w:rPr>
      </w:pPr>
    </w:p>
    <w:p w14:paraId="5B38C4F1" w14:textId="52F6866A" w:rsidR="00510E0E" w:rsidRDefault="007944D4" w:rsidP="00932670">
      <w:pPr>
        <w:pStyle w:val="Footnoe"/>
        <w:numPr>
          <w:ilvl w:val="0"/>
          <w:numId w:val="24"/>
        </w:numPr>
        <w:ind w:left="1080"/>
        <w:jc w:val="both"/>
        <w:rPr>
          <w:rFonts w:ascii="Bookman Old Style" w:hAnsi="Bookman Old Style"/>
          <w:sz w:val="24"/>
        </w:rPr>
      </w:pPr>
      <w:r w:rsidRPr="0078523D">
        <w:rPr>
          <w:rFonts w:ascii="Bookman Old Style" w:hAnsi="Bookman Old Style"/>
          <w:sz w:val="24"/>
          <w:u w:val="single"/>
        </w:rPr>
        <w:t xml:space="preserve">Live </w:t>
      </w:r>
      <w:r>
        <w:rPr>
          <w:rFonts w:ascii="Bookman Old Style" w:hAnsi="Bookman Old Style"/>
          <w:sz w:val="24"/>
          <w:u w:val="single"/>
        </w:rPr>
        <w:t>T</w:t>
      </w:r>
      <w:r w:rsidRPr="0078523D">
        <w:rPr>
          <w:rFonts w:ascii="Bookman Old Style" w:hAnsi="Bookman Old Style"/>
          <w:sz w:val="24"/>
          <w:u w:val="single"/>
        </w:rPr>
        <w:t>estimony</w:t>
      </w:r>
      <w:r w:rsidR="00C4308B">
        <w:rPr>
          <w:rFonts w:ascii="Bookman Old Style" w:hAnsi="Bookman Old Style"/>
          <w:sz w:val="24"/>
          <w:u w:val="single"/>
        </w:rPr>
        <w:t xml:space="preserve"> not</w:t>
      </w:r>
      <w:r w:rsidR="00185594">
        <w:rPr>
          <w:rFonts w:ascii="Bookman Old Style" w:hAnsi="Bookman Old Style"/>
          <w:sz w:val="24"/>
          <w:u w:val="single"/>
        </w:rPr>
        <w:t xml:space="preserve"> </w:t>
      </w:r>
      <w:r>
        <w:rPr>
          <w:rFonts w:ascii="Bookman Old Style" w:hAnsi="Bookman Old Style"/>
          <w:sz w:val="24"/>
          <w:u w:val="single"/>
        </w:rPr>
        <w:t>Anticipated</w:t>
      </w:r>
      <w:r w:rsidR="00C4308B">
        <w:rPr>
          <w:rFonts w:ascii="Bookman Old Style" w:hAnsi="Bookman Old Style"/>
          <w:sz w:val="24"/>
          <w:u w:val="single"/>
        </w:rPr>
        <w:t xml:space="preserve"> Unless </w:t>
      </w:r>
      <w:r w:rsidRPr="0078523D">
        <w:rPr>
          <w:rFonts w:ascii="Bookman Old Style" w:hAnsi="Bookman Old Style"/>
          <w:sz w:val="24"/>
          <w:u w:val="single"/>
        </w:rPr>
        <w:t>A</w:t>
      </w:r>
      <w:r>
        <w:rPr>
          <w:rFonts w:ascii="Bookman Old Style" w:hAnsi="Bookman Old Style"/>
          <w:sz w:val="24"/>
          <w:u w:val="single"/>
        </w:rPr>
        <w:t>uthorized</w:t>
      </w:r>
      <w:r>
        <w:rPr>
          <w:rFonts w:ascii="Bookman Old Style" w:hAnsi="Bookman Old Style"/>
          <w:sz w:val="24"/>
        </w:rPr>
        <w:t xml:space="preserve"> </w:t>
      </w:r>
      <w:r w:rsidRPr="00DA02BA">
        <w:rPr>
          <w:rFonts w:ascii="Bookman Old Style" w:hAnsi="Bookman Old Style"/>
          <w:sz w:val="24"/>
        </w:rPr>
        <w:t>(Victims and Expert Testimony</w:t>
      </w:r>
      <w:r w:rsidR="00DA02BA" w:rsidRPr="00DA02BA">
        <w:rPr>
          <w:rFonts w:ascii="Bookman Old Style" w:hAnsi="Bookman Old Style"/>
          <w:sz w:val="24"/>
        </w:rPr>
        <w:t>)</w:t>
      </w:r>
      <w:r w:rsidR="00185594">
        <w:rPr>
          <w:rFonts w:ascii="Bookman Old Style" w:hAnsi="Bookman Old Style"/>
          <w:sz w:val="24"/>
        </w:rPr>
        <w:t>:</w:t>
      </w:r>
    </w:p>
    <w:p w14:paraId="0E55C1D6" w14:textId="05ADEAD6" w:rsidR="00510E0E" w:rsidRDefault="00510E0E" w:rsidP="00932670">
      <w:pPr>
        <w:pStyle w:val="Footnoe"/>
        <w:numPr>
          <w:ilvl w:val="1"/>
          <w:numId w:val="24"/>
        </w:numPr>
        <w:spacing w:after="0"/>
        <w:ind w:left="1440"/>
        <w:jc w:val="both"/>
        <w:rPr>
          <w:rFonts w:ascii="Bookman Old Style" w:hAnsi="Bookman Old Style"/>
          <w:sz w:val="24"/>
        </w:rPr>
      </w:pPr>
      <w:r w:rsidRPr="00510E0E">
        <w:rPr>
          <w:rFonts w:ascii="Bookman Old Style" w:hAnsi="Bookman Old Style"/>
          <w:sz w:val="24"/>
        </w:rPr>
        <w:t xml:space="preserve">Factor </w:t>
      </w:r>
      <w:r w:rsidR="00D70B45">
        <w:rPr>
          <w:rFonts w:ascii="Bookman Old Style" w:hAnsi="Bookman Old Style"/>
          <w:sz w:val="24"/>
        </w:rPr>
        <w:t>(</w:t>
      </w:r>
      <w:r w:rsidR="0078523D" w:rsidRPr="00510E0E">
        <w:rPr>
          <w:rFonts w:ascii="Bookman Old Style" w:hAnsi="Bookman Old Style"/>
          <w:sz w:val="24"/>
        </w:rPr>
        <w:t>VII)</w:t>
      </w:r>
      <w:r w:rsidR="00D70B45">
        <w:rPr>
          <w:rFonts w:ascii="Bookman Old Style" w:hAnsi="Bookman Old Style"/>
          <w:sz w:val="24"/>
        </w:rPr>
        <w:t xml:space="preserve"> – </w:t>
      </w:r>
      <w:r w:rsidR="007944D4">
        <w:rPr>
          <w:rFonts w:ascii="Bookman Old Style" w:hAnsi="Bookman Old Style"/>
          <w:sz w:val="24"/>
        </w:rPr>
        <w:t>likelihood of rehabilitation.</w:t>
      </w:r>
    </w:p>
    <w:p w14:paraId="1222FE02" w14:textId="67497E52" w:rsidR="00510E0E" w:rsidRPr="00510E0E" w:rsidRDefault="0078523D" w:rsidP="00932670">
      <w:pPr>
        <w:pStyle w:val="Footnoe"/>
        <w:numPr>
          <w:ilvl w:val="2"/>
          <w:numId w:val="24"/>
        </w:numPr>
        <w:spacing w:after="0"/>
        <w:ind w:left="1800"/>
        <w:jc w:val="both"/>
        <w:rPr>
          <w:rFonts w:ascii="Bookman Old Style" w:hAnsi="Bookman Old Style"/>
          <w:sz w:val="24"/>
        </w:rPr>
      </w:pPr>
      <w:r w:rsidRPr="00510E0E">
        <w:rPr>
          <w:rFonts w:ascii="Bookman Old Style" w:hAnsi="Bookman Old Style"/>
          <w:sz w:val="24"/>
        </w:rPr>
        <w:t>A</w:t>
      </w:r>
      <w:r w:rsidR="00510E0E" w:rsidRPr="00510E0E">
        <w:rPr>
          <w:rFonts w:ascii="Bookman Old Style" w:hAnsi="Bookman Old Style"/>
          <w:sz w:val="24"/>
        </w:rPr>
        <w:t>ll</w:t>
      </w:r>
      <w:r w:rsidRPr="00510E0E">
        <w:rPr>
          <w:rFonts w:ascii="Bookman Old Style" w:hAnsi="Bookman Old Style"/>
          <w:sz w:val="24"/>
        </w:rPr>
        <w:t xml:space="preserve"> expert opinion</w:t>
      </w:r>
      <w:r w:rsidR="00510E0E" w:rsidRPr="00510E0E">
        <w:rPr>
          <w:rFonts w:ascii="Bookman Old Style" w:hAnsi="Bookman Old Style"/>
          <w:sz w:val="24"/>
        </w:rPr>
        <w:t>s relating to t</w:t>
      </w:r>
      <w:r w:rsidRPr="00510E0E">
        <w:rPr>
          <w:rFonts w:ascii="Bookman Old Style" w:hAnsi="Bookman Old Style"/>
          <w:sz w:val="24"/>
        </w:rPr>
        <w:t xml:space="preserve">his factor </w:t>
      </w:r>
      <w:r w:rsidR="00510E0E" w:rsidRPr="00510E0E">
        <w:rPr>
          <w:rFonts w:ascii="Bookman Old Style" w:hAnsi="Bookman Old Style"/>
          <w:sz w:val="24"/>
        </w:rPr>
        <w:t>must</w:t>
      </w:r>
      <w:r w:rsidRPr="00510E0E">
        <w:rPr>
          <w:rFonts w:ascii="Bookman Old Style" w:hAnsi="Bookman Old Style"/>
          <w:sz w:val="24"/>
        </w:rPr>
        <w:t xml:space="preserve"> be submitted to the court for its review prior to the hearing.</w:t>
      </w:r>
    </w:p>
    <w:p w14:paraId="7A1343C7" w14:textId="66102848" w:rsidR="00510E0E" w:rsidRDefault="00C4308B" w:rsidP="00932670">
      <w:pPr>
        <w:pStyle w:val="Footnoe"/>
        <w:numPr>
          <w:ilvl w:val="2"/>
          <w:numId w:val="24"/>
        </w:numPr>
        <w:spacing w:after="0"/>
        <w:ind w:left="1800"/>
        <w:jc w:val="both"/>
        <w:rPr>
          <w:rFonts w:ascii="Bookman Old Style" w:hAnsi="Bookman Old Style"/>
          <w:sz w:val="24"/>
        </w:rPr>
      </w:pPr>
      <w:r>
        <w:rPr>
          <w:rFonts w:ascii="Bookman Old Style" w:hAnsi="Bookman Old Style"/>
          <w:sz w:val="24"/>
        </w:rPr>
        <w:t>If necessary, e</w:t>
      </w:r>
      <w:r w:rsidR="0078523D" w:rsidRPr="00510E0E">
        <w:rPr>
          <w:rFonts w:ascii="Bookman Old Style" w:hAnsi="Bookman Old Style"/>
          <w:sz w:val="24"/>
        </w:rPr>
        <w:t xml:space="preserve">xperts will be allowed to testify, but it will be unnecessary for them to repeat what is in their opinion letters.  </w:t>
      </w:r>
      <w:r w:rsidR="0078523D" w:rsidRPr="00510E0E">
        <w:rPr>
          <w:rFonts w:ascii="Bookman Old Style" w:hAnsi="Bookman Old Style"/>
          <w:sz w:val="24"/>
        </w:rPr>
        <w:lastRenderedPageBreak/>
        <w:t xml:space="preserve">Thus, any testimony on direct will be brief with </w:t>
      </w:r>
      <w:proofErr w:type="gramStart"/>
      <w:r w:rsidR="0078523D" w:rsidRPr="00510E0E">
        <w:rPr>
          <w:rFonts w:ascii="Bookman Old Style" w:hAnsi="Bookman Old Style"/>
          <w:sz w:val="24"/>
        </w:rPr>
        <w:t>the majority of</w:t>
      </w:r>
      <w:proofErr w:type="gramEnd"/>
      <w:r w:rsidR="0078523D" w:rsidRPr="00510E0E">
        <w:rPr>
          <w:rFonts w:ascii="Bookman Old Style" w:hAnsi="Bookman Old Style"/>
          <w:sz w:val="24"/>
        </w:rPr>
        <w:t xml:space="preserve"> the testimony being cross and re-direct.</w:t>
      </w:r>
    </w:p>
    <w:p w14:paraId="78704430" w14:textId="7A6416FF" w:rsidR="009F41FA" w:rsidRDefault="0078523D" w:rsidP="00932670">
      <w:pPr>
        <w:pStyle w:val="Footnoe"/>
        <w:numPr>
          <w:ilvl w:val="2"/>
          <w:numId w:val="24"/>
        </w:numPr>
        <w:spacing w:after="0"/>
        <w:ind w:left="1800"/>
        <w:jc w:val="both"/>
        <w:rPr>
          <w:rFonts w:ascii="Bookman Old Style" w:hAnsi="Bookman Old Style"/>
          <w:sz w:val="24"/>
        </w:rPr>
      </w:pPr>
      <w:r w:rsidRPr="00510E0E">
        <w:rPr>
          <w:rFonts w:ascii="Bookman Old Style" w:hAnsi="Bookman Old Style"/>
          <w:sz w:val="24"/>
        </w:rPr>
        <w:t>The Court does not need evidence regarding what YOS is or what the juvenile sentencing structures are and the benefits thereof.</w:t>
      </w:r>
    </w:p>
    <w:p w14:paraId="4ADB35A2" w14:textId="77777777" w:rsidR="00932670" w:rsidRDefault="00932670" w:rsidP="00932670">
      <w:pPr>
        <w:pStyle w:val="Footnoe"/>
        <w:spacing w:after="0"/>
        <w:ind w:left="1800"/>
        <w:jc w:val="both"/>
        <w:rPr>
          <w:rFonts w:ascii="Bookman Old Style" w:hAnsi="Bookman Old Style"/>
          <w:sz w:val="24"/>
        </w:rPr>
      </w:pPr>
    </w:p>
    <w:p w14:paraId="4B66F83C" w14:textId="58E8A377" w:rsidR="009F41FA" w:rsidRDefault="009F41FA" w:rsidP="00932670">
      <w:pPr>
        <w:pStyle w:val="Footnoe"/>
        <w:numPr>
          <w:ilvl w:val="1"/>
          <w:numId w:val="24"/>
        </w:numPr>
        <w:spacing w:after="0"/>
        <w:ind w:left="1440"/>
        <w:jc w:val="both"/>
        <w:rPr>
          <w:rFonts w:ascii="Bookman Old Style" w:hAnsi="Bookman Old Style"/>
          <w:sz w:val="24"/>
        </w:rPr>
      </w:pPr>
      <w:r w:rsidRPr="009F41FA">
        <w:rPr>
          <w:rFonts w:ascii="Bookman Old Style" w:hAnsi="Bookman Old Style"/>
          <w:sz w:val="24"/>
        </w:rPr>
        <w:t xml:space="preserve">Factor </w:t>
      </w:r>
      <w:r w:rsidR="00D70B45">
        <w:rPr>
          <w:rFonts w:ascii="Bookman Old Style" w:hAnsi="Bookman Old Style"/>
          <w:sz w:val="24"/>
        </w:rPr>
        <w:t>(</w:t>
      </w:r>
      <w:r w:rsidR="00EE65EF" w:rsidRPr="009F41FA">
        <w:rPr>
          <w:rFonts w:ascii="Bookman Old Style" w:hAnsi="Bookman Old Style"/>
          <w:sz w:val="24"/>
        </w:rPr>
        <w:t>IX)</w:t>
      </w:r>
      <w:r w:rsidR="00DC29ED">
        <w:rPr>
          <w:rFonts w:ascii="Bookman Old Style" w:hAnsi="Bookman Old Style"/>
          <w:sz w:val="24"/>
        </w:rPr>
        <w:t xml:space="preserve"> – victim impact</w:t>
      </w:r>
    </w:p>
    <w:p w14:paraId="4794E6AF" w14:textId="1F40EF48" w:rsidR="0078523D" w:rsidRPr="009F41FA" w:rsidRDefault="00EE65EF" w:rsidP="00932670">
      <w:pPr>
        <w:pStyle w:val="Footnoe"/>
        <w:numPr>
          <w:ilvl w:val="2"/>
          <w:numId w:val="24"/>
        </w:numPr>
        <w:ind w:left="1800"/>
        <w:jc w:val="both"/>
        <w:rPr>
          <w:rFonts w:ascii="Bookman Old Style" w:hAnsi="Bookman Old Style"/>
          <w:sz w:val="24"/>
        </w:rPr>
      </w:pPr>
      <w:r w:rsidRPr="009F41FA">
        <w:rPr>
          <w:rFonts w:ascii="Bookman Old Style" w:hAnsi="Bookman Old Style"/>
          <w:sz w:val="24"/>
        </w:rPr>
        <w:t>Victim impact statements</w:t>
      </w:r>
      <w:r w:rsidR="00C4308B">
        <w:rPr>
          <w:rFonts w:ascii="Bookman Old Style" w:hAnsi="Bookman Old Style"/>
          <w:sz w:val="24"/>
        </w:rPr>
        <w:t xml:space="preserve"> and photographs</w:t>
      </w:r>
      <w:r w:rsidRPr="009F41FA">
        <w:rPr>
          <w:rFonts w:ascii="Bookman Old Style" w:hAnsi="Bookman Old Style"/>
          <w:sz w:val="24"/>
        </w:rPr>
        <w:t xml:space="preserve"> in lieu of live testimony </w:t>
      </w:r>
      <w:r w:rsidR="00C4308B">
        <w:rPr>
          <w:rFonts w:ascii="Bookman Old Style" w:hAnsi="Bookman Old Style"/>
          <w:sz w:val="24"/>
        </w:rPr>
        <w:t>would seem</w:t>
      </w:r>
      <w:r w:rsidRPr="009F41FA">
        <w:rPr>
          <w:rFonts w:ascii="Bookman Old Style" w:hAnsi="Bookman Old Style"/>
          <w:sz w:val="24"/>
        </w:rPr>
        <w:t xml:space="preserve"> sufficient</w:t>
      </w:r>
      <w:r w:rsidR="00C4308B">
        <w:rPr>
          <w:rFonts w:ascii="Bookman Old Style" w:hAnsi="Bookman Old Style"/>
          <w:sz w:val="24"/>
        </w:rPr>
        <w:t xml:space="preserve"> unless the need for live testimony is established.</w:t>
      </w:r>
    </w:p>
    <w:p w14:paraId="577080AC" w14:textId="77777777" w:rsidR="001C39CB" w:rsidRDefault="00F60ADA" w:rsidP="00932670">
      <w:pPr>
        <w:pStyle w:val="Footnoe"/>
        <w:numPr>
          <w:ilvl w:val="0"/>
          <w:numId w:val="24"/>
        </w:numPr>
        <w:ind w:left="1080"/>
        <w:jc w:val="both"/>
        <w:rPr>
          <w:rFonts w:ascii="Bookman Old Style" w:hAnsi="Bookman Old Style"/>
          <w:sz w:val="24"/>
        </w:rPr>
      </w:pPr>
      <w:r w:rsidRPr="00EE65EF">
        <w:rPr>
          <w:rFonts w:ascii="Bookman Old Style" w:hAnsi="Bookman Old Style"/>
          <w:sz w:val="24"/>
          <w:u w:val="single"/>
        </w:rPr>
        <w:t>What will be helpful to</w:t>
      </w:r>
      <w:r w:rsidR="001B42C1" w:rsidRPr="00EE65EF">
        <w:rPr>
          <w:rFonts w:ascii="Bookman Old Style" w:hAnsi="Bookman Old Style"/>
          <w:sz w:val="24"/>
          <w:u w:val="single"/>
        </w:rPr>
        <w:t xml:space="preserve"> the Court</w:t>
      </w:r>
      <w:r w:rsidR="00EE65EF">
        <w:rPr>
          <w:rFonts w:ascii="Bookman Old Style" w:hAnsi="Bookman Old Style"/>
          <w:sz w:val="24"/>
        </w:rPr>
        <w:t>.  E</w:t>
      </w:r>
      <w:r w:rsidRPr="00EE65EF">
        <w:rPr>
          <w:rFonts w:ascii="Bookman Old Style" w:hAnsi="Bookman Old Style"/>
          <w:sz w:val="24"/>
        </w:rPr>
        <w:t>vidence on issues that the filing deputy couldn’t have known about</w:t>
      </w:r>
      <w:r w:rsidR="00411938">
        <w:rPr>
          <w:rFonts w:ascii="Bookman Old Style" w:hAnsi="Bookman Old Style"/>
          <w:sz w:val="24"/>
        </w:rPr>
        <w:t>:</w:t>
      </w:r>
      <w:r w:rsidR="00BB25B9">
        <w:rPr>
          <w:rFonts w:ascii="Bookman Old Style" w:hAnsi="Bookman Old Style"/>
          <w:sz w:val="24"/>
        </w:rPr>
        <w:t xml:space="preserve">  </w:t>
      </w:r>
      <w:r w:rsidR="009F41FA" w:rsidRPr="00BB25B9">
        <w:rPr>
          <w:rFonts w:ascii="Bookman Old Style" w:hAnsi="Bookman Old Style"/>
          <w:sz w:val="24"/>
        </w:rPr>
        <w:t>Factor</w:t>
      </w:r>
      <w:r w:rsidR="00D70B45" w:rsidRPr="00BB25B9">
        <w:rPr>
          <w:rFonts w:ascii="Bookman Old Style" w:hAnsi="Bookman Old Style"/>
          <w:sz w:val="24"/>
        </w:rPr>
        <w:t xml:space="preserve"> (</w:t>
      </w:r>
      <w:r w:rsidR="00EE65EF" w:rsidRPr="00BB25B9">
        <w:rPr>
          <w:rFonts w:ascii="Bookman Old Style" w:hAnsi="Bookman Old Style"/>
          <w:sz w:val="24"/>
        </w:rPr>
        <w:t>IV)</w:t>
      </w:r>
      <w:r w:rsidR="00BB2249" w:rsidRPr="00BB25B9">
        <w:rPr>
          <w:rFonts w:ascii="Bookman Old Style" w:hAnsi="Bookman Old Style"/>
          <w:sz w:val="24"/>
        </w:rPr>
        <w:t xml:space="preserve"> – </w:t>
      </w:r>
      <w:r w:rsidR="00DC29ED" w:rsidRPr="00BB25B9">
        <w:rPr>
          <w:rFonts w:ascii="Bookman Old Style" w:hAnsi="Bookman Old Style"/>
          <w:sz w:val="24"/>
        </w:rPr>
        <w:t>maturity of the defendant</w:t>
      </w:r>
      <w:r w:rsidR="00411938" w:rsidRPr="00BB25B9">
        <w:rPr>
          <w:rFonts w:ascii="Bookman Old Style" w:hAnsi="Bookman Old Style"/>
          <w:sz w:val="24"/>
        </w:rPr>
        <w:t xml:space="preserve"> as</w:t>
      </w:r>
      <w:r w:rsidR="00DC29ED" w:rsidRPr="00BB25B9">
        <w:rPr>
          <w:rFonts w:ascii="Bookman Old Style" w:hAnsi="Bookman Old Style"/>
          <w:sz w:val="24"/>
        </w:rPr>
        <w:t xml:space="preserve"> </w:t>
      </w:r>
      <w:r w:rsidR="00411938" w:rsidRPr="00BB25B9">
        <w:rPr>
          <w:rFonts w:ascii="Bookman Old Style" w:hAnsi="Bookman Old Style"/>
          <w:sz w:val="24"/>
        </w:rPr>
        <w:t>determined by home</w:t>
      </w:r>
      <w:r w:rsidR="00B800F6">
        <w:rPr>
          <w:rFonts w:ascii="Bookman Old Style" w:hAnsi="Bookman Old Style"/>
          <w:sz w:val="24"/>
        </w:rPr>
        <w:t>,</w:t>
      </w:r>
      <w:r w:rsidR="00411938" w:rsidRPr="00BB25B9">
        <w:rPr>
          <w:rFonts w:ascii="Bookman Old Style" w:hAnsi="Bookman Old Style"/>
          <w:sz w:val="24"/>
        </w:rPr>
        <w:t xml:space="preserve"> environment, emotional attitude, and pattern of living</w:t>
      </w:r>
      <w:r w:rsidR="00DC29ED" w:rsidRPr="00BB25B9">
        <w:rPr>
          <w:rFonts w:ascii="Bookman Old Style" w:hAnsi="Bookman Old Style"/>
          <w:sz w:val="24"/>
        </w:rPr>
        <w:t>.</w:t>
      </w:r>
    </w:p>
    <w:p w14:paraId="4F557D23" w14:textId="2594C5AF" w:rsidR="009F41FA" w:rsidRPr="001C39CB" w:rsidRDefault="00BB25B9" w:rsidP="00932670">
      <w:pPr>
        <w:pStyle w:val="Footnoe"/>
        <w:numPr>
          <w:ilvl w:val="2"/>
          <w:numId w:val="24"/>
        </w:numPr>
        <w:ind w:left="1440"/>
        <w:jc w:val="both"/>
        <w:rPr>
          <w:rFonts w:ascii="Bookman Old Style" w:hAnsi="Bookman Old Style"/>
          <w:sz w:val="24"/>
        </w:rPr>
      </w:pPr>
      <w:r w:rsidRPr="001C39CB">
        <w:rPr>
          <w:rFonts w:ascii="Bookman Old Style" w:hAnsi="Bookman Old Style"/>
          <w:sz w:val="24"/>
        </w:rPr>
        <w:t>T</w:t>
      </w:r>
      <w:r w:rsidR="001B42C1" w:rsidRPr="001C39CB">
        <w:rPr>
          <w:rFonts w:ascii="Bookman Old Style" w:hAnsi="Bookman Old Style"/>
          <w:sz w:val="24"/>
        </w:rPr>
        <w:t>he Court does not need evidence of the defendant’s age</w:t>
      </w:r>
      <w:r w:rsidR="00510E0E" w:rsidRPr="001C39CB">
        <w:rPr>
          <w:rFonts w:ascii="Bookman Old Style" w:hAnsi="Bookman Old Style"/>
          <w:sz w:val="24"/>
        </w:rPr>
        <w:t xml:space="preserve"> beyond their DOB</w:t>
      </w:r>
      <w:r w:rsidRPr="001C39CB">
        <w:rPr>
          <w:rFonts w:ascii="Bookman Old Style" w:hAnsi="Bookman Old Style"/>
          <w:sz w:val="24"/>
        </w:rPr>
        <w:t>; i</w:t>
      </w:r>
      <w:r w:rsidR="001B42C1" w:rsidRPr="001C39CB">
        <w:rPr>
          <w:rFonts w:ascii="Bookman Old Style" w:hAnsi="Bookman Old Style"/>
          <w:sz w:val="24"/>
        </w:rPr>
        <w:t xml:space="preserve">t does not need evidence on the juvenile’s lack of criminal history.  </w:t>
      </w:r>
    </w:p>
    <w:p w14:paraId="05D945FB" w14:textId="77777777" w:rsidR="001C39CB" w:rsidRDefault="00BB25B9" w:rsidP="00932670">
      <w:pPr>
        <w:pStyle w:val="Footnoe"/>
        <w:numPr>
          <w:ilvl w:val="2"/>
          <w:numId w:val="24"/>
        </w:numPr>
        <w:ind w:left="1440"/>
        <w:jc w:val="both"/>
        <w:rPr>
          <w:rFonts w:ascii="Bookman Old Style" w:hAnsi="Bookman Old Style"/>
          <w:sz w:val="24"/>
        </w:rPr>
      </w:pPr>
      <w:r>
        <w:rPr>
          <w:rFonts w:ascii="Bookman Old Style" w:hAnsi="Bookman Old Style"/>
          <w:sz w:val="24"/>
        </w:rPr>
        <w:t>F</w:t>
      </w:r>
      <w:r w:rsidR="00EE65EF" w:rsidRPr="009F41FA">
        <w:rPr>
          <w:rFonts w:ascii="Bookman Old Style" w:hAnsi="Bookman Old Style"/>
          <w:sz w:val="24"/>
        </w:rPr>
        <w:t xml:space="preserve">actor </w:t>
      </w:r>
      <w:r w:rsidR="009F41FA">
        <w:rPr>
          <w:rFonts w:ascii="Bookman Old Style" w:hAnsi="Bookman Old Style"/>
          <w:sz w:val="24"/>
        </w:rPr>
        <w:t>IV</w:t>
      </w:r>
      <w:r w:rsidR="00EE65EF" w:rsidRPr="009F41FA">
        <w:rPr>
          <w:rFonts w:ascii="Bookman Old Style" w:hAnsi="Bookman Old Style"/>
          <w:sz w:val="24"/>
        </w:rPr>
        <w:t xml:space="preserve"> is written in the </w:t>
      </w:r>
      <w:r w:rsidR="00EE65EF" w:rsidRPr="009F41FA">
        <w:rPr>
          <w:rFonts w:ascii="Bookman Old Style" w:hAnsi="Bookman Old Style"/>
          <w:i/>
          <w:iCs/>
          <w:sz w:val="24"/>
        </w:rPr>
        <w:t>present tense</w:t>
      </w:r>
      <w:r w:rsidR="00EE65EF" w:rsidRPr="009F41FA">
        <w:rPr>
          <w:rFonts w:ascii="Bookman Old Style" w:hAnsi="Bookman Old Style"/>
          <w:sz w:val="24"/>
        </w:rPr>
        <w:t xml:space="preserve">.  </w:t>
      </w:r>
      <w:r w:rsidR="00B800F6">
        <w:rPr>
          <w:rFonts w:ascii="Bookman Old Style" w:hAnsi="Bookman Old Style"/>
          <w:sz w:val="24"/>
        </w:rPr>
        <w:t xml:space="preserve">The </w:t>
      </w:r>
      <w:r w:rsidR="00EE65EF" w:rsidRPr="009F41FA">
        <w:rPr>
          <w:rFonts w:ascii="Bookman Old Style" w:hAnsi="Bookman Old Style"/>
          <w:sz w:val="24"/>
        </w:rPr>
        <w:t xml:space="preserve">statute </w:t>
      </w:r>
      <w:r w:rsidR="00B800F6">
        <w:rPr>
          <w:rFonts w:ascii="Bookman Old Style" w:hAnsi="Bookman Old Style"/>
          <w:sz w:val="24"/>
        </w:rPr>
        <w:t xml:space="preserve">does not </w:t>
      </w:r>
      <w:r w:rsidR="00EE65EF" w:rsidRPr="009F41FA">
        <w:rPr>
          <w:rFonts w:ascii="Bookman Old Style" w:hAnsi="Bookman Old Style"/>
          <w:sz w:val="24"/>
        </w:rPr>
        <w:t xml:space="preserve">call for an exploration of a juvenile’s entire past.  </w:t>
      </w:r>
      <w:r w:rsidR="00411938">
        <w:rPr>
          <w:rFonts w:ascii="Bookman Old Style" w:hAnsi="Bookman Old Style"/>
          <w:sz w:val="24"/>
        </w:rPr>
        <w:t>W</w:t>
      </w:r>
      <w:r w:rsidR="00EE65EF" w:rsidRPr="009F41FA">
        <w:rPr>
          <w:rFonts w:ascii="Bookman Old Style" w:hAnsi="Bookman Old Style"/>
          <w:sz w:val="24"/>
        </w:rPr>
        <w:t xml:space="preserve">hile some background </w:t>
      </w:r>
      <w:r w:rsidR="00EE65EF" w:rsidRPr="00411938">
        <w:rPr>
          <w:rFonts w:ascii="Bookman Old Style" w:hAnsi="Bookman Old Style"/>
          <w:i/>
          <w:iCs/>
          <w:sz w:val="24"/>
        </w:rPr>
        <w:t>could</w:t>
      </w:r>
      <w:r w:rsidR="00EE65EF" w:rsidRPr="009F41FA">
        <w:rPr>
          <w:rFonts w:ascii="Bookman Old Style" w:hAnsi="Bookman Old Style"/>
          <w:sz w:val="24"/>
        </w:rPr>
        <w:t xml:space="preserve"> be helpful, the Court will not accept testimony from witnesses regarding how the juvenile grew up, how they did in school, or information from years past unless </w:t>
      </w:r>
      <w:r w:rsidR="00EE65EF" w:rsidRPr="00411938">
        <w:rPr>
          <w:rFonts w:ascii="Bookman Old Style" w:hAnsi="Bookman Old Style"/>
          <w:i/>
          <w:iCs/>
          <w:sz w:val="24"/>
        </w:rPr>
        <w:t>directly</w:t>
      </w:r>
      <w:r w:rsidR="00EE65EF" w:rsidRPr="009F41FA">
        <w:rPr>
          <w:rFonts w:ascii="Bookman Old Style" w:hAnsi="Bookman Old Style"/>
          <w:sz w:val="24"/>
        </w:rPr>
        <w:t xml:space="preserve"> related to the Court’s assessment of the juvenile’s maturity at </w:t>
      </w:r>
      <w:r w:rsidR="00EE65EF" w:rsidRPr="009F41FA">
        <w:rPr>
          <w:rFonts w:ascii="Bookman Old Style" w:hAnsi="Bookman Old Style"/>
          <w:i/>
          <w:iCs/>
          <w:sz w:val="24"/>
        </w:rPr>
        <w:t xml:space="preserve">present.  </w:t>
      </w:r>
      <w:r w:rsidR="00EE65EF" w:rsidRPr="009F41FA">
        <w:rPr>
          <w:rFonts w:ascii="Bookman Old Style" w:hAnsi="Bookman Old Style"/>
          <w:sz w:val="24"/>
        </w:rPr>
        <w:t>Put another way</w:t>
      </w:r>
      <w:r w:rsidR="00323629">
        <w:rPr>
          <w:rFonts w:ascii="Bookman Old Style" w:hAnsi="Bookman Old Style"/>
          <w:sz w:val="24"/>
        </w:rPr>
        <w:t>, Factor IV</w:t>
      </w:r>
      <w:r w:rsidR="00EE65EF" w:rsidRPr="00323629">
        <w:rPr>
          <w:rFonts w:ascii="Bookman Old Style" w:hAnsi="Bookman Old Style"/>
          <w:sz w:val="24"/>
        </w:rPr>
        <w:t xml:space="preserve"> deals with the “right now” or at the time of the offense</w:t>
      </w:r>
      <w:r w:rsidR="00B800F6">
        <w:rPr>
          <w:rFonts w:ascii="Bookman Old Style" w:hAnsi="Bookman Old Style"/>
          <w:sz w:val="24"/>
        </w:rPr>
        <w:t>,</w:t>
      </w:r>
      <w:r w:rsidR="00EE65EF" w:rsidRPr="00323629">
        <w:rPr>
          <w:rFonts w:ascii="Bookman Old Style" w:hAnsi="Bookman Old Style"/>
          <w:sz w:val="24"/>
        </w:rPr>
        <w:t xml:space="preserve"> </w:t>
      </w:r>
      <w:r w:rsidR="00411938" w:rsidRPr="00323629">
        <w:rPr>
          <w:rFonts w:ascii="Bookman Old Style" w:hAnsi="Bookman Old Style"/>
          <w:sz w:val="24"/>
        </w:rPr>
        <w:t>and</w:t>
      </w:r>
      <w:r w:rsidR="00EE65EF" w:rsidRPr="00323629">
        <w:rPr>
          <w:rFonts w:ascii="Bookman Old Style" w:hAnsi="Bookman Old Style"/>
          <w:sz w:val="24"/>
        </w:rPr>
        <w:t xml:space="preserve"> “considerations of the </w:t>
      </w:r>
      <w:r w:rsidR="00411938" w:rsidRPr="00323629">
        <w:rPr>
          <w:rFonts w:ascii="Bookman Old Style" w:hAnsi="Bookman Old Style"/>
          <w:sz w:val="24"/>
        </w:rPr>
        <w:t>j</w:t>
      </w:r>
      <w:r w:rsidR="00EE65EF" w:rsidRPr="00323629">
        <w:rPr>
          <w:rFonts w:ascii="Bookman Old Style" w:hAnsi="Bookman Old Style"/>
          <w:sz w:val="24"/>
        </w:rPr>
        <w:t>uvenile’s home</w:t>
      </w:r>
      <w:r w:rsidR="00B800F6">
        <w:rPr>
          <w:rFonts w:ascii="Bookman Old Style" w:hAnsi="Bookman Old Style"/>
          <w:sz w:val="24"/>
        </w:rPr>
        <w:t>,</w:t>
      </w:r>
      <w:r w:rsidR="00EE65EF" w:rsidRPr="00323629">
        <w:rPr>
          <w:rFonts w:ascii="Bookman Old Style" w:hAnsi="Bookman Old Style"/>
          <w:sz w:val="24"/>
        </w:rPr>
        <w:t xml:space="preserve"> environment, emotional attitude, and pattern of living” are </w:t>
      </w:r>
      <w:r w:rsidR="00EE65EF" w:rsidRPr="000B4422">
        <w:rPr>
          <w:rFonts w:ascii="Bookman Old Style" w:hAnsi="Bookman Old Style"/>
          <w:i/>
          <w:iCs/>
          <w:sz w:val="24"/>
        </w:rPr>
        <w:t>only</w:t>
      </w:r>
      <w:r w:rsidR="00EE65EF" w:rsidRPr="00323629">
        <w:rPr>
          <w:rFonts w:ascii="Bookman Old Style" w:hAnsi="Bookman Old Style"/>
          <w:sz w:val="24"/>
        </w:rPr>
        <w:t xml:space="preserve"> relevant to determining the </w:t>
      </w:r>
      <w:r w:rsidR="00EE65EF" w:rsidRPr="000B4422">
        <w:rPr>
          <w:rFonts w:ascii="Bookman Old Style" w:hAnsi="Bookman Old Style"/>
          <w:i/>
          <w:iCs/>
          <w:sz w:val="24"/>
        </w:rPr>
        <w:t>current</w:t>
      </w:r>
      <w:r w:rsidR="00EE65EF" w:rsidRPr="00323629">
        <w:rPr>
          <w:rFonts w:ascii="Bookman Old Style" w:hAnsi="Bookman Old Style"/>
          <w:sz w:val="24"/>
        </w:rPr>
        <w:t xml:space="preserve"> maturity of the juvenile.</w:t>
      </w:r>
    </w:p>
    <w:p w14:paraId="3956E8F3" w14:textId="18BD1154" w:rsidR="00EE65EF" w:rsidRPr="00502124" w:rsidRDefault="00EE65EF" w:rsidP="00932670">
      <w:pPr>
        <w:pStyle w:val="Footnoe"/>
        <w:numPr>
          <w:ilvl w:val="2"/>
          <w:numId w:val="24"/>
        </w:numPr>
        <w:ind w:left="1440"/>
        <w:jc w:val="both"/>
        <w:rPr>
          <w:rFonts w:ascii="Bookman Old Style" w:hAnsi="Bookman Old Style"/>
          <w:sz w:val="24"/>
        </w:rPr>
      </w:pPr>
      <w:r w:rsidRPr="001C39CB">
        <w:rPr>
          <w:rFonts w:ascii="Bookman Old Style" w:hAnsi="Bookman Old Style"/>
          <w:sz w:val="24"/>
          <w:u w:val="single"/>
        </w:rPr>
        <w:t>Miscellaneous</w:t>
      </w:r>
      <w:r w:rsidRPr="001C39CB">
        <w:rPr>
          <w:rFonts w:ascii="Bookman Old Style" w:hAnsi="Bookman Old Style"/>
          <w:sz w:val="24"/>
        </w:rPr>
        <w:t>.</w:t>
      </w:r>
      <w:r w:rsidR="00502124">
        <w:rPr>
          <w:rFonts w:ascii="Bookman Old Style" w:hAnsi="Bookman Old Style"/>
          <w:sz w:val="24"/>
        </w:rPr>
        <w:t xml:space="preserve">  To the extent it is relevant to the </w:t>
      </w:r>
      <w:r w:rsidR="00502124" w:rsidRPr="00502124">
        <w:rPr>
          <w:rFonts w:ascii="Bookman Old Style" w:hAnsi="Bookman Old Style"/>
          <w:sz w:val="24"/>
        </w:rPr>
        <w:t>current</w:t>
      </w:r>
      <w:r w:rsidR="00502124">
        <w:rPr>
          <w:rFonts w:ascii="Bookman Old Style" w:hAnsi="Bookman Old Style"/>
          <w:sz w:val="24"/>
        </w:rPr>
        <w:t xml:space="preserve"> maturity of the juvenile, t</w:t>
      </w:r>
      <w:r w:rsidR="004A27FD" w:rsidRPr="00502124">
        <w:rPr>
          <w:rFonts w:ascii="Bookman Old Style" w:hAnsi="Bookman Old Style"/>
          <w:sz w:val="24"/>
        </w:rPr>
        <w:t>he Court will consider information provided</w:t>
      </w:r>
      <w:r w:rsidR="00F31B61" w:rsidRPr="00502124">
        <w:rPr>
          <w:rFonts w:ascii="Bookman Old Style" w:hAnsi="Bookman Old Style"/>
          <w:sz w:val="24"/>
        </w:rPr>
        <w:t xml:space="preserve"> </w:t>
      </w:r>
      <w:r w:rsidR="004A27FD" w:rsidRPr="00502124">
        <w:rPr>
          <w:rFonts w:ascii="Bookman Old Style" w:hAnsi="Bookman Old Style"/>
          <w:sz w:val="24"/>
        </w:rPr>
        <w:t xml:space="preserve">by experts and the juvenile’s family members including clinical testing, mental health diagnoses, past treatment, home life, pattern of living, school, and protective or positive events (e.g. sports or other extracurricular activities).  </w:t>
      </w:r>
      <w:r w:rsidR="00F31B61" w:rsidRPr="00502124">
        <w:rPr>
          <w:rFonts w:ascii="Bookman Old Style" w:hAnsi="Bookman Old Style"/>
          <w:sz w:val="24"/>
        </w:rPr>
        <w:t xml:space="preserve">Again, expert opinions, results of testing, past diagnoses and treatment, and school records are the type of evidence </w:t>
      </w:r>
      <w:r w:rsidR="000B4422" w:rsidRPr="00502124">
        <w:rPr>
          <w:rFonts w:ascii="Bookman Old Style" w:hAnsi="Bookman Old Style"/>
          <w:sz w:val="24"/>
        </w:rPr>
        <w:t>that are to</w:t>
      </w:r>
      <w:r w:rsidR="00F31B61" w:rsidRPr="00502124">
        <w:rPr>
          <w:rFonts w:ascii="Bookman Old Style" w:hAnsi="Bookman Old Style"/>
          <w:sz w:val="24"/>
        </w:rPr>
        <w:t xml:space="preserve"> be provided to the Court prior to the hearing.  </w:t>
      </w:r>
      <w:r w:rsidR="004A27FD" w:rsidRPr="00502124">
        <w:rPr>
          <w:rFonts w:ascii="Bookman Old Style" w:hAnsi="Bookman Old Style"/>
          <w:sz w:val="24"/>
        </w:rPr>
        <w:t xml:space="preserve">The Court will </w:t>
      </w:r>
      <w:r w:rsidR="00502124">
        <w:rPr>
          <w:rFonts w:ascii="Bookman Old Style" w:hAnsi="Bookman Old Style"/>
          <w:sz w:val="24"/>
        </w:rPr>
        <w:t xml:space="preserve">also </w:t>
      </w:r>
      <w:r w:rsidR="004A27FD" w:rsidRPr="00502124">
        <w:rPr>
          <w:rFonts w:ascii="Bookman Old Style" w:hAnsi="Bookman Old Style"/>
          <w:sz w:val="24"/>
        </w:rPr>
        <w:t xml:space="preserve">consider facts from the case about the juvenile’s conduct suggesting </w:t>
      </w:r>
      <w:r w:rsidR="00D66818" w:rsidRPr="00502124">
        <w:rPr>
          <w:rFonts w:ascii="Bookman Old Style" w:hAnsi="Bookman Old Style"/>
          <w:sz w:val="24"/>
        </w:rPr>
        <w:t xml:space="preserve">they </w:t>
      </w:r>
      <w:r w:rsidR="004A27FD" w:rsidRPr="00502124">
        <w:rPr>
          <w:rFonts w:ascii="Bookman Old Style" w:hAnsi="Bookman Old Style"/>
          <w:sz w:val="24"/>
        </w:rPr>
        <w:t xml:space="preserve">wanted to be treated as an adult.  </w:t>
      </w:r>
    </w:p>
    <w:p w14:paraId="1461A842" w14:textId="4E67301F" w:rsidR="00E529A1" w:rsidRPr="00E529A1" w:rsidRDefault="00F31B61" w:rsidP="00C924AF">
      <w:pPr>
        <w:pStyle w:val="Footnoe"/>
        <w:ind w:left="1440" w:hanging="360"/>
        <w:jc w:val="both"/>
        <w:rPr>
          <w:rFonts w:ascii="Bookman Old Style" w:hAnsi="Bookman Old Style"/>
          <w:sz w:val="24"/>
        </w:rPr>
      </w:pPr>
      <w:r>
        <w:rPr>
          <w:rFonts w:ascii="Bookman Old Style" w:hAnsi="Bookman Old Style"/>
          <w:sz w:val="24"/>
        </w:rPr>
        <w:t xml:space="preserve">d.  </w:t>
      </w:r>
      <w:r w:rsidR="00E529A1">
        <w:rPr>
          <w:rFonts w:ascii="Bookman Old Style" w:hAnsi="Bookman Old Style"/>
          <w:sz w:val="24"/>
          <w:u w:val="single"/>
        </w:rPr>
        <w:t>Judicial Notice of Scientific Consensus Opinion Related to Juveniles</w:t>
      </w:r>
      <w:r w:rsidR="00E529A1">
        <w:rPr>
          <w:rFonts w:ascii="Bookman Old Style" w:hAnsi="Bookman Old Style"/>
          <w:sz w:val="24"/>
        </w:rPr>
        <w:t>.</w:t>
      </w:r>
    </w:p>
    <w:p w14:paraId="697A8FF6" w14:textId="2AEDAD00" w:rsidR="00F31B61" w:rsidRDefault="00C03FBE" w:rsidP="00C924AF">
      <w:pPr>
        <w:pStyle w:val="Footnoe"/>
        <w:ind w:firstLine="720"/>
        <w:jc w:val="both"/>
        <w:rPr>
          <w:rFonts w:ascii="Bookman Old Style" w:hAnsi="Bookman Old Style"/>
          <w:sz w:val="24"/>
        </w:rPr>
      </w:pPr>
      <w:r>
        <w:rPr>
          <w:rFonts w:ascii="Bookman Old Style" w:hAnsi="Bookman Old Style"/>
          <w:sz w:val="24"/>
        </w:rPr>
        <w:lastRenderedPageBreak/>
        <w:t xml:space="preserve">The Court </w:t>
      </w:r>
      <w:r w:rsidR="00DE29EF">
        <w:rPr>
          <w:rFonts w:ascii="Bookman Old Style" w:hAnsi="Bookman Old Style"/>
          <w:sz w:val="24"/>
        </w:rPr>
        <w:t xml:space="preserve">takes judicial notice </w:t>
      </w:r>
      <w:r>
        <w:rPr>
          <w:rFonts w:ascii="Bookman Old Style" w:hAnsi="Bookman Old Style"/>
          <w:sz w:val="24"/>
        </w:rPr>
        <w:t>that r</w:t>
      </w:r>
      <w:r w:rsidRPr="00C03FBE">
        <w:rPr>
          <w:rFonts w:ascii="Bookman Old Style" w:hAnsi="Bookman Old Style"/>
          <w:sz w:val="24"/>
        </w:rPr>
        <w:t xml:space="preserve">ecent case law demonstrates </w:t>
      </w:r>
      <w:r w:rsidR="00DE29EF">
        <w:rPr>
          <w:rFonts w:ascii="Bookman Old Style" w:hAnsi="Bookman Old Style"/>
          <w:sz w:val="24"/>
        </w:rPr>
        <w:t xml:space="preserve">scientific </w:t>
      </w:r>
      <w:r w:rsidRPr="00C03FBE">
        <w:rPr>
          <w:rFonts w:ascii="Bookman Old Style" w:hAnsi="Bookman Old Style"/>
          <w:sz w:val="24"/>
        </w:rPr>
        <w:t xml:space="preserve">support for and adoption of the general principle that juveniles, as a group, are less mature and more impulsive than adults. </w:t>
      </w:r>
      <w:r w:rsidRPr="00C03FBE">
        <w:rPr>
          <w:rFonts w:ascii="Bookman Old Style" w:hAnsi="Bookman Old Style"/>
          <w:i/>
          <w:iCs/>
          <w:sz w:val="24"/>
        </w:rPr>
        <w:t>See e.g. Kent v. United States</w:t>
      </w:r>
      <w:r w:rsidRPr="00C03FBE">
        <w:rPr>
          <w:rFonts w:ascii="Bookman Old Style" w:hAnsi="Bookman Old Style"/>
          <w:sz w:val="24"/>
        </w:rPr>
        <w:t>, 383 U.S. 541 (1966);</w:t>
      </w:r>
      <w:r w:rsidRPr="00C03FBE">
        <w:rPr>
          <w:rFonts w:ascii="Bookman Old Style" w:hAnsi="Bookman Old Style"/>
          <w:i/>
          <w:iCs/>
          <w:sz w:val="24"/>
        </w:rPr>
        <w:t xml:space="preserve"> see also Roper v. Simmons</w:t>
      </w:r>
      <w:r w:rsidRPr="00C03FBE">
        <w:rPr>
          <w:rFonts w:ascii="Bookman Old Style" w:hAnsi="Bookman Old Style"/>
          <w:sz w:val="24"/>
        </w:rPr>
        <w:t>, 543 U.S. 551, 552</w:t>
      </w:r>
      <w:r w:rsidRPr="00C03FBE">
        <w:rPr>
          <w:sz w:val="24"/>
        </w:rPr>
        <w:t>‒</w:t>
      </w:r>
      <w:r w:rsidRPr="00C03FBE">
        <w:rPr>
          <w:rFonts w:ascii="Bookman Old Style" w:hAnsi="Bookman Old Style"/>
          <w:sz w:val="24"/>
        </w:rPr>
        <w:t xml:space="preserve">54, 569 (2005) (declined to follow by </w:t>
      </w:r>
      <w:r w:rsidRPr="00C03FBE">
        <w:rPr>
          <w:rFonts w:ascii="Bookman Old Style" w:hAnsi="Bookman Old Style"/>
          <w:i/>
          <w:iCs/>
          <w:sz w:val="24"/>
        </w:rPr>
        <w:t>People in Interest of A.C.E.D.,</w:t>
      </w:r>
      <w:r w:rsidRPr="00C03FBE">
        <w:rPr>
          <w:rFonts w:ascii="Bookman Old Style" w:hAnsi="Bookman Old Style"/>
          <w:sz w:val="24"/>
        </w:rPr>
        <w:t xml:space="preserve"> 433 P.3d 153 (Colo. App. 2018)(acknowledged </w:t>
      </w:r>
      <w:r w:rsidRPr="00C03FBE">
        <w:rPr>
          <w:rFonts w:ascii="Bookman Old Style" w:hAnsi="Bookman Old Style"/>
          <w:i/>
          <w:iCs/>
          <w:sz w:val="24"/>
        </w:rPr>
        <w:t>Simmons</w:t>
      </w:r>
      <w:r w:rsidRPr="00C03FBE">
        <w:rPr>
          <w:rFonts w:ascii="Bookman Old Style" w:hAnsi="Bookman Old Style"/>
          <w:sz w:val="24"/>
        </w:rPr>
        <w:t xml:space="preserve"> recognized important differences between children and adults but such reasoning did not apply to understanding of juvenile on meaning of adjudication process); </w:t>
      </w:r>
      <w:r w:rsidRPr="00C03FBE">
        <w:rPr>
          <w:rFonts w:ascii="Bookman Old Style" w:hAnsi="Bookman Old Style"/>
          <w:i/>
          <w:iCs/>
          <w:sz w:val="24"/>
        </w:rPr>
        <w:t>Graham v. Florida</w:t>
      </w:r>
      <w:r w:rsidRPr="00C03FBE">
        <w:rPr>
          <w:rFonts w:ascii="Bookman Old Style" w:hAnsi="Bookman Old Style"/>
          <w:sz w:val="24"/>
        </w:rPr>
        <w:t xml:space="preserve">, 560 U.S. 48 (2010); </w:t>
      </w:r>
      <w:r w:rsidRPr="00C03FBE">
        <w:rPr>
          <w:rFonts w:ascii="Bookman Old Style" w:hAnsi="Bookman Old Style"/>
          <w:i/>
          <w:iCs/>
          <w:sz w:val="24"/>
        </w:rPr>
        <w:t>Miller v. Alabama</w:t>
      </w:r>
      <w:r w:rsidRPr="00C03FBE">
        <w:rPr>
          <w:rFonts w:ascii="Bookman Old Style" w:hAnsi="Bookman Old Style"/>
          <w:sz w:val="24"/>
        </w:rPr>
        <w:t>, 132 S. Ct. 2455, 2458 (2012).</w:t>
      </w:r>
      <w:r w:rsidR="00DE29EF">
        <w:rPr>
          <w:rFonts w:ascii="Bookman Old Style" w:hAnsi="Bookman Old Style"/>
          <w:sz w:val="24"/>
        </w:rPr>
        <w:t xml:space="preserve">  Expert testimony on this issue is unnecessary. </w:t>
      </w:r>
    </w:p>
    <w:p w14:paraId="673A5803" w14:textId="16B95F36" w:rsidR="00AF1846" w:rsidRDefault="00AF1846" w:rsidP="00C924AF">
      <w:pPr>
        <w:pStyle w:val="Footnoe"/>
        <w:numPr>
          <w:ilvl w:val="0"/>
          <w:numId w:val="14"/>
        </w:numPr>
        <w:jc w:val="both"/>
        <w:rPr>
          <w:rFonts w:ascii="Bookman Old Style" w:hAnsi="Bookman Old Style"/>
          <w:sz w:val="24"/>
        </w:rPr>
      </w:pPr>
      <w:r w:rsidRPr="005261B3">
        <w:rPr>
          <w:rFonts w:ascii="Bookman Old Style" w:hAnsi="Bookman Old Style"/>
          <w:sz w:val="24"/>
          <w:u w:val="single"/>
        </w:rPr>
        <w:t xml:space="preserve">Limits on </w:t>
      </w:r>
      <w:r w:rsidR="00E529A1">
        <w:rPr>
          <w:rFonts w:ascii="Bookman Old Style" w:hAnsi="Bookman Old Style"/>
          <w:sz w:val="24"/>
          <w:u w:val="single"/>
        </w:rPr>
        <w:t>U</w:t>
      </w:r>
      <w:r w:rsidRPr="005261B3">
        <w:rPr>
          <w:rFonts w:ascii="Bookman Old Style" w:hAnsi="Bookman Old Style"/>
          <w:sz w:val="24"/>
          <w:u w:val="single"/>
        </w:rPr>
        <w:t xml:space="preserve">se of </w:t>
      </w:r>
      <w:r w:rsidR="00E529A1">
        <w:rPr>
          <w:rFonts w:ascii="Bookman Old Style" w:hAnsi="Bookman Old Style"/>
          <w:sz w:val="24"/>
          <w:u w:val="single"/>
        </w:rPr>
        <w:t>E</w:t>
      </w:r>
      <w:r w:rsidRPr="005261B3">
        <w:rPr>
          <w:rFonts w:ascii="Bookman Old Style" w:hAnsi="Bookman Old Style"/>
          <w:sz w:val="24"/>
          <w:u w:val="single"/>
        </w:rPr>
        <w:t xml:space="preserve">vidence </w:t>
      </w:r>
      <w:r w:rsidR="00E529A1">
        <w:rPr>
          <w:rFonts w:ascii="Bookman Old Style" w:hAnsi="Bookman Old Style"/>
          <w:sz w:val="24"/>
          <w:u w:val="single"/>
        </w:rPr>
        <w:t>O</w:t>
      </w:r>
      <w:r w:rsidRPr="005261B3">
        <w:rPr>
          <w:rFonts w:ascii="Bookman Old Style" w:hAnsi="Bookman Old Style"/>
          <w:sz w:val="24"/>
          <w:u w:val="single"/>
        </w:rPr>
        <w:t xml:space="preserve">btained at </w:t>
      </w:r>
      <w:r w:rsidR="00E529A1">
        <w:rPr>
          <w:rFonts w:ascii="Bookman Old Style" w:hAnsi="Bookman Old Style"/>
          <w:sz w:val="24"/>
          <w:u w:val="single"/>
        </w:rPr>
        <w:t>R</w:t>
      </w:r>
      <w:r w:rsidRPr="005261B3">
        <w:rPr>
          <w:rFonts w:ascii="Bookman Old Style" w:hAnsi="Bookman Old Style"/>
          <w:sz w:val="24"/>
          <w:u w:val="single"/>
        </w:rPr>
        <w:t xml:space="preserve">everse </w:t>
      </w:r>
      <w:r w:rsidR="00E529A1">
        <w:rPr>
          <w:rFonts w:ascii="Bookman Old Style" w:hAnsi="Bookman Old Style"/>
          <w:sz w:val="24"/>
          <w:u w:val="single"/>
        </w:rPr>
        <w:t>T</w:t>
      </w:r>
      <w:r w:rsidRPr="005261B3">
        <w:rPr>
          <w:rFonts w:ascii="Bookman Old Style" w:hAnsi="Bookman Old Style"/>
          <w:sz w:val="24"/>
          <w:u w:val="single"/>
        </w:rPr>
        <w:t xml:space="preserve">ransfer </w:t>
      </w:r>
      <w:r w:rsidR="00E529A1">
        <w:rPr>
          <w:rFonts w:ascii="Bookman Old Style" w:hAnsi="Bookman Old Style"/>
          <w:sz w:val="24"/>
          <w:u w:val="single"/>
        </w:rPr>
        <w:t>H</w:t>
      </w:r>
      <w:r w:rsidRPr="005261B3">
        <w:rPr>
          <w:rFonts w:ascii="Bookman Old Style" w:hAnsi="Bookman Old Style"/>
          <w:sz w:val="24"/>
          <w:u w:val="single"/>
        </w:rPr>
        <w:t>earing</w:t>
      </w:r>
      <w:r w:rsidRPr="005261B3">
        <w:rPr>
          <w:rFonts w:ascii="Bookman Old Style" w:hAnsi="Bookman Old Style"/>
          <w:sz w:val="24"/>
        </w:rPr>
        <w:t xml:space="preserve">. </w:t>
      </w:r>
    </w:p>
    <w:p w14:paraId="5074C5ED" w14:textId="3B499968" w:rsidR="00AF1846" w:rsidRPr="00D5163E" w:rsidRDefault="00AF1846" w:rsidP="00C924AF">
      <w:pPr>
        <w:ind w:firstLine="720"/>
        <w:jc w:val="both"/>
        <w:rPr>
          <w:rFonts w:ascii="Bookman Old Style" w:hAnsi="Bookman Old Style"/>
          <w:sz w:val="24"/>
          <w:szCs w:val="24"/>
        </w:rPr>
      </w:pPr>
      <w:r w:rsidRPr="00D5163E">
        <w:rPr>
          <w:rFonts w:ascii="Bookman Old Style" w:hAnsi="Bookman Old Style"/>
          <w:sz w:val="24"/>
          <w:szCs w:val="24"/>
        </w:rPr>
        <w:t xml:space="preserve">Given the nature of the evidence presented </w:t>
      </w:r>
      <w:r w:rsidR="00D5163E" w:rsidRPr="00D5163E">
        <w:rPr>
          <w:rFonts w:ascii="Bookman Old Style" w:hAnsi="Bookman Old Style"/>
          <w:sz w:val="24"/>
          <w:szCs w:val="24"/>
        </w:rPr>
        <w:t>relating to</w:t>
      </w:r>
      <w:r w:rsidRPr="00D5163E">
        <w:rPr>
          <w:rFonts w:ascii="Bookman Old Style" w:hAnsi="Bookman Old Style"/>
          <w:sz w:val="24"/>
          <w:szCs w:val="24"/>
        </w:rPr>
        <w:t xml:space="preserve"> certain factors, </w:t>
      </w:r>
      <w:r w:rsidR="00D5163E" w:rsidRPr="00D5163E">
        <w:rPr>
          <w:rFonts w:ascii="Bookman Old Style" w:hAnsi="Bookman Old Style"/>
          <w:sz w:val="24"/>
          <w:szCs w:val="24"/>
        </w:rPr>
        <w:t xml:space="preserve">the Court issues the following order </w:t>
      </w:r>
      <w:r w:rsidR="007944D4">
        <w:rPr>
          <w:rFonts w:ascii="Bookman Old Style" w:hAnsi="Bookman Old Style"/>
          <w:sz w:val="24"/>
          <w:szCs w:val="24"/>
        </w:rPr>
        <w:t>limiting</w:t>
      </w:r>
      <w:r w:rsidRPr="00D5163E">
        <w:rPr>
          <w:rFonts w:ascii="Bookman Old Style" w:hAnsi="Bookman Old Style"/>
          <w:sz w:val="24"/>
          <w:szCs w:val="24"/>
        </w:rPr>
        <w:t xml:space="preserve"> </w:t>
      </w:r>
      <w:r w:rsidR="007944D4">
        <w:rPr>
          <w:rFonts w:ascii="Bookman Old Style" w:hAnsi="Bookman Old Style"/>
          <w:sz w:val="24"/>
          <w:szCs w:val="24"/>
        </w:rPr>
        <w:t xml:space="preserve">the prosecution’s </w:t>
      </w:r>
      <w:r w:rsidRPr="00D5163E">
        <w:rPr>
          <w:rFonts w:ascii="Bookman Old Style" w:hAnsi="Bookman Old Style"/>
          <w:sz w:val="24"/>
          <w:szCs w:val="24"/>
        </w:rPr>
        <w:t xml:space="preserve">use of </w:t>
      </w:r>
      <w:r w:rsidR="007944D4">
        <w:rPr>
          <w:rFonts w:ascii="Bookman Old Style" w:hAnsi="Bookman Old Style"/>
          <w:sz w:val="24"/>
          <w:szCs w:val="24"/>
        </w:rPr>
        <w:t xml:space="preserve">certain </w:t>
      </w:r>
      <w:r w:rsidRPr="00D5163E">
        <w:rPr>
          <w:rFonts w:ascii="Bookman Old Style" w:hAnsi="Bookman Old Style"/>
          <w:sz w:val="24"/>
          <w:szCs w:val="24"/>
        </w:rPr>
        <w:t xml:space="preserve">evidence </w:t>
      </w:r>
      <w:r w:rsidR="007944D4">
        <w:rPr>
          <w:rFonts w:ascii="Bookman Old Style" w:hAnsi="Bookman Old Style"/>
          <w:sz w:val="24"/>
          <w:szCs w:val="24"/>
        </w:rPr>
        <w:t>presented by the juvenile during</w:t>
      </w:r>
      <w:r w:rsidRPr="00D5163E">
        <w:rPr>
          <w:rFonts w:ascii="Bookman Old Style" w:hAnsi="Bookman Old Style"/>
          <w:sz w:val="24"/>
          <w:szCs w:val="24"/>
        </w:rPr>
        <w:t xml:space="preserve"> the reverse transfer hearing at trial. </w:t>
      </w:r>
    </w:p>
    <w:p w14:paraId="39CEF590" w14:textId="46882AB9" w:rsidR="00AF1846" w:rsidRPr="00D5163E" w:rsidRDefault="00AF1846" w:rsidP="00C924AF">
      <w:pPr>
        <w:ind w:firstLine="720"/>
        <w:jc w:val="both"/>
        <w:rPr>
          <w:rFonts w:ascii="Bookman Old Style" w:hAnsi="Bookman Old Style"/>
          <w:sz w:val="24"/>
          <w:szCs w:val="24"/>
        </w:rPr>
      </w:pPr>
      <w:r w:rsidRPr="00D5163E">
        <w:rPr>
          <w:rFonts w:ascii="Bookman Old Style" w:hAnsi="Bookman Old Style"/>
          <w:sz w:val="24"/>
          <w:szCs w:val="24"/>
        </w:rPr>
        <w:t xml:space="preserve">The factors which may be considered by the district court in a reverse transfer hearing </w:t>
      </w:r>
      <w:r w:rsidR="00D5163E" w:rsidRPr="00D5163E">
        <w:rPr>
          <w:rFonts w:ascii="Bookman Old Style" w:hAnsi="Bookman Old Style"/>
          <w:sz w:val="24"/>
          <w:szCs w:val="24"/>
        </w:rPr>
        <w:t>seem to</w:t>
      </w:r>
      <w:r w:rsidRPr="00D5163E">
        <w:rPr>
          <w:rFonts w:ascii="Bookman Old Style" w:hAnsi="Bookman Old Style"/>
          <w:sz w:val="24"/>
          <w:szCs w:val="24"/>
        </w:rPr>
        <w:t xml:space="preserve"> fall into 3 categories: </w:t>
      </w:r>
      <w:r w:rsidR="00D5163E" w:rsidRPr="00D5163E">
        <w:rPr>
          <w:rFonts w:ascii="Bookman Old Style" w:hAnsi="Bookman Old Style"/>
          <w:sz w:val="24"/>
          <w:szCs w:val="24"/>
        </w:rPr>
        <w:t xml:space="preserve"> </w:t>
      </w:r>
    </w:p>
    <w:p w14:paraId="74915B03" w14:textId="7ED2FF93" w:rsidR="00D5163E" w:rsidRDefault="00D5163E" w:rsidP="00932670">
      <w:pPr>
        <w:pStyle w:val="ListParagraph"/>
        <w:numPr>
          <w:ilvl w:val="0"/>
          <w:numId w:val="11"/>
        </w:numPr>
        <w:spacing w:line="276" w:lineRule="auto"/>
        <w:ind w:left="1080"/>
        <w:jc w:val="both"/>
        <w:rPr>
          <w:rFonts w:ascii="Bookman Old Style" w:hAnsi="Bookman Old Style"/>
          <w:sz w:val="24"/>
          <w:szCs w:val="24"/>
        </w:rPr>
      </w:pPr>
      <w:r w:rsidRPr="00D5163E">
        <w:rPr>
          <w:rFonts w:ascii="Bookman Old Style" w:hAnsi="Bookman Old Style"/>
          <w:sz w:val="24"/>
          <w:szCs w:val="24"/>
        </w:rPr>
        <w:t>"Inadmissible factors</w:t>
      </w:r>
      <w:r>
        <w:rPr>
          <w:rFonts w:ascii="Bookman Old Style" w:hAnsi="Bookman Old Style"/>
          <w:sz w:val="24"/>
          <w:szCs w:val="24"/>
        </w:rPr>
        <w:t>:</w:t>
      </w:r>
      <w:r w:rsidRPr="00D5163E">
        <w:rPr>
          <w:rFonts w:ascii="Bookman Old Style" w:hAnsi="Bookman Old Style"/>
          <w:sz w:val="24"/>
          <w:szCs w:val="24"/>
        </w:rPr>
        <w:t>"</w:t>
      </w:r>
      <w:r>
        <w:rPr>
          <w:rFonts w:ascii="Bookman Old Style" w:hAnsi="Bookman Old Style"/>
          <w:sz w:val="24"/>
          <w:szCs w:val="24"/>
        </w:rPr>
        <w:t xml:space="preserve"> </w:t>
      </w:r>
      <w:r w:rsidR="00AF1846" w:rsidRPr="00D5163E">
        <w:rPr>
          <w:rFonts w:ascii="Bookman Old Style" w:hAnsi="Bookman Old Style"/>
          <w:sz w:val="24"/>
          <w:szCs w:val="24"/>
        </w:rPr>
        <w:t xml:space="preserve">Those factors which would elicit </w:t>
      </w:r>
      <w:proofErr w:type="gramStart"/>
      <w:r w:rsidR="00AF1846" w:rsidRPr="00D5163E">
        <w:rPr>
          <w:rFonts w:ascii="Bookman Old Style" w:hAnsi="Bookman Old Style"/>
          <w:sz w:val="24"/>
          <w:szCs w:val="24"/>
        </w:rPr>
        <w:t>factual information</w:t>
      </w:r>
      <w:proofErr w:type="gramEnd"/>
      <w:r w:rsidR="00AF1846" w:rsidRPr="00D5163E">
        <w:rPr>
          <w:rFonts w:ascii="Bookman Old Style" w:hAnsi="Bookman Old Style"/>
          <w:sz w:val="24"/>
          <w:szCs w:val="24"/>
        </w:rPr>
        <w:t xml:space="preserve"> which </w:t>
      </w:r>
      <w:r>
        <w:rPr>
          <w:rFonts w:ascii="Bookman Old Style" w:hAnsi="Bookman Old Style"/>
          <w:sz w:val="24"/>
          <w:szCs w:val="24"/>
        </w:rPr>
        <w:t>is</w:t>
      </w:r>
      <w:r w:rsidR="00AF1846" w:rsidRPr="00D5163E">
        <w:rPr>
          <w:rFonts w:ascii="Bookman Old Style" w:hAnsi="Bookman Old Style"/>
          <w:sz w:val="24"/>
          <w:szCs w:val="24"/>
        </w:rPr>
        <w:t xml:space="preserve"> irrelevant to the People's case-in-chief and are inadmissible at trial:</w:t>
      </w:r>
    </w:p>
    <w:p w14:paraId="360E9357" w14:textId="2D17CB28" w:rsidR="00D5163E" w:rsidRDefault="00D5163E"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V</w:t>
      </w:r>
      <w:r w:rsidR="00D70B45">
        <w:rPr>
          <w:rFonts w:ascii="Bookman Old Style" w:hAnsi="Bookman Old Style"/>
          <w:sz w:val="24"/>
          <w:szCs w:val="24"/>
        </w:rPr>
        <w:t>)</w:t>
      </w:r>
      <w:r w:rsidR="00AF1846" w:rsidRPr="00D5163E">
        <w:rPr>
          <w:rFonts w:ascii="Bookman Old Style" w:hAnsi="Bookman Old Style"/>
          <w:sz w:val="24"/>
          <w:szCs w:val="24"/>
        </w:rPr>
        <w:t xml:space="preserve"> - history of prior court-related matters; </w:t>
      </w:r>
    </w:p>
    <w:p w14:paraId="1C6154EB" w14:textId="01AA2DA5" w:rsidR="00D5163E" w:rsidRDefault="00D5163E"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VII</w:t>
      </w:r>
      <w:r w:rsidR="00D70B45">
        <w:rPr>
          <w:rFonts w:ascii="Bookman Old Style" w:hAnsi="Bookman Old Style"/>
          <w:sz w:val="24"/>
          <w:szCs w:val="24"/>
        </w:rPr>
        <w:t xml:space="preserve">) </w:t>
      </w:r>
      <w:r w:rsidR="007944D4">
        <w:rPr>
          <w:rFonts w:ascii="Bookman Old Style" w:hAnsi="Bookman Old Style"/>
          <w:sz w:val="24"/>
          <w:szCs w:val="24"/>
        </w:rPr>
        <w:t>–</w:t>
      </w:r>
      <w:r w:rsidR="00AF1846" w:rsidRPr="00D5163E">
        <w:rPr>
          <w:rFonts w:ascii="Bookman Old Style" w:hAnsi="Bookman Old Style"/>
          <w:sz w:val="24"/>
          <w:szCs w:val="24"/>
        </w:rPr>
        <w:t xml:space="preserve"> </w:t>
      </w:r>
      <w:r w:rsidR="007944D4">
        <w:rPr>
          <w:rFonts w:ascii="Bookman Old Style" w:hAnsi="Bookman Old Style"/>
          <w:sz w:val="24"/>
          <w:szCs w:val="24"/>
        </w:rPr>
        <w:t>likelihood of rehabilitation</w:t>
      </w:r>
      <w:r w:rsidR="00DA45C3">
        <w:rPr>
          <w:rFonts w:ascii="Bookman Old Style" w:hAnsi="Bookman Old Style"/>
          <w:sz w:val="24"/>
          <w:szCs w:val="24"/>
        </w:rPr>
        <w:t>;</w:t>
      </w:r>
    </w:p>
    <w:p w14:paraId="6FD0B6C2" w14:textId="5F2F7B7B" w:rsidR="00D5163E" w:rsidRDefault="00D5163E"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VIII</w:t>
      </w:r>
      <w:r w:rsidR="00D70B45">
        <w:rPr>
          <w:rFonts w:ascii="Bookman Old Style" w:hAnsi="Bookman Old Style"/>
          <w:sz w:val="24"/>
          <w:szCs w:val="24"/>
        </w:rPr>
        <w:t>)</w:t>
      </w:r>
      <w:r w:rsidR="00AF1846" w:rsidRPr="00D5163E">
        <w:rPr>
          <w:rFonts w:ascii="Bookman Old Style" w:hAnsi="Bookman Old Style"/>
          <w:sz w:val="24"/>
          <w:szCs w:val="24"/>
        </w:rPr>
        <w:t xml:space="preserve"> - commensurate punishment; and </w:t>
      </w:r>
    </w:p>
    <w:p w14:paraId="53AF6988" w14:textId="296CDF8B" w:rsidR="00AF1846" w:rsidRPr="00D5163E" w:rsidRDefault="00D5163E"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X</w:t>
      </w:r>
      <w:r w:rsidR="00D70B45">
        <w:rPr>
          <w:rFonts w:ascii="Bookman Old Style" w:hAnsi="Bookman Old Style"/>
          <w:sz w:val="24"/>
          <w:szCs w:val="24"/>
        </w:rPr>
        <w:t>)</w:t>
      </w:r>
      <w:r w:rsidR="00AF1846" w:rsidRPr="00D5163E">
        <w:rPr>
          <w:rFonts w:ascii="Bookman Old Style" w:hAnsi="Bookman Old Style"/>
          <w:sz w:val="24"/>
          <w:szCs w:val="24"/>
        </w:rPr>
        <w:t xml:space="preserve"> - prior delinquency and commitment to the Department of Human Services. </w:t>
      </w:r>
    </w:p>
    <w:p w14:paraId="0B70668B" w14:textId="77777777" w:rsidR="00AF1846" w:rsidRPr="00D5163E" w:rsidRDefault="00AF1846" w:rsidP="00932670">
      <w:pPr>
        <w:pStyle w:val="ListParagraph"/>
        <w:spacing w:line="276" w:lineRule="auto"/>
        <w:ind w:left="1080"/>
        <w:jc w:val="both"/>
        <w:rPr>
          <w:rFonts w:ascii="Bookman Old Style" w:hAnsi="Bookman Old Style"/>
          <w:sz w:val="24"/>
          <w:szCs w:val="24"/>
        </w:rPr>
      </w:pPr>
    </w:p>
    <w:p w14:paraId="7279393A" w14:textId="5064E01D" w:rsidR="001A3C6A" w:rsidRDefault="001A3C6A" w:rsidP="00932670">
      <w:pPr>
        <w:pStyle w:val="ListParagraph"/>
        <w:numPr>
          <w:ilvl w:val="0"/>
          <w:numId w:val="11"/>
        </w:numPr>
        <w:spacing w:line="276" w:lineRule="auto"/>
        <w:ind w:left="1080"/>
        <w:jc w:val="both"/>
        <w:rPr>
          <w:rFonts w:ascii="Bookman Old Style" w:hAnsi="Bookman Old Style"/>
          <w:sz w:val="24"/>
          <w:szCs w:val="24"/>
        </w:rPr>
      </w:pPr>
      <w:r w:rsidRPr="00D5163E">
        <w:rPr>
          <w:rFonts w:ascii="Bookman Old Style" w:hAnsi="Bookman Old Style"/>
          <w:sz w:val="24"/>
          <w:szCs w:val="24"/>
        </w:rPr>
        <w:t>“Mental health factors</w:t>
      </w:r>
      <w:r>
        <w:rPr>
          <w:rFonts w:ascii="Bookman Old Style" w:hAnsi="Bookman Old Style"/>
          <w:sz w:val="24"/>
          <w:szCs w:val="24"/>
        </w:rPr>
        <w:t xml:space="preserve">:” </w:t>
      </w:r>
      <w:r w:rsidR="00AF1846" w:rsidRPr="00D5163E">
        <w:rPr>
          <w:rFonts w:ascii="Bookman Old Style" w:hAnsi="Bookman Old Style"/>
          <w:sz w:val="24"/>
          <w:szCs w:val="24"/>
        </w:rPr>
        <w:t xml:space="preserve">Those factors which address the juvenile’s mental health, and which are irrelevant to the People's case in-chief and would be admissible at trial only if the juvenile places his mental health at issue: </w:t>
      </w:r>
    </w:p>
    <w:p w14:paraId="36FF518A" w14:textId="150CB067" w:rsidR="001A3C6A"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IV</w:t>
      </w:r>
      <w:r w:rsidR="00411938">
        <w:rPr>
          <w:rFonts w:ascii="Bookman Old Style" w:hAnsi="Bookman Old Style"/>
          <w:sz w:val="24"/>
          <w:szCs w:val="24"/>
        </w:rPr>
        <w:t xml:space="preserve">) – maturity </w:t>
      </w:r>
      <w:r w:rsidR="00411938" w:rsidRPr="00D5163E">
        <w:rPr>
          <w:rFonts w:ascii="Bookman Old Style" w:hAnsi="Bookman Old Style"/>
          <w:sz w:val="24"/>
          <w:szCs w:val="24"/>
        </w:rPr>
        <w:t>of the defendant</w:t>
      </w:r>
      <w:r w:rsidR="00411938">
        <w:rPr>
          <w:rFonts w:ascii="Bookman Old Style" w:hAnsi="Bookman Old Style"/>
          <w:sz w:val="24"/>
          <w:szCs w:val="24"/>
        </w:rPr>
        <w:t xml:space="preserve"> as</w:t>
      </w:r>
      <w:r w:rsidR="00411938" w:rsidRPr="00D5163E">
        <w:rPr>
          <w:rFonts w:ascii="Bookman Old Style" w:hAnsi="Bookman Old Style"/>
          <w:sz w:val="24"/>
          <w:szCs w:val="24"/>
        </w:rPr>
        <w:t xml:space="preserve"> </w:t>
      </w:r>
      <w:r w:rsidR="00411938">
        <w:rPr>
          <w:rFonts w:ascii="Bookman Old Style" w:hAnsi="Bookman Old Style"/>
          <w:sz w:val="24"/>
        </w:rPr>
        <w:t xml:space="preserve">determined by </w:t>
      </w:r>
      <w:r w:rsidR="00411938" w:rsidRPr="00411938">
        <w:rPr>
          <w:rFonts w:ascii="Bookman Old Style" w:hAnsi="Bookman Old Style"/>
          <w:sz w:val="24"/>
        </w:rPr>
        <w:t>home</w:t>
      </w:r>
      <w:r w:rsidR="00B800F6">
        <w:rPr>
          <w:rFonts w:ascii="Bookman Old Style" w:hAnsi="Bookman Old Style"/>
          <w:sz w:val="24"/>
        </w:rPr>
        <w:t>,</w:t>
      </w:r>
      <w:r w:rsidR="00411938" w:rsidRPr="00411938">
        <w:rPr>
          <w:rFonts w:ascii="Bookman Old Style" w:hAnsi="Bookman Old Style"/>
          <w:sz w:val="24"/>
        </w:rPr>
        <w:t xml:space="preserve"> environment, emotional attitude, and pattern of living</w:t>
      </w:r>
      <w:r w:rsidR="00AF1846" w:rsidRPr="00D5163E">
        <w:rPr>
          <w:rFonts w:ascii="Bookman Old Style" w:hAnsi="Bookman Old Style"/>
          <w:sz w:val="24"/>
          <w:szCs w:val="24"/>
        </w:rPr>
        <w:t xml:space="preserve">; and </w:t>
      </w:r>
    </w:p>
    <w:p w14:paraId="721A97B1" w14:textId="7FD32CBF" w:rsidR="00AF1846" w:rsidRPr="00D5163E"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F</w:t>
      </w:r>
      <w:r w:rsidR="00AF1846" w:rsidRPr="00D5163E">
        <w:rPr>
          <w:rFonts w:ascii="Bookman Old Style" w:hAnsi="Bookman Old Style"/>
          <w:sz w:val="24"/>
          <w:szCs w:val="24"/>
        </w:rPr>
        <w:t xml:space="preserve">actor </w:t>
      </w:r>
      <w:r w:rsidR="00D70B45">
        <w:rPr>
          <w:rFonts w:ascii="Bookman Old Style" w:hAnsi="Bookman Old Style"/>
          <w:sz w:val="24"/>
          <w:szCs w:val="24"/>
        </w:rPr>
        <w:t>(</w:t>
      </w:r>
      <w:r w:rsidR="00BA41F7">
        <w:rPr>
          <w:rFonts w:ascii="Bookman Old Style" w:hAnsi="Bookman Old Style"/>
          <w:sz w:val="24"/>
          <w:szCs w:val="24"/>
        </w:rPr>
        <w:t>VI</w:t>
      </w:r>
      <w:r w:rsidR="00D70B45">
        <w:rPr>
          <w:rFonts w:ascii="Bookman Old Style" w:hAnsi="Bookman Old Style"/>
          <w:sz w:val="24"/>
          <w:szCs w:val="24"/>
        </w:rPr>
        <w:t>)</w:t>
      </w:r>
      <w:r w:rsidR="00AF1846" w:rsidRPr="00D5163E">
        <w:rPr>
          <w:rFonts w:ascii="Bookman Old Style" w:hAnsi="Bookman Old Style"/>
          <w:sz w:val="24"/>
          <w:szCs w:val="24"/>
        </w:rPr>
        <w:t xml:space="preserve"> - mental health assessments of the defendant. </w:t>
      </w:r>
    </w:p>
    <w:p w14:paraId="013A6029" w14:textId="77777777" w:rsidR="00AF1846" w:rsidRPr="00D5163E" w:rsidRDefault="00AF1846" w:rsidP="00932670">
      <w:pPr>
        <w:pStyle w:val="ListParagraph"/>
        <w:spacing w:line="276" w:lineRule="auto"/>
        <w:ind w:left="1080"/>
        <w:jc w:val="both"/>
        <w:rPr>
          <w:rFonts w:ascii="Bookman Old Style" w:hAnsi="Bookman Old Style"/>
          <w:sz w:val="24"/>
          <w:szCs w:val="24"/>
        </w:rPr>
      </w:pPr>
    </w:p>
    <w:p w14:paraId="578488B4" w14:textId="77777777" w:rsidR="001A3C6A" w:rsidRDefault="001A3C6A" w:rsidP="00932670">
      <w:pPr>
        <w:pStyle w:val="ListParagraph"/>
        <w:numPr>
          <w:ilvl w:val="0"/>
          <w:numId w:val="11"/>
        </w:numPr>
        <w:spacing w:line="276" w:lineRule="auto"/>
        <w:ind w:left="1080"/>
        <w:jc w:val="both"/>
        <w:rPr>
          <w:rFonts w:ascii="Bookman Old Style" w:hAnsi="Bookman Old Style"/>
          <w:sz w:val="24"/>
          <w:szCs w:val="24"/>
        </w:rPr>
      </w:pPr>
      <w:r>
        <w:rPr>
          <w:rFonts w:ascii="Bookman Old Style" w:hAnsi="Bookman Old Style"/>
          <w:sz w:val="24"/>
          <w:szCs w:val="24"/>
        </w:rPr>
        <w:t>“</w:t>
      </w:r>
      <w:r w:rsidRPr="00D5163E">
        <w:rPr>
          <w:rFonts w:ascii="Bookman Old Style" w:hAnsi="Bookman Old Style"/>
          <w:sz w:val="24"/>
          <w:szCs w:val="24"/>
        </w:rPr>
        <w:t>Criminal factors</w:t>
      </w:r>
      <w:r>
        <w:rPr>
          <w:rFonts w:ascii="Bookman Old Style" w:hAnsi="Bookman Old Style"/>
          <w:sz w:val="24"/>
          <w:szCs w:val="24"/>
        </w:rPr>
        <w:t xml:space="preserve">:  </w:t>
      </w:r>
      <w:r w:rsidRPr="00D5163E">
        <w:rPr>
          <w:rFonts w:ascii="Bookman Old Style" w:hAnsi="Bookman Old Style"/>
          <w:sz w:val="24"/>
          <w:szCs w:val="24"/>
        </w:rPr>
        <w:t>"</w:t>
      </w:r>
      <w:r w:rsidR="00AF1846" w:rsidRPr="00D5163E">
        <w:rPr>
          <w:rFonts w:ascii="Bookman Old Style" w:hAnsi="Bookman Old Style"/>
          <w:sz w:val="24"/>
          <w:szCs w:val="24"/>
        </w:rPr>
        <w:t xml:space="preserve">Those factors which elicit </w:t>
      </w:r>
      <w:proofErr w:type="gramStart"/>
      <w:r w:rsidR="00AF1846" w:rsidRPr="00D5163E">
        <w:rPr>
          <w:rFonts w:ascii="Bookman Old Style" w:hAnsi="Bookman Old Style"/>
          <w:sz w:val="24"/>
          <w:szCs w:val="24"/>
        </w:rPr>
        <w:t>factual information</w:t>
      </w:r>
      <w:proofErr w:type="gramEnd"/>
      <w:r w:rsidR="00AF1846" w:rsidRPr="00D5163E">
        <w:rPr>
          <w:rFonts w:ascii="Bookman Old Style" w:hAnsi="Bookman Old Style"/>
          <w:sz w:val="24"/>
          <w:szCs w:val="24"/>
        </w:rPr>
        <w:t xml:space="preserve"> about the alleged offense: </w:t>
      </w:r>
    </w:p>
    <w:p w14:paraId="70B7302E" w14:textId="664B8AE0" w:rsidR="001A3C6A" w:rsidRDefault="00AF1846" w:rsidP="00932670">
      <w:pPr>
        <w:pStyle w:val="ListParagraph"/>
        <w:numPr>
          <w:ilvl w:val="1"/>
          <w:numId w:val="11"/>
        </w:numPr>
        <w:spacing w:line="276" w:lineRule="auto"/>
        <w:ind w:left="1440"/>
        <w:jc w:val="both"/>
        <w:rPr>
          <w:rFonts w:ascii="Bookman Old Style" w:hAnsi="Bookman Old Style"/>
          <w:sz w:val="24"/>
          <w:szCs w:val="24"/>
        </w:rPr>
      </w:pPr>
      <w:r w:rsidRPr="00D5163E">
        <w:rPr>
          <w:rFonts w:ascii="Bookman Old Style" w:hAnsi="Bookman Old Style"/>
          <w:sz w:val="24"/>
          <w:szCs w:val="24"/>
        </w:rPr>
        <w:t xml:space="preserve">Factor </w:t>
      </w:r>
      <w:r w:rsidR="00D70B45">
        <w:rPr>
          <w:rFonts w:ascii="Bookman Old Style" w:hAnsi="Bookman Old Style"/>
          <w:sz w:val="24"/>
          <w:szCs w:val="24"/>
        </w:rPr>
        <w:t>(</w:t>
      </w:r>
      <w:r w:rsidR="00BA41F7">
        <w:rPr>
          <w:rFonts w:ascii="Bookman Old Style" w:hAnsi="Bookman Old Style"/>
          <w:sz w:val="24"/>
          <w:szCs w:val="24"/>
        </w:rPr>
        <w:t>I</w:t>
      </w:r>
      <w:r w:rsidR="00D70B45">
        <w:rPr>
          <w:rFonts w:ascii="Bookman Old Style" w:hAnsi="Bookman Old Style"/>
          <w:sz w:val="24"/>
          <w:szCs w:val="24"/>
        </w:rPr>
        <w:t>)</w:t>
      </w:r>
      <w:r w:rsidR="009F41FA">
        <w:rPr>
          <w:rFonts w:ascii="Bookman Old Style" w:hAnsi="Bookman Old Style"/>
          <w:sz w:val="24"/>
          <w:szCs w:val="24"/>
        </w:rPr>
        <w:t xml:space="preserve"> – seriousness of the offense</w:t>
      </w:r>
      <w:r w:rsidR="001A3C6A">
        <w:rPr>
          <w:rFonts w:ascii="Bookman Old Style" w:hAnsi="Bookman Old Style"/>
          <w:sz w:val="24"/>
          <w:szCs w:val="24"/>
        </w:rPr>
        <w:t>;</w:t>
      </w:r>
    </w:p>
    <w:p w14:paraId="03B88A6B" w14:textId="68FDA90F" w:rsidR="001A3C6A"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 xml:space="preserve">Factor </w:t>
      </w:r>
      <w:r w:rsidR="00D70B45">
        <w:rPr>
          <w:rFonts w:ascii="Bookman Old Style" w:hAnsi="Bookman Old Style"/>
          <w:sz w:val="24"/>
          <w:szCs w:val="24"/>
        </w:rPr>
        <w:t>(</w:t>
      </w:r>
      <w:r w:rsidR="00BA41F7">
        <w:rPr>
          <w:rFonts w:ascii="Bookman Old Style" w:hAnsi="Bookman Old Style"/>
          <w:sz w:val="24"/>
          <w:szCs w:val="24"/>
        </w:rPr>
        <w:t>II</w:t>
      </w:r>
      <w:r w:rsidR="00D70B45">
        <w:rPr>
          <w:rFonts w:ascii="Bookman Old Style" w:hAnsi="Bookman Old Style"/>
          <w:sz w:val="24"/>
          <w:szCs w:val="24"/>
        </w:rPr>
        <w:t>)</w:t>
      </w:r>
      <w:r w:rsidR="009F41FA">
        <w:rPr>
          <w:rFonts w:ascii="Bookman Old Style" w:hAnsi="Bookman Old Style"/>
          <w:sz w:val="24"/>
          <w:szCs w:val="24"/>
        </w:rPr>
        <w:t xml:space="preserve"> – how offense was committed</w:t>
      </w:r>
      <w:r>
        <w:rPr>
          <w:rFonts w:ascii="Bookman Old Style" w:hAnsi="Bookman Old Style"/>
          <w:sz w:val="24"/>
          <w:szCs w:val="24"/>
        </w:rPr>
        <w:t>;</w:t>
      </w:r>
    </w:p>
    <w:p w14:paraId="3D702CDE" w14:textId="4EF35B2D" w:rsidR="001A3C6A"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lastRenderedPageBreak/>
        <w:t xml:space="preserve">Factor </w:t>
      </w:r>
      <w:r w:rsidR="00D70B45">
        <w:rPr>
          <w:rFonts w:ascii="Bookman Old Style" w:hAnsi="Bookman Old Style"/>
          <w:sz w:val="24"/>
          <w:szCs w:val="24"/>
        </w:rPr>
        <w:t>(</w:t>
      </w:r>
      <w:r w:rsidR="00BA41F7">
        <w:rPr>
          <w:rFonts w:ascii="Bookman Old Style" w:hAnsi="Bookman Old Style"/>
          <w:sz w:val="24"/>
          <w:szCs w:val="24"/>
        </w:rPr>
        <w:t>III</w:t>
      </w:r>
      <w:r w:rsidR="00D70B45">
        <w:rPr>
          <w:rFonts w:ascii="Bookman Old Style" w:hAnsi="Bookman Old Style"/>
          <w:sz w:val="24"/>
          <w:szCs w:val="24"/>
        </w:rPr>
        <w:t>)</w:t>
      </w:r>
      <w:r w:rsidR="009F41FA">
        <w:rPr>
          <w:rFonts w:ascii="Bookman Old Style" w:hAnsi="Bookman Old Style"/>
          <w:sz w:val="24"/>
          <w:szCs w:val="24"/>
        </w:rPr>
        <w:t xml:space="preserve"> – person or property crime</w:t>
      </w:r>
      <w:r>
        <w:rPr>
          <w:rFonts w:ascii="Bookman Old Style" w:hAnsi="Bookman Old Style"/>
          <w:sz w:val="24"/>
          <w:szCs w:val="24"/>
        </w:rPr>
        <w:t>;</w:t>
      </w:r>
    </w:p>
    <w:p w14:paraId="173035C3" w14:textId="1FCB2266" w:rsidR="001A3C6A"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 xml:space="preserve">Factor </w:t>
      </w:r>
      <w:r w:rsidR="00D70B45">
        <w:rPr>
          <w:rFonts w:ascii="Bookman Old Style" w:hAnsi="Bookman Old Style"/>
          <w:sz w:val="24"/>
          <w:szCs w:val="24"/>
        </w:rPr>
        <w:t>(</w:t>
      </w:r>
      <w:r w:rsidR="00BA41F7">
        <w:rPr>
          <w:rFonts w:ascii="Bookman Old Style" w:hAnsi="Bookman Old Style"/>
          <w:sz w:val="24"/>
          <w:szCs w:val="24"/>
        </w:rPr>
        <w:t>IX</w:t>
      </w:r>
      <w:r w:rsidR="00D70B45">
        <w:rPr>
          <w:rFonts w:ascii="Bookman Old Style" w:hAnsi="Bookman Old Style"/>
          <w:sz w:val="24"/>
          <w:szCs w:val="24"/>
        </w:rPr>
        <w:t>)</w:t>
      </w:r>
      <w:r w:rsidR="009F41FA">
        <w:rPr>
          <w:rFonts w:ascii="Bookman Old Style" w:hAnsi="Bookman Old Style"/>
          <w:sz w:val="24"/>
          <w:szCs w:val="24"/>
        </w:rPr>
        <w:t xml:space="preserve"> – victim impact</w:t>
      </w:r>
      <w:r>
        <w:rPr>
          <w:rFonts w:ascii="Bookman Old Style" w:hAnsi="Bookman Old Style"/>
          <w:sz w:val="24"/>
          <w:szCs w:val="24"/>
        </w:rPr>
        <w:t>;</w:t>
      </w:r>
      <w:r w:rsidR="00AF1846" w:rsidRPr="00D5163E">
        <w:rPr>
          <w:rFonts w:ascii="Bookman Old Style" w:hAnsi="Bookman Old Style"/>
          <w:sz w:val="24"/>
          <w:szCs w:val="24"/>
        </w:rPr>
        <w:t xml:space="preserve"> and </w:t>
      </w:r>
    </w:p>
    <w:p w14:paraId="3787A5F0" w14:textId="1A8FF588" w:rsidR="00AF1846" w:rsidRPr="00D5163E" w:rsidRDefault="001A3C6A" w:rsidP="00932670">
      <w:pPr>
        <w:pStyle w:val="ListParagraph"/>
        <w:numPr>
          <w:ilvl w:val="1"/>
          <w:numId w:val="11"/>
        </w:numPr>
        <w:spacing w:line="276" w:lineRule="auto"/>
        <w:ind w:left="1440"/>
        <w:jc w:val="both"/>
        <w:rPr>
          <w:rFonts w:ascii="Bookman Old Style" w:hAnsi="Bookman Old Style"/>
          <w:sz w:val="24"/>
          <w:szCs w:val="24"/>
        </w:rPr>
      </w:pPr>
      <w:r>
        <w:rPr>
          <w:rFonts w:ascii="Bookman Old Style" w:hAnsi="Bookman Old Style"/>
          <w:sz w:val="24"/>
          <w:szCs w:val="24"/>
        </w:rPr>
        <w:t xml:space="preserve">Factor </w:t>
      </w:r>
      <w:r w:rsidR="00D70B45">
        <w:rPr>
          <w:rFonts w:ascii="Bookman Old Style" w:hAnsi="Bookman Old Style"/>
          <w:sz w:val="24"/>
          <w:szCs w:val="24"/>
        </w:rPr>
        <w:t>(</w:t>
      </w:r>
      <w:r w:rsidR="00BA41F7">
        <w:rPr>
          <w:rFonts w:ascii="Bookman Old Style" w:hAnsi="Bookman Old Style"/>
          <w:sz w:val="24"/>
          <w:szCs w:val="24"/>
        </w:rPr>
        <w:t>XI</w:t>
      </w:r>
      <w:r w:rsidR="00D70B45">
        <w:rPr>
          <w:rFonts w:ascii="Bookman Old Style" w:hAnsi="Bookman Old Style"/>
          <w:sz w:val="24"/>
          <w:szCs w:val="24"/>
        </w:rPr>
        <w:t>)</w:t>
      </w:r>
      <w:r w:rsidR="009F41FA">
        <w:rPr>
          <w:rFonts w:ascii="Bookman Old Style" w:hAnsi="Bookman Old Style"/>
          <w:sz w:val="24"/>
          <w:szCs w:val="24"/>
        </w:rPr>
        <w:t xml:space="preserve"> – use of deadly weapon</w:t>
      </w:r>
    </w:p>
    <w:p w14:paraId="14B9BCD4" w14:textId="250E56BF" w:rsidR="00AF1846" w:rsidRPr="00E529A1" w:rsidRDefault="00AF1846" w:rsidP="00BE18A7">
      <w:pPr>
        <w:ind w:firstLine="720"/>
        <w:jc w:val="both"/>
        <w:rPr>
          <w:rFonts w:ascii="Bookman Old Style" w:hAnsi="Bookman Old Style"/>
          <w:sz w:val="24"/>
          <w:szCs w:val="24"/>
        </w:rPr>
      </w:pPr>
      <w:r w:rsidRPr="005261B3">
        <w:rPr>
          <w:rFonts w:ascii="Bookman Old Style" w:hAnsi="Bookman Old Style"/>
          <w:sz w:val="24"/>
          <w:szCs w:val="24"/>
        </w:rPr>
        <w:t>Regarding the “mental health factors”</w:t>
      </w:r>
      <w:r w:rsidR="001A3C6A">
        <w:rPr>
          <w:rFonts w:ascii="Bookman Old Style" w:hAnsi="Bookman Old Style"/>
          <w:sz w:val="24"/>
          <w:szCs w:val="24"/>
        </w:rPr>
        <w:t xml:space="preserve"> i</w:t>
      </w:r>
      <w:r w:rsidRPr="005261B3">
        <w:rPr>
          <w:rFonts w:ascii="Bookman Old Style" w:hAnsi="Bookman Old Style"/>
          <w:sz w:val="24"/>
          <w:szCs w:val="24"/>
        </w:rPr>
        <w:t>nformation</w:t>
      </w:r>
      <w:r w:rsidR="001A3C6A">
        <w:rPr>
          <w:rFonts w:ascii="Bookman Old Style" w:hAnsi="Bookman Old Style"/>
          <w:sz w:val="24"/>
          <w:szCs w:val="24"/>
        </w:rPr>
        <w:t xml:space="preserve"> </w:t>
      </w:r>
      <w:r w:rsidRPr="005261B3">
        <w:rPr>
          <w:rFonts w:ascii="Bookman Old Style" w:hAnsi="Bookman Old Style"/>
          <w:sz w:val="24"/>
          <w:szCs w:val="24"/>
        </w:rPr>
        <w:t>received for the first time at the reverse transfer hearing re</w:t>
      </w:r>
      <w:r w:rsidR="001A3C6A">
        <w:rPr>
          <w:rFonts w:ascii="Bookman Old Style" w:hAnsi="Bookman Old Style"/>
          <w:sz w:val="24"/>
          <w:szCs w:val="24"/>
        </w:rPr>
        <w:t>lated to</w:t>
      </w:r>
      <w:r w:rsidRPr="005261B3">
        <w:rPr>
          <w:rFonts w:ascii="Bookman Old Style" w:hAnsi="Bookman Old Style"/>
          <w:sz w:val="24"/>
          <w:szCs w:val="24"/>
        </w:rPr>
        <w:t xml:space="preserve"> the defendant's maturity and mental health background</w:t>
      </w:r>
      <w:r w:rsidR="00E529A1">
        <w:rPr>
          <w:rFonts w:ascii="Bookman Old Style" w:hAnsi="Bookman Old Style"/>
          <w:sz w:val="24"/>
          <w:szCs w:val="24"/>
        </w:rPr>
        <w:t>:  This information</w:t>
      </w:r>
      <w:r w:rsidRPr="005261B3">
        <w:rPr>
          <w:rFonts w:ascii="Bookman Old Style" w:hAnsi="Bookman Old Style"/>
          <w:sz w:val="24"/>
          <w:szCs w:val="24"/>
        </w:rPr>
        <w:t xml:space="preserve"> is </w:t>
      </w:r>
      <w:proofErr w:type="gramStart"/>
      <w:r w:rsidRPr="005261B3">
        <w:rPr>
          <w:rFonts w:ascii="Bookman Old Style" w:hAnsi="Bookman Old Style"/>
          <w:sz w:val="24"/>
          <w:szCs w:val="24"/>
        </w:rPr>
        <w:t>similar to</w:t>
      </w:r>
      <w:proofErr w:type="gramEnd"/>
      <w:r w:rsidRPr="005261B3">
        <w:rPr>
          <w:rFonts w:ascii="Bookman Old Style" w:hAnsi="Bookman Old Style"/>
          <w:sz w:val="24"/>
          <w:szCs w:val="24"/>
        </w:rPr>
        <w:t xml:space="preserve"> information generated to determine a criminal defendant’s competence to proceed with criminal proceedings under C.R.S. § 16-8.5-102(4</w:t>
      </w:r>
      <w:r w:rsidR="00FF4CE2">
        <w:rPr>
          <w:rFonts w:ascii="Bookman Old Style" w:hAnsi="Bookman Old Style"/>
          <w:sz w:val="24"/>
          <w:szCs w:val="24"/>
        </w:rPr>
        <w:t>)</w:t>
      </w:r>
      <w:r w:rsidRPr="005261B3">
        <w:rPr>
          <w:rFonts w:ascii="Bookman Old Style" w:hAnsi="Bookman Old Style"/>
          <w:sz w:val="24"/>
          <w:szCs w:val="24"/>
        </w:rPr>
        <w:t xml:space="preserve">, </w:t>
      </w:r>
      <w:r w:rsidR="00FF4CE2">
        <w:rPr>
          <w:rFonts w:ascii="Bookman Old Style" w:hAnsi="Bookman Old Style"/>
          <w:sz w:val="24"/>
          <w:szCs w:val="24"/>
        </w:rPr>
        <w:t>(</w:t>
      </w:r>
      <w:r w:rsidRPr="005261B3">
        <w:rPr>
          <w:rFonts w:ascii="Bookman Old Style" w:hAnsi="Bookman Old Style"/>
          <w:sz w:val="24"/>
          <w:szCs w:val="24"/>
        </w:rPr>
        <w:t>9</w:t>
      </w:r>
      <w:r w:rsidR="00FF4CE2">
        <w:rPr>
          <w:rFonts w:ascii="Bookman Old Style" w:hAnsi="Bookman Old Style"/>
          <w:sz w:val="24"/>
          <w:szCs w:val="24"/>
        </w:rPr>
        <w:t>)</w:t>
      </w:r>
      <w:r w:rsidRPr="005261B3">
        <w:rPr>
          <w:rFonts w:ascii="Bookman Old Style" w:hAnsi="Bookman Old Style"/>
          <w:sz w:val="24"/>
          <w:szCs w:val="24"/>
        </w:rPr>
        <w:t xml:space="preserve">, </w:t>
      </w:r>
      <w:r w:rsidR="00FF4CE2">
        <w:rPr>
          <w:rFonts w:ascii="Bookman Old Style" w:hAnsi="Bookman Old Style"/>
          <w:sz w:val="24"/>
          <w:szCs w:val="24"/>
        </w:rPr>
        <w:t>(</w:t>
      </w:r>
      <w:r w:rsidRPr="005261B3">
        <w:rPr>
          <w:rFonts w:ascii="Bookman Old Style" w:hAnsi="Bookman Old Style"/>
          <w:sz w:val="24"/>
          <w:szCs w:val="24"/>
        </w:rPr>
        <w:t xml:space="preserve">12) and C.R.S. § 16-8.5-105(3). </w:t>
      </w:r>
      <w:r w:rsidR="001A3C6A">
        <w:rPr>
          <w:rFonts w:ascii="Bookman Old Style" w:hAnsi="Bookman Old Style"/>
          <w:sz w:val="24"/>
          <w:szCs w:val="24"/>
        </w:rPr>
        <w:t xml:space="preserve"> </w:t>
      </w:r>
      <w:r w:rsidR="00735540">
        <w:rPr>
          <w:rFonts w:ascii="Bookman Old Style" w:hAnsi="Bookman Old Style"/>
          <w:sz w:val="24"/>
          <w:szCs w:val="24"/>
        </w:rPr>
        <w:t xml:space="preserve">That statutory process </w:t>
      </w:r>
      <w:r w:rsidRPr="005261B3">
        <w:rPr>
          <w:rFonts w:ascii="Bookman Old Style" w:hAnsi="Bookman Old Style"/>
          <w:sz w:val="24"/>
          <w:szCs w:val="24"/>
        </w:rPr>
        <w:t>prohibit</w:t>
      </w:r>
      <w:r w:rsidR="00735540">
        <w:rPr>
          <w:rFonts w:ascii="Bookman Old Style" w:hAnsi="Bookman Old Style"/>
          <w:sz w:val="24"/>
          <w:szCs w:val="24"/>
        </w:rPr>
        <w:t>s</w:t>
      </w:r>
      <w:r w:rsidRPr="005261B3">
        <w:rPr>
          <w:rFonts w:ascii="Bookman Old Style" w:hAnsi="Bookman Old Style"/>
          <w:sz w:val="24"/>
          <w:szCs w:val="24"/>
        </w:rPr>
        <w:t xml:space="preserve"> the admission at a subsequent criminal trial, directly or indirectly, of </w:t>
      </w:r>
      <w:r>
        <w:rPr>
          <w:rFonts w:ascii="Bookman Old Style" w:hAnsi="Bookman Old Style"/>
        </w:rPr>
        <w:t>i</w:t>
      </w:r>
      <w:r w:rsidRPr="005261B3">
        <w:rPr>
          <w:rFonts w:ascii="Bookman Old Style" w:hAnsi="Bookman Old Style"/>
          <w:sz w:val="24"/>
          <w:szCs w:val="24"/>
        </w:rPr>
        <w:t>nformation revealed for the first time during a competency hearing concerning the social and mental health history of the defendant.</w:t>
      </w:r>
      <w:r w:rsidR="00735540">
        <w:rPr>
          <w:rFonts w:ascii="Bookman Old Style" w:hAnsi="Bookman Old Style"/>
          <w:sz w:val="24"/>
          <w:szCs w:val="24"/>
        </w:rPr>
        <w:t xml:space="preserve">  </w:t>
      </w:r>
      <w:r w:rsidR="00735540" w:rsidRPr="005261B3">
        <w:rPr>
          <w:rFonts w:ascii="Bookman Old Style" w:hAnsi="Bookman Old Style"/>
          <w:sz w:val="24"/>
          <w:szCs w:val="24"/>
        </w:rPr>
        <w:t>C.R.S. § 16-8.5-108(1)</w:t>
      </w:r>
      <w:r w:rsidR="00735540">
        <w:rPr>
          <w:rFonts w:ascii="Bookman Old Style" w:hAnsi="Bookman Old Style"/>
          <w:sz w:val="24"/>
          <w:szCs w:val="24"/>
        </w:rPr>
        <w:t>.</w:t>
      </w:r>
      <w:r w:rsidR="00BE18A7">
        <w:rPr>
          <w:rFonts w:ascii="Bookman Old Style" w:hAnsi="Bookman Old Style"/>
          <w:sz w:val="24"/>
          <w:szCs w:val="24"/>
        </w:rPr>
        <w:t xml:space="preserve">  </w:t>
      </w:r>
      <w:r w:rsidRPr="005261B3">
        <w:rPr>
          <w:rFonts w:ascii="Bookman Old Style" w:hAnsi="Bookman Old Style"/>
          <w:sz w:val="24"/>
          <w:szCs w:val="24"/>
        </w:rPr>
        <w:t>Based on the similarity in purpose and function of a district court's determination of the competency of a criminal defendant and the social utility of proceedings against a juvenile in district court, the</w:t>
      </w:r>
      <w:r>
        <w:rPr>
          <w:rFonts w:ascii="Bookman Old Style" w:hAnsi="Bookman Old Style"/>
        </w:rPr>
        <w:t xml:space="preserve"> </w:t>
      </w:r>
      <w:r w:rsidRPr="005261B3">
        <w:rPr>
          <w:rFonts w:ascii="Bookman Old Style" w:hAnsi="Bookman Old Style"/>
          <w:sz w:val="24"/>
          <w:szCs w:val="24"/>
        </w:rPr>
        <w:t xml:space="preserve">treatment of evidence of the defendant's social and mental history revealed for the first time at a reverse transfer hearing </w:t>
      </w:r>
      <w:r w:rsidR="00BE18A7">
        <w:rPr>
          <w:rFonts w:ascii="Bookman Old Style" w:hAnsi="Bookman Old Style"/>
          <w:sz w:val="24"/>
          <w:szCs w:val="24"/>
        </w:rPr>
        <w:t>will</w:t>
      </w:r>
      <w:r w:rsidRPr="005261B3">
        <w:rPr>
          <w:rFonts w:ascii="Bookman Old Style" w:hAnsi="Bookman Old Style"/>
          <w:sz w:val="24"/>
          <w:szCs w:val="24"/>
        </w:rPr>
        <w:t xml:space="preserve"> be treated in the same manner as such evidence revealed for the first time in a competency hearing and this evidence </w:t>
      </w:r>
      <w:r w:rsidR="001A3C6A">
        <w:rPr>
          <w:rFonts w:ascii="Bookman Old Style" w:hAnsi="Bookman Old Style"/>
          <w:sz w:val="24"/>
          <w:szCs w:val="24"/>
        </w:rPr>
        <w:t>is now ordered</w:t>
      </w:r>
      <w:r w:rsidRPr="005261B3">
        <w:rPr>
          <w:rFonts w:ascii="Bookman Old Style" w:hAnsi="Bookman Old Style"/>
          <w:sz w:val="24"/>
          <w:szCs w:val="24"/>
        </w:rPr>
        <w:t xml:space="preserve"> </w:t>
      </w:r>
      <w:r w:rsidR="00735540">
        <w:rPr>
          <w:rFonts w:ascii="Bookman Old Style" w:hAnsi="Bookman Old Style"/>
          <w:sz w:val="24"/>
          <w:szCs w:val="24"/>
        </w:rPr>
        <w:t>in</w:t>
      </w:r>
      <w:r w:rsidRPr="00E529A1">
        <w:rPr>
          <w:rFonts w:ascii="Bookman Old Style" w:hAnsi="Bookman Old Style"/>
          <w:sz w:val="24"/>
          <w:szCs w:val="24"/>
        </w:rPr>
        <w:t>admissible at trial</w:t>
      </w:r>
      <w:r w:rsidR="00735540">
        <w:rPr>
          <w:rFonts w:ascii="Bookman Old Style" w:hAnsi="Bookman Old Style"/>
          <w:sz w:val="24"/>
          <w:szCs w:val="24"/>
        </w:rPr>
        <w:t xml:space="preserve"> </w:t>
      </w:r>
      <w:r w:rsidR="00BE18A7">
        <w:rPr>
          <w:rFonts w:ascii="Bookman Old Style" w:hAnsi="Bookman Old Style"/>
          <w:sz w:val="24"/>
          <w:szCs w:val="24"/>
        </w:rPr>
        <w:t xml:space="preserve">except </w:t>
      </w:r>
      <w:r w:rsidR="00735540">
        <w:rPr>
          <w:rFonts w:ascii="Bookman Old Style" w:hAnsi="Bookman Old Style"/>
          <w:sz w:val="24"/>
          <w:szCs w:val="24"/>
        </w:rPr>
        <w:t>a</w:t>
      </w:r>
      <w:r w:rsidR="00BE18A7">
        <w:rPr>
          <w:rFonts w:ascii="Bookman Old Style" w:hAnsi="Bookman Old Style"/>
          <w:sz w:val="24"/>
          <w:szCs w:val="24"/>
        </w:rPr>
        <w:t xml:space="preserve">s noted </w:t>
      </w:r>
      <w:r w:rsidR="00735540">
        <w:rPr>
          <w:rFonts w:ascii="Bookman Old Style" w:hAnsi="Bookman Old Style"/>
          <w:sz w:val="24"/>
          <w:szCs w:val="24"/>
        </w:rPr>
        <w:t>above.</w:t>
      </w:r>
    </w:p>
    <w:p w14:paraId="3E3661C1" w14:textId="6AADC61E" w:rsidR="00AF1846" w:rsidRPr="00E529A1" w:rsidRDefault="00AF1846" w:rsidP="00C924AF">
      <w:pPr>
        <w:spacing w:after="0"/>
        <w:ind w:firstLine="720"/>
        <w:jc w:val="both"/>
        <w:rPr>
          <w:rFonts w:ascii="Bookman Old Style" w:hAnsi="Bookman Old Style"/>
          <w:sz w:val="24"/>
          <w:szCs w:val="24"/>
        </w:rPr>
      </w:pPr>
      <w:r w:rsidRPr="00E529A1">
        <w:rPr>
          <w:rFonts w:ascii="Bookman Old Style" w:hAnsi="Bookman Old Style"/>
          <w:sz w:val="24"/>
          <w:szCs w:val="24"/>
        </w:rPr>
        <w:t xml:space="preserve">The “criminal factors” could elicit two categories of evidence that may be relevant at a subsequent trial. </w:t>
      </w:r>
    </w:p>
    <w:p w14:paraId="47510CFE" w14:textId="77777777" w:rsidR="00AF1846" w:rsidRPr="00E529A1" w:rsidRDefault="00AF1846" w:rsidP="00C924AF">
      <w:pPr>
        <w:spacing w:after="0"/>
        <w:ind w:firstLine="360"/>
        <w:rPr>
          <w:rFonts w:ascii="Bookman Old Style" w:hAnsi="Bookman Old Style"/>
          <w:sz w:val="24"/>
          <w:szCs w:val="24"/>
        </w:rPr>
      </w:pPr>
    </w:p>
    <w:p w14:paraId="1BDCAF4D" w14:textId="77777777" w:rsidR="00E529A1" w:rsidRDefault="00AF1846" w:rsidP="00C924AF">
      <w:pPr>
        <w:pStyle w:val="ListParagraph"/>
        <w:numPr>
          <w:ilvl w:val="0"/>
          <w:numId w:val="12"/>
        </w:numPr>
        <w:spacing w:after="0" w:line="276" w:lineRule="auto"/>
        <w:rPr>
          <w:rFonts w:ascii="Bookman Old Style" w:hAnsi="Bookman Old Style"/>
          <w:sz w:val="24"/>
          <w:szCs w:val="24"/>
        </w:rPr>
      </w:pPr>
      <w:r w:rsidRPr="00E529A1">
        <w:rPr>
          <w:rFonts w:ascii="Bookman Old Style" w:hAnsi="Bookman Old Style"/>
          <w:sz w:val="24"/>
          <w:szCs w:val="24"/>
          <w:u w:val="single"/>
        </w:rPr>
        <w:t>Testimony of the juvenile and the Fifth Amendment</w:t>
      </w:r>
      <w:r w:rsidRPr="00E529A1">
        <w:rPr>
          <w:rFonts w:ascii="Bookman Old Style" w:hAnsi="Bookman Old Style"/>
          <w:sz w:val="24"/>
          <w:szCs w:val="24"/>
        </w:rPr>
        <w:t xml:space="preserve">. </w:t>
      </w:r>
    </w:p>
    <w:p w14:paraId="3B8A1620" w14:textId="77777777" w:rsidR="00E529A1" w:rsidRDefault="00E529A1" w:rsidP="00C924AF">
      <w:pPr>
        <w:spacing w:after="0"/>
        <w:rPr>
          <w:rFonts w:ascii="Bookman Old Style" w:hAnsi="Bookman Old Style"/>
          <w:sz w:val="24"/>
          <w:szCs w:val="24"/>
        </w:rPr>
      </w:pPr>
    </w:p>
    <w:p w14:paraId="0F8452D7" w14:textId="1F34FCCC" w:rsidR="00E529A1" w:rsidRDefault="00AF1846" w:rsidP="00C924AF">
      <w:pPr>
        <w:spacing w:after="0"/>
        <w:ind w:firstLine="720"/>
        <w:jc w:val="both"/>
        <w:rPr>
          <w:rFonts w:ascii="Bookman Old Style" w:hAnsi="Bookman Old Style"/>
          <w:sz w:val="24"/>
          <w:szCs w:val="24"/>
        </w:rPr>
      </w:pPr>
      <w:r w:rsidRPr="00E529A1">
        <w:rPr>
          <w:rFonts w:ascii="Bookman Old Style" w:hAnsi="Bookman Old Style"/>
          <w:sz w:val="24"/>
          <w:szCs w:val="24"/>
        </w:rPr>
        <w:t xml:space="preserve">Testimony elicited from the juvenile might incriminate the defendant, and/or reveal for the first time information which the prosecution may use to further investigate and discover incriminating information. </w:t>
      </w:r>
      <w:r w:rsidR="00E529A1" w:rsidRPr="00E529A1">
        <w:rPr>
          <w:rFonts w:ascii="Bookman Old Style" w:hAnsi="Bookman Old Style"/>
          <w:sz w:val="24"/>
          <w:szCs w:val="24"/>
        </w:rPr>
        <w:t xml:space="preserve"> </w:t>
      </w:r>
      <w:r w:rsidRPr="00E529A1">
        <w:rPr>
          <w:rFonts w:ascii="Bookman Old Style" w:hAnsi="Bookman Old Style"/>
          <w:sz w:val="24"/>
          <w:szCs w:val="24"/>
        </w:rPr>
        <w:t xml:space="preserve">This raises the question of whether the juvenile is forced to choose between his or her constitutional right against self-incrimination under the Fifth Amendment to the Constitution of the United States and </w:t>
      </w:r>
      <w:r w:rsidR="00E529A1" w:rsidRPr="00E529A1">
        <w:rPr>
          <w:rFonts w:ascii="Bookman Old Style" w:hAnsi="Bookman Old Style"/>
          <w:sz w:val="24"/>
          <w:szCs w:val="24"/>
        </w:rPr>
        <w:t>their</w:t>
      </w:r>
      <w:r w:rsidRPr="00E529A1">
        <w:rPr>
          <w:rFonts w:ascii="Bookman Old Style" w:hAnsi="Bookman Old Style"/>
          <w:sz w:val="24"/>
          <w:szCs w:val="24"/>
        </w:rPr>
        <w:t xml:space="preserve"> statutory right to a reverse transfer hearing under C.R.S. § 19-2.5-801(4)(a). </w:t>
      </w:r>
    </w:p>
    <w:p w14:paraId="313278E8" w14:textId="77777777" w:rsidR="00E529A1" w:rsidRDefault="00E529A1" w:rsidP="00C924AF">
      <w:pPr>
        <w:spacing w:after="0"/>
        <w:ind w:firstLine="360"/>
        <w:jc w:val="both"/>
        <w:rPr>
          <w:rFonts w:ascii="Bookman Old Style" w:hAnsi="Bookman Old Style"/>
          <w:sz w:val="24"/>
          <w:szCs w:val="24"/>
        </w:rPr>
      </w:pPr>
    </w:p>
    <w:p w14:paraId="797E1DEB" w14:textId="77777777" w:rsidR="00725EC8" w:rsidRDefault="00AF1846" w:rsidP="00C924AF">
      <w:pPr>
        <w:spacing w:after="0"/>
        <w:ind w:firstLine="720"/>
        <w:jc w:val="both"/>
        <w:rPr>
          <w:rFonts w:ascii="Bookman Old Style" w:hAnsi="Bookman Old Style"/>
          <w:sz w:val="24"/>
          <w:szCs w:val="24"/>
        </w:rPr>
      </w:pPr>
      <w:r w:rsidRPr="00E529A1">
        <w:rPr>
          <w:rFonts w:ascii="Bookman Old Style" w:hAnsi="Bookman Old Style"/>
          <w:sz w:val="24"/>
          <w:szCs w:val="24"/>
        </w:rPr>
        <w:t xml:space="preserve">The purpose of a reverse transfer hearing and the juvenile’s decision to testify is not akin to the juvenile's decision to waive his Fifth Amendment right and testify at a trial on the merits. </w:t>
      </w:r>
      <w:r w:rsidR="00DF25CF">
        <w:rPr>
          <w:rFonts w:ascii="Bookman Old Style" w:hAnsi="Bookman Old Style"/>
          <w:sz w:val="24"/>
          <w:szCs w:val="24"/>
        </w:rPr>
        <w:t xml:space="preserve"> </w:t>
      </w:r>
      <w:r w:rsidRPr="00E529A1">
        <w:rPr>
          <w:rFonts w:ascii="Bookman Old Style" w:hAnsi="Bookman Old Style"/>
          <w:sz w:val="24"/>
          <w:szCs w:val="24"/>
        </w:rPr>
        <w:t>A reverse transfer hearing has no bearing on guilt or innocence and only addresses jurisdictional issues of further criminal proceedings.</w:t>
      </w:r>
    </w:p>
    <w:p w14:paraId="43E5D441" w14:textId="77777777" w:rsidR="00725EC8" w:rsidRDefault="00725EC8" w:rsidP="00C924AF">
      <w:pPr>
        <w:spacing w:after="0"/>
        <w:ind w:firstLine="720"/>
        <w:jc w:val="both"/>
        <w:rPr>
          <w:rFonts w:ascii="Bookman Old Style" w:hAnsi="Bookman Old Style"/>
          <w:sz w:val="24"/>
          <w:szCs w:val="24"/>
        </w:rPr>
      </w:pPr>
    </w:p>
    <w:p w14:paraId="3B055FCC" w14:textId="77777777" w:rsidR="00725EC8" w:rsidRDefault="00AF1846" w:rsidP="00C924AF">
      <w:pPr>
        <w:spacing w:after="0"/>
        <w:ind w:firstLine="720"/>
        <w:jc w:val="both"/>
        <w:rPr>
          <w:rFonts w:ascii="Bookman Old Style" w:hAnsi="Bookman Old Style"/>
          <w:sz w:val="24"/>
          <w:szCs w:val="24"/>
        </w:rPr>
      </w:pPr>
      <w:r w:rsidRPr="00E529A1">
        <w:rPr>
          <w:rFonts w:ascii="Bookman Old Style" w:hAnsi="Bookman Old Style"/>
          <w:sz w:val="24"/>
          <w:szCs w:val="24"/>
        </w:rPr>
        <w:t>The purpose of a reverse transfer hearing is not unlike the purpose of a hearing to suppress statements of the defendant prior to trial</w:t>
      </w:r>
      <w:r w:rsidR="00725EC8">
        <w:rPr>
          <w:rFonts w:ascii="Bookman Old Style" w:hAnsi="Bookman Old Style"/>
          <w:sz w:val="24"/>
          <w:szCs w:val="24"/>
        </w:rPr>
        <w:t xml:space="preserve">.  </w:t>
      </w:r>
      <w:r w:rsidRPr="00E529A1">
        <w:rPr>
          <w:rFonts w:ascii="Bookman Old Style" w:hAnsi="Bookman Old Style"/>
          <w:sz w:val="24"/>
          <w:szCs w:val="24"/>
        </w:rPr>
        <w:t>By testifying in a</w:t>
      </w:r>
      <w:r w:rsidR="00DF25CF">
        <w:rPr>
          <w:rFonts w:ascii="Bookman Old Style" w:hAnsi="Bookman Old Style"/>
          <w:sz w:val="24"/>
          <w:szCs w:val="24"/>
        </w:rPr>
        <w:t xml:space="preserve"> </w:t>
      </w:r>
      <w:r w:rsidR="00DF25CF">
        <w:rPr>
          <w:rFonts w:ascii="Bookman Old Style" w:hAnsi="Bookman Old Style"/>
          <w:sz w:val="24"/>
          <w:szCs w:val="24"/>
        </w:rPr>
        <w:lastRenderedPageBreak/>
        <w:t>s</w:t>
      </w:r>
      <w:r w:rsidRPr="00E529A1">
        <w:rPr>
          <w:rFonts w:ascii="Bookman Old Style" w:hAnsi="Bookman Old Style"/>
          <w:sz w:val="24"/>
          <w:szCs w:val="24"/>
        </w:rPr>
        <w:t xml:space="preserve">uppression hearing, a defendant does not implicate </w:t>
      </w:r>
      <w:r w:rsidR="0014274C">
        <w:rPr>
          <w:rFonts w:ascii="Bookman Old Style" w:hAnsi="Bookman Old Style"/>
          <w:sz w:val="24"/>
          <w:szCs w:val="24"/>
        </w:rPr>
        <w:t>their</w:t>
      </w:r>
      <w:r w:rsidRPr="00E529A1">
        <w:rPr>
          <w:rFonts w:ascii="Bookman Old Style" w:hAnsi="Bookman Old Style"/>
          <w:sz w:val="24"/>
          <w:szCs w:val="24"/>
        </w:rPr>
        <w:t xml:space="preserve"> Fifth Amendment right against self-incrimination because that right only attaches regarding issues of guilt and innocence. </w:t>
      </w:r>
      <w:r w:rsidRPr="00DF25CF">
        <w:rPr>
          <w:rFonts w:ascii="Bookman Old Style" w:hAnsi="Bookman Old Style"/>
          <w:i/>
          <w:iCs/>
          <w:sz w:val="24"/>
          <w:szCs w:val="24"/>
        </w:rPr>
        <w:t>People v. Turtura</w:t>
      </w:r>
      <w:r w:rsidRPr="00E529A1">
        <w:rPr>
          <w:rFonts w:ascii="Bookman Old Style" w:hAnsi="Bookman Old Style"/>
          <w:sz w:val="24"/>
          <w:szCs w:val="24"/>
        </w:rPr>
        <w:t>, 921 P.2d 40, 43 (Colo.1996). A defendant who decides to testify at a suppression hearing is subject to cross-examination regarding the evidentiary issues addressed in the defendant's motion to suppress and to associated issues of credibility, but not as to other issues.</w:t>
      </w:r>
      <w:r w:rsidR="00DF25CF">
        <w:rPr>
          <w:rFonts w:ascii="Bookman Old Style" w:hAnsi="Bookman Old Style"/>
          <w:sz w:val="24"/>
          <w:szCs w:val="24"/>
        </w:rPr>
        <w:t xml:space="preserve"> </w:t>
      </w:r>
      <w:r w:rsidRPr="00E529A1">
        <w:rPr>
          <w:rFonts w:ascii="Bookman Old Style" w:hAnsi="Bookman Old Style"/>
          <w:sz w:val="24"/>
          <w:szCs w:val="24"/>
        </w:rPr>
        <w:t xml:space="preserve">The prosecution must limit its questioning to the scope of direct examination, and the defendant may invoke </w:t>
      </w:r>
      <w:r w:rsidR="00DF25CF">
        <w:rPr>
          <w:rFonts w:ascii="Bookman Old Style" w:hAnsi="Bookman Old Style"/>
          <w:sz w:val="24"/>
          <w:szCs w:val="24"/>
        </w:rPr>
        <w:t>their</w:t>
      </w:r>
      <w:r w:rsidRPr="00E529A1">
        <w:rPr>
          <w:rFonts w:ascii="Bookman Old Style" w:hAnsi="Bookman Old Style"/>
          <w:sz w:val="24"/>
          <w:szCs w:val="24"/>
        </w:rPr>
        <w:t xml:space="preserve"> Fifth Amendment right. </w:t>
      </w:r>
      <w:r w:rsidR="00DF25CF">
        <w:rPr>
          <w:rFonts w:ascii="Bookman Old Style" w:hAnsi="Bookman Old Style"/>
          <w:sz w:val="24"/>
          <w:szCs w:val="24"/>
        </w:rPr>
        <w:t xml:space="preserve"> </w:t>
      </w:r>
      <w:r w:rsidRPr="00E529A1">
        <w:rPr>
          <w:rFonts w:ascii="Bookman Old Style" w:hAnsi="Bookman Old Style"/>
          <w:sz w:val="24"/>
          <w:szCs w:val="24"/>
        </w:rPr>
        <w:t xml:space="preserve">However, if the defendant testifies at trial, his </w:t>
      </w:r>
      <w:r w:rsidR="0014274C">
        <w:rPr>
          <w:rFonts w:ascii="Bookman Old Style" w:hAnsi="Bookman Old Style"/>
          <w:sz w:val="24"/>
          <w:szCs w:val="24"/>
        </w:rPr>
        <w:t xml:space="preserve">prior </w:t>
      </w:r>
      <w:r w:rsidRPr="00E529A1">
        <w:rPr>
          <w:rFonts w:ascii="Bookman Old Style" w:hAnsi="Bookman Old Style"/>
          <w:sz w:val="24"/>
          <w:szCs w:val="24"/>
        </w:rPr>
        <w:t xml:space="preserve">testimony may be used </w:t>
      </w:r>
      <w:r w:rsidR="00F10FB7">
        <w:rPr>
          <w:rFonts w:ascii="Bookman Old Style" w:hAnsi="Bookman Old Style"/>
          <w:sz w:val="24"/>
          <w:szCs w:val="24"/>
        </w:rPr>
        <w:t xml:space="preserve">to impeach his </w:t>
      </w:r>
      <w:r w:rsidR="0014274C">
        <w:rPr>
          <w:rFonts w:ascii="Bookman Old Style" w:hAnsi="Bookman Old Style"/>
          <w:sz w:val="24"/>
          <w:szCs w:val="24"/>
        </w:rPr>
        <w:t xml:space="preserve">trial </w:t>
      </w:r>
      <w:r w:rsidR="00F10FB7">
        <w:rPr>
          <w:rFonts w:ascii="Bookman Old Style" w:hAnsi="Bookman Old Style"/>
          <w:sz w:val="24"/>
          <w:szCs w:val="24"/>
        </w:rPr>
        <w:t>testimony</w:t>
      </w:r>
      <w:r w:rsidR="0014274C">
        <w:rPr>
          <w:rFonts w:ascii="Bookman Old Style" w:hAnsi="Bookman Old Style"/>
          <w:sz w:val="24"/>
          <w:szCs w:val="24"/>
        </w:rPr>
        <w:t xml:space="preserve">; further, </w:t>
      </w:r>
      <w:r w:rsidR="0014274C" w:rsidRPr="0014274C">
        <w:rPr>
          <w:rFonts w:ascii="Bookman Old Style" w:hAnsi="Bookman Old Style"/>
          <w:sz w:val="24"/>
          <w:szCs w:val="24"/>
        </w:rPr>
        <w:t>testimony given by a defendant in support of a motion to suppress evidence on Fourth Amendment grounds can</w:t>
      </w:r>
      <w:r w:rsidR="0014274C">
        <w:rPr>
          <w:rFonts w:ascii="Bookman Old Style" w:hAnsi="Bookman Old Style"/>
          <w:sz w:val="24"/>
          <w:szCs w:val="24"/>
        </w:rPr>
        <w:t>not</w:t>
      </w:r>
      <w:r w:rsidR="0014274C" w:rsidRPr="0014274C">
        <w:rPr>
          <w:rFonts w:ascii="Bookman Old Style" w:hAnsi="Bookman Old Style"/>
          <w:sz w:val="24"/>
          <w:szCs w:val="24"/>
        </w:rPr>
        <w:t xml:space="preserve"> be admitted in evidence against the defendant at trial on the issue of guilt </w:t>
      </w:r>
      <w:r w:rsidR="0014274C">
        <w:rPr>
          <w:rFonts w:ascii="Bookman Old Style" w:hAnsi="Bookman Old Style"/>
          <w:sz w:val="24"/>
          <w:szCs w:val="24"/>
        </w:rPr>
        <w:t>unless</w:t>
      </w:r>
      <w:r w:rsidR="0014274C" w:rsidRPr="0014274C">
        <w:rPr>
          <w:rFonts w:ascii="Bookman Old Style" w:hAnsi="Bookman Old Style"/>
          <w:sz w:val="24"/>
          <w:szCs w:val="24"/>
        </w:rPr>
        <w:t xml:space="preserve"> the defendant makes no objectio</w:t>
      </w:r>
      <w:r w:rsidR="00725EC8">
        <w:rPr>
          <w:rFonts w:ascii="Bookman Old Style" w:hAnsi="Bookman Old Style"/>
          <w:sz w:val="24"/>
          <w:szCs w:val="24"/>
        </w:rPr>
        <w:t>n,</w:t>
      </w:r>
      <w:r w:rsidR="0014274C">
        <w:rPr>
          <w:rFonts w:ascii="Bookman Old Style" w:hAnsi="Bookman Old Style"/>
          <w:sz w:val="24"/>
          <w:szCs w:val="24"/>
        </w:rPr>
        <w:t xml:space="preserve"> </w:t>
      </w:r>
      <w:r w:rsidRPr="00DF25CF">
        <w:rPr>
          <w:rFonts w:ascii="Bookman Old Style" w:hAnsi="Bookman Old Style"/>
          <w:i/>
          <w:iCs/>
          <w:sz w:val="24"/>
          <w:szCs w:val="24"/>
        </w:rPr>
        <w:t>People v. Spies</w:t>
      </w:r>
      <w:r w:rsidRPr="00E529A1">
        <w:rPr>
          <w:rFonts w:ascii="Bookman Old Style" w:hAnsi="Bookman Old Style"/>
          <w:sz w:val="24"/>
          <w:szCs w:val="24"/>
        </w:rPr>
        <w:t xml:space="preserve">, 615 P.2d 710, 712 (Colo. 1980), or to impeach the testimony of other defense witnesses regarding the defendant's prior statements. </w:t>
      </w:r>
      <w:r w:rsidRPr="00DF25CF">
        <w:rPr>
          <w:rFonts w:ascii="Bookman Old Style" w:hAnsi="Bookman Old Style"/>
          <w:i/>
          <w:iCs/>
          <w:sz w:val="24"/>
          <w:szCs w:val="24"/>
        </w:rPr>
        <w:t xml:space="preserve">See People v. </w:t>
      </w:r>
      <w:proofErr w:type="spellStart"/>
      <w:r w:rsidRPr="00DF25CF">
        <w:rPr>
          <w:rFonts w:ascii="Bookman Old Style" w:hAnsi="Bookman Old Style"/>
          <w:i/>
          <w:iCs/>
          <w:sz w:val="24"/>
          <w:szCs w:val="24"/>
        </w:rPr>
        <w:t>Dembry</w:t>
      </w:r>
      <w:proofErr w:type="spellEnd"/>
      <w:r w:rsidRPr="00E529A1">
        <w:rPr>
          <w:rFonts w:ascii="Bookman Old Style" w:hAnsi="Bookman Old Style"/>
          <w:sz w:val="24"/>
          <w:szCs w:val="24"/>
        </w:rPr>
        <w:t>, 91 P.3d 431, 434</w:t>
      </w:r>
      <w:r w:rsidRPr="00E529A1">
        <w:rPr>
          <w:rFonts w:ascii="Times New Roman" w:hAnsi="Times New Roman" w:cs="Times New Roman"/>
          <w:sz w:val="24"/>
          <w:szCs w:val="24"/>
        </w:rPr>
        <w:t>‒</w:t>
      </w:r>
      <w:r w:rsidRPr="00E529A1">
        <w:rPr>
          <w:rFonts w:ascii="Bookman Old Style" w:hAnsi="Bookman Old Style"/>
          <w:sz w:val="24"/>
          <w:szCs w:val="24"/>
        </w:rPr>
        <w:t xml:space="preserve">35 (Colo. App. 2003). </w:t>
      </w:r>
      <w:r w:rsidRPr="00E529A1">
        <w:rPr>
          <w:rFonts w:ascii="Bookman Old Style" w:hAnsi="Bookman Old Style"/>
          <w:i/>
          <w:iCs/>
          <w:sz w:val="24"/>
          <w:szCs w:val="24"/>
        </w:rPr>
        <w:t>Simmons v. United States</w:t>
      </w:r>
      <w:r w:rsidRPr="00E529A1">
        <w:rPr>
          <w:rFonts w:ascii="Bookman Old Style" w:hAnsi="Bookman Old Style"/>
          <w:sz w:val="24"/>
          <w:szCs w:val="24"/>
        </w:rPr>
        <w:t xml:space="preserve">, 390 U.S. 377, 88 </w:t>
      </w:r>
      <w:proofErr w:type="spellStart"/>
      <w:r w:rsidRPr="00E529A1">
        <w:rPr>
          <w:rFonts w:ascii="Bookman Old Style" w:hAnsi="Bookman Old Style"/>
          <w:sz w:val="24"/>
          <w:szCs w:val="24"/>
        </w:rPr>
        <w:t>S.Ct</w:t>
      </w:r>
      <w:proofErr w:type="spellEnd"/>
      <w:r w:rsidRPr="00E529A1">
        <w:rPr>
          <w:rFonts w:ascii="Bookman Old Style" w:hAnsi="Bookman Old Style"/>
          <w:sz w:val="24"/>
          <w:szCs w:val="24"/>
        </w:rPr>
        <w:t>. 967, 19 L.Ed.2d 1247 (1968)</w:t>
      </w:r>
      <w:r w:rsidR="0014274C">
        <w:rPr>
          <w:rFonts w:ascii="Bookman Old Style" w:hAnsi="Bookman Old Style"/>
          <w:sz w:val="24"/>
          <w:szCs w:val="24"/>
        </w:rPr>
        <w:t>.</w:t>
      </w:r>
      <w:r w:rsidR="00725EC8">
        <w:rPr>
          <w:rFonts w:ascii="Bookman Old Style" w:hAnsi="Bookman Old Style"/>
          <w:sz w:val="24"/>
          <w:szCs w:val="24"/>
        </w:rPr>
        <w:t xml:space="preserve">  </w:t>
      </w:r>
    </w:p>
    <w:p w14:paraId="381EA660" w14:textId="77777777" w:rsidR="00725EC8" w:rsidRDefault="00725EC8" w:rsidP="00C924AF">
      <w:pPr>
        <w:spacing w:after="0"/>
        <w:ind w:firstLine="720"/>
        <w:jc w:val="both"/>
        <w:rPr>
          <w:rFonts w:ascii="Bookman Old Style" w:hAnsi="Bookman Old Style"/>
          <w:sz w:val="24"/>
          <w:szCs w:val="24"/>
        </w:rPr>
      </w:pPr>
    </w:p>
    <w:p w14:paraId="0B6C4AFD" w14:textId="48069185" w:rsidR="00AF1846" w:rsidRPr="00E529A1" w:rsidRDefault="00725EC8" w:rsidP="00C924AF">
      <w:pPr>
        <w:spacing w:after="0"/>
        <w:ind w:firstLine="720"/>
        <w:jc w:val="both"/>
        <w:rPr>
          <w:rFonts w:ascii="Bookman Old Style" w:hAnsi="Bookman Old Style"/>
          <w:sz w:val="24"/>
          <w:szCs w:val="24"/>
        </w:rPr>
      </w:pPr>
      <w:r>
        <w:rPr>
          <w:rFonts w:ascii="Bookman Old Style" w:hAnsi="Bookman Old Style"/>
          <w:sz w:val="24"/>
          <w:szCs w:val="24"/>
        </w:rPr>
        <w:t xml:space="preserve">These principles and standards will be applied to such evidence obtained in the RTH.  </w:t>
      </w:r>
    </w:p>
    <w:p w14:paraId="54856FCD" w14:textId="77777777" w:rsidR="00AF1846" w:rsidRPr="00E529A1" w:rsidRDefault="00AF1846" w:rsidP="00C924AF">
      <w:pPr>
        <w:pStyle w:val="ListParagraph"/>
        <w:spacing w:after="0" w:line="276" w:lineRule="auto"/>
        <w:rPr>
          <w:rFonts w:ascii="Bookman Old Style" w:hAnsi="Bookman Old Style"/>
          <w:sz w:val="24"/>
          <w:szCs w:val="24"/>
        </w:rPr>
      </w:pPr>
    </w:p>
    <w:p w14:paraId="34630F9F" w14:textId="77777777" w:rsidR="00DF25CF" w:rsidRDefault="00AF1846" w:rsidP="00C924AF">
      <w:pPr>
        <w:pStyle w:val="ListParagraph"/>
        <w:numPr>
          <w:ilvl w:val="0"/>
          <w:numId w:val="12"/>
        </w:numPr>
        <w:spacing w:after="0" w:line="276" w:lineRule="auto"/>
        <w:rPr>
          <w:rFonts w:ascii="Bookman Old Style" w:hAnsi="Bookman Old Style"/>
          <w:sz w:val="24"/>
          <w:szCs w:val="24"/>
        </w:rPr>
      </w:pPr>
      <w:r w:rsidRPr="00E529A1">
        <w:rPr>
          <w:rFonts w:ascii="Bookman Old Style" w:hAnsi="Bookman Old Style"/>
          <w:sz w:val="24"/>
          <w:szCs w:val="24"/>
        </w:rPr>
        <w:t xml:space="preserve"> </w:t>
      </w:r>
      <w:r w:rsidRPr="00DF25CF">
        <w:rPr>
          <w:rFonts w:ascii="Bookman Old Style" w:hAnsi="Bookman Old Style"/>
          <w:sz w:val="24"/>
          <w:szCs w:val="24"/>
          <w:u w:val="single"/>
        </w:rPr>
        <w:t>Testimony of other witnesses</w:t>
      </w:r>
      <w:r w:rsidRPr="00E529A1">
        <w:rPr>
          <w:rFonts w:ascii="Bookman Old Style" w:hAnsi="Bookman Old Style"/>
          <w:sz w:val="24"/>
          <w:szCs w:val="24"/>
        </w:rPr>
        <w:t xml:space="preserve">. </w:t>
      </w:r>
    </w:p>
    <w:p w14:paraId="665C4EE6" w14:textId="77777777" w:rsidR="00DF25CF" w:rsidRDefault="00DF25CF" w:rsidP="00C924AF">
      <w:pPr>
        <w:spacing w:after="0"/>
        <w:rPr>
          <w:rFonts w:ascii="Bookman Old Style" w:hAnsi="Bookman Old Style"/>
          <w:sz w:val="24"/>
          <w:szCs w:val="24"/>
        </w:rPr>
      </w:pPr>
    </w:p>
    <w:p w14:paraId="22589F59" w14:textId="48F63D5D" w:rsidR="00AF1846" w:rsidRPr="00E529A1" w:rsidRDefault="00AF1846" w:rsidP="00C924AF">
      <w:pPr>
        <w:spacing w:after="0"/>
        <w:ind w:firstLine="720"/>
        <w:jc w:val="both"/>
        <w:rPr>
          <w:rFonts w:ascii="Bookman Old Style" w:hAnsi="Bookman Old Style"/>
          <w:sz w:val="24"/>
          <w:szCs w:val="24"/>
        </w:rPr>
      </w:pPr>
      <w:r w:rsidRPr="00DF25CF">
        <w:rPr>
          <w:rFonts w:ascii="Bookman Old Style" w:hAnsi="Bookman Old Style"/>
          <w:sz w:val="24"/>
          <w:szCs w:val="24"/>
        </w:rPr>
        <w:t>The evidentiary limitations which</w:t>
      </w:r>
      <w:r w:rsidR="00DF25CF">
        <w:rPr>
          <w:rFonts w:ascii="Bookman Old Style" w:hAnsi="Bookman Old Style"/>
          <w:sz w:val="24"/>
          <w:szCs w:val="24"/>
        </w:rPr>
        <w:t xml:space="preserve"> </w:t>
      </w:r>
      <w:r w:rsidRPr="00E529A1">
        <w:rPr>
          <w:rFonts w:ascii="Bookman Old Style" w:hAnsi="Bookman Old Style"/>
          <w:sz w:val="24"/>
          <w:szCs w:val="24"/>
        </w:rPr>
        <w:t>apply to the juvenile’s testimony at the reverse transfer hearing, as set forth above, do not</w:t>
      </w:r>
      <w:r w:rsidR="0014274C">
        <w:rPr>
          <w:rFonts w:ascii="Bookman Old Style" w:hAnsi="Bookman Old Style"/>
          <w:sz w:val="24"/>
          <w:szCs w:val="24"/>
        </w:rPr>
        <w:t xml:space="preserve"> </w:t>
      </w:r>
      <w:r w:rsidRPr="00E529A1">
        <w:rPr>
          <w:rFonts w:ascii="Bookman Old Style" w:hAnsi="Bookman Old Style"/>
          <w:sz w:val="24"/>
          <w:szCs w:val="24"/>
        </w:rPr>
        <w:t>apply to any other witness who testifies on the defendant's behalf regarding the "criminal factors."</w:t>
      </w:r>
      <w:r w:rsidR="00DF25CF">
        <w:rPr>
          <w:rFonts w:ascii="Bookman Old Style" w:hAnsi="Bookman Old Style"/>
          <w:sz w:val="24"/>
          <w:szCs w:val="24"/>
        </w:rPr>
        <w:t xml:space="preserve"> </w:t>
      </w:r>
    </w:p>
    <w:p w14:paraId="3CE5E65C" w14:textId="77777777" w:rsidR="00AF1846" w:rsidRPr="00E529A1" w:rsidRDefault="00AF1846" w:rsidP="00C924AF">
      <w:pPr>
        <w:spacing w:after="0"/>
        <w:jc w:val="both"/>
        <w:rPr>
          <w:rFonts w:ascii="Bookman Old Style" w:hAnsi="Bookman Old Style"/>
          <w:sz w:val="24"/>
          <w:szCs w:val="24"/>
        </w:rPr>
      </w:pPr>
    </w:p>
    <w:p w14:paraId="6AA3B3E6" w14:textId="3222ACBD" w:rsidR="00725EC8" w:rsidRPr="00E529A1" w:rsidRDefault="00AF1846" w:rsidP="00C924AF">
      <w:pPr>
        <w:pStyle w:val="Footnoe"/>
        <w:ind w:firstLine="720"/>
        <w:jc w:val="both"/>
        <w:rPr>
          <w:rFonts w:ascii="Bookman Old Style" w:hAnsi="Bookman Old Style"/>
          <w:sz w:val="24"/>
        </w:rPr>
      </w:pPr>
      <w:r w:rsidRPr="00E529A1">
        <w:rPr>
          <w:rFonts w:ascii="Bookman Old Style" w:hAnsi="Bookman Old Style"/>
          <w:sz w:val="24"/>
        </w:rPr>
        <w:t>The court will allow the district attorney to use any testimony at the reverse transfer hearing by any witness, other than the defendant, for any direct or derivative purpose at trial or during the police investigation</w:t>
      </w:r>
      <w:r w:rsidR="00DF25CF">
        <w:rPr>
          <w:rFonts w:ascii="Bookman Old Style" w:hAnsi="Bookman Old Style"/>
          <w:sz w:val="24"/>
        </w:rPr>
        <w:t>.</w:t>
      </w:r>
    </w:p>
    <w:p w14:paraId="172C79D8" w14:textId="41B0AAED" w:rsidR="00477AC9" w:rsidRPr="00E529A1" w:rsidRDefault="00626E5A" w:rsidP="00C924AF">
      <w:pPr>
        <w:pStyle w:val="Footnoe"/>
        <w:numPr>
          <w:ilvl w:val="0"/>
          <w:numId w:val="5"/>
        </w:numPr>
        <w:rPr>
          <w:rFonts w:ascii="Bookman Old Style" w:hAnsi="Bookman Old Style"/>
          <w:sz w:val="24"/>
          <w:u w:val="single"/>
        </w:rPr>
      </w:pPr>
      <w:r w:rsidRPr="00E529A1">
        <w:rPr>
          <w:rFonts w:ascii="Bookman Old Style" w:hAnsi="Bookman Old Style"/>
          <w:sz w:val="24"/>
          <w:u w:val="single"/>
        </w:rPr>
        <w:t xml:space="preserve">Document Submission </w:t>
      </w:r>
      <w:r w:rsidR="003D4C27" w:rsidRPr="00E529A1">
        <w:rPr>
          <w:rFonts w:ascii="Bookman Old Style" w:hAnsi="Bookman Old Style"/>
          <w:sz w:val="24"/>
          <w:u w:val="single"/>
        </w:rPr>
        <w:t>Schedule</w:t>
      </w:r>
      <w:r w:rsidR="00BE18A7">
        <w:rPr>
          <w:rFonts w:ascii="Bookman Old Style" w:hAnsi="Bookman Old Style"/>
          <w:sz w:val="24"/>
          <w:u w:val="single"/>
        </w:rPr>
        <w:t xml:space="preserve"> and Procedural Order</w:t>
      </w:r>
      <w:r w:rsidR="00BE18A7">
        <w:rPr>
          <w:rFonts w:ascii="Bookman Old Style" w:hAnsi="Bookman Old Style"/>
          <w:sz w:val="24"/>
        </w:rPr>
        <w:t>:</w:t>
      </w:r>
    </w:p>
    <w:p w14:paraId="5147E9F2" w14:textId="3EA6464F" w:rsidR="00AC070A" w:rsidRDefault="00AC070A" w:rsidP="00C924AF">
      <w:pPr>
        <w:pStyle w:val="Footnoe"/>
        <w:numPr>
          <w:ilvl w:val="0"/>
          <w:numId w:val="4"/>
        </w:numPr>
        <w:jc w:val="both"/>
        <w:rPr>
          <w:rFonts w:ascii="Bookman Old Style" w:hAnsi="Bookman Old Style"/>
          <w:sz w:val="24"/>
        </w:rPr>
      </w:pPr>
      <w:r>
        <w:rPr>
          <w:rFonts w:ascii="Bookman Old Style" w:hAnsi="Bookman Old Style"/>
          <w:sz w:val="24"/>
        </w:rPr>
        <w:t xml:space="preserve">All experts will </w:t>
      </w:r>
      <w:r w:rsidR="00377450">
        <w:rPr>
          <w:rFonts w:ascii="Bookman Old Style" w:hAnsi="Bookman Old Style"/>
          <w:sz w:val="24"/>
        </w:rPr>
        <w:t>prepare</w:t>
      </w:r>
      <w:r>
        <w:rPr>
          <w:rFonts w:ascii="Bookman Old Style" w:hAnsi="Bookman Old Style"/>
          <w:sz w:val="24"/>
        </w:rPr>
        <w:t xml:space="preserve"> an opinion letter</w:t>
      </w:r>
      <w:r w:rsidR="00377450">
        <w:rPr>
          <w:rFonts w:ascii="Bookman Old Style" w:hAnsi="Bookman Old Style"/>
          <w:sz w:val="24"/>
        </w:rPr>
        <w:t>.</w:t>
      </w:r>
    </w:p>
    <w:p w14:paraId="49245569" w14:textId="467AE27C" w:rsidR="00377450" w:rsidRPr="00377450" w:rsidRDefault="00377450" w:rsidP="00C924AF">
      <w:pPr>
        <w:pStyle w:val="Footnoe"/>
        <w:numPr>
          <w:ilvl w:val="0"/>
          <w:numId w:val="4"/>
        </w:numPr>
        <w:jc w:val="both"/>
        <w:rPr>
          <w:rFonts w:ascii="Bookman Old Style" w:hAnsi="Bookman Old Style"/>
          <w:sz w:val="24"/>
        </w:rPr>
      </w:pPr>
      <w:r>
        <w:rPr>
          <w:rFonts w:ascii="Bookman Old Style" w:hAnsi="Bookman Old Style"/>
          <w:sz w:val="24"/>
        </w:rPr>
        <w:t>A status conference will be set prior to the PH/RTH.</w:t>
      </w:r>
    </w:p>
    <w:p w14:paraId="747AB542" w14:textId="4CB78FEF" w:rsidR="003D4C27" w:rsidRPr="00E529A1" w:rsidRDefault="003D4C27" w:rsidP="00C924AF">
      <w:pPr>
        <w:pStyle w:val="Footnoe"/>
        <w:numPr>
          <w:ilvl w:val="0"/>
          <w:numId w:val="4"/>
        </w:numPr>
        <w:jc w:val="both"/>
        <w:rPr>
          <w:rFonts w:ascii="Bookman Old Style" w:hAnsi="Bookman Old Style"/>
          <w:sz w:val="24"/>
        </w:rPr>
      </w:pPr>
      <w:r w:rsidRPr="00E529A1">
        <w:rPr>
          <w:rFonts w:ascii="Bookman Old Style" w:hAnsi="Bookman Old Style"/>
          <w:sz w:val="24"/>
        </w:rPr>
        <w:t xml:space="preserve">All </w:t>
      </w:r>
      <w:r w:rsidR="00626E5A" w:rsidRPr="00E529A1">
        <w:rPr>
          <w:rFonts w:ascii="Bookman Old Style" w:hAnsi="Bookman Old Style"/>
          <w:sz w:val="24"/>
        </w:rPr>
        <w:t xml:space="preserve">CV’s, </w:t>
      </w:r>
      <w:r w:rsidRPr="00E529A1">
        <w:rPr>
          <w:rFonts w:ascii="Bookman Old Style" w:hAnsi="Bookman Old Style"/>
          <w:sz w:val="24"/>
        </w:rPr>
        <w:t>expert opinion</w:t>
      </w:r>
      <w:r w:rsidR="00377450">
        <w:rPr>
          <w:rFonts w:ascii="Bookman Old Style" w:hAnsi="Bookman Old Style"/>
          <w:sz w:val="24"/>
        </w:rPr>
        <w:t xml:space="preserve"> letters</w:t>
      </w:r>
      <w:r w:rsidRPr="00E529A1">
        <w:rPr>
          <w:rFonts w:ascii="Bookman Old Style" w:hAnsi="Bookman Old Style"/>
          <w:sz w:val="24"/>
        </w:rPr>
        <w:t xml:space="preserve">, mental health or psychological assessments or screenings, and </w:t>
      </w:r>
      <w:r w:rsidRPr="00E529A1">
        <w:rPr>
          <w:rFonts w:ascii="Bookman Old Style" w:hAnsi="Bookman Old Style"/>
          <w:i/>
          <w:iCs/>
          <w:sz w:val="24"/>
        </w:rPr>
        <w:t>all</w:t>
      </w:r>
      <w:r w:rsidRPr="00E529A1">
        <w:rPr>
          <w:rFonts w:ascii="Bookman Old Style" w:hAnsi="Bookman Old Style"/>
          <w:sz w:val="24"/>
        </w:rPr>
        <w:t xml:space="preserve"> other</w:t>
      </w:r>
      <w:r w:rsidR="00633293" w:rsidRPr="00E529A1">
        <w:rPr>
          <w:rFonts w:ascii="Bookman Old Style" w:hAnsi="Bookman Old Style"/>
          <w:sz w:val="24"/>
        </w:rPr>
        <w:t xml:space="preserve"> relevant</w:t>
      </w:r>
      <w:r w:rsidRPr="00E529A1">
        <w:rPr>
          <w:rFonts w:ascii="Bookman Old Style" w:hAnsi="Bookman Old Style"/>
          <w:sz w:val="24"/>
        </w:rPr>
        <w:t xml:space="preserve"> information a party wishes the Court to consider </w:t>
      </w:r>
      <w:r w:rsidR="00626E5A" w:rsidRPr="00E529A1">
        <w:rPr>
          <w:rFonts w:ascii="Bookman Old Style" w:hAnsi="Bookman Old Style"/>
          <w:sz w:val="24"/>
        </w:rPr>
        <w:t xml:space="preserve">are to </w:t>
      </w:r>
      <w:r w:rsidRPr="00E529A1">
        <w:rPr>
          <w:rFonts w:ascii="Bookman Old Style" w:hAnsi="Bookman Old Style"/>
          <w:sz w:val="24"/>
        </w:rPr>
        <w:t xml:space="preserve">be submitted 30 days prior to the hearing.   </w:t>
      </w:r>
    </w:p>
    <w:p w14:paraId="7F0A6996" w14:textId="1DD5CFD9" w:rsidR="003D4C27" w:rsidRDefault="003D4C27" w:rsidP="00C924AF">
      <w:pPr>
        <w:pStyle w:val="Footnoe"/>
        <w:numPr>
          <w:ilvl w:val="0"/>
          <w:numId w:val="4"/>
        </w:numPr>
        <w:jc w:val="both"/>
        <w:rPr>
          <w:rFonts w:ascii="Bookman Old Style" w:hAnsi="Bookman Old Style"/>
          <w:sz w:val="24"/>
        </w:rPr>
      </w:pPr>
      <w:r w:rsidRPr="00E529A1">
        <w:rPr>
          <w:rFonts w:ascii="Bookman Old Style" w:hAnsi="Bookman Old Style"/>
          <w:sz w:val="24"/>
        </w:rPr>
        <w:lastRenderedPageBreak/>
        <w:t xml:space="preserve">A proposed witness list along with a statement of </w:t>
      </w:r>
      <w:r>
        <w:rPr>
          <w:rFonts w:ascii="Bookman Old Style" w:hAnsi="Bookman Old Style"/>
          <w:sz w:val="24"/>
        </w:rPr>
        <w:t xml:space="preserve">each witness’s anticipated testimony is to be submitted for the Court’s </w:t>
      </w:r>
      <w:r w:rsidR="005C78FB">
        <w:rPr>
          <w:rFonts w:ascii="Bookman Old Style" w:hAnsi="Bookman Old Style"/>
          <w:sz w:val="24"/>
        </w:rPr>
        <w:t>30 days prior to the PH/RTH</w:t>
      </w:r>
      <w:r>
        <w:rPr>
          <w:rFonts w:ascii="Bookman Old Style" w:hAnsi="Bookman Old Style"/>
          <w:sz w:val="24"/>
        </w:rPr>
        <w:t>.</w:t>
      </w:r>
      <w:r w:rsidR="00626E5A">
        <w:rPr>
          <w:rFonts w:ascii="Bookman Old Style" w:hAnsi="Bookman Old Style"/>
          <w:sz w:val="24"/>
        </w:rPr>
        <w:t xml:space="preserve">  T</w:t>
      </w:r>
      <w:r w:rsidR="001D7092">
        <w:rPr>
          <w:rFonts w:ascii="Bookman Old Style" w:hAnsi="Bookman Old Style"/>
          <w:sz w:val="24"/>
        </w:rPr>
        <w:t>hese</w:t>
      </w:r>
      <w:r w:rsidR="00626E5A">
        <w:rPr>
          <w:rFonts w:ascii="Bookman Old Style" w:hAnsi="Bookman Old Style"/>
          <w:sz w:val="24"/>
        </w:rPr>
        <w:t xml:space="preserve"> will be discussed, and if </w:t>
      </w:r>
      <w:proofErr w:type="gramStart"/>
      <w:r w:rsidR="00626E5A">
        <w:rPr>
          <w:rFonts w:ascii="Bookman Old Style" w:hAnsi="Bookman Old Style"/>
          <w:sz w:val="24"/>
        </w:rPr>
        <w:t>necessary</w:t>
      </w:r>
      <w:proofErr w:type="gramEnd"/>
      <w:r w:rsidR="00626E5A">
        <w:rPr>
          <w:rFonts w:ascii="Bookman Old Style" w:hAnsi="Bookman Old Style"/>
          <w:sz w:val="24"/>
        </w:rPr>
        <w:t xml:space="preserve"> pared down or limited, at </w:t>
      </w:r>
      <w:r w:rsidR="00377450">
        <w:rPr>
          <w:rFonts w:ascii="Bookman Old Style" w:hAnsi="Bookman Old Style"/>
          <w:sz w:val="24"/>
        </w:rPr>
        <w:t>the</w:t>
      </w:r>
      <w:r w:rsidR="00626E5A">
        <w:rPr>
          <w:rFonts w:ascii="Bookman Old Style" w:hAnsi="Bookman Old Style"/>
          <w:sz w:val="24"/>
        </w:rPr>
        <w:t xml:space="preserve"> status conference</w:t>
      </w:r>
      <w:r w:rsidR="00377450">
        <w:rPr>
          <w:rFonts w:ascii="Bookman Old Style" w:hAnsi="Bookman Old Style"/>
          <w:sz w:val="24"/>
        </w:rPr>
        <w:t xml:space="preserve">.  </w:t>
      </w:r>
    </w:p>
    <w:p w14:paraId="2ED279B3" w14:textId="6C4FAAC4" w:rsidR="008F7AB6" w:rsidRDefault="0014274C" w:rsidP="00C924AF">
      <w:pPr>
        <w:pStyle w:val="Footnoe"/>
        <w:numPr>
          <w:ilvl w:val="0"/>
          <w:numId w:val="4"/>
        </w:numPr>
        <w:jc w:val="both"/>
        <w:rPr>
          <w:rFonts w:ascii="Bookman Old Style" w:hAnsi="Bookman Old Style"/>
          <w:sz w:val="24"/>
        </w:rPr>
      </w:pPr>
      <w:r w:rsidRPr="00377450">
        <w:rPr>
          <w:rFonts w:ascii="Bookman Old Style" w:hAnsi="Bookman Old Style"/>
          <w:sz w:val="24"/>
        </w:rPr>
        <w:t xml:space="preserve">The Court will accept stipulations applicable to any statutory factor at </w:t>
      </w:r>
      <w:r w:rsidR="00377450" w:rsidRPr="00377450">
        <w:rPr>
          <w:rFonts w:ascii="Bookman Old Style" w:hAnsi="Bookman Old Style"/>
          <w:sz w:val="24"/>
        </w:rPr>
        <w:t>the</w:t>
      </w:r>
      <w:r w:rsidRPr="00377450">
        <w:rPr>
          <w:rFonts w:ascii="Bookman Old Style" w:hAnsi="Bookman Old Style"/>
          <w:sz w:val="24"/>
        </w:rPr>
        <w:t xml:space="preserve"> status conference</w:t>
      </w:r>
      <w:r w:rsidR="00377450">
        <w:rPr>
          <w:rFonts w:ascii="Bookman Old Style" w:hAnsi="Bookman Old Style"/>
          <w:sz w:val="24"/>
        </w:rPr>
        <w:t>.</w:t>
      </w:r>
    </w:p>
    <w:p w14:paraId="56A63FE6" w14:textId="76860D9C" w:rsidR="005C78FB" w:rsidRPr="00377450" w:rsidRDefault="005C78FB" w:rsidP="00C924AF">
      <w:pPr>
        <w:pStyle w:val="Footnoe"/>
        <w:numPr>
          <w:ilvl w:val="0"/>
          <w:numId w:val="4"/>
        </w:numPr>
        <w:jc w:val="both"/>
        <w:rPr>
          <w:rFonts w:ascii="Bookman Old Style" w:hAnsi="Bookman Old Style"/>
          <w:sz w:val="24"/>
        </w:rPr>
      </w:pPr>
      <w:r>
        <w:rPr>
          <w:rFonts w:ascii="Bookman Old Style" w:hAnsi="Bookman Old Style"/>
          <w:sz w:val="24"/>
        </w:rPr>
        <w:t>Objections to any evidence or proposed testimony will be heard at the status conference.</w:t>
      </w:r>
    </w:p>
    <w:p w14:paraId="5B93A337" w14:textId="3DEBFF7F" w:rsidR="008F7AB6" w:rsidRPr="00F3736C" w:rsidRDefault="008F7AB6" w:rsidP="00C924AF">
      <w:pPr>
        <w:ind w:left="2160" w:firstLine="720"/>
        <w:jc w:val="both"/>
        <w:rPr>
          <w:rFonts w:ascii="Bookman Old Style" w:hAnsi="Bookman Old Style"/>
          <w:sz w:val="24"/>
          <w:szCs w:val="24"/>
        </w:rPr>
      </w:pPr>
      <w:r w:rsidRPr="00F3736C">
        <w:rPr>
          <w:rFonts w:ascii="Bookman Old Style" w:hAnsi="Bookman Old Style"/>
          <w:b/>
          <w:sz w:val="24"/>
          <w:szCs w:val="24"/>
        </w:rPr>
        <w:t>SO ORDERED</w:t>
      </w:r>
      <w:r w:rsidRPr="00F3736C">
        <w:rPr>
          <w:rFonts w:ascii="Bookman Old Style" w:hAnsi="Bookman Old Style"/>
          <w:sz w:val="24"/>
          <w:szCs w:val="24"/>
        </w:rPr>
        <w:t xml:space="preserve"> this </w:t>
      </w:r>
      <w:r w:rsidRPr="00F3736C">
        <w:rPr>
          <w:rFonts w:ascii="Bookman Old Style" w:hAnsi="Bookman Old Style"/>
          <w:sz w:val="24"/>
          <w:szCs w:val="24"/>
        </w:rPr>
        <w:fldChar w:fldCharType="begin"/>
      </w:r>
      <w:r w:rsidRPr="00F3736C">
        <w:rPr>
          <w:rFonts w:ascii="Bookman Old Style" w:hAnsi="Bookman Old Style"/>
          <w:sz w:val="24"/>
          <w:szCs w:val="24"/>
        </w:rPr>
        <w:instrText xml:space="preserve"> DATE \@ "dddd, MMMM dd, yyyy" </w:instrText>
      </w:r>
      <w:r w:rsidRPr="00F3736C">
        <w:rPr>
          <w:rFonts w:ascii="Bookman Old Style" w:hAnsi="Bookman Old Style"/>
          <w:sz w:val="24"/>
          <w:szCs w:val="24"/>
        </w:rPr>
        <w:fldChar w:fldCharType="separate"/>
      </w:r>
      <w:r w:rsidR="006A7409">
        <w:rPr>
          <w:rFonts w:ascii="Bookman Old Style" w:hAnsi="Bookman Old Style"/>
          <w:noProof/>
          <w:sz w:val="24"/>
          <w:szCs w:val="24"/>
        </w:rPr>
        <w:t>Wednesday, March 26, 2025</w:t>
      </w:r>
      <w:r w:rsidRPr="00F3736C">
        <w:rPr>
          <w:rFonts w:ascii="Bookman Old Style" w:hAnsi="Bookman Old Style"/>
          <w:sz w:val="24"/>
          <w:szCs w:val="24"/>
        </w:rPr>
        <w:fldChar w:fldCharType="end"/>
      </w:r>
    </w:p>
    <w:p w14:paraId="49E950FE" w14:textId="77777777" w:rsidR="008F7AB6" w:rsidRPr="00F3736C" w:rsidRDefault="008F7AB6" w:rsidP="008F7AB6">
      <w:pPr>
        <w:jc w:val="both"/>
        <w:rPr>
          <w:rFonts w:ascii="Bookman Old Style" w:hAnsi="Bookman Old Style"/>
          <w:sz w:val="24"/>
          <w:szCs w:val="24"/>
        </w:rPr>
      </w:pPr>
    </w:p>
    <w:p w14:paraId="16D4FC37" w14:textId="77777777" w:rsidR="008F7AB6" w:rsidRPr="00F3736C" w:rsidRDefault="008F7AB6" w:rsidP="00626E5A">
      <w:pPr>
        <w:ind w:left="2160" w:firstLine="720"/>
        <w:jc w:val="both"/>
        <w:rPr>
          <w:rFonts w:ascii="Bookman Old Style" w:hAnsi="Bookman Old Style"/>
          <w:sz w:val="24"/>
          <w:szCs w:val="24"/>
        </w:rPr>
      </w:pPr>
      <w:r w:rsidRPr="00F3736C">
        <w:rPr>
          <w:rFonts w:ascii="Bookman Old Style" w:hAnsi="Bookman Old Style"/>
          <w:sz w:val="24"/>
          <w:szCs w:val="24"/>
        </w:rPr>
        <w:t>BY THE COURT:</w:t>
      </w:r>
    </w:p>
    <w:p w14:paraId="03DC7897" w14:textId="77777777" w:rsidR="008F7AB6" w:rsidRPr="00F3736C" w:rsidRDefault="008F7AB6" w:rsidP="00626E5A">
      <w:pPr>
        <w:ind w:left="2160" w:firstLine="720"/>
        <w:jc w:val="both"/>
        <w:rPr>
          <w:rFonts w:ascii="Bookman Old Style" w:hAnsi="Bookman Old Style"/>
          <w:sz w:val="24"/>
          <w:szCs w:val="24"/>
        </w:rPr>
      </w:pPr>
      <w:r w:rsidRPr="00F3736C">
        <w:rPr>
          <w:rFonts w:ascii="Bookman Old Style" w:hAnsi="Bookman Old Style"/>
          <w:noProof/>
          <w:sz w:val="24"/>
          <w:szCs w:val="24"/>
        </w:rPr>
        <w:drawing>
          <wp:inline distT="0" distB="0" distL="0" distR="0" wp14:anchorId="301A1F3C" wp14:editId="752D0966">
            <wp:extent cx="1657350" cy="595630"/>
            <wp:effectExtent l="0" t="0" r="0" b="0"/>
            <wp:docPr id="1" name="Picture 1" desc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595630"/>
                    </a:xfrm>
                    <a:prstGeom prst="rect">
                      <a:avLst/>
                    </a:prstGeom>
                    <a:noFill/>
                    <a:ln>
                      <a:noFill/>
                    </a:ln>
                  </pic:spPr>
                </pic:pic>
              </a:graphicData>
            </a:graphic>
          </wp:inline>
        </w:drawing>
      </w:r>
    </w:p>
    <w:p w14:paraId="3C0AEB95" w14:textId="77777777" w:rsidR="008F7AB6" w:rsidRPr="00F3736C" w:rsidRDefault="008F7AB6" w:rsidP="00626E5A">
      <w:pPr>
        <w:spacing w:after="0"/>
        <w:ind w:left="2160" w:firstLine="720"/>
        <w:jc w:val="both"/>
        <w:rPr>
          <w:rFonts w:ascii="Bookman Old Style" w:hAnsi="Bookman Old Style"/>
          <w:sz w:val="24"/>
          <w:szCs w:val="24"/>
        </w:rPr>
      </w:pPr>
      <w:r w:rsidRPr="00F3736C">
        <w:rPr>
          <w:rFonts w:ascii="Bookman Old Style" w:hAnsi="Bookman Old Style"/>
          <w:sz w:val="24"/>
          <w:szCs w:val="24"/>
        </w:rPr>
        <w:t xml:space="preserve">Eric M. Johnson </w:t>
      </w:r>
    </w:p>
    <w:p w14:paraId="09FC8BD9" w14:textId="77777777" w:rsidR="008F7AB6" w:rsidRPr="00F3736C" w:rsidRDefault="008F7AB6" w:rsidP="00626E5A">
      <w:pPr>
        <w:spacing w:after="0"/>
        <w:ind w:left="2160" w:firstLine="720"/>
        <w:jc w:val="both"/>
        <w:rPr>
          <w:rFonts w:ascii="Bookman Old Style" w:hAnsi="Bookman Old Style"/>
          <w:sz w:val="24"/>
          <w:szCs w:val="24"/>
        </w:rPr>
      </w:pPr>
      <w:r w:rsidRPr="00F3736C">
        <w:rPr>
          <w:rFonts w:ascii="Bookman Old Style" w:hAnsi="Bookman Old Style"/>
          <w:sz w:val="24"/>
          <w:szCs w:val="24"/>
        </w:rPr>
        <w:t>District Court Judge</w:t>
      </w:r>
    </w:p>
    <w:p w14:paraId="388DB9B5" w14:textId="77777777" w:rsidR="008F7AB6" w:rsidRPr="00F3736C" w:rsidRDefault="008F7AB6">
      <w:pPr>
        <w:rPr>
          <w:rFonts w:ascii="Bookman Old Style" w:hAnsi="Bookman Old Style" w:cs="Times New Roman"/>
          <w:sz w:val="24"/>
          <w:szCs w:val="24"/>
        </w:rPr>
      </w:pPr>
    </w:p>
    <w:sectPr w:rsidR="008F7AB6" w:rsidRPr="00F373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B75A" w14:textId="77777777" w:rsidR="00E40399" w:rsidRDefault="00E40399" w:rsidP="00E40399">
      <w:pPr>
        <w:spacing w:after="0" w:line="240" w:lineRule="auto"/>
      </w:pPr>
      <w:r>
        <w:separator/>
      </w:r>
    </w:p>
  </w:endnote>
  <w:endnote w:type="continuationSeparator" w:id="0">
    <w:p w14:paraId="665D404A" w14:textId="77777777" w:rsidR="00E40399" w:rsidRDefault="00E40399" w:rsidP="00E4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Bold">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94D4" w14:textId="1018170B" w:rsidR="00F3736C" w:rsidRPr="00F3736C" w:rsidRDefault="00E57F88">
    <w:pPr>
      <w:pStyle w:val="Footer"/>
      <w:rPr>
        <w:rFonts w:ascii="Bookman Old Style" w:hAnsi="Bookman Old Style"/>
        <w:sz w:val="20"/>
        <w:szCs w:val="20"/>
      </w:rPr>
    </w:pPr>
    <w:r>
      <w:rPr>
        <w:rFonts w:ascii="Bookman Old Style" w:hAnsi="Bookman Old Style"/>
        <w:sz w:val="20"/>
        <w:szCs w:val="20"/>
      </w:rPr>
      <w:t>2024-10-17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0A25" w14:textId="77777777" w:rsidR="00E40399" w:rsidRDefault="00E40399" w:rsidP="00E40399">
      <w:pPr>
        <w:spacing w:after="0" w:line="240" w:lineRule="auto"/>
      </w:pPr>
      <w:r>
        <w:separator/>
      </w:r>
    </w:p>
  </w:footnote>
  <w:footnote w:type="continuationSeparator" w:id="0">
    <w:p w14:paraId="69973580" w14:textId="77777777" w:rsidR="00E40399" w:rsidRDefault="00E40399" w:rsidP="00E40399">
      <w:pPr>
        <w:spacing w:after="0" w:line="240" w:lineRule="auto"/>
      </w:pPr>
      <w:r>
        <w:continuationSeparator/>
      </w:r>
    </w:p>
  </w:footnote>
  <w:footnote w:id="1">
    <w:p w14:paraId="719AF550" w14:textId="59C94C44" w:rsidR="00A9465B" w:rsidRPr="00A9465B" w:rsidRDefault="00A9465B">
      <w:pPr>
        <w:pStyle w:val="FootnoteText"/>
        <w:rPr>
          <w:rFonts w:ascii="Bookman Old Style" w:hAnsi="Bookman Old Style"/>
        </w:rPr>
      </w:pPr>
      <w:r w:rsidRPr="00A9465B">
        <w:rPr>
          <w:rStyle w:val="FootnoteReference"/>
          <w:rFonts w:ascii="Bookman Old Style" w:hAnsi="Bookman Old Style"/>
        </w:rPr>
        <w:footnoteRef/>
      </w:r>
      <w:r w:rsidRPr="00A9465B">
        <w:rPr>
          <w:rFonts w:ascii="Bookman Old Style" w:hAnsi="Bookman Old Style"/>
        </w:rPr>
        <w:t xml:space="preserve"> </w:t>
      </w:r>
      <w:r>
        <w:rPr>
          <w:rFonts w:ascii="Bookman Old Style" w:hAnsi="Bookman Old Style"/>
        </w:rPr>
        <w:t xml:space="preserve">The Court reached the conclusions in this section </w:t>
      </w:r>
      <w:r w:rsidR="004C0ED3">
        <w:rPr>
          <w:rFonts w:ascii="Bookman Old Style" w:hAnsi="Bookman Old Style"/>
        </w:rPr>
        <w:t>after reviewing</w:t>
      </w:r>
      <w:r w:rsidRPr="00A9465B">
        <w:rPr>
          <w:rFonts w:ascii="Bookman Old Style" w:hAnsi="Bookman Old Style"/>
        </w:rPr>
        <w:t xml:space="preserve"> </w:t>
      </w:r>
      <w:r w:rsidRPr="00A9465B">
        <w:rPr>
          <w:rFonts w:ascii="Bookman Old Style" w:hAnsi="Bookman Old Style"/>
          <w:i/>
          <w:iCs/>
        </w:rPr>
        <w:t>People v. A.D.G.,</w:t>
      </w:r>
      <w:r w:rsidRPr="00A9465B">
        <w:rPr>
          <w:rFonts w:ascii="Bookman Old Style" w:hAnsi="Bookman Old Style"/>
        </w:rPr>
        <w:t xml:space="preserve"> 855 P.2d 1067 (Colo. App. 1994)</w:t>
      </w:r>
      <w:r>
        <w:rPr>
          <w:rFonts w:ascii="Bookman Old Style" w:hAnsi="Bookman Old Style"/>
        </w:rPr>
        <w:t>.  This case</w:t>
      </w:r>
      <w:r w:rsidRPr="00A9465B">
        <w:rPr>
          <w:rFonts w:ascii="Bookman Old Style" w:hAnsi="Bookman Old Style"/>
        </w:rPr>
        <w:t xml:space="preserve"> consider</w:t>
      </w:r>
      <w:r>
        <w:rPr>
          <w:rFonts w:ascii="Bookman Old Style" w:hAnsi="Bookman Old Style"/>
        </w:rPr>
        <w:t>ed</w:t>
      </w:r>
      <w:r w:rsidRPr="00A9465B">
        <w:rPr>
          <w:rFonts w:ascii="Bookman Old Style" w:hAnsi="Bookman Old Style"/>
        </w:rPr>
        <w:t xml:space="preserve"> whether a burden of proof exists under the transfer statute, C.R.S. § 19-2-518, governing when a felony juvenile case may be transferred to District Court.  The statute is, in its relevant parts, the mirror image of the reverse transfer statute, and includes strikingly similar provisions.</w:t>
      </w:r>
    </w:p>
  </w:footnote>
  <w:footnote w:id="2">
    <w:p w14:paraId="626440F8" w14:textId="77777777" w:rsidR="005B3AB8" w:rsidRPr="004C0ED3" w:rsidRDefault="005B3AB8" w:rsidP="005B3AB8">
      <w:pPr>
        <w:pStyle w:val="FootnoteText"/>
        <w:rPr>
          <w:rFonts w:ascii="Bookman Old Style" w:hAnsi="Bookman Old Style"/>
        </w:rPr>
      </w:pPr>
      <w:r w:rsidRPr="00E93FF0">
        <w:rPr>
          <w:rStyle w:val="FootnoteReference"/>
          <w:rFonts w:ascii="Bookman Old Style" w:hAnsi="Bookman Old Style"/>
        </w:rPr>
        <w:footnoteRef/>
      </w:r>
      <w:r>
        <w:rPr>
          <w:rFonts w:ascii="Bookman Old Style" w:hAnsi="Bookman Old Style"/>
        </w:rPr>
        <w:t>F</w:t>
      </w:r>
      <w:r w:rsidRPr="00E93FF0">
        <w:rPr>
          <w:rFonts w:ascii="Bookman Old Style" w:hAnsi="Bookman Old Style"/>
        </w:rPr>
        <w:t>iscal notes</w:t>
      </w:r>
      <w:r>
        <w:rPr>
          <w:rFonts w:ascii="Bookman Old Style" w:hAnsi="Bookman Old Style"/>
        </w:rPr>
        <w:t xml:space="preserve"> have been used by the Court of Appeals to determine legislative intent.  </w:t>
      </w:r>
      <w:r w:rsidRPr="00E93FF0">
        <w:rPr>
          <w:rFonts w:ascii="Bookman Old Style" w:hAnsi="Bookman Old Style"/>
          <w:i/>
          <w:iCs/>
        </w:rPr>
        <w:t xml:space="preserve">Bd. of </w:t>
      </w:r>
      <w:proofErr w:type="spellStart"/>
      <w:r w:rsidRPr="00E93FF0">
        <w:rPr>
          <w:rFonts w:ascii="Bookman Old Style" w:hAnsi="Bookman Old Style"/>
          <w:i/>
          <w:iCs/>
        </w:rPr>
        <w:t>Cnty</w:t>
      </w:r>
      <w:proofErr w:type="spellEnd"/>
      <w:r w:rsidRPr="00E93FF0">
        <w:rPr>
          <w:rFonts w:ascii="Bookman Old Style" w:hAnsi="Bookman Old Style"/>
          <w:i/>
          <w:iCs/>
        </w:rPr>
        <w:t xml:space="preserve">. Comm'rs v. Colo. </w:t>
      </w:r>
      <w:proofErr w:type="spellStart"/>
      <w:r w:rsidRPr="00E93FF0">
        <w:rPr>
          <w:rFonts w:ascii="Bookman Old Style" w:hAnsi="Bookman Old Style"/>
          <w:i/>
          <w:iCs/>
        </w:rPr>
        <w:t>Dep't</w:t>
      </w:r>
      <w:proofErr w:type="spellEnd"/>
      <w:r w:rsidRPr="00E93FF0">
        <w:rPr>
          <w:rFonts w:ascii="Bookman Old Style" w:hAnsi="Bookman Old Style"/>
          <w:i/>
          <w:iCs/>
        </w:rPr>
        <w:t xml:space="preserve"> of Pub. Health &amp; Env't</w:t>
      </w:r>
      <w:r w:rsidRPr="00E93FF0">
        <w:rPr>
          <w:rFonts w:ascii="Bookman Old Style" w:hAnsi="Bookman Old Style"/>
        </w:rPr>
        <w:t>, 2020 COA 50, ¶ 28 n.7, 490 P.3d 695</w:t>
      </w:r>
      <w:r w:rsidRPr="005B3AB8">
        <w:rPr>
          <w:rFonts w:ascii="Bookman Old Style" w:hAnsi="Bookman Old Style"/>
          <w:i/>
          <w:iCs/>
        </w:rPr>
        <w:t>, aff'd in part and vacated in part on other grounds</w:t>
      </w:r>
      <w:r w:rsidRPr="00E93FF0">
        <w:rPr>
          <w:rFonts w:ascii="Bookman Old Style" w:hAnsi="Bookman Old Style"/>
        </w:rPr>
        <w:t>, 2021 CO 43, 488 P.3d 1065</w:t>
      </w:r>
      <w:r>
        <w:rPr>
          <w:rFonts w:ascii="Bookman Old Style" w:hAnsi="Bookman Old Style"/>
        </w:rPr>
        <w:t xml:space="preserve"> (</w:t>
      </w:r>
      <w:r w:rsidRPr="00E93FF0">
        <w:rPr>
          <w:rFonts w:ascii="Bookman Old Style" w:hAnsi="Bookman Old Style"/>
        </w:rPr>
        <w:t xml:space="preserve">Fiscal notes can, in some </w:t>
      </w:r>
      <w:r w:rsidRPr="004C0ED3">
        <w:rPr>
          <w:rFonts w:ascii="Bookman Old Style" w:hAnsi="Bookman Old Style"/>
        </w:rPr>
        <w:t>circumstances, be helpful in gleaning legislative intent to the extent they provide a glimpse into what was known at the time the amendment was being considered.)</w:t>
      </w:r>
    </w:p>
  </w:footnote>
  <w:footnote w:id="3">
    <w:p w14:paraId="2346EA7F" w14:textId="26ECEE52" w:rsidR="004C0ED3" w:rsidRDefault="004C0ED3">
      <w:pPr>
        <w:pStyle w:val="FootnoteText"/>
      </w:pPr>
      <w:r w:rsidRPr="004C0ED3">
        <w:rPr>
          <w:rStyle w:val="FootnoteReference"/>
          <w:rFonts w:ascii="Bookman Old Style" w:hAnsi="Bookman Old Style"/>
        </w:rPr>
        <w:footnoteRef/>
      </w:r>
      <w:r w:rsidRPr="004C0ED3">
        <w:rPr>
          <w:rFonts w:ascii="Bookman Old Style" w:hAnsi="Bookman Old Style"/>
        </w:rPr>
        <w:t xml:space="preserve"> </w:t>
      </w:r>
      <w:r>
        <w:rPr>
          <w:rFonts w:ascii="Bookman Old Style" w:hAnsi="Bookman Old Style"/>
        </w:rPr>
        <w:t xml:space="preserve">The fiscal note memorializes that the Office of the Public Defender told the legislature that </w:t>
      </w:r>
      <w:r w:rsidRPr="004C0ED3">
        <w:rPr>
          <w:rFonts w:ascii="Bookman Old Style" w:hAnsi="Bookman Old Style"/>
        </w:rPr>
        <w:t xml:space="preserve">one attorney </w:t>
      </w:r>
      <w:r>
        <w:rPr>
          <w:rFonts w:ascii="Bookman Old Style" w:hAnsi="Bookman Old Style"/>
        </w:rPr>
        <w:t>could</w:t>
      </w:r>
      <w:r w:rsidRPr="004C0ED3">
        <w:rPr>
          <w:rFonts w:ascii="Bookman Old Style" w:hAnsi="Bookman Old Style"/>
        </w:rPr>
        <w:t xml:space="preserve"> handle 1,500 such proceedings or hearings each year. </w:t>
      </w:r>
      <w:r>
        <w:rPr>
          <w:rFonts w:ascii="Bookman Old Style" w:hAnsi="Bookman Old Style"/>
        </w:rPr>
        <w:t>“</w:t>
      </w:r>
      <w:r w:rsidRPr="004C0ED3">
        <w:rPr>
          <w:rFonts w:ascii="Bookman Old Style" w:hAnsi="Bookman Old Style"/>
        </w:rPr>
        <w:t>Using that standard, each hearing requires 1.4 hours of attorney time</w:t>
      </w:r>
      <w:r>
        <w:rPr>
          <w:rFonts w:ascii="Bookman Old Style" w:hAnsi="Bookman Old Style"/>
        </w:rPr>
        <w:t>.”</w:t>
      </w:r>
    </w:p>
  </w:footnote>
  <w:footnote w:id="4">
    <w:p w14:paraId="0524A795" w14:textId="09EF7996" w:rsidR="00D70B45" w:rsidRPr="00D70B45" w:rsidRDefault="00D70B45" w:rsidP="00D70B45">
      <w:pPr>
        <w:ind w:firstLine="720"/>
        <w:jc w:val="both"/>
        <w:rPr>
          <w:rStyle w:val="fontstyle21"/>
          <w:rFonts w:ascii="Bookman Old Style" w:hAnsi="Bookman Old Style"/>
          <w:color w:val="2F5496" w:themeColor="accent1" w:themeShade="BF"/>
          <w:sz w:val="20"/>
          <w:szCs w:val="20"/>
        </w:rPr>
      </w:pPr>
      <w:r w:rsidRPr="00D70B45">
        <w:rPr>
          <w:rStyle w:val="FootnoteReference"/>
          <w:rFonts w:ascii="Bookman Old Style" w:hAnsi="Bookman Old Style"/>
          <w:sz w:val="20"/>
          <w:szCs w:val="20"/>
        </w:rPr>
        <w:footnoteRef/>
      </w:r>
      <w:r w:rsidRPr="00D70B45">
        <w:rPr>
          <w:rStyle w:val="fontstyle21"/>
          <w:rFonts w:ascii="Bookman Old Style" w:hAnsi="Bookman Old Style"/>
          <w:sz w:val="20"/>
          <w:szCs w:val="20"/>
        </w:rPr>
        <w:t xml:space="preserve">The Reverse Transfer Statute provides that the “court shall set the reverse-transfer hearing with the preliminary hearing.” C.R.S. § 19-2.5-801(4)(a).  </w:t>
      </w:r>
      <w:proofErr w:type="gramStart"/>
      <w:r w:rsidRPr="00D70B45">
        <w:rPr>
          <w:rStyle w:val="fontstyle21"/>
          <w:rFonts w:ascii="Bookman Old Style" w:hAnsi="Bookman Old Style"/>
          <w:sz w:val="20"/>
          <w:szCs w:val="20"/>
        </w:rPr>
        <w:t>With the exception of</w:t>
      </w:r>
      <w:proofErr w:type="gramEnd"/>
      <w:r w:rsidRPr="00D70B45">
        <w:rPr>
          <w:rStyle w:val="fontstyle21"/>
          <w:rFonts w:ascii="Bookman Old Style" w:hAnsi="Bookman Old Style"/>
          <w:sz w:val="20"/>
          <w:szCs w:val="20"/>
        </w:rPr>
        <w:t xml:space="preserve"> privileged communications and determination of whether a witness is competent to testify, the rules of evidence do not apply to preliminary hearings, and the rules of procedure authorize the court to “temper the rules of evidence in the exercise of sound judicial discretion.”  C.R.E. 1101(d)(3); Crim. P. Rules 5(a)(4) and 7(h)(3).  The Colorado appellate courts have also issued </w:t>
      </w:r>
      <w:proofErr w:type="gramStart"/>
      <w:r w:rsidRPr="00D70B45">
        <w:rPr>
          <w:rStyle w:val="fontstyle21"/>
          <w:rFonts w:ascii="Bookman Old Style" w:hAnsi="Bookman Old Style"/>
          <w:sz w:val="20"/>
          <w:szCs w:val="20"/>
        </w:rPr>
        <w:t>a number of</w:t>
      </w:r>
      <w:proofErr w:type="gramEnd"/>
      <w:r w:rsidRPr="00D70B45">
        <w:rPr>
          <w:rStyle w:val="fontstyle21"/>
          <w:rFonts w:ascii="Bookman Old Style" w:hAnsi="Bookman Old Style"/>
          <w:sz w:val="20"/>
          <w:szCs w:val="20"/>
        </w:rPr>
        <w:t xml:space="preserve"> opinions permitting the use of reliable but not excessive hearsay evidence.  </w:t>
      </w:r>
      <w:r w:rsidRPr="00D70B45">
        <w:rPr>
          <w:rStyle w:val="fontstyle41"/>
          <w:rFonts w:ascii="Bookman Old Style" w:hAnsi="Bookman Old Style"/>
          <w:sz w:val="20"/>
          <w:szCs w:val="20"/>
        </w:rPr>
        <w:t>See, e.g.,</w:t>
      </w:r>
      <w:r w:rsidRPr="00D70B45">
        <w:rPr>
          <w:rFonts w:ascii="Bookman Old Style" w:hAnsi="Bookman Old Style"/>
          <w:i/>
          <w:iCs/>
          <w:sz w:val="20"/>
          <w:szCs w:val="20"/>
        </w:rPr>
        <w:t xml:space="preserve"> </w:t>
      </w:r>
      <w:r w:rsidRPr="00D70B45">
        <w:rPr>
          <w:rStyle w:val="fontstyle41"/>
          <w:rFonts w:ascii="Bookman Old Style" w:hAnsi="Bookman Old Style"/>
          <w:sz w:val="20"/>
          <w:szCs w:val="20"/>
        </w:rPr>
        <w:t xml:space="preserve">Maestas </w:t>
      </w:r>
      <w:r w:rsidRPr="00D70B45">
        <w:rPr>
          <w:rStyle w:val="fontstyle21"/>
          <w:rFonts w:ascii="Bookman Old Style" w:hAnsi="Bookman Old Style"/>
          <w:i/>
          <w:iCs/>
          <w:sz w:val="20"/>
          <w:szCs w:val="20"/>
        </w:rPr>
        <w:t>v.</w:t>
      </w:r>
      <w:r w:rsidRPr="00D70B45">
        <w:rPr>
          <w:rStyle w:val="fontstyle21"/>
          <w:rFonts w:ascii="Bookman Old Style" w:hAnsi="Bookman Old Style"/>
          <w:sz w:val="20"/>
          <w:szCs w:val="20"/>
        </w:rPr>
        <w:t xml:space="preserve"> </w:t>
      </w:r>
      <w:r w:rsidRPr="00D70B45">
        <w:rPr>
          <w:rStyle w:val="fontstyle41"/>
          <w:rFonts w:ascii="Bookman Old Style" w:hAnsi="Bookman Old Style"/>
          <w:sz w:val="20"/>
          <w:szCs w:val="20"/>
        </w:rPr>
        <w:t xml:space="preserve">District Court, </w:t>
      </w:r>
      <w:r w:rsidRPr="00D70B45">
        <w:rPr>
          <w:rStyle w:val="fontstyle21"/>
          <w:rFonts w:ascii="Bookman Old Style" w:hAnsi="Bookman Old Style"/>
          <w:sz w:val="20"/>
          <w:szCs w:val="20"/>
        </w:rPr>
        <w:t xml:space="preserve">541 P. 2d 889, 892 (Colo. 1975); </w:t>
      </w:r>
      <w:r w:rsidRPr="00D70B45">
        <w:rPr>
          <w:rStyle w:val="fontstyle41"/>
          <w:rFonts w:ascii="Bookman Old Style" w:hAnsi="Bookman Old Style"/>
          <w:sz w:val="20"/>
          <w:szCs w:val="20"/>
        </w:rPr>
        <w:t>People ex rel.</w:t>
      </w:r>
      <w:r w:rsidRPr="00D70B45">
        <w:rPr>
          <w:rFonts w:ascii="Bookman Old Style" w:hAnsi="Bookman Old Style"/>
          <w:i/>
          <w:iCs/>
          <w:sz w:val="20"/>
          <w:szCs w:val="20"/>
        </w:rPr>
        <w:t xml:space="preserve"> </w:t>
      </w:r>
      <w:r w:rsidRPr="00D70B45">
        <w:rPr>
          <w:rStyle w:val="fontstyle41"/>
          <w:rFonts w:ascii="Bookman Old Style" w:hAnsi="Bookman Old Style"/>
          <w:sz w:val="20"/>
          <w:szCs w:val="20"/>
        </w:rPr>
        <w:t xml:space="preserve">VanMeveren </w:t>
      </w:r>
      <w:r w:rsidRPr="00D70B45">
        <w:rPr>
          <w:rStyle w:val="fontstyle21"/>
          <w:rFonts w:ascii="Bookman Old Style" w:hAnsi="Bookman Old Style"/>
          <w:i/>
          <w:iCs/>
          <w:sz w:val="20"/>
          <w:szCs w:val="20"/>
        </w:rPr>
        <w:t>v.</w:t>
      </w:r>
      <w:r w:rsidRPr="00D70B45">
        <w:rPr>
          <w:rStyle w:val="fontstyle21"/>
          <w:rFonts w:ascii="Bookman Old Style" w:hAnsi="Bookman Old Style"/>
          <w:sz w:val="20"/>
          <w:szCs w:val="20"/>
        </w:rPr>
        <w:t xml:space="preserve"> </w:t>
      </w:r>
      <w:r w:rsidRPr="00D70B45">
        <w:rPr>
          <w:rStyle w:val="fontstyle41"/>
          <w:rFonts w:ascii="Bookman Old Style" w:hAnsi="Bookman Old Style"/>
          <w:sz w:val="20"/>
          <w:szCs w:val="20"/>
        </w:rPr>
        <w:t xml:space="preserve">District Court, </w:t>
      </w:r>
      <w:r w:rsidRPr="00D70B45">
        <w:rPr>
          <w:rStyle w:val="fontstyle21"/>
          <w:rFonts w:ascii="Bookman Old Style" w:hAnsi="Bookman Old Style"/>
          <w:sz w:val="20"/>
          <w:szCs w:val="20"/>
        </w:rPr>
        <w:t>575 P. 2d 405 (Colo. 1978).</w:t>
      </w:r>
    </w:p>
    <w:p w14:paraId="20692170" w14:textId="6A3DC4CF" w:rsidR="00D70B45" w:rsidRDefault="00D70B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87B"/>
    <w:multiLevelType w:val="multilevel"/>
    <w:tmpl w:val="E278BB10"/>
    <w:lvl w:ilvl="0">
      <w:start w:val="1"/>
      <w:numFmt w:val="upperRoman"/>
      <w:lvlText w:val="%1."/>
      <w:lvlJc w:val="left"/>
      <w:pPr>
        <w:ind w:left="0" w:firstLine="0"/>
      </w:pPr>
      <w:rPr>
        <w:color w:val="auto"/>
      </w:rPr>
    </w:lvl>
    <w:lvl w:ilvl="1">
      <w:start w:val="1"/>
      <w:numFmt w:val="upperLetter"/>
      <w:lvlText w:val="%2."/>
      <w:lvlJc w:val="left"/>
      <w:pPr>
        <w:ind w:left="720" w:firstLine="0"/>
      </w:pPr>
      <w:rPr>
        <w:color w:val="auto"/>
      </w:rPr>
    </w:lvl>
    <w:lvl w:ilvl="2">
      <w:start w:val="1"/>
      <w:numFmt w:val="decimal"/>
      <w:lvlText w:val="%3."/>
      <w:lvlJc w:val="left"/>
      <w:pPr>
        <w:ind w:left="1440" w:firstLine="0"/>
      </w:pPr>
      <w:rPr>
        <w:color w:val="auto"/>
      </w:rPr>
    </w:lvl>
    <w:lvl w:ilvl="3">
      <w:start w:val="1"/>
      <w:numFmt w:val="lowerLetter"/>
      <w:lvlText w:val="%4)"/>
      <w:lvlJc w:val="left"/>
      <w:pPr>
        <w:ind w:left="2160" w:firstLine="0"/>
      </w:pPr>
      <w:rPr>
        <w:b w:val="0"/>
        <w:bCs w:val="0"/>
        <w:color w:val="auto"/>
      </w:rPr>
    </w:lvl>
    <w:lvl w:ilvl="4">
      <w:start w:val="1"/>
      <w:numFmt w:val="lowerRoman"/>
      <w:lvlText w:val="%5."/>
      <w:lvlJc w:val="right"/>
      <w:pPr>
        <w:ind w:left="2880" w:firstLine="0"/>
      </w:pPr>
      <w:rPr>
        <w:color w:val="auto"/>
      </w:rPr>
    </w:lvl>
    <w:lvl w:ilvl="5">
      <w:start w:val="1"/>
      <w:numFmt w:val="lowerLetter"/>
      <w:lvlText w:val="(%6)"/>
      <w:lvlJc w:val="left"/>
      <w:pPr>
        <w:ind w:left="3600" w:firstLine="0"/>
      </w:pPr>
      <w:rPr>
        <w:color w:val="auto"/>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4BE0AAC"/>
    <w:multiLevelType w:val="hybridMultilevel"/>
    <w:tmpl w:val="392CDF0C"/>
    <w:lvl w:ilvl="0" w:tplc="C0B228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071183"/>
    <w:multiLevelType w:val="hybridMultilevel"/>
    <w:tmpl w:val="DFB4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83497"/>
    <w:multiLevelType w:val="hybridMultilevel"/>
    <w:tmpl w:val="8978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D3FBD"/>
    <w:multiLevelType w:val="hybridMultilevel"/>
    <w:tmpl w:val="F39066FC"/>
    <w:lvl w:ilvl="0" w:tplc="42481DF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7C8B"/>
    <w:multiLevelType w:val="hybridMultilevel"/>
    <w:tmpl w:val="65E2F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591C95"/>
    <w:multiLevelType w:val="hybridMultilevel"/>
    <w:tmpl w:val="62CA3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F0255"/>
    <w:multiLevelType w:val="hybridMultilevel"/>
    <w:tmpl w:val="DCFEB0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4F2AD4"/>
    <w:multiLevelType w:val="hybridMultilevel"/>
    <w:tmpl w:val="1EB8C9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2565B3B"/>
    <w:multiLevelType w:val="hybridMultilevel"/>
    <w:tmpl w:val="EC4226D2"/>
    <w:lvl w:ilvl="0" w:tplc="A79A35A0">
      <w:start w:val="7"/>
      <w:numFmt w:val="decimal"/>
      <w:lvlText w:val="%1."/>
      <w:lvlJc w:val="left"/>
      <w:pPr>
        <w:ind w:left="720" w:hanging="360"/>
      </w:pPr>
      <w:rPr>
        <w:rFonts w:hint="default"/>
      </w:rPr>
    </w:lvl>
    <w:lvl w:ilvl="1" w:tplc="C7FC8518">
      <w:start w:val="1"/>
      <w:numFmt w:val="lowerLetter"/>
      <w:lvlText w:val="%2."/>
      <w:lvlJc w:val="left"/>
      <w:pPr>
        <w:ind w:left="1440" w:hanging="360"/>
      </w:pPr>
      <w:rPr>
        <w:b w:val="0"/>
        <w:bCs w:val="0"/>
      </w:rPr>
    </w:lvl>
    <w:lvl w:ilvl="2" w:tplc="C576B3EE">
      <w:start w:val="1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80FE2"/>
    <w:multiLevelType w:val="hybridMultilevel"/>
    <w:tmpl w:val="2152C628"/>
    <w:lvl w:ilvl="0" w:tplc="BB1E27E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7109D"/>
    <w:multiLevelType w:val="hybridMultilevel"/>
    <w:tmpl w:val="EFBA701E"/>
    <w:lvl w:ilvl="0" w:tplc="F350E2C0">
      <w:start w:val="5"/>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C0C42"/>
    <w:multiLevelType w:val="hybridMultilevel"/>
    <w:tmpl w:val="DA188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A4E20"/>
    <w:multiLevelType w:val="hybridMultilevel"/>
    <w:tmpl w:val="2C785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01E40"/>
    <w:multiLevelType w:val="hybridMultilevel"/>
    <w:tmpl w:val="1068E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A54E150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15BF5"/>
    <w:multiLevelType w:val="hybridMultilevel"/>
    <w:tmpl w:val="72FEF2F8"/>
    <w:lvl w:ilvl="0" w:tplc="C0B22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23B58"/>
    <w:multiLevelType w:val="hybridMultilevel"/>
    <w:tmpl w:val="3B44EDB8"/>
    <w:lvl w:ilvl="0" w:tplc="87EC0A6C">
      <w:start w:val="1"/>
      <w:numFmt w:val="upperRoman"/>
      <w:lvlText w:val="%1."/>
      <w:lvlJc w:val="left"/>
      <w:pPr>
        <w:ind w:left="1080" w:hanging="720"/>
      </w:pPr>
      <w:rPr>
        <w:rFonts w:hint="default"/>
        <w:i w:val="0"/>
        <w:iCs w:val="0"/>
      </w:rPr>
    </w:lvl>
    <w:lvl w:ilvl="1" w:tplc="DA7C761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F7DA7"/>
    <w:multiLevelType w:val="hybridMultilevel"/>
    <w:tmpl w:val="9E00F4FE"/>
    <w:lvl w:ilvl="0" w:tplc="38A2F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567F7"/>
    <w:multiLevelType w:val="hybridMultilevel"/>
    <w:tmpl w:val="26B4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F22B77"/>
    <w:multiLevelType w:val="hybridMultilevel"/>
    <w:tmpl w:val="C1905F8E"/>
    <w:lvl w:ilvl="0" w:tplc="D8D61AB4">
      <w:start w:val="1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F486CF3"/>
    <w:multiLevelType w:val="hybridMultilevel"/>
    <w:tmpl w:val="DBE21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B65E4"/>
    <w:multiLevelType w:val="hybridMultilevel"/>
    <w:tmpl w:val="6FC44DE6"/>
    <w:lvl w:ilvl="0" w:tplc="2C7A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06A5C"/>
    <w:multiLevelType w:val="hybridMultilevel"/>
    <w:tmpl w:val="FBA81092"/>
    <w:lvl w:ilvl="0" w:tplc="2C7ABDB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F47BCB"/>
    <w:multiLevelType w:val="hybridMultilevel"/>
    <w:tmpl w:val="72FE0F82"/>
    <w:lvl w:ilvl="0" w:tplc="EF6C878E">
      <w:start w:val="1"/>
      <w:numFmt w:val="decimal"/>
      <w:lvlText w:val="%1."/>
      <w:lvlJc w:val="left"/>
      <w:pPr>
        <w:ind w:left="720" w:hanging="360"/>
      </w:pPr>
    </w:lvl>
    <w:lvl w:ilvl="1" w:tplc="8A96199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880003">
    <w:abstractNumId w:val="14"/>
  </w:num>
  <w:num w:numId="2" w16cid:durableId="479225748">
    <w:abstractNumId w:val="20"/>
  </w:num>
  <w:num w:numId="3" w16cid:durableId="1480460127">
    <w:abstractNumId w:val="23"/>
  </w:num>
  <w:num w:numId="4" w16cid:durableId="685323574">
    <w:abstractNumId w:val="6"/>
  </w:num>
  <w:num w:numId="5" w16cid:durableId="128594732">
    <w:abstractNumId w:val="16"/>
  </w:num>
  <w:num w:numId="6" w16cid:durableId="740828274">
    <w:abstractNumId w:val="5"/>
  </w:num>
  <w:num w:numId="7" w16cid:durableId="173962722">
    <w:abstractNumId w:val="10"/>
  </w:num>
  <w:num w:numId="8" w16cid:durableId="907499393">
    <w:abstractNumId w:val="9"/>
  </w:num>
  <w:num w:numId="9" w16cid:durableId="391779649">
    <w:abstractNumId w:val="4"/>
  </w:num>
  <w:num w:numId="10" w16cid:durableId="196552821">
    <w:abstractNumId w:val="0"/>
  </w:num>
  <w:num w:numId="11" w16cid:durableId="531303957">
    <w:abstractNumId w:val="22"/>
  </w:num>
  <w:num w:numId="12" w16cid:durableId="658390506">
    <w:abstractNumId w:val="21"/>
  </w:num>
  <w:num w:numId="13" w16cid:durableId="2019113116">
    <w:abstractNumId w:val="17"/>
  </w:num>
  <w:num w:numId="14" w16cid:durableId="1070469141">
    <w:abstractNumId w:val="11"/>
  </w:num>
  <w:num w:numId="15" w16cid:durableId="386875323">
    <w:abstractNumId w:val="7"/>
  </w:num>
  <w:num w:numId="16" w16cid:durableId="38016239">
    <w:abstractNumId w:val="12"/>
  </w:num>
  <w:num w:numId="17" w16cid:durableId="45762752">
    <w:abstractNumId w:val="15"/>
  </w:num>
  <w:num w:numId="18" w16cid:durableId="92435482">
    <w:abstractNumId w:val="19"/>
  </w:num>
  <w:num w:numId="19" w16cid:durableId="1943876111">
    <w:abstractNumId w:val="8"/>
  </w:num>
  <w:num w:numId="20" w16cid:durableId="850952146">
    <w:abstractNumId w:val="18"/>
  </w:num>
  <w:num w:numId="21" w16cid:durableId="723597605">
    <w:abstractNumId w:val="3"/>
  </w:num>
  <w:num w:numId="22" w16cid:durableId="1071806381">
    <w:abstractNumId w:val="2"/>
  </w:num>
  <w:num w:numId="23" w16cid:durableId="1586259829">
    <w:abstractNumId w:val="13"/>
  </w:num>
  <w:num w:numId="24" w16cid:durableId="69615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0"/>
    <w:rsid w:val="000556B8"/>
    <w:rsid w:val="00066FCA"/>
    <w:rsid w:val="00074A84"/>
    <w:rsid w:val="000B4422"/>
    <w:rsid w:val="0014274C"/>
    <w:rsid w:val="00185594"/>
    <w:rsid w:val="00186353"/>
    <w:rsid w:val="001A2B99"/>
    <w:rsid w:val="001A3C6A"/>
    <w:rsid w:val="001B42C1"/>
    <w:rsid w:val="001C39CB"/>
    <w:rsid w:val="001D5986"/>
    <w:rsid w:val="001D7092"/>
    <w:rsid w:val="00217B81"/>
    <w:rsid w:val="0028724E"/>
    <w:rsid w:val="002D269D"/>
    <w:rsid w:val="002F723A"/>
    <w:rsid w:val="00323629"/>
    <w:rsid w:val="00377450"/>
    <w:rsid w:val="003904C4"/>
    <w:rsid w:val="003A1D83"/>
    <w:rsid w:val="003D4C27"/>
    <w:rsid w:val="00405A01"/>
    <w:rsid w:val="0041053F"/>
    <w:rsid w:val="00411938"/>
    <w:rsid w:val="00416A9F"/>
    <w:rsid w:val="004409FE"/>
    <w:rsid w:val="00450B8F"/>
    <w:rsid w:val="00456A42"/>
    <w:rsid w:val="0046332F"/>
    <w:rsid w:val="00477AC9"/>
    <w:rsid w:val="004A27FD"/>
    <w:rsid w:val="004C0ED3"/>
    <w:rsid w:val="004E50AD"/>
    <w:rsid w:val="00502124"/>
    <w:rsid w:val="00507116"/>
    <w:rsid w:val="00510E0E"/>
    <w:rsid w:val="00517606"/>
    <w:rsid w:val="0053284C"/>
    <w:rsid w:val="00536BF0"/>
    <w:rsid w:val="00567260"/>
    <w:rsid w:val="005B3AB8"/>
    <w:rsid w:val="005C78FB"/>
    <w:rsid w:val="00602D51"/>
    <w:rsid w:val="00613BE8"/>
    <w:rsid w:val="00617147"/>
    <w:rsid w:val="00624EBD"/>
    <w:rsid w:val="00626E5A"/>
    <w:rsid w:val="00633293"/>
    <w:rsid w:val="006415DB"/>
    <w:rsid w:val="00663C95"/>
    <w:rsid w:val="0066427A"/>
    <w:rsid w:val="006A7409"/>
    <w:rsid w:val="00725EC8"/>
    <w:rsid w:val="00735540"/>
    <w:rsid w:val="0076576B"/>
    <w:rsid w:val="00774270"/>
    <w:rsid w:val="0078523D"/>
    <w:rsid w:val="007944D4"/>
    <w:rsid w:val="00795962"/>
    <w:rsid w:val="007D5BC3"/>
    <w:rsid w:val="007F05D5"/>
    <w:rsid w:val="007F062A"/>
    <w:rsid w:val="00817FE2"/>
    <w:rsid w:val="00843E59"/>
    <w:rsid w:val="008565DA"/>
    <w:rsid w:val="00880B5B"/>
    <w:rsid w:val="008F0505"/>
    <w:rsid w:val="008F7AB6"/>
    <w:rsid w:val="00932670"/>
    <w:rsid w:val="00986FF8"/>
    <w:rsid w:val="009A3B95"/>
    <w:rsid w:val="009D6312"/>
    <w:rsid w:val="009E0AEE"/>
    <w:rsid w:val="009F41FA"/>
    <w:rsid w:val="00A9465B"/>
    <w:rsid w:val="00AC070A"/>
    <w:rsid w:val="00AF1846"/>
    <w:rsid w:val="00B12973"/>
    <w:rsid w:val="00B32796"/>
    <w:rsid w:val="00B800F6"/>
    <w:rsid w:val="00BA41F7"/>
    <w:rsid w:val="00BB2249"/>
    <w:rsid w:val="00BB25B9"/>
    <w:rsid w:val="00BD2C45"/>
    <w:rsid w:val="00BE18A7"/>
    <w:rsid w:val="00C03FBE"/>
    <w:rsid w:val="00C31118"/>
    <w:rsid w:val="00C4308B"/>
    <w:rsid w:val="00C50C62"/>
    <w:rsid w:val="00C924AF"/>
    <w:rsid w:val="00C94BA2"/>
    <w:rsid w:val="00CC5ECE"/>
    <w:rsid w:val="00D27F9D"/>
    <w:rsid w:val="00D369BA"/>
    <w:rsid w:val="00D5163E"/>
    <w:rsid w:val="00D530C9"/>
    <w:rsid w:val="00D66818"/>
    <w:rsid w:val="00D70B45"/>
    <w:rsid w:val="00D86B33"/>
    <w:rsid w:val="00D87753"/>
    <w:rsid w:val="00D91DA0"/>
    <w:rsid w:val="00DA02BA"/>
    <w:rsid w:val="00DA407B"/>
    <w:rsid w:val="00DA45C3"/>
    <w:rsid w:val="00DC29ED"/>
    <w:rsid w:val="00DE29EF"/>
    <w:rsid w:val="00DF25CF"/>
    <w:rsid w:val="00DF2BAC"/>
    <w:rsid w:val="00E40399"/>
    <w:rsid w:val="00E529A1"/>
    <w:rsid w:val="00E57F88"/>
    <w:rsid w:val="00E66DD4"/>
    <w:rsid w:val="00E864EA"/>
    <w:rsid w:val="00E93FF0"/>
    <w:rsid w:val="00EB387E"/>
    <w:rsid w:val="00EE65EF"/>
    <w:rsid w:val="00EF0EC4"/>
    <w:rsid w:val="00EF0F13"/>
    <w:rsid w:val="00F10FB7"/>
    <w:rsid w:val="00F31B61"/>
    <w:rsid w:val="00F3736C"/>
    <w:rsid w:val="00F40294"/>
    <w:rsid w:val="00F60ADA"/>
    <w:rsid w:val="00F77A5D"/>
    <w:rsid w:val="00FE51EE"/>
    <w:rsid w:val="00FF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844F"/>
  <w15:chartTrackingRefBased/>
  <w15:docId w15:val="{493F489E-1DAB-47E7-8748-E36E794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70"/>
    <w:pPr>
      <w:spacing w:after="200" w:line="276" w:lineRule="auto"/>
    </w:pPr>
    <w:rPr>
      <w:rFonts w:asciiTheme="minorHAnsi" w:hAnsiTheme="minorHAnsi" w:cstheme="minorBidi"/>
      <w:sz w:val="22"/>
      <w:szCs w:val="22"/>
    </w:rPr>
  </w:style>
  <w:style w:type="paragraph" w:styleId="Heading7">
    <w:name w:val="heading 7"/>
    <w:basedOn w:val="Normal"/>
    <w:next w:val="Normal"/>
    <w:link w:val="Heading7Char"/>
    <w:uiPriority w:val="9"/>
    <w:semiHidden/>
    <w:unhideWhenUsed/>
    <w:qFormat/>
    <w:rsid w:val="00AF1846"/>
    <w:pPr>
      <w:keepNext/>
      <w:keepLines/>
      <w:spacing w:before="40" w:after="0" w:line="259" w:lineRule="auto"/>
      <w:outlineLvl w:val="6"/>
    </w:pPr>
    <w:rPr>
      <w:rFonts w:eastAsiaTheme="majorEastAsia" w:cstheme="majorBidi"/>
      <w:color w:val="595959" w:themeColor="text1" w:themeTint="A6"/>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353"/>
    <w:rPr>
      <w:color w:val="808080"/>
    </w:rPr>
  </w:style>
  <w:style w:type="paragraph" w:styleId="BalloonText">
    <w:name w:val="Balloon Text"/>
    <w:basedOn w:val="Normal"/>
    <w:link w:val="BalloonTextChar"/>
    <w:uiPriority w:val="99"/>
    <w:semiHidden/>
    <w:unhideWhenUsed/>
    <w:rsid w:val="00E40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99"/>
    <w:rPr>
      <w:rFonts w:ascii="Segoe UI" w:hAnsi="Segoe UI" w:cs="Segoe UI"/>
      <w:sz w:val="18"/>
      <w:szCs w:val="18"/>
    </w:rPr>
  </w:style>
  <w:style w:type="paragraph" w:styleId="FootnoteText">
    <w:name w:val="footnote text"/>
    <w:basedOn w:val="Normal"/>
    <w:link w:val="FootnoteTextChar"/>
    <w:uiPriority w:val="99"/>
    <w:semiHidden/>
    <w:unhideWhenUsed/>
    <w:rsid w:val="00E40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9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40399"/>
    <w:rPr>
      <w:vertAlign w:val="superscript"/>
    </w:rPr>
  </w:style>
  <w:style w:type="paragraph" w:customStyle="1" w:styleId="Footnoe">
    <w:name w:val="Footnoe"/>
    <w:basedOn w:val="Normal"/>
    <w:qFormat/>
    <w:rsid w:val="00E40399"/>
    <w:rPr>
      <w:rFonts w:ascii="Times New Roman" w:hAnsi="Times New Roman" w:cs="Times New Roman"/>
      <w:sz w:val="20"/>
      <w:szCs w:val="24"/>
    </w:rPr>
  </w:style>
  <w:style w:type="paragraph" w:styleId="Header">
    <w:name w:val="header"/>
    <w:basedOn w:val="Normal"/>
    <w:link w:val="HeaderChar"/>
    <w:uiPriority w:val="99"/>
    <w:unhideWhenUsed/>
    <w:rsid w:val="00F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6C"/>
    <w:rPr>
      <w:rFonts w:asciiTheme="minorHAnsi" w:hAnsiTheme="minorHAnsi" w:cstheme="minorBidi"/>
      <w:sz w:val="22"/>
      <w:szCs w:val="22"/>
    </w:rPr>
  </w:style>
  <w:style w:type="paragraph" w:styleId="Footer">
    <w:name w:val="footer"/>
    <w:basedOn w:val="Normal"/>
    <w:link w:val="FooterChar"/>
    <w:uiPriority w:val="99"/>
    <w:unhideWhenUsed/>
    <w:rsid w:val="00F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6C"/>
    <w:rPr>
      <w:rFonts w:asciiTheme="minorHAnsi" w:hAnsiTheme="minorHAnsi" w:cstheme="minorBidi"/>
      <w:sz w:val="22"/>
      <w:szCs w:val="22"/>
    </w:rPr>
  </w:style>
  <w:style w:type="character" w:styleId="Hyperlink">
    <w:name w:val="Hyperlink"/>
    <w:basedOn w:val="DefaultParagraphFont"/>
    <w:uiPriority w:val="99"/>
    <w:unhideWhenUsed/>
    <w:rsid w:val="00E93FF0"/>
    <w:rPr>
      <w:color w:val="0563C1" w:themeColor="hyperlink"/>
      <w:u w:val="single"/>
    </w:rPr>
  </w:style>
  <w:style w:type="character" w:styleId="UnresolvedMention">
    <w:name w:val="Unresolved Mention"/>
    <w:basedOn w:val="DefaultParagraphFont"/>
    <w:uiPriority w:val="99"/>
    <w:semiHidden/>
    <w:unhideWhenUsed/>
    <w:rsid w:val="00E93FF0"/>
    <w:rPr>
      <w:color w:val="605E5C"/>
      <w:shd w:val="clear" w:color="auto" w:fill="E1DFDD"/>
    </w:rPr>
  </w:style>
  <w:style w:type="paragraph" w:styleId="ListParagraph">
    <w:name w:val="List Paragraph"/>
    <w:basedOn w:val="Normal"/>
    <w:uiPriority w:val="34"/>
    <w:qFormat/>
    <w:rsid w:val="00477AC9"/>
    <w:pPr>
      <w:spacing w:after="160" w:line="259" w:lineRule="auto"/>
      <w:ind w:left="720"/>
      <w:contextualSpacing/>
    </w:pPr>
  </w:style>
  <w:style w:type="character" w:customStyle="1" w:styleId="fontstyle21">
    <w:name w:val="fontstyle21"/>
    <w:basedOn w:val="DefaultParagraphFont"/>
    <w:rsid w:val="0028724E"/>
    <w:rPr>
      <w:rFonts w:ascii="TimesNewRoman" w:hAnsi="TimesNewRoman" w:hint="default"/>
      <w:b w:val="0"/>
      <w:bCs w:val="0"/>
      <w:i w:val="0"/>
      <w:iCs w:val="0"/>
      <w:color w:val="000000"/>
      <w:sz w:val="24"/>
      <w:szCs w:val="24"/>
    </w:rPr>
  </w:style>
  <w:style w:type="character" w:customStyle="1" w:styleId="fontstyle01">
    <w:name w:val="fontstyle01"/>
    <w:basedOn w:val="DefaultParagraphFont"/>
    <w:rsid w:val="00416A9F"/>
    <w:rPr>
      <w:rFonts w:ascii="Bold" w:hAnsi="Bold" w:hint="default"/>
      <w:b/>
      <w:bCs/>
      <w:i w:val="0"/>
      <w:iCs w:val="0"/>
      <w:color w:val="000000"/>
      <w:sz w:val="32"/>
      <w:szCs w:val="32"/>
    </w:rPr>
  </w:style>
  <w:style w:type="character" w:customStyle="1" w:styleId="fontstyle41">
    <w:name w:val="fontstyle41"/>
    <w:basedOn w:val="DefaultParagraphFont"/>
    <w:rsid w:val="00416A9F"/>
    <w:rPr>
      <w:rFonts w:ascii="TimesNewRoman" w:hAnsi="TimesNewRoman" w:hint="default"/>
      <w:b w:val="0"/>
      <w:bCs w:val="0"/>
      <w:i/>
      <w:iCs/>
      <w:color w:val="000000"/>
      <w:sz w:val="24"/>
      <w:szCs w:val="24"/>
    </w:rPr>
  </w:style>
  <w:style w:type="character" w:customStyle="1" w:styleId="Heading7Char">
    <w:name w:val="Heading 7 Char"/>
    <w:basedOn w:val="DefaultParagraphFont"/>
    <w:link w:val="Heading7"/>
    <w:uiPriority w:val="9"/>
    <w:semiHidden/>
    <w:rsid w:val="00AF1846"/>
    <w:rPr>
      <w:rFonts w:asciiTheme="minorHAnsi" w:eastAsiaTheme="majorEastAsia" w:hAnsiTheme="minorHAnsi" w:cstheme="majorBidi"/>
      <w:color w:val="595959" w:themeColor="text1" w:themeTint="A6"/>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155">
      <w:bodyDiv w:val="1"/>
      <w:marLeft w:val="0"/>
      <w:marRight w:val="0"/>
      <w:marTop w:val="0"/>
      <w:marBottom w:val="0"/>
      <w:divBdr>
        <w:top w:val="none" w:sz="0" w:space="0" w:color="auto"/>
        <w:left w:val="none" w:sz="0" w:space="0" w:color="auto"/>
        <w:bottom w:val="none" w:sz="0" w:space="0" w:color="auto"/>
        <w:right w:val="none" w:sz="0" w:space="0" w:color="auto"/>
      </w:divBdr>
    </w:div>
    <w:div w:id="7587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E558-039C-4967-BDF2-8B0F57AC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eric</dc:creator>
  <cp:keywords/>
  <dc:description/>
  <cp:lastModifiedBy>roberts, sarah</cp:lastModifiedBy>
  <cp:revision>2</cp:revision>
  <dcterms:created xsi:type="dcterms:W3CDTF">2025-03-26T14:43:00Z</dcterms:created>
  <dcterms:modified xsi:type="dcterms:W3CDTF">2025-03-26T14:43:00Z</dcterms:modified>
</cp:coreProperties>
</file>